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26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April 3, 2020</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220" w:hanging="45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414020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99060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3"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5420" w:type="dxa"/>
            <w:vAlign w:val="bottom"/>
          </w:tcPr>
          <w:p>
            <w:pPr>
              <w:jc w:val="center"/>
              <w:ind w:right="1175"/>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15"/>
              <w:spacing w:after="0"/>
              <w:rPr>
                <w:sz w:val="20"/>
                <w:szCs w:val="20"/>
                <w:color w:val="auto"/>
              </w:rPr>
            </w:pPr>
            <w:r>
              <w:rPr>
                <w:rFonts w:ascii="Arial" w:cs="Arial" w:eastAsia="Arial" w:hAnsi="Arial"/>
                <w:sz w:val="18"/>
                <w:szCs w:val="18"/>
                <w:b w:val="1"/>
                <w:bCs w:val="1"/>
                <w:color w:val="auto"/>
              </w:rPr>
              <w:t>20-5961564</w:t>
            </w:r>
          </w:p>
        </w:tc>
      </w:tr>
      <w:tr>
        <w:trPr>
          <w:trHeight w:val="250"/>
        </w:trPr>
        <w:tc>
          <w:tcPr>
            <w:tcW w:w="5420" w:type="dxa"/>
            <w:vAlign w:val="bottom"/>
          </w:tcPr>
          <w:p>
            <w:pPr>
              <w:jc w:val="center"/>
              <w:ind w:right="1155"/>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40" w:type="dxa"/>
            <w:vAlign w:val="bottom"/>
          </w:tcPr>
          <w:p>
            <w:pPr>
              <w:jc w:val="center"/>
              <w:ind w:left="1175"/>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20" w:type="dxa"/>
            <w:vAlign w:val="bottom"/>
          </w:tcPr>
          <w:p>
            <w:pPr>
              <w:jc w:val="center"/>
              <w:ind w:right="1175"/>
              <w:spacing w:after="0"/>
              <w:rPr>
                <w:sz w:val="20"/>
                <w:szCs w:val="20"/>
                <w:color w:val="auto"/>
              </w:rPr>
            </w:pPr>
            <w:r>
              <w:rPr>
                <w:rFonts w:ascii="Arial" w:cs="Arial" w:eastAsia="Arial" w:hAnsi="Arial"/>
                <w:sz w:val="18"/>
                <w:szCs w:val="18"/>
                <w:b w:val="1"/>
                <w:bCs w:val="1"/>
                <w:color w:val="auto"/>
                <w:w w:val="91"/>
              </w:rPr>
              <w:t>200 Parker Dr., Suite C100A, Austin, Texas</w:t>
            </w:r>
          </w:p>
        </w:tc>
        <w:tc>
          <w:tcPr>
            <w:tcW w:w="3740" w:type="dxa"/>
            <w:vAlign w:val="bottom"/>
          </w:tcPr>
          <w:p>
            <w:pPr>
              <w:jc w:val="right"/>
              <w:ind w:right="935"/>
              <w:spacing w:after="0"/>
              <w:rPr>
                <w:sz w:val="20"/>
                <w:szCs w:val="20"/>
                <w:color w:val="auto"/>
              </w:rPr>
            </w:pPr>
            <w:r>
              <w:rPr>
                <w:rFonts w:ascii="Arial" w:cs="Arial" w:eastAsia="Arial" w:hAnsi="Arial"/>
                <w:sz w:val="18"/>
                <w:szCs w:val="18"/>
                <w:b w:val="1"/>
                <w:bCs w:val="1"/>
                <w:color w:val="auto"/>
              </w:rPr>
              <w:t>78728</w:t>
            </w:r>
          </w:p>
        </w:tc>
      </w:tr>
      <w:tr>
        <w:trPr>
          <w:trHeight w:val="250"/>
        </w:trPr>
        <w:tc>
          <w:tcPr>
            <w:tcW w:w="5420" w:type="dxa"/>
            <w:vAlign w:val="bottom"/>
          </w:tcPr>
          <w:p>
            <w:pPr>
              <w:jc w:val="center"/>
              <w:ind w:right="117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40" w:type="dxa"/>
            <w:vAlign w:val="bottom"/>
          </w:tcPr>
          <w:p>
            <w:pPr>
              <w:jc w:val="center"/>
              <w:ind w:left="1175"/>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N. McCarthy Blvd., Suite 200, Milpitas, California 95035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680"/>
        <w:spacing w:after="0"/>
        <w:rPr>
          <w:sz w:val="20"/>
          <w:szCs w:val="20"/>
          <w:color w:val="auto"/>
        </w:rPr>
      </w:pPr>
      <w:r>
        <w:rPr>
          <w:rFonts w:ascii="Arial" w:cs="Arial" w:eastAsia="Arial" w:hAnsi="Arial"/>
          <w:sz w:val="14"/>
          <w:szCs w:val="14"/>
          <w:color w:val="auto"/>
        </w:rPr>
        <w:t>__________________________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66" w:right="339" w:bottom="1440" w:gutter="0" w:footer="0" w:header="0"/>
        </w:sectPr>
      </w:pPr>
    </w:p>
    <w:p>
      <w:pPr>
        <w:spacing w:after="0" w:line="397" w:lineRule="exact"/>
        <w:rPr>
          <w:sz w:val="24"/>
          <w:szCs w:val="24"/>
          <w:color w:val="auto"/>
        </w:rPr>
      </w:pPr>
    </w:p>
    <w:p>
      <w:pPr>
        <w:ind w:left="9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4"/>
          <w:szCs w:val="24"/>
          <w:color w:val="auto"/>
        </w:rPr>
      </w:pPr>
    </w:p>
    <w:p>
      <w:pPr>
        <w:sectPr>
          <w:pgSz w:w="11900" w:h="16838" w:orient="portrait"/>
          <w:cols w:equalWidth="0" w:num="3">
            <w:col w:w="3640" w:space="720"/>
            <w:col w:w="2160" w:space="720"/>
            <w:col w:w="4000"/>
          </w:cols>
          <w:pgMar w:left="320" w:top="1066" w:right="3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8"/>
          <w:szCs w:val="18"/>
          <w:color w:val="auto"/>
        </w:rPr>
        <w:t>AVNW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180" w:lineRule="exact"/>
        <w:rPr>
          <w:sz w:val="24"/>
          <w:szCs w:val="24"/>
          <w:color w:val="auto"/>
        </w:rPr>
      </w:pPr>
    </w:p>
    <w:p>
      <w:pPr>
        <w:sectPr>
          <w:pgSz w:w="11900" w:h="16838" w:orient="portrait"/>
          <w:cols w:equalWidth="0" w:num="3">
            <w:col w:w="4080" w:space="720"/>
            <w:col w:w="2260" w:space="720"/>
            <w:col w:w="3460"/>
          </w:cols>
          <w:pgMar w:left="320" w:top="1066" w:right="339" w:bottom="1440" w:gutter="0" w:footer="0" w:header="0"/>
          <w:type w:val="continuous"/>
        </w:sectPr>
      </w:pPr>
    </w:p>
    <w:p>
      <w:pPr>
        <w:ind w:right="34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380"/>
              <w:spacing w:after="0"/>
              <w:rPr>
                <w:sz w:val="20"/>
                <w:szCs w:val="20"/>
                <w:color w:val="auto"/>
              </w:rPr>
            </w:pPr>
            <w:r>
              <w:rPr>
                <w:rFonts w:ascii="Arial" w:cs="Arial" w:eastAsia="Arial" w:hAnsi="Arial"/>
                <w:sz w:val="18"/>
                <w:szCs w:val="18"/>
                <w:color w:val="auto"/>
              </w:rPr>
              <w:t>o</w:t>
            </w:r>
          </w:p>
        </w:tc>
        <w:tc>
          <w:tcPr>
            <w:tcW w:w="498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80"/>
              <w:spacing w:after="0"/>
              <w:rPr>
                <w:sz w:val="20"/>
                <w:szCs w:val="20"/>
                <w:color w:val="auto"/>
              </w:rPr>
            </w:pPr>
            <w:r>
              <w:rPr>
                <w:rFonts w:ascii="Arial" w:cs="Arial" w:eastAsia="Arial" w:hAnsi="Arial"/>
                <w:sz w:val="18"/>
                <w:szCs w:val="18"/>
                <w:color w:val="auto"/>
              </w:rPr>
              <w:t>o</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380"/>
              <w:spacing w:after="0"/>
              <w:rPr>
                <w:sz w:val="20"/>
                <w:szCs w:val="20"/>
                <w:color w:val="auto"/>
              </w:rPr>
            </w:pPr>
            <w:r>
              <w:rPr>
                <w:rFonts w:ascii="Arial" w:cs="Arial" w:eastAsia="Arial" w:hAnsi="Arial"/>
                <w:sz w:val="18"/>
                <w:szCs w:val="18"/>
                <w:color w:val="auto"/>
              </w:rPr>
              <w:t>x</w:t>
            </w:r>
          </w:p>
        </w:tc>
        <w:tc>
          <w:tcPr>
            <w:tcW w:w="498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380"/>
              <w:spacing w:after="0"/>
              <w:rPr>
                <w:sz w:val="20"/>
                <w:szCs w:val="20"/>
                <w:color w:val="auto"/>
              </w:rPr>
            </w:pPr>
            <w:r>
              <w:rPr>
                <w:rFonts w:ascii="Arial" w:cs="Arial" w:eastAsia="Arial" w:hAnsi="Arial"/>
                <w:sz w:val="18"/>
                <w:szCs w:val="18"/>
                <w:color w:val="auto"/>
              </w:rPr>
              <w:t>o</w:t>
            </w:r>
          </w:p>
        </w:tc>
        <w:tc>
          <w:tcPr>
            <w:tcW w:w="49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99"/>
        </w:trPr>
        <w:tc>
          <w:tcPr>
            <w:tcW w:w="2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66" w:right="33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0"/>
          <w:szCs w:val="20"/>
          <w:color w:val="auto"/>
        </w:rPr>
      </w:pPr>
    </w:p>
    <w:p>
      <w:pPr>
        <w:ind w:right="17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The number of shares outstanding of the registrant’s Common Stock as of April 30, 2020 was 5,393,030.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03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April 3, 2020</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49"/>
        </w:trPr>
        <w:tc>
          <w:tcPr>
            <w:tcW w:w="1028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4">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Condensed Consolidated Statements of Comprehensive (Loss) Income (Unaudited)</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Equity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 (Unaudited)</w:t>
              </w:r>
            </w:hyperlink>
          </w:p>
        </w:tc>
        <w:tc>
          <w:tcPr>
            <w:tcW w:w="54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26">
              <w:r>
                <w:rPr>
                  <w:rFonts w:ascii="Arial" w:cs="Arial" w:eastAsia="Arial" w:hAnsi="Arial"/>
                  <w:sz w:val="18"/>
                  <w:szCs w:val="18"/>
                  <w:color w:val="auto"/>
                </w:rPr>
                <w:t>Item 2. Management’s Discussion and Analysis of Financial Condition and Results of Operations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33">
              <w:r>
                <w:rPr>
                  <w:rFonts w:ascii="Arial" w:cs="Arial" w:eastAsia="Arial" w:hAnsi="Arial"/>
                  <w:sz w:val="18"/>
                  <w:szCs w:val="18"/>
                  <w:color w:val="auto"/>
                </w:rPr>
                <w:t>Item 3. Quantitative and Qualitative Disclosures About Market Risk</w:t>
              </w:r>
            </w:hyperlink>
          </w:p>
        </w:tc>
        <w:tc>
          <w:tcPr>
            <w:tcW w:w="54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35">
              <w:r>
                <w:rPr>
                  <w:rFonts w:ascii="Arial" w:cs="Arial" w:eastAsia="Arial" w:hAnsi="Arial"/>
                  <w:sz w:val="18"/>
                  <w:szCs w:val="18"/>
                  <w:color w:val="auto"/>
                </w:rPr>
                <w:t>Item 4. Controls and Procedures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43"/>
        </w:trPr>
        <w:tc>
          <w:tcPr>
            <w:tcW w:w="10280" w:type="dxa"/>
            <w:vAlign w:val="bottom"/>
          </w:tcPr>
          <w:p>
            <w:pPr>
              <w:ind w:left="2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 Other Information</w:t>
              </w:r>
            </w:hyperlink>
          </w:p>
        </w:tc>
        <w:tc>
          <w:tcPr>
            <w:tcW w:w="54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36">
              <w:r>
                <w:rPr>
                  <w:rFonts w:ascii="Arial" w:cs="Arial" w:eastAsia="Arial" w:hAnsi="Arial"/>
                  <w:sz w:val="18"/>
                  <w:szCs w:val="18"/>
                  <w:color w:val="auto"/>
                </w:rPr>
                <w:t>Item 1. Legal Proceedings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36">
              <w:r>
                <w:rPr>
                  <w:rFonts w:ascii="Arial" w:cs="Arial" w:eastAsia="Arial" w:hAnsi="Arial"/>
                  <w:sz w:val="18"/>
                  <w:szCs w:val="18"/>
                  <w:color w:val="auto"/>
                </w:rPr>
                <w:t>Item 1A. Risk Factors</w:t>
              </w:r>
            </w:hyperlink>
          </w:p>
        </w:tc>
        <w:tc>
          <w:tcPr>
            <w:tcW w:w="54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Item 2. Unregistered Sales of Equity Securities and Use of Proceeds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Item 3. Defaults upon Senior Securities</w:t>
              </w:r>
            </w:hyperlink>
          </w:p>
        </w:tc>
        <w:tc>
          <w:tcPr>
            <w:tcW w:w="54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Item 4. Mine Safety Disclosures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43"/>
        </w:trPr>
        <w:tc>
          <w:tcPr>
            <w:tcW w:w="10280" w:type="dxa"/>
            <w:vAlign w:val="bottom"/>
          </w:tcPr>
          <w:p>
            <w:pPr>
              <w:ind w:left="360"/>
              <w:spacing w:after="0"/>
              <w:rPr>
                <w:rFonts w:ascii="Arial" w:cs="Arial" w:eastAsia="Arial" w:hAnsi="Arial"/>
                <w:sz w:val="18"/>
                <w:szCs w:val="18"/>
                <w:color w:val="auto"/>
              </w:rPr>
            </w:pPr>
            <w:hyperlink w:anchor="page37">
              <w:r>
                <w:rPr>
                  <w:rFonts w:ascii="Arial" w:cs="Arial" w:eastAsia="Arial" w:hAnsi="Arial"/>
                  <w:sz w:val="18"/>
                  <w:szCs w:val="18"/>
                  <w:color w:val="auto"/>
                </w:rPr>
                <w:t>Item 5. Other Information</w:t>
              </w:r>
            </w:hyperlink>
          </w:p>
        </w:tc>
        <w:tc>
          <w:tcPr>
            <w:tcW w:w="54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360"/>
              <w:spacing w:after="0"/>
              <w:rPr>
                <w:rFonts w:ascii="Arial" w:cs="Arial" w:eastAsia="Arial" w:hAnsi="Arial"/>
                <w:sz w:val="18"/>
                <w:szCs w:val="18"/>
                <w:color w:val="auto"/>
              </w:rPr>
            </w:pPr>
            <w:hyperlink w:anchor="page38">
              <w:r>
                <w:rPr>
                  <w:rFonts w:ascii="Arial" w:cs="Arial" w:eastAsia="Arial" w:hAnsi="Arial"/>
                  <w:sz w:val="18"/>
                  <w:szCs w:val="18"/>
                  <w:color w:val="auto"/>
                </w:rPr>
                <w:t>Item 6. Exhibits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43"/>
        </w:trPr>
        <w:tc>
          <w:tcPr>
            <w:tcW w:w="10280" w:type="dxa"/>
            <w:vAlign w:val="bottom"/>
          </w:tcPr>
          <w:p>
            <w:pPr>
              <w:ind w:left="20"/>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Signatures</w:t>
              </w:r>
            </w:hyperlink>
          </w:p>
        </w:tc>
        <w:tc>
          <w:tcPr>
            <w:tcW w:w="54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7"/>
        </w:trPr>
        <w:tc>
          <w:tcPr>
            <w:tcW w:w="10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Exhibit Index</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432"/>
        </w:trPr>
        <w:tc>
          <w:tcPr>
            <w:tcW w:w="10280" w:type="dxa"/>
            <w:vAlign w:val="bottom"/>
          </w:tcPr>
          <w:p>
            <w:pPr>
              <w:ind w:left="536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r>
    </w:tbl>
    <w:p>
      <w:pPr>
        <w:sectPr>
          <w:pgSz w:w="11900" w:h="16838" w:orient="portrait"/>
          <w:cols w:equalWidth="0" w:num="1">
            <w:col w:w="10820"/>
          </w:cols>
          <w:pgMar w:left="540" w:top="553" w:right="5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520" w:type="dxa"/>
            <w:vAlign w:val="bottom"/>
          </w:tcPr>
          <w:p>
            <w:pPr>
              <w:ind w:left="2780"/>
              <w:spacing w:after="0"/>
              <w:rPr>
                <w:sz w:val="20"/>
                <w:szCs w:val="20"/>
                <w:color w:val="auto"/>
              </w:rPr>
            </w:pPr>
            <w:r>
              <w:rPr>
                <w:rFonts w:ascii="Arial" w:cs="Arial" w:eastAsia="Arial" w:hAnsi="Arial"/>
                <w:sz w:val="18"/>
                <w:szCs w:val="18"/>
                <w:b w:val="1"/>
                <w:bCs w:val="1"/>
                <w:color w:val="auto"/>
              </w:rPr>
              <w:t>PART I.</w:t>
            </w:r>
          </w:p>
        </w:tc>
        <w:tc>
          <w:tcPr>
            <w:tcW w:w="406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Financial Statements</w:t>
            </w: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758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rPr>
              <w:t>AVIAT NETWORKS, INC.</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8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06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91"/>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CCEEFF"/>
            </w:tcBorders>
            <w:gridSpan w:val="2"/>
            <w:vMerge w:val="continue"/>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5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35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43"/>
        </w:trPr>
        <w:tc>
          <w:tcPr>
            <w:tcW w:w="12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5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gridSpan w:val="2"/>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125,997</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Right of use assets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52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97"/>
        </w:trPr>
        <w:tc>
          <w:tcPr>
            <w:tcW w:w="47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37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179,761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4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Short-term lease liabilities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Restructuring liabilities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gridSpan w:val="2"/>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82,211</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Unearned revenue</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gridSpan w:val="2"/>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97,677</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5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4"/>
          </w:tcPr>
          <w:p>
            <w:pPr>
              <w:ind w:left="28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Common stock, $0.01 par value, 300,000,000 shares authorized, 5,393,030 shares issued and outstanding at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April 3, 2020; 5,359,695 shares issued and outstanding at June 28, 2019</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813,986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815,196</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(730,998)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3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gridSpan w:val="2"/>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57"/>
        </w:trPr>
        <w:tc>
          <w:tcPr>
            <w:tcW w:w="4740" w:type="dxa"/>
            <w:vAlign w:val="bottom"/>
            <w:gridSpan w:val="2"/>
          </w:tcPr>
          <w:p>
            <w:pPr>
              <w:jc w:val="center"/>
              <w:ind w:right="430"/>
              <w:spacing w:after="0"/>
              <w:rPr>
                <w:sz w:val="20"/>
                <w:szCs w:val="20"/>
                <w:color w:val="auto"/>
              </w:rPr>
            </w:pPr>
            <w:r>
              <w:rPr>
                <w:rFonts w:ascii="Arial" w:cs="Arial" w:eastAsia="Arial" w:hAnsi="Arial"/>
                <w:sz w:val="18"/>
                <w:szCs w:val="18"/>
                <w:color w:val="auto"/>
              </w:rPr>
              <w:t>TOTAL LIABILITIES AND EQUITY</w:t>
            </w:r>
          </w:p>
        </w:tc>
        <w:tc>
          <w:tcPr>
            <w:tcW w:w="37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179,761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tcPr>
          <w:p>
            <w:pPr>
              <w:spacing w:after="0"/>
              <w:rPr>
                <w:sz w:val="18"/>
                <w:szCs w:val="18"/>
                <w:color w:val="auto"/>
              </w:rPr>
            </w:pPr>
          </w:p>
        </w:tc>
        <w:tc>
          <w:tcPr>
            <w:tcW w:w="7580" w:type="dxa"/>
            <w:vAlign w:val="bottom"/>
            <w:gridSpan w:val="3"/>
          </w:tcPr>
          <w:p>
            <w:pPr>
              <w:jc w:val="center"/>
              <w:ind w:left="1130"/>
              <w:spacing w:after="0"/>
              <w:rPr>
                <w:sz w:val="20"/>
                <w:szCs w:val="20"/>
                <w:color w:val="auto"/>
              </w:rPr>
            </w:pPr>
            <w:r>
              <w:rPr>
                <w:rFonts w:ascii="Arial" w:cs="Arial" w:eastAsia="Arial" w:hAnsi="Arial"/>
                <w:sz w:val="18"/>
                <w:szCs w:val="18"/>
                <w:color w:val="auto"/>
                <w:w w:val="89"/>
              </w:rPr>
              <w:t>See accompanying Notes to Unaudited Condensed Consolidated Financial Statements.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240"/>
          </w:cols>
          <w:pgMar w:left="320" w:top="877" w:right="339" w:bottom="1440" w:gutter="0" w:footer="0" w:header="0"/>
        </w:sect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87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40,930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34,615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111,676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115,696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63,933</w:t>
            </w: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175,990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179,629</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23,712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76,670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46,289</w:t>
            </w: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39,418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113,154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122,959</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56,670</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41,405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20,725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18,758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61,578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57,804</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43"/>
        </w:trPr>
        <w:tc>
          <w:tcPr>
            <w:tcW w:w="58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3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18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cumulative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553"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3"/>
                <w:szCs w:val="13"/>
                <w:color w:val="auto"/>
              </w:rPr>
            </w:pPr>
          </w:p>
        </w:tc>
        <w:tc>
          <w:tcPr>
            <w:tcW w:w="112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recovery from uncollectible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Payments for acquisition of property, plant and equipment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Repayments of borrowings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Payments for taxes related to net settlement of equity awards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36,315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w w:val="95"/>
              </w:rPr>
              <w:t>Three Months Ended April 3, 2020</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20" w:type="dxa"/>
            <w:vAlign w:val="bottom"/>
          </w:tcPr>
          <w:p>
            <w:pPr>
              <w:spacing w:after="0"/>
              <w:rPr>
                <w:sz w:val="22"/>
                <w:szCs w:val="22"/>
                <w:color w:val="auto"/>
              </w:rPr>
            </w:pPr>
          </w:p>
        </w:tc>
        <w:tc>
          <w:tcPr>
            <w:tcW w:w="230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14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08"/>
              <w:spacing w:after="0" w:line="15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72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share amounts)</w:t>
            </w: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27, 2019</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5,414,480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813,867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(732,615)</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(12,839)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68,467</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Issuance of common stock under employee stock plans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Stock repurchase</w:t>
            </w:r>
          </w:p>
        </w:tc>
        <w:tc>
          <w:tcPr>
            <w:tcW w:w="1020" w:type="dxa"/>
            <w:vAlign w:val="bottom"/>
          </w:tcPr>
          <w:p>
            <w:pPr>
              <w:jc w:val="right"/>
              <w:spacing w:after="0"/>
              <w:rPr>
                <w:sz w:val="20"/>
                <w:szCs w:val="20"/>
                <w:color w:val="auto"/>
              </w:rPr>
            </w:pPr>
            <w:r>
              <w:rPr>
                <w:rFonts w:ascii="Arial" w:cs="Arial" w:eastAsia="Arial" w:hAnsi="Arial"/>
                <w:sz w:val="14"/>
                <w:szCs w:val="14"/>
                <w:color w:val="auto"/>
              </w:rPr>
              <w:t>(26,484)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Balance as of April 3, 2020</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5,393,030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813,986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(731,884)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(15,213)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66,943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168"/>
              <w:spacing w:after="0"/>
              <w:rPr>
                <w:sz w:val="20"/>
                <w:szCs w:val="20"/>
                <w:color w:val="auto"/>
              </w:rPr>
            </w:pPr>
            <w:r>
              <w:rPr>
                <w:rFonts w:ascii="Arial" w:cs="Arial" w:eastAsia="Arial" w:hAnsi="Arial"/>
                <w:sz w:val="14"/>
                <w:szCs w:val="14"/>
                <w:b w:val="1"/>
                <w:bCs w:val="1"/>
                <w:color w:val="auto"/>
                <w:w w:val="95"/>
              </w:rPr>
              <w:t>Three Months Ended March 29, 2019</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20" w:type="dxa"/>
            <w:vAlign w:val="bottom"/>
          </w:tcPr>
          <w:p>
            <w:pPr>
              <w:spacing w:after="0"/>
              <w:rPr>
                <w:sz w:val="22"/>
                <w:szCs w:val="22"/>
                <w:color w:val="auto"/>
              </w:rPr>
            </w:pPr>
          </w:p>
        </w:tc>
        <w:tc>
          <w:tcPr>
            <w:tcW w:w="230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14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08"/>
              <w:spacing w:after="0" w:line="153"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72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share amounts)</w:t>
            </w: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28, 2018</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5,399,357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815,392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(739,176)</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(12,943)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63,327</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Issuance of common stock under employee stock plans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3720" w:type="dxa"/>
            <w:vAlign w:val="bottom"/>
          </w:tcPr>
          <w:p>
            <w:pPr>
              <w:ind w:left="180"/>
              <w:spacing w:after="0"/>
              <w:rPr>
                <w:sz w:val="20"/>
                <w:szCs w:val="20"/>
                <w:color w:val="auto"/>
              </w:rPr>
            </w:pPr>
            <w:r>
              <w:rPr>
                <w:rFonts w:ascii="Arial" w:cs="Arial" w:eastAsia="Arial" w:hAnsi="Arial"/>
                <w:sz w:val="14"/>
                <w:szCs w:val="14"/>
                <w:color w:val="auto"/>
              </w:rPr>
              <w:t>Stock repurchase</w:t>
            </w:r>
          </w:p>
        </w:tc>
        <w:tc>
          <w:tcPr>
            <w:tcW w:w="1020" w:type="dxa"/>
            <w:vAlign w:val="bottom"/>
          </w:tcPr>
          <w:p>
            <w:pPr>
              <w:jc w:val="right"/>
              <w:spacing w:after="0"/>
              <w:rPr>
                <w:sz w:val="20"/>
                <w:szCs w:val="20"/>
                <w:color w:val="auto"/>
              </w:rPr>
            </w:pPr>
            <w:r>
              <w:rPr>
                <w:rFonts w:ascii="Arial" w:cs="Arial" w:eastAsia="Arial" w:hAnsi="Arial"/>
                <w:sz w:val="14"/>
                <w:szCs w:val="14"/>
                <w:color w:val="auto"/>
              </w:rPr>
              <w:t>(30,961)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Balance as of March 29, 2019</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5,375,942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815,421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(734,837)</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(13,031)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67,607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Nine Months Ended April 3, 2020</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vMerge w:val="restart"/>
          </w:tcPr>
          <w:p>
            <w:pPr>
              <w:spacing w:after="0"/>
              <w:rPr>
                <w:sz w:val="4"/>
                <w:szCs w:val="4"/>
                <w:color w:val="auto"/>
              </w:rPr>
            </w:pPr>
          </w:p>
        </w:tc>
        <w:tc>
          <w:tcPr>
            <w:tcW w:w="1460" w:type="dxa"/>
            <w:vAlign w:val="bottom"/>
            <w:gridSpan w:val="4"/>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0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Amount</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37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June 28,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5,359,695</w:t>
            </w: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815,196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(730,998)</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(12,736)</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71,516</w:t>
            </w:r>
          </w:p>
        </w:tc>
        <w:tc>
          <w:tcPr>
            <w:tcW w:w="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color w:val="auto"/>
              </w:rPr>
              <w:t>Issuance of common stock under employee stock plans</w:t>
            </w:r>
          </w:p>
        </w:tc>
        <w:tc>
          <w:tcPr>
            <w:tcW w:w="920" w:type="dxa"/>
            <w:vAlign w:val="bottom"/>
          </w:tcPr>
          <w:p>
            <w:pPr>
              <w:jc w:val="right"/>
              <w:spacing w:after="0"/>
              <w:rPr>
                <w:sz w:val="20"/>
                <w:szCs w:val="20"/>
                <w:color w:val="auto"/>
              </w:rPr>
            </w:pPr>
            <w:r>
              <w:rPr>
                <w:rFonts w:ascii="Arial" w:cs="Arial" w:eastAsia="Arial" w:hAnsi="Arial"/>
                <w:sz w:val="14"/>
                <w:szCs w:val="14"/>
                <w:color w:val="auto"/>
              </w:rPr>
              <w:t>215,423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(54,065)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color w:val="auto"/>
              </w:rPr>
              <w:t>Stock repurchase</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(128,023)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1,315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CCEEFF"/>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gridSpan w:val="3"/>
            <w:vMerge w:val="continue"/>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3"/>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April 3,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5,393,030</w:t>
            </w:r>
          </w:p>
        </w:tc>
        <w:tc>
          <w:tcPr>
            <w:tcW w:w="10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813,986</w:t>
            </w:r>
          </w:p>
        </w:tc>
        <w:tc>
          <w:tcPr>
            <w:tcW w:w="10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(731,884)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(15,213)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66,943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Nine Months Ended March 29, 2019</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restart"/>
          </w:tcPr>
          <w:p>
            <w:pPr>
              <w:jc w:val="right"/>
              <w:ind w:right="280"/>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ind w:left="100"/>
              <w:spacing w:after="0" w:line="13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4"/>
                <w:szCs w:val="4"/>
                <w:color w:val="auto"/>
              </w:rPr>
            </w:pPr>
          </w:p>
        </w:tc>
        <w:tc>
          <w:tcPr>
            <w:tcW w:w="1460" w:type="dxa"/>
            <w:vAlign w:val="bottom"/>
            <w:gridSpan w:val="4"/>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080" w:type="dxa"/>
            <w:vAlign w:val="bottom"/>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Amount</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June 29, 2018</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5,351,155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816,426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(746,359)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(12,605)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color w:val="auto"/>
              </w:rPr>
              <w:t>Cumulative-effect adjustment for ASC Topic 606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gridSpan w:val="2"/>
          </w:tcPr>
          <w:p>
            <w:pPr>
              <w:ind w:left="16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under employee stock plans</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182,421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Shares withheld for taxes related to vesting of equity</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gridSpan w:val="2"/>
          </w:tcPr>
          <w:p>
            <w:pPr>
              <w:ind w:left="32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(35,088)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 repurchase</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(122,546)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Share-based compensation</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29, 2019</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5,375,942</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815,421</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(734,837)</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67,607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8" w:right="339" w:bottom="1440" w:gutter="0" w:footer="0" w:header="0"/>
        </w:sectPr>
      </w:pPr>
    </w:p>
    <w:bookmarkStart w:id="9" w:name="page10"/>
    <w:bookmarkEnd w:id="9"/>
    <w:p>
      <w:pPr>
        <w:ind w:left="45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28, 2019.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April 3, 2020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2019.</w:t>
      </w:r>
    </w:p>
    <w:p>
      <w:pPr>
        <w:spacing w:after="0" w:line="13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operate on a 52-week or 53-week year ending on the Friday closest to June 30. The nine months ended April 3, 2020 consisted of 40 weeks while the nine months ended 2019 included 39 weeks. The three months ended April 3, 2020 and March 29, 2019 consisted of 14 weeks and 13 weeks, respectively. Fiscal year 2020 will be comprised of 53 weeks and will end on July 3,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lease liabilities, restructuring obligations, product warranty obligations, share-based awards, contingencies, recoverability of long-lived assets and useful lives of property, plant and equipment. The actual results that we experience may differ materially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There have been no material changes in our significant accounting policies as of and for the nine months ended April 3, 2020, as compared to the significant accounting policies described in our Annual Report on Form 10-K for the fiscal year ended June 28, 2019, with the exception of our adoption of Accounting Standards Update (“ASU”) No. 2016-02, </w:t>
      </w:r>
      <w:r>
        <w:rPr>
          <w:rFonts w:ascii="Arial" w:cs="Arial" w:eastAsia="Arial" w:hAnsi="Arial"/>
          <w:sz w:val="18"/>
          <w:szCs w:val="18"/>
          <w:i w:val="1"/>
          <w:iCs w:val="1"/>
          <w:color w:val="auto"/>
        </w:rPr>
        <w:t>Leases (Topic 842)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3"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(ASU 2016-02) (“ASC 842”). See Note 4, “Leases” to the Notes to unaudited condensed consolidated financial statements for discussion of the impact of the adoption of this standard on our policies for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ASC 842,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We adopted ASC 842, effective June 29, 2019, using the modified retrospective transition method with the cumulative effect recognized as an adjustment to the opening balance of our accumulated deficit. Prior-period financial statements were not retrospectively restated. We elected the package of practical expedients permitted under the transition guidance, which allowed us to carryforward our historical lease classification, assessment of whether a contract was or contains a lease, and initial direct costs for leases that existed prior to June 28, 2019. We also elected not to recognize right-of-use (“ROU”) assets and lease liabilities for leases with an initial term of 12 months or less. We elected not to apply the hindsight practical expedient when determining lease term and assessing impairment of ROU assets. See Note 4, “Leases” to the Notes to our unaudited condensed consolidated financial statements for more information.</w:t>
      </w:r>
    </w:p>
    <w:p>
      <w:pPr>
        <w:spacing w:after="0" w:line="11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Improvement to Nonemployees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expands the scope of Topic 718 to include all share-based payment transactions for acquiring goods and services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This ASU is effective for fiscal years beginning after December 15, 2018. We adopted this update during the first quarter of fiscal 2020. The adoption had no material impact on our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of ASU 2020-04 will have on our unaudited condensed consolidated financial statements.</w:t>
      </w:r>
    </w:p>
    <w:p>
      <w:pPr>
        <w:spacing w:after="0" w:line="13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that adopting ASU 2019-12 will have on our unaudited condensed consolidated financial statements.</w:t>
      </w:r>
    </w:p>
    <w:p>
      <w:pPr>
        <w:spacing w:after="0" w:line="10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This guidance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ASU 2018-15 will be effective for us in our first quarter of fiscal 2021, with early adoption permitted. The standard can be adopted either using the prospective or retrospective transition approach. We are evaluating the potential impact adopting ASU 2018-15 will have on our unaudited condensed consolidated financial statements.</w:t>
      </w:r>
    </w:p>
    <w:p>
      <w:pPr>
        <w:spacing w:after="0" w:line="1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update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ASU 2018-13 will be effective for us in our first quarter of fiscal 2021 and early adoption is permitted of the entire standard or only the provisions that eliminate or modify disclosure requirements. We are evaluating the impact the adoption of ASU 2018-13 will have on our unaudited condensed consolidated financial statements.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and also issued subsequent amendments to the initial guidance: ASU 2018-19,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19"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ASU 2019-04, and ASU 2019-05 (collectively, 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 of Common Stock</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income (loss)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attributable to our common stockholders: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311"/>
        </w:trPr>
        <w:tc>
          <w:tcPr>
            <w:tcW w:w="5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basic</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Effect of potentially dilutive equivalent shares</w:t>
            </w:r>
          </w:p>
        </w:tc>
        <w:tc>
          <w:tcPr>
            <w:tcW w:w="2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diluted</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13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April 3,</w:t>
            </w:r>
          </w:p>
        </w:tc>
        <w:tc>
          <w:tcPr>
            <w:tcW w:w="120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8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8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from product sales is generated predominately from the sales of products manufactured by third-party manufacturers to whom we have outsourced our manufacturing processes. Printed circuit assemblies, mechanical housings,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87"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Revenue from services includes certain installation, extended warranty, customer support, consulting, training, and education. Maintenance and support services are generally offered to our customers over a specified period of time and from sales and subsequent renewals of maintenance and support contracts. The services noted are recognized based on an over-time recognition model using the cost-input method.</w:t>
      </w:r>
    </w:p>
    <w:p>
      <w:pPr>
        <w:spacing w:after="0" w:line="16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Revenues related to certain contracts for customized network solutions are recognized over time using the cost input method. In using this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 authorities on a net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Bill-and-Hold Sales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3" w:name="page14"/>
    <w:bookmarkEnd w:id="13"/>
    <w:p>
      <w:pPr>
        <w:jc w:val="both"/>
        <w:ind w:right="20" w:firstLine="486"/>
        <w:spacing w:after="0" w:line="258"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basis, with the adjustment recorded in the period in which the change occurs. Changes to variable consideration will be tracked and material changes disclosed.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unaudited condensed consolidated statements of operations because they are also included in revenue that we bill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elected the practical expedient to expense sales commissions as incurred when the amortization period of the related asset is one year or less. These costs are recorded as sales and marketing expense and included on our unaudited condensed consolidated balance sheet as accrued expenses until paid. Our amortization expense was not material for the three and nine months ended April 3,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 2020</w:t>
            </w:r>
          </w:p>
        </w:tc>
        <w:tc>
          <w:tcPr>
            <w:tcW w:w="180" w:type="dxa"/>
            <w:vAlign w:val="bottom"/>
          </w:tcPr>
          <w:p>
            <w:pPr>
              <w:spacing w:after="0"/>
              <w:rPr>
                <w:sz w:val="16"/>
                <w:szCs w:val="16"/>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June 28, 2019</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Contract Assets</w:t>
            </w: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51,937</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27,780</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13,962</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Unearned revenue, long-term</w:t>
            </w: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9,662</w:t>
            </w:r>
          </w:p>
        </w:tc>
      </w:tr>
    </w:tbl>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From time to time, we may experience unforeseen events that could result in a change to the scope or price associated with an arrangement. When such events occur, we update the transaction price and measure of progress for the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3, 2020, we had $29.7 million in advance payments and unearned revenue and long-term unearned revenue, of which approximately 30% is expected to be recognized as revenue in the remainder of fiscal 2020 and the balance thereafter. During the three and nine months ended April 3, 2020 we recognized approximately $1.8 million and $7.4 million, respectively, in maintenance service revenue which was included in advance payments and unearned revenue at the beginning of the reporting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amount of transaction price allocated to our unsatisfied (or partially unsatisfied) performance obligations was approximately $71.8 million at April 3, 2020. Of this amount, we expect to recognize approximately 60% as revenue during the next 12 months, with the remaining amount to be recognized as revenue within two to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June 29, 2019, the first day of our fiscal 2020, we adopted ASC 842 using the modified retrospective transition method, which requires a cumulative-effect adjustment, if any, to the opening balance of accumulated deficit to be recognized on the date of adoption with prior periods not restated.</w:t>
      </w:r>
    </w:p>
    <w:p>
      <w:pPr>
        <w:spacing w:after="0" w:line="7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contains a lease at inception. These operating leases are included in "Right of use assets" on our April 3, 2020 unaudited condensed consolidated balance sheets and represent our right to use the underlying asset for the lease term. Our obligation to make lease payments are included in "Short-term lease liabilities" and "Long-term lease liabilities" on our April 3, 2020 unaudited condensed consolidated balance sheets. We did not enter into any finance leases during the nine months ended April 3, 2020.</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Leases with an initial term of 12 months or less are not recorded on our balance sheet. We recognize lease expense for these leases on a straight-line basis over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842</w:t>
      </w:r>
    </w:p>
    <w:p>
      <w:pPr>
        <w:spacing w:after="0" w:line="17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Upon our adoption of ASC 842, we recorded total ROU assets of $7.9 million, with corresponding liabilities of $8.3 million, on our unaudited condensed consolidated balance sheets. The ROU assets include adjustments for prepayments and accrued lease payments. The adoption did not impact our prior year condensed consolidated statements of operations and statements of cash flows. As of April 3, 2020, total ROU assets were approximately $4.6 million, and short-term lease liabilities and long-term lease liabilities were approximately $2.4 million and $2.5 million, respectively. Cash paid for lease liabilities was $1.4 million and $4.0 million for the three and nine months ended April 3, 2020, respectively. During the three and nine months ended April 3, 2020, we obtained $0.2 million and $0.3 million, respectively, of right-of-use assets in exchange for new operating lease obligations.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19" w:right="339" w:bottom="1440" w:gutter="0" w:footer="0" w:header="0"/>
        </w:sectPr>
      </w:pPr>
    </w:p>
    <w:bookmarkStart w:id="15" w:name="page16"/>
    <w:bookmarkEnd w:id="15"/>
    <w:p>
      <w:pPr>
        <w:ind w:firstLine="486"/>
        <w:spacing w:after="0" w:line="277" w:lineRule="auto"/>
        <w:rPr>
          <w:sz w:val="20"/>
          <w:szCs w:val="20"/>
          <w:color w:val="auto"/>
        </w:rPr>
      </w:pPr>
      <w:r>
        <w:rPr>
          <w:rFonts w:ascii="Arial" w:cs="Arial" w:eastAsia="Arial" w:hAnsi="Arial"/>
          <w:sz w:val="18"/>
          <w:szCs w:val="18"/>
          <w:color w:val="auto"/>
        </w:rPr>
        <w:t>The following summarizes our lease costs, lease term and discount rate for three and nine months ended April 3, 2020 (in thousands, except for weighted average):</w:t>
      </w: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r>
      <w:tr>
        <w:trPr>
          <w:trHeight w:val="250"/>
        </w:trPr>
        <w:tc>
          <w:tcPr>
            <w:tcW w:w="6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April 3, 2020</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April 3, 2020</w:t>
            </w:r>
          </w:p>
        </w:tc>
        <w:tc>
          <w:tcPr>
            <w:tcW w:w="20" w:type="dxa"/>
            <w:vAlign w:val="bottom"/>
          </w:tcPr>
          <w:p>
            <w:pPr>
              <w:spacing w:after="0"/>
              <w:rPr>
                <w:sz w:val="21"/>
                <w:szCs w:val="21"/>
                <w:color w:val="auto"/>
              </w:rPr>
            </w:pPr>
          </w:p>
        </w:tc>
      </w:tr>
      <w:tr>
        <w:trPr>
          <w:trHeight w:val="250"/>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Short-term lease costs</w:t>
            </w:r>
          </w:p>
        </w:tc>
        <w:tc>
          <w:tcPr>
            <w:tcW w:w="180" w:type="dxa"/>
            <w:vAlign w:val="bottom"/>
          </w:tcPr>
          <w:p>
            <w:pPr>
              <w:spacing w:after="0"/>
              <w:rPr>
                <w:sz w:val="21"/>
                <w:szCs w:val="21"/>
                <w:color w:val="auto"/>
              </w:rPr>
            </w:pP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3"/>
                <w:szCs w:val="23"/>
                <w:color w:val="auto"/>
              </w:rPr>
            </w:pPr>
          </w:p>
        </w:tc>
      </w:tr>
      <w:tr>
        <w:trPr>
          <w:trHeight w:val="257"/>
        </w:trPr>
        <w:tc>
          <w:tcPr>
            <w:tcW w:w="6760" w:type="dxa"/>
            <w:vAlign w:val="bottom"/>
          </w:tcPr>
          <w:p>
            <w:pPr>
              <w:ind w:left="200"/>
              <w:spacing w:after="0"/>
              <w:rPr>
                <w:sz w:val="20"/>
                <w:szCs w:val="20"/>
                <w:color w:val="auto"/>
              </w:rPr>
            </w:pPr>
            <w:r>
              <w:rPr>
                <w:rFonts w:ascii="Arial" w:cs="Arial" w:eastAsia="Arial" w:hAnsi="Arial"/>
                <w:sz w:val="18"/>
                <w:szCs w:val="18"/>
                <w:color w:val="auto"/>
              </w:rPr>
              <w:t>Total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2,705</w:t>
            </w:r>
          </w:p>
        </w:tc>
        <w:tc>
          <w:tcPr>
            <w:tcW w:w="20" w:type="dxa"/>
            <w:vAlign w:val="bottom"/>
          </w:tcPr>
          <w:p>
            <w:pPr>
              <w:spacing w:after="0"/>
              <w:rPr>
                <w:sz w:val="22"/>
                <w:szCs w:val="22"/>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 years</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r>
    </w:tbl>
    <w:p>
      <w:pPr>
        <w:spacing w:after="0" w:line="17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Rent expense for operating leases, including rentals on a month-to-month basis, for the three and nine months ended March 29, 2019 were $0.9 million and $2.8 million, respectively.</w:t>
      </w:r>
    </w:p>
    <w:p>
      <w:pPr>
        <w:spacing w:after="0" w:line="11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April 3, 2020, our future minimum lease payments under all non-cancelable operating leases with an initial term in excess of one year were as follows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Amount</w:t>
            </w:r>
          </w:p>
        </w:tc>
      </w:tr>
      <w:tr>
        <w:trPr>
          <w:trHeight w:val="244"/>
        </w:trPr>
        <w:tc>
          <w:tcPr>
            <w:tcW w:w="9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right"/>
              <w:ind w:right="513"/>
              <w:spacing w:after="0"/>
              <w:rPr>
                <w:sz w:val="20"/>
                <w:szCs w:val="20"/>
                <w:color w:val="auto"/>
              </w:rPr>
            </w:pPr>
            <w:r>
              <w:rPr>
                <w:rFonts w:ascii="Arial" w:cs="Arial" w:eastAsia="Arial" w:hAnsi="Arial"/>
                <w:sz w:val="14"/>
                <w:szCs w:val="14"/>
                <w:color w:val="auto"/>
              </w:rPr>
              <w:t>(In thousands)</w:t>
            </w:r>
          </w:p>
        </w:tc>
      </w:tr>
      <w:tr>
        <w:trPr>
          <w:trHeight w:val="255"/>
        </w:trPr>
        <w:tc>
          <w:tcPr>
            <w:tcW w:w="9220" w:type="dxa"/>
            <w:vAlign w:val="bottom"/>
          </w:tcPr>
          <w:p>
            <w:pPr>
              <w:ind w:left="40"/>
              <w:spacing w:after="0"/>
              <w:rPr>
                <w:sz w:val="20"/>
                <w:szCs w:val="20"/>
                <w:color w:val="auto"/>
              </w:rPr>
            </w:pPr>
            <w:r>
              <w:rPr>
                <w:rFonts w:ascii="Arial" w:cs="Arial" w:eastAsia="Arial" w:hAnsi="Arial"/>
                <w:sz w:val="18"/>
                <w:szCs w:val="18"/>
                <w:color w:val="auto"/>
              </w:rPr>
              <w:t>Remainder of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1,274</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1,618</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583</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231</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2,010</w:t>
            </w:r>
          </w:p>
        </w:tc>
      </w:tr>
      <w:tr>
        <w:trPr>
          <w:trHeight w:val="237"/>
        </w:trPr>
        <w:tc>
          <w:tcPr>
            <w:tcW w:w="92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3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6,036</w:t>
            </w:r>
          </w:p>
        </w:tc>
      </w:tr>
      <w:tr>
        <w:trPr>
          <w:trHeight w:val="27"/>
        </w:trPr>
        <w:tc>
          <w:tcPr>
            <w:tcW w:w="9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57"/>
        </w:trPr>
        <w:tc>
          <w:tcPr>
            <w:tcW w:w="922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4,889</w:t>
            </w: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Prior to our adoption of the new lease accounting standard, as of June 28, 2019, our future minimum lease payments under all non-cancelable operating leases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6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2021</w:t>
            </w:r>
          </w:p>
        </w:tc>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2023</w:t>
            </w:r>
          </w:p>
        </w:tc>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jc w:val="right"/>
              <w:ind w:right="3410"/>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6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4"/>
                <w:szCs w:val="14"/>
                <w:color w:val="auto"/>
              </w:rPr>
            </w:pPr>
          </w:p>
        </w:tc>
        <w:tc>
          <w:tcPr>
            <w:tcW w:w="10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39,461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32,201</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6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24"/>
                <w:szCs w:val="24"/>
                <w:color w:val="auto"/>
              </w:rPr>
            </w:pPr>
          </w:p>
        </w:tc>
        <w:tc>
          <w:tcPr>
            <w:tcW w:w="10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53,539</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60" w:type="dxa"/>
            <w:vAlign w:val="bottom"/>
          </w:tcPr>
          <w:p>
            <w:pPr>
              <w:ind w:left="500"/>
              <w:spacing w:after="0"/>
              <w:rPr>
                <w:sz w:val="20"/>
                <w:szCs w:val="20"/>
                <w:color w:val="auto"/>
              </w:rPr>
            </w:pPr>
            <w:r>
              <w:rPr>
                <w:rFonts w:ascii="Arial" w:cs="Arial" w:eastAsia="Arial" w:hAnsi="Arial"/>
                <w:sz w:val="18"/>
                <w:szCs w:val="18"/>
                <w:color w:val="auto"/>
              </w:rPr>
              <w:t>Our inventories are summarized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24"/>
                <w:szCs w:val="24"/>
                <w:color w:val="auto"/>
              </w:rPr>
            </w:pPr>
          </w:p>
        </w:tc>
        <w:tc>
          <w:tcPr>
            <w:tcW w:w="10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6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currently rely on a few vendors for substantially all of our inventory purchases.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record recovery or charges to adjust our inventory and customer service inventory due to excess and obsolete inventory resulting from lower sales forecast, product transitioning, or discontinuance. The recovery or charges during the three and nine months ended April 3, 2020 and March 29, 2019 were classified in cost of product sales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2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22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inventory charges</w:t>
            </w:r>
          </w:p>
        </w:tc>
        <w:tc>
          <w:tcPr>
            <w:tcW w:w="22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17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property, plant and equipment, net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49,733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gross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79,667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Included in the total plant, property and equipment above were $3.9 million and $2.8 million of assets in progress which have not been placed in service as of April 3, 2020 and June 28, 2019, respectively. Depreciation and amortization expense related to property, plant and equipment, including amortization of software developed for internal use, was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April 3,</w:t>
            </w:r>
          </w:p>
        </w:tc>
        <w:tc>
          <w:tcPr>
            <w:tcW w:w="22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110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6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8,501</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23,170</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our unaudited condensed consolidated balance sheets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580" w:type="dxa"/>
            <w:vAlign w:val="bottom"/>
            <w:vMerge w:val="restart"/>
          </w:tcPr>
          <w:p>
            <w:pPr>
              <w:jc w:val="right"/>
              <w:ind w:right="3594"/>
              <w:spacing w:after="0"/>
              <w:rPr>
                <w:sz w:val="20"/>
                <w:szCs w:val="20"/>
                <w:color w:val="auto"/>
              </w:rPr>
            </w:pPr>
            <w:r>
              <w:rPr>
                <w:rFonts w:ascii="Arial" w:cs="Arial" w:eastAsia="Arial" w:hAnsi="Arial"/>
                <w:sz w:val="14"/>
                <w:szCs w:val="14"/>
                <w:b w:val="1"/>
                <w:bCs w:val="1"/>
                <w:color w:val="auto"/>
                <w:w w:val="91"/>
              </w:rPr>
              <w:t>(In thousands)</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jc w:val="right"/>
              <w:ind w:right="1494"/>
              <w:spacing w:after="0"/>
              <w:rPr>
                <w:sz w:val="20"/>
                <w:szCs w:val="20"/>
                <w:color w:val="auto"/>
              </w:rPr>
            </w:pPr>
            <w:r>
              <w:rPr>
                <w:rFonts w:ascii="Arial" w:cs="Arial" w:eastAsia="Arial" w:hAnsi="Arial"/>
                <w:sz w:val="18"/>
                <w:szCs w:val="18"/>
                <w:color w:val="auto"/>
                <w:w w:val="91"/>
              </w:rPr>
              <w:t>Balance as of the beginning of the period</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3"/>
        </w:trPr>
        <w:tc>
          <w:tcPr>
            <w:tcW w:w="4580" w:type="dxa"/>
            <w:vAlign w:val="bottom"/>
          </w:tcPr>
          <w:p>
            <w:pPr>
              <w:jc w:val="right"/>
              <w:ind w:right="874"/>
              <w:spacing w:after="0"/>
              <w:rPr>
                <w:sz w:val="20"/>
                <w:szCs w:val="20"/>
                <w:color w:val="auto"/>
              </w:rPr>
            </w:pPr>
            <w:r>
              <w:rPr>
                <w:rFonts w:ascii="Arial" w:cs="Arial" w:eastAsia="Arial" w:hAnsi="Arial"/>
                <w:sz w:val="18"/>
                <w:szCs w:val="18"/>
                <w:color w:val="auto"/>
                <w:w w:val="98"/>
              </w:rPr>
              <w:t>Warranty provision recorded during the period</w:t>
            </w: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jc w:val="right"/>
              <w:ind w:right="1954"/>
              <w:spacing w:after="0"/>
              <w:rPr>
                <w:sz w:val="20"/>
                <w:szCs w:val="20"/>
                <w:color w:val="auto"/>
              </w:rPr>
            </w:pPr>
            <w:r>
              <w:rPr>
                <w:rFonts w:ascii="Arial" w:cs="Arial" w:eastAsia="Arial" w:hAnsi="Arial"/>
                <w:sz w:val="18"/>
                <w:szCs w:val="18"/>
                <w:color w:val="auto"/>
              </w:rPr>
              <w:t>Consumption during the period</w:t>
            </w:r>
          </w:p>
        </w:tc>
        <w:tc>
          <w:tcPr>
            <w:tcW w:w="1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6"/>
        </w:trPr>
        <w:tc>
          <w:tcPr>
            <w:tcW w:w="4580" w:type="dxa"/>
            <w:vAlign w:val="bottom"/>
          </w:tcPr>
          <w:p>
            <w:pPr>
              <w:jc w:val="right"/>
              <w:ind w:right="1954"/>
              <w:spacing w:after="0"/>
              <w:rPr>
                <w:sz w:val="20"/>
                <w:szCs w:val="20"/>
                <w:color w:val="auto"/>
              </w:rPr>
            </w:pPr>
            <w:r>
              <w:rPr>
                <w:rFonts w:ascii="Arial" w:cs="Arial" w:eastAsia="Arial" w:hAnsi="Arial"/>
                <w:sz w:val="18"/>
                <w:szCs w:val="18"/>
                <w:color w:val="auto"/>
                <w:w w:val="90"/>
              </w:rPr>
              <w:t>Balance as of the end of the period</w:t>
            </w:r>
          </w:p>
        </w:tc>
        <w:tc>
          <w:tcPr>
            <w:tcW w:w="1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Advance Payments and Unearned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advance payments and unearned revenue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18,172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advance payments and unearned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21,485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from the balances above are $8.2 million and $9.7 million in long-term unearned revenue as of April 3, 2020 and June 28,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April 3, 2020 and June 28, 2019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April 3, 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June 28, 2019</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4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Valuation Inputs</w:t>
            </w: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43"/>
        </w:trPr>
        <w:tc>
          <w:tcPr>
            <w:tcW w:w="44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April 3, 2020 and June 28, 2019, these money market funds were valued at $1.00 net asset value per share.</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As of April 3, 2020 and June 28, 2019, we did not have any recurring assets or liabilities that were valued using significant unobservable inputs.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9" w:right="339" w:bottom="1440" w:gutter="0" w:footer="0" w:header="0"/>
        </w:sectPr>
      </w:pPr>
    </w:p>
    <w:bookmarkStart w:id="19" w:name="page20"/>
    <w:bookmarkEnd w:id="19"/>
    <w:p>
      <w:pPr>
        <w:jc w:val="both"/>
        <w:ind w:firstLine="486"/>
        <w:spacing w:after="0" w:line="263"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nine months of fiscal 2020 and 2019, we had no transfers between levels of the fair value hierarchy of our assets or liabilities measured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June 10, 2019, we entered into Amendment No. 2 to Third Amended and Restated Loan and Security Agreement with Silicon Valley Bank (the “SVB Credit Facility”). On May 4, 2020, we entered into Amendment No. 3 to Third Amended and Restated Loan and Security Agreement which extended the expiration date to June 28, 2021.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April 3, 2020, available credit under the SVB Credit Facility was $14.5 million, reflecting the calculated borrowing base of $25.0 million less existing borrowings of $9.0 million and outstanding letters of credit of $1.5 million.</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nine months of fiscal 2020, the weighted-average interest rate on our outstanding loan was 4.24%. As of April 3, 2020 and June 28, 2019, our outstanding debt balance under the SVB Credit Facility was $9.0 million, and the interest rate was 3.75% and 6.00%, respectively.</w:t>
      </w:r>
    </w:p>
    <w:p>
      <w:pPr>
        <w:spacing w:after="0" w:line="13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April 3, 2020, we were in compliance with the quarterly financial covenants contained in the SVB Credit Facility, as amended. The $9.0 million borrowing was classified as a current liability as of April 3, 2020 and June 28, 2019.</w:t>
      </w:r>
    </w:p>
    <w:p>
      <w:pPr>
        <w:spacing w:after="0" w:line="1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3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 short-term line of credit for up to $0.3 million from a bank in New Zealand to support the operations of our subsidiary located there. This line of credit provides for up to $0.2 million in short-term advances at various interest rates, all of which was available as of April 3, 2020 and June 28, 2019. The line of credit also provides for the issuance of standby letters of credit and company credit cards, of which $0.1 million was outstanding as of April 3, 2020. This line of credit may be terminated upon notice, is reviewed annually for renewal or modification, and is supported by a corporate guarantee.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restructuring-related activities during the nine months ended April 3, 2020:</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89"/>
              </w:rPr>
              <w:t>Severance and Benefits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Facilities and</w:t>
            </w:r>
          </w:p>
        </w:tc>
        <w:tc>
          <w:tcPr>
            <w:tcW w:w="220" w:type="dxa"/>
            <w:vAlign w:val="bottom"/>
          </w:tcPr>
          <w:p>
            <w:pPr>
              <w:spacing w:after="0"/>
              <w:rPr>
                <w:sz w:val="14"/>
                <w:szCs w:val="1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Q3 2020 Plan</w:t>
            </w:r>
          </w:p>
        </w:tc>
        <w:tc>
          <w:tcPr>
            <w:tcW w:w="12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2018-2019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5"/>
              </w:rPr>
              <w:t>2016-2017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2015-2016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Plan</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28, 2019</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Charges (recovery), net</w:t>
            </w:r>
          </w:p>
        </w:tc>
        <w:tc>
          <w:tcPr>
            <w:tcW w:w="3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3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27, 2019</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3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Accrual balance, December 27, 2019</w:t>
            </w: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April 3, 2020</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April 3, 2020, $1.5 million of the accrual balance was in short-term restructuring liabilities while $0.3 million was included in other long-term liabilities on our unaudited condensed consolidated balance sheets.</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third quarter of fiscal 2020, our Board of Directors approved a restructuring plan (the “Q3 2020 Plan”) in order to continue to reduce its operating costs and improve profitability to optimize its business model and increase efficiencies. Payments related to the accrued restructuring liability balance for this plan are expected to be fully paid in fiscal 2021.</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completed the restructuring activities under our fiscal 2018-2019 restructuring plan (the “Fiscal 2018-2019 Plan”) by the end of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related to the accrued restructuring liability balance for this plan are expected to be fully paid by the end of fiscal 2020.</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further information, see “Note 7. Restructuring Activities” in Part II, Item 8 of our 2019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2018, our board of directors approved a stock repurchase program, which does not have an expiration date, for the repurchase of up to $7.5 million of our common stock.</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repurchases of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share amounts)</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April 3, 2020</w:t>
            </w: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29, 2019</w:t>
            </w:r>
          </w:p>
        </w:tc>
        <w:tc>
          <w:tcPr>
            <w:tcW w:w="26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April 3, 2020</w:t>
            </w:r>
          </w:p>
        </w:tc>
        <w:tc>
          <w:tcPr>
            <w:tcW w:w="280" w:type="dxa"/>
            <w:vAlign w:val="bottom"/>
          </w:tcPr>
          <w:p>
            <w:pPr>
              <w:spacing w:after="0"/>
              <w:rPr>
                <w:sz w:val="13"/>
                <w:szCs w:val="13"/>
                <w:color w:val="auto"/>
              </w:rPr>
            </w:pPr>
          </w:p>
        </w:tc>
        <w:tc>
          <w:tcPr>
            <w:tcW w:w="128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repurchased</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122,546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Aggregate purchase price, including commissions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675"/>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41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21" w:name="page22"/>
    <w:bookmarkEnd w:id="21"/>
    <w:p>
      <w:pPr>
        <w:jc w:val="both"/>
        <w:ind w:firstLine="486"/>
        <w:spacing w:after="0" w:line="277" w:lineRule="auto"/>
        <w:rPr>
          <w:sz w:val="20"/>
          <w:szCs w:val="20"/>
          <w:color w:val="auto"/>
        </w:rPr>
      </w:pPr>
      <w:r>
        <w:rPr>
          <w:rFonts w:ascii="Arial" w:cs="Arial" w:eastAsia="Arial" w:hAnsi="Arial"/>
          <w:sz w:val="18"/>
          <w:szCs w:val="18"/>
          <w:color w:val="auto"/>
        </w:rPr>
        <w:t>All repurchased shares were retired. As of April 3, 2020, $3.4 million remained available under our stock repurchase program. In February 2020, we suspended the stock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3, 2020, we had two stock incentive plans for our employees and nonemployee directors, the 2018 Incentive Plan and the 2007 Stock Equity Plan, as amended and restated effective November 13, 2015. During the three months ended April 3, 2020, we granted 46,500 market-based stock units. During the nine months ended April 3, 2020, we granted 84,202 restricted stock units, 51,706 performance restricted stock units, 46,500 market-based stock units and 126,118 stock options to purchase shares of our common stock.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700" w:type="dxa"/>
            <w:vAlign w:val="bottom"/>
            <w:tcBorders>
              <w:bottom w:val="single" w:sz="8" w:color="CCEEFF"/>
            </w:tcBorders>
            <w:gridSpan w:val="3"/>
            <w:vMerge w:val="continue"/>
          </w:tcPr>
          <w:p>
            <w:pPr>
              <w:spacing w:after="0"/>
              <w:rPr>
                <w:sz w:val="16"/>
                <w:szCs w:val="16"/>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By Expense Category:</w:t>
            </w: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Cost of revenues</w:t>
            </w:r>
          </w:p>
        </w:tc>
        <w:tc>
          <w:tcPr>
            <w:tcW w:w="40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Selling and administrative</w:t>
            </w: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421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507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By Types of Award:</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70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940" w:type="dxa"/>
            <w:vAlign w:val="bottom"/>
            <w:tcBorders>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Restricted and performance stock awards and units</w:t>
            </w: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310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507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April 3, 2020, there was approximately $1.1 million of total unrecognized compensation expense related to non-vested stock options granted which are expected to be recognized over a weighted-average period of 2.1 years. As of April 3, 2020, there was $1.7 million of total unrecognized compensation expense related to non-vested stock awards which are expected to be recognized over a weighted-average period of 2.1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operate in one reportable business segment: the design, manufacturing, and sale of a range of wireless networking products, solutions, and services. Our financial performance is regularly reviewed by our chief operating decision maker who is our chief executive officer.</w:t>
      </w:r>
    </w:p>
    <w:p>
      <w:pPr>
        <w:spacing w:after="0" w:line="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nine months ended April 3, 2020 and March 29, 2019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29, 2019</w:t>
            </w: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93,660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Africa and the Middle East</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28,679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39,058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26,094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36,640</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61,379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54,037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175,990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179,629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months ended April 3, 2020, Motorola Solutions, Inc. accounted for 10% of our total revenue. No customer accounted for 10% of our total revenue during the three months ended April 3, 2020. During the three months ended March 29, 2019, Mobile Telephone Networks Group (MTN Group) and Globe Telecom, Inc. (Globe) accounted for 13% and 12%, respectively, of our total revenue. During the nine months ended March 29, 2019, MTN Group accounted for 12% of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total revenue. As of April 3, 2020, MTN Group and Digitec accounted for 16% and 11% of our accounts receivable, respectively. As of June 28, 2019, MTN Group and Globe accounted for 10% and 11% of our accounts receivable, respectively. We have entered into separate and distinct contracts with Globe and MTN Group, as well as separate arrangements with their various subsidiaries. The loss of a significant portion of business from any significant customers could adversely affect our unaudited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effective tax rate varies from the U.S. federal statutory rate of 21% due to results of foreign operations that are subject to income taxes at different statutory rates and certain jurisdictions where we cannot recognize tax benefits on current losses. During interim periods, we accrue tax expenses for jurisdictions that are anticipated to be profitable for fiscal 2020.</w:t>
      </w:r>
    </w:p>
    <w:p>
      <w:pPr>
        <w:spacing w:after="0" w:line="13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determination of our income taxes for the nine months ended April 3, 2020 and March 29, 2019 was based on our estimated annual effective tax rate adjusted for losses in certain jurisdictions for which no tax benefit can be recognized. Our tax expense for the nine months ended April 3, 2020 was primarily due to tax expense related to profitable subsidiaries and a $0.4 million increase in our reserves for uncertain tax positions. The tax benefit for the nine months ended March 29, 2019 was primarily due to tax expense related to profitable subsidiaries, net against the $1.6 million release of valuation allowance due to the potential foreign tax refund to be received from the Department of Federal Revenue of Brazil.</w:t>
      </w:r>
    </w:p>
    <w:p>
      <w:pPr>
        <w:spacing w:after="0" w:line="12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third quarter of fiscal 2020, we did not record any adjustment to valuation allowance on our U.S. deferred tax assets.</w:t>
      </w:r>
    </w:p>
    <w:p>
      <w:pPr>
        <w:spacing w:after="0" w:line="12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entered into a tax sharing agreement with Harris Corporation (Harris) effective on January 26, 2007, the acquisition date of Stratex.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w:t>
      </w:r>
    </w:p>
    <w:p>
      <w:pPr>
        <w:spacing w:after="0" w:line="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a number of open income tax audits covering various tax years, which vary from jurisdiction to jurisdiction. Our major tax jurisdictions where audits are pending include Singapore, Nigeria, and Saudi Arabia. The earliest years that are open and subject to potential audits are as follows: U.S. - 2003; Singapore - 2011; Nigeria - 2006: Saudi Arabia - 2010, and Ivory Coast - 2016.</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ended April 3, 2020 and March 29, 2019.</w:t>
      </w:r>
    </w:p>
    <w:p>
      <w:pPr>
        <w:spacing w:after="0" w:line="1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 credit and allowed taxpayers to claim any unused AMT credit over four tax years beginning in tax year 2018. The CARES Act allows for acceleration of the refundable AMT credit up to 100% of the AMT credit to be refunded in tax year 2018. In connection with our analysis of the impact of the CARES Act, we have reclassified the refundable AMT credit of $3.4 million from long-term to short-term receivable and recorded no income tax effects on the other tax relief measures of the CARES Act. We continue to examine the elements of CARES Act and the impact they may have on our future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19" w:right="339" w:bottom="1440" w:gutter="0" w:footer="0" w:header="0"/>
        </w:sectPr>
      </w:pPr>
    </w:p>
    <w:bookmarkStart w:id="23" w:name="page24"/>
    <w:bookmarkEnd w:id="23"/>
    <w:p>
      <w:pPr>
        <w:jc w:val="both"/>
        <w:spacing w:after="0" w:line="296" w:lineRule="auto"/>
        <w:rPr>
          <w:sz w:val="20"/>
          <w:szCs w:val="20"/>
          <w:color w:val="auto"/>
        </w:rPr>
      </w:pPr>
      <w:r>
        <w:rPr>
          <w:rFonts w:ascii="Arial" w:cs="Arial" w:eastAsia="Arial" w:hAnsi="Arial"/>
          <w:sz w:val="16"/>
          <w:szCs w:val="16"/>
          <w:color w:val="auto"/>
        </w:rPr>
        <w:t>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April 3, 2020, we had outstanding purchase obligations with our suppliers or contract manufacturers of $22.7 million. In addition, we had contractual obligations of approximately $2.1 million associated with software licenses as of April 3,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April 3, 2020, we had no guarantees applicable to our debt arrangements.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April 3, 2020, we had commercial commitments of $57.7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April 3, 2020,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April 3, 2020, we had not recorded any liabilities related to these indemnifications.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approximately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("FEMA"). In November 2017, the Indian Department of Revenue, Ministry of Finance also initiated a similar action against Telsima Communications Private Limited (Telsima India)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19"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virus. The COVID-19 virus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COVID-19 on the Company’s financial condition, liquidity, operations, suppliers, industry, and workforce.</w:t>
      </w:r>
    </w:p>
    <w:p>
      <w:pPr>
        <w:spacing w:after="0" w:line="1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3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impact to our supply chain lead times and ability to fulfill orders was minimal for the three months ended April 3, 2020.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implications to our business, supply chain and customer demand. We expect these challenges to continue until business and economic activities return to more normal levels. The financial results for the three and nine months ended April 3, 2020 reflect some of the reduced activity experienced during the period in various locations around the world and are not necessary indicative of the results for the full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1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Subsequent Event</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United States and other countries are experiencing a major global health pandemic related to the outbreak of a novel strain of coronavirus, COVID-19. Due to the current economic uncertainty stemming from the impact of the COVID-19 pandemic, on April 21, 2020, we entered into a Paycheck Protection Program Note (the “Note”) effective April 21, 2020 with Silicon Valley Bank as the lender (“Lender”) in an aggregate principal amount of $5.9 million pursuant to the Paycheck Protection Program under the CARES Act (the “PPP Loan”). Subject to the terms of the Note, the PPP Loan bears interest at a fixed rate of one percent (1%) per annum, with the first six months of interest deferred. Commencing seven months after the effective date of the PPP Loan, we are required to pay the Lender equal monthly payments of principal and interest as required to fully amortize the PPP Loan by April 21, 2022. The PPP Loan is unsecured and guaranteed by the Small Business Administration (the “SBA”).</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22, 2020, we received proceeds of $5.9 million from the PPP Loan. At the time when we applied for the PPP Loan, we had qualified to receive the funds pursuant to the then published qualification requirements. On April 23, 2020, the SBA, in consultation with the Department of Treasury, issued new guidance regarding qualification requirements for public companies. Based on our assessment of the new guidance, we repaid the principal and interest on the PPP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COVID-19 on our business, operations and cash flows;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103" w:lineRule="exact"/>
        <w:rPr>
          <w:rFonts w:ascii="Arial" w:cs="Arial" w:eastAsia="Arial" w:hAnsi="Arial"/>
          <w:sz w:val="18"/>
          <w:szCs w:val="18"/>
          <w:color w:val="auto"/>
        </w:rPr>
      </w:pPr>
    </w:p>
    <w:p>
      <w:pPr>
        <w:ind w:left="980" w:hanging="324"/>
        <w:spacing w:after="0" w:line="3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6" w:name="page27"/>
    <w:bookmarkEnd w:id="26"/>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retention of our key personnel;</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results of our restructuring efforts;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ability to preserve and use our net operating loss carryforwards;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w:t>
      </w:r>
    </w:p>
    <w:p>
      <w:pPr>
        <w:spacing w:after="0" w:line="103" w:lineRule="exact"/>
        <w:rPr>
          <w:rFonts w:ascii="Arial" w:cs="Arial" w:eastAsia="Arial" w:hAnsi="Arial"/>
          <w:sz w:val="18"/>
          <w:szCs w:val="18"/>
          <w:color w:val="auto"/>
        </w:rPr>
      </w:pPr>
    </w:p>
    <w:p>
      <w:pPr>
        <w:ind w:left="980" w:right="360" w:hanging="324"/>
        <w:spacing w:after="0" w:line="360"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current and future government regulations, including the effects of current restrictions on various commercial and economic activities in response to the COVID-19 pandemic;</w:t>
      </w:r>
    </w:p>
    <w:p>
      <w:pPr>
        <w:ind w:left="980" w:hanging="324"/>
        <w:spacing w:after="0" w:line="360"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including uncertainty regarding the timing, pace and extent of an economic recovery in the United States and other countries where we conduct business;</w:t>
      </w: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implement our stock repurchase program or that it will enhance long-term stockholder value.</w:t>
      </w:r>
    </w:p>
    <w:p>
      <w:pPr>
        <w:spacing w:after="0" w:line="2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2019 Annual Report on Form 10-K filed with the SEC on August 27, 2019 for more information regarding factors that may cause our results to differ materially from those expressed or implied by the forward-looking statements contained in this Quarterly Report on Form 10-Q.</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2020 and 2019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3, 2020 is referred to as “fiscal 2020” or “2020” and our fiscal year ended June 28, 2019 is referred to as “fiscal 2019” or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anticipate our overall revenue in fiscal 2020 to be higher in North America barring any unforeseen impacts from customers budgets and timelines and the ability to execute field services, offset by lower revenue from our international regions, compared to fiscal 2019. This expectation is based on actual order volumes in fiscal 2019 and our observation of customer spending patterns to date during fiscal 2020. In the first nine months of fiscal 2020, we added to the backlog we had entering fiscal 2020 for our North America private network projects and we anticipate continuing momentum across these verticals. We have made inroads into the U.S. rural broadband and wireless internet service provider areas and there is evidence now of investment to support 5G deployments with our U.S. service provider customers. Internationally, we take a more conservative view of our revenue opportunity based on a variety of factors that have led to an overall capital spending decline and increased competitive intensity, especially from vendors based in China. While there is an attractive pipeline of international revenue opportunity, it has less clarity on timing and we are maintaining our lower international expectations with respect to fiscal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11" w:right="339" w:bottom="1440" w:gutter="0" w:footer="0" w:header="0"/>
        </w:sectPr>
      </w:pPr>
    </w:p>
    <w:bookmarkStart w:id="27" w:name="page28"/>
    <w:bookmarkEnd w:id="27"/>
    <w:p>
      <w:pPr>
        <w:jc w:val="both"/>
        <w:ind w:firstLine="486"/>
        <w:spacing w:after="0" w:line="269" w:lineRule="auto"/>
        <w:rPr>
          <w:sz w:val="20"/>
          <w:szCs w:val="20"/>
          <w:color w:val="auto"/>
        </w:rPr>
      </w:pPr>
      <w:r>
        <w:rPr>
          <w:rFonts w:ascii="Arial" w:cs="Arial" w:eastAsia="Arial" w:hAnsi="Arial"/>
          <w:sz w:val="17"/>
          <w:szCs w:val="17"/>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virus. The COVID-19 virus has had and is likely to continue to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COVID-19 on the Company’s financial condition, liquidity, operations, suppliers, industry, and workforce.</w:t>
      </w:r>
    </w:p>
    <w:p>
      <w:pPr>
        <w:spacing w:after="0" w:line="1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3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impact to our supply chain lead times and ability to fulfill orders was minimal for the three months ended April 3, 2020.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implications to our business, supply chain and customer demand. We expect these challenges to continue until business and economic activities return to more normal levels. The financial results for the three and nine months ended April 3, 2020 reflect some of the reduced activity experienced during the period in various locations around the world and are not necessary indicative of the results for the full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market for mobile backhaul continues to be our primary addressable market segment globally in fiscal 2020.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We continue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2019 Annual Report on Form 10-K, a number of factors could prevent us from achieving our objectives, including ongoing pricing pressures attributable to competition and macroeconomic conditions in the geographic markets that we service, including the ongoing effects of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The three and nine months ended April 3, 2020 consisted of an additional week compared to the same periods of fiscal 2019. Revenue by region for the three and nine months ended April 3, 2020 and March 29, 2019 and the related changes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3"/>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5"/>
              </w:rPr>
              <w:t>(In thousands, except percentages)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April 3, 2020</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28,581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93,660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19,829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Africa and the Middle East</w:t>
            </w: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11,079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28,679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39,058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(10,379)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(26.6)%</w:t>
            </w:r>
          </w:p>
        </w:tc>
      </w:tr>
      <w:tr>
        <w:trPr>
          <w:trHeight w:val="33"/>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Latin America and Asia Pacific</w:t>
            </w: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12,996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1,945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26,094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36,640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(10,546)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(28.8)%</w:t>
            </w:r>
          </w:p>
        </w:tc>
      </w:tr>
      <w:tr>
        <w:trPr>
          <w:trHeight w:val="33"/>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3"/>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54,037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7,342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179,629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revenue in North America increased by $8.7 million, or 30.3%, during the third quarter of fiscal 2020 compared with the same period of fiscal 2019. Revenue in North America increased by $19.8 million, or 21.2%, during the first nine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19"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of fiscal 2020 compared with the same period of fiscal 2019. The increase in North America revenue during the three and nine months of fiscal 2020 was due to an increase in private network projects as well as an increase in mobile operator sales compared to fiscal 2019.</w:t>
      </w:r>
    </w:p>
    <w:p>
      <w:pPr>
        <w:spacing w:after="0" w:line="11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revenue in Africa and the Middle East decreased by $1.8 million, or 16.7%, for the third quarter of fiscal 2020 compared with the same period of fiscal 2019. Revenue in Africa and the Middle East decreased by $10.4 million, or 26.6%, during the first nine months of fiscal 2020 compared with the same period of fiscal 2019. The decrease in revenue was primarily due to decreased sales to our large mobile operator customers in the region.</w:t>
      </w:r>
    </w:p>
    <w:p>
      <w:pPr>
        <w:spacing w:after="0" w:line="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 Europe and Russia decreased by $1.4 million, or 42.8%, for the third quarter of fiscal 2020 compared with the same period of fiscal 2019. Revenue in Europe and Russia decreased by $2.5 million, or 24.8%, during the first nine months of fiscal 2020 compared with the same period of fiscal 2019. The decrease was due to lower sales to mobile operator customers in the region.</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in Latin America and Asia Pacific increased by $1.9 million, or 17.6%, during the third quarter of fiscal 2020 compared with the same period of fiscal 2019. The increase came from additional sales to mobile customers in fiscal 2020. Revenue in Latin America and Asia Pacific decreased by $10.5 million, or 28.8%, during the first nine months of fiscal 2020 compared with the same period of fiscal 2019. The decrease was due to lower sales to mobile operator customers in the region.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3"/>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7"/>
              </w:rPr>
              <w:t>(In thousands, except percentages)</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April 3, 2020</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40,930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111,676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115,696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Services</w:t>
            </w: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20,449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64,314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63,933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381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0.6 %</w:t>
            </w:r>
          </w:p>
        </w:tc>
      </w:tr>
      <w:tr>
        <w:trPr>
          <w:trHeight w:val="33"/>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7,342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179,629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revenue from product sales increased by $6.3 million, or 18.2%, for the third quarter of fiscal 2020 compared with the same quarter of fiscal 2019. Product sales increased compared to the same period in fiscal 2019 in North America, offset in part by a small decrease in international sectors. Our services revenue increased by $1.0 million, or 5.3%, during the third quarter of fiscal 2020 compared with the same period of fiscal 2019. Higher North America service sales were offset in part by lower service sales in international sectors relative to fiscal 2019.</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December 27, 2019, our product revenue was adversely impacted by a cyberattack at one of our contract manufacturing vendors, which constrained capacity by approximately three weeks and led to lower than expected results. The shortfall in product revenue related to the three months ended December 27, 2019 was recognized in the third quarter of fiscal 2020.</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revenue from product sales decreased by $4.0 million, or 3.5%, for the first nine months of fiscal 2020 compared with the same period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Increased product sales in North America were offset by a larger volume decrease in international sectors compared to the same period in fiscal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services revenue increased by $0.4 million, or 0.6%, during the first nine months of fiscal 2020 compared with the same period of fiscal 2019.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Increased sales in North America were offset by a decrease in international sectors sales compared to the same period in fiscal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3"/>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w w:val="99"/>
              </w:rPr>
              <w:t>(In thousands, except percentages)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9"/>
              </w:rPr>
              <w:t>April 3, 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61,379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54,037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7,342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175,990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179,629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39,418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37,782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1,636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113,154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122,959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(9,805)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2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21,961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5,706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62,836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56,670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6,166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35.8%</w:t>
            </w:r>
          </w:p>
        </w:tc>
        <w:tc>
          <w:tcPr>
            <w:tcW w:w="2260" w:type="dxa"/>
            <w:vAlign w:val="bottom"/>
          </w:tcPr>
          <w:p>
            <w:pPr>
              <w:jc w:val="right"/>
              <w:ind w:right="1339"/>
              <w:spacing w:after="0"/>
              <w:rPr>
                <w:sz w:val="20"/>
                <w:szCs w:val="20"/>
                <w:color w:val="auto"/>
              </w:rPr>
            </w:pPr>
            <w:r>
              <w:rPr>
                <w:rFonts w:ascii="Arial" w:cs="Arial" w:eastAsia="Arial" w:hAnsi="Arial"/>
                <w:sz w:val="16"/>
                <w:szCs w:val="16"/>
                <w:color w:val="auto"/>
              </w:rPr>
              <w:t>30.1%</w:t>
            </w:r>
          </w:p>
        </w:tc>
        <w:tc>
          <w:tcPr>
            <w:tcW w:w="2260" w:type="dxa"/>
            <w:vAlign w:val="bottom"/>
          </w:tcPr>
          <w:p>
            <w:pPr>
              <w:jc w:val="right"/>
              <w:ind w:right="339"/>
              <w:spacing w:after="0"/>
              <w:rPr>
                <w:sz w:val="20"/>
                <w:szCs w:val="20"/>
                <w:color w:val="auto"/>
              </w:rPr>
            </w:pPr>
            <w:r>
              <w:rPr>
                <w:rFonts w:ascii="Arial" w:cs="Arial" w:eastAsia="Arial" w:hAnsi="Arial"/>
                <w:sz w:val="16"/>
                <w:szCs w:val="16"/>
                <w:color w:val="auto"/>
              </w:rPr>
              <w:t>35.7%</w:t>
            </w:r>
          </w:p>
        </w:tc>
        <w:tc>
          <w:tcPr>
            <w:tcW w:w="2940" w:type="dxa"/>
            <w:vAlign w:val="bottom"/>
          </w:tcPr>
          <w:p>
            <w:pPr>
              <w:jc w:val="right"/>
              <w:ind w:right="2019"/>
              <w:spacing w:after="0"/>
              <w:rPr>
                <w:sz w:val="20"/>
                <w:szCs w:val="20"/>
                <w:color w:val="auto"/>
              </w:rPr>
            </w:pPr>
            <w:r>
              <w:rPr>
                <w:rFonts w:ascii="Arial" w:cs="Arial" w:eastAsia="Arial" w:hAnsi="Arial"/>
                <w:sz w:val="16"/>
                <w:szCs w:val="16"/>
                <w:color w:val="auto"/>
              </w:rPr>
              <w:t>31.5%</w:t>
            </w:r>
          </w:p>
        </w:tc>
      </w:tr>
      <w:tr>
        <w:trPr>
          <w:trHeight w:val="33"/>
        </w:trPr>
        <w:tc>
          <w:tcPr>
            <w:tcW w:w="2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Product margin %</w:t>
            </w:r>
          </w:p>
        </w:tc>
        <w:tc>
          <w:tcPr>
            <w:tcW w:w="16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39.7%</w:t>
            </w:r>
          </w:p>
        </w:tc>
        <w:tc>
          <w:tcPr>
            <w:tcW w:w="226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31.5%</w:t>
            </w:r>
          </w:p>
        </w:tc>
        <w:tc>
          <w:tcPr>
            <w:tcW w:w="22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38.7%</w:t>
            </w:r>
          </w:p>
        </w:tc>
        <w:tc>
          <w:tcPr>
            <w:tcW w:w="2940" w:type="dxa"/>
            <w:vAlign w:val="bottom"/>
            <w:tcBorders>
              <w:bottom w:val="single" w:sz="8" w:color="CCEEFF"/>
            </w:tcBorders>
            <w:shd w:val="clear" w:color="auto" w:fill="CCEEFF"/>
          </w:tcPr>
          <w:p>
            <w:pPr>
              <w:jc w:val="right"/>
              <w:ind w:right="2019"/>
              <w:spacing w:after="0"/>
              <w:rPr>
                <w:sz w:val="20"/>
                <w:szCs w:val="20"/>
                <w:color w:val="auto"/>
              </w:rPr>
            </w:pPr>
            <w:r>
              <w:rPr>
                <w:rFonts w:ascii="Arial" w:cs="Arial" w:eastAsia="Arial" w:hAnsi="Arial"/>
                <w:sz w:val="16"/>
                <w:szCs w:val="16"/>
                <w:color w:val="auto"/>
              </w:rPr>
              <w:t>33.7%</w:t>
            </w:r>
          </w:p>
        </w:tc>
      </w:tr>
      <w:tr>
        <w:trPr>
          <w:trHeight w:val="237"/>
        </w:trPr>
        <w:tc>
          <w:tcPr>
            <w:tcW w:w="2160" w:type="dxa"/>
            <w:vAlign w:val="bottom"/>
          </w:tcPr>
          <w:p>
            <w:pPr>
              <w:ind w:left="200"/>
              <w:spacing w:after="0"/>
              <w:rPr>
                <w:sz w:val="20"/>
                <w:szCs w:val="20"/>
                <w:color w:val="auto"/>
              </w:rPr>
            </w:pPr>
            <w:r>
              <w:rPr>
                <w:rFonts w:ascii="Arial" w:cs="Arial" w:eastAsia="Arial" w:hAnsi="Arial"/>
                <w:sz w:val="16"/>
                <w:szCs w:val="16"/>
                <w:color w:val="auto"/>
              </w:rPr>
              <w:t>Service margin %</w:t>
            </w: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27.9%</w:t>
            </w:r>
          </w:p>
        </w:tc>
        <w:tc>
          <w:tcPr>
            <w:tcW w:w="2260" w:type="dxa"/>
            <w:vAlign w:val="bottom"/>
          </w:tcPr>
          <w:p>
            <w:pPr>
              <w:jc w:val="right"/>
              <w:ind w:right="1339"/>
              <w:spacing w:after="0"/>
              <w:rPr>
                <w:sz w:val="20"/>
                <w:szCs w:val="20"/>
                <w:color w:val="auto"/>
              </w:rPr>
            </w:pPr>
            <w:r>
              <w:rPr>
                <w:rFonts w:ascii="Arial" w:cs="Arial" w:eastAsia="Arial" w:hAnsi="Arial"/>
                <w:sz w:val="16"/>
                <w:szCs w:val="16"/>
                <w:color w:val="auto"/>
              </w:rPr>
              <w:t>27.6%</w:t>
            </w:r>
          </w:p>
        </w:tc>
        <w:tc>
          <w:tcPr>
            <w:tcW w:w="2260" w:type="dxa"/>
            <w:vAlign w:val="bottom"/>
          </w:tcPr>
          <w:p>
            <w:pPr>
              <w:jc w:val="right"/>
              <w:ind w:right="339"/>
              <w:spacing w:after="0"/>
              <w:rPr>
                <w:sz w:val="20"/>
                <w:szCs w:val="20"/>
                <w:color w:val="auto"/>
              </w:rPr>
            </w:pPr>
            <w:r>
              <w:rPr>
                <w:rFonts w:ascii="Arial" w:cs="Arial" w:eastAsia="Arial" w:hAnsi="Arial"/>
                <w:sz w:val="16"/>
                <w:szCs w:val="16"/>
                <w:color w:val="auto"/>
              </w:rPr>
              <w:t>30.5%</w:t>
            </w:r>
          </w:p>
        </w:tc>
        <w:tc>
          <w:tcPr>
            <w:tcW w:w="2940" w:type="dxa"/>
            <w:vAlign w:val="bottom"/>
          </w:tcPr>
          <w:p>
            <w:pPr>
              <w:jc w:val="right"/>
              <w:ind w:right="2019"/>
              <w:spacing w:after="0"/>
              <w:rPr>
                <w:sz w:val="20"/>
                <w:szCs w:val="20"/>
                <w:color w:val="auto"/>
              </w:rPr>
            </w:pPr>
            <w:r>
              <w:rPr>
                <w:rFonts w:ascii="Arial" w:cs="Arial" w:eastAsia="Arial" w:hAnsi="Arial"/>
                <w:sz w:val="16"/>
                <w:szCs w:val="16"/>
                <w:color w:val="auto"/>
              </w:rPr>
              <w:t>27.6%</w:t>
            </w:r>
          </w:p>
        </w:tc>
      </w:tr>
    </w:tbl>
    <w:p>
      <w:pPr>
        <w:spacing w:after="0" w:line="18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margin for the third quarter of fiscal 2020 increased by $5.7 million, or 35.1% compared with the same quarter of fiscal 2019. Our gross margin increased from the same period last year primarily due to a shift in product sales toward higher margin markets. Gross margin for the first nine months of fiscal 2020 increased by $6.2 million, or 10.9% primarily due to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1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higher volume of business in higher margin markets and higher margin rates for certain projects, offset in part by increased supply chain costs.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Product margin as a percentage of product revenue increased in the third quarter of fiscal 2020 compared with the same period of fiscal 2019 primarily due to a shift in product sales toward higher margin markets. Service margin as a percentage of service revenue increased slightly in the third quarter of fiscal 2020 compared with the same period in fiscal 2019.</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Product margin as a percentage of product revenue improved in the first nine months of fiscal 2020, compared with the same period of fiscal 2019 due to higher volume of business in higher margin markets. This increase was offset in part by increased supply chain costs. Service margin as a percentage of service revenue improved in the first nine months of fiscal 2020 compared with the same period of fiscal 2019 primarily due to higher margin rates for certain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2"/>
              </w:rPr>
              <w:t>(In thousands, except percentages)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April 3, 2020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4,875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(8.9)%  $</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15,069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15,603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224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research and development expenses decreased by $0.5 million, or 8.9%, in the third quarter of fiscal 2020 compared with the same period of fiscal 2019. Our research and development expenses decreased by $0.5 million, or 3.4%, for the first nine months of fiscal 2020 compared to the same period of fiscal 2019. These decreases were primarily due to timing and consolidation of product development activities, offset in part by payroll costs related to an extra calendar week in the three and nine months of fiscal 2020 calendar, compared to the same periods of fiscal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3"/>
              </w:rPr>
              <w:t>(In thousands, except percentages)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April 3, 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15,233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13,408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1,825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13.6%  $</w:t>
            </w: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44,334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41,405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2,929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22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selling and administrative expenses increased by $1.8 million, or 13.6%, in the third quarter of fiscal 2020 compared with the same period in fiscal 2019. Our selling and administrative expenses increased by $2.9 million, or 7.1%, in the first nine months of fiscal 2020 compared with the same period in fiscal 2019. These increases were primarily related to payroll costs related to an extra calendar week in the three and nine months of fiscal 2020 calendar, higher variable compensation and other legal-related costs, compared to the same periods of fiscal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8"/>
              </w:rPr>
              <w:t>(In thousands, except percentages)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April 3, 2020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r>
      <w:tr>
        <w:trPr>
          <w:trHeight w:val="33"/>
        </w:trPr>
        <w:tc>
          <w:tcPr>
            <w:tcW w:w="2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third quarter of fiscal 2020, our Board of Directors approved a restructuring plan (the “Q3 2020 Plan”) in order to continue to reduce its operating costs and improve profitability to optimize its business model and increase efficiencies. We recorded restructuring charges of $0.6 million related to the Q3 2020 Plan in the third quarter of fiscal 2020. Payments related to the accrued restructuring liability balance for this plan are expected to be fully paid in fiscal 2021.</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and, right size our resources to support our international business and other support functions. We recorded restructuring charges of $1.7 million related to the Fiscal 2020 Plan in the nine months ended April 3, 2020. Payments related to the accrued restructuring liability balance for this plan are expected to be fully paid in fiscal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1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3"/>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w w:val="97"/>
              </w:rPr>
              <w:t>(In thousands, except percentages)</w:t>
            </w:r>
          </w:p>
        </w:tc>
        <w:tc>
          <w:tcPr>
            <w:tcW w:w="12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 2020</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29, 2019</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 2020</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90.4 %</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33"/>
        </w:trPr>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reflected interest earned on our cash equivalents which were comprised of money market funds and bank certificates of deposit.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was primarily related to interest associated with borrowings under the SVB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r>
      <w:tr>
        <w:trPr>
          <w:trHeight w:val="263"/>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6"/>
              </w:rPr>
              <w:t>(In thousands, except percentages)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6"/>
              </w:rPr>
              <w:t>April 3,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April 3, 2020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2"/>
              </w:rPr>
              <w:t>Income (loss) before income taxes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3,767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2,609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(247.1)%</w:t>
            </w:r>
          </w:p>
        </w:tc>
      </w:tr>
      <w:tr>
        <w:trPr>
          <w:trHeight w:val="220"/>
        </w:trPr>
        <w:tc>
          <w:tcPr>
            <w:tcW w:w="2320" w:type="dxa"/>
            <w:vAlign w:val="bottom"/>
          </w:tcPr>
          <w:p>
            <w:pPr>
              <w:ind w:left="40"/>
              <w:spacing w:after="0"/>
              <w:rPr>
                <w:sz w:val="20"/>
                <w:szCs w:val="20"/>
                <w:color w:val="auto"/>
              </w:rPr>
            </w:pPr>
            <w:r>
              <w:rPr>
                <w:rFonts w:ascii="Arial" w:cs="Arial" w:eastAsia="Arial" w:hAnsi="Arial"/>
                <w:sz w:val="16"/>
                <w:szCs w:val="16"/>
                <w:color w:val="auto"/>
              </w:rPr>
              <w:t>Provision for (benefit from)</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232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(6,777)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7"/>
                <w:szCs w:val="17"/>
                <w:color w:val="auto"/>
              </w:rPr>
            </w:pP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2,439</w:t>
            </w:r>
          </w:p>
        </w:tc>
        <w:tc>
          <w:tcPr>
            <w:tcW w:w="12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9,394</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(135.1)%</w:t>
            </w:r>
          </w:p>
        </w:tc>
      </w:tr>
    </w:tbl>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tax expense for the first nine months of fiscal 2020 was primarily due to tax expense related to profitable subsidiaries and a $0.4 million increase in our reserves for uncertain tax positions.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w:t>
      </w:r>
    </w:p>
    <w:p>
      <w:pPr>
        <w:spacing w:after="0" w:line="13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third quarter of fiscal 2020, we did not record any adjustment to valuation allowance on our U.S. deferred tax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April 3, 2020, our total cash and cash equivalents were $39.2 million. Approximately $21.4 million, or 54.6%, was held in the United States. The remaining balance of $17.8 million, or 45.4%, was held by entities outside the United States. Of the amount of cash and cash equivalents held by our foreign subsidiaries at April 3, 2020, $17.4 million was held in jurisdictions where our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provided by or used in operating activities is presented as net (loss) income adjusted for non-cash items and changes in operating assets and liabilities. Net cash provided by operating activities was $14.6 million for the first nine months of fiscal 2020, compared to cash used in operating activities of $5.3 million for the first nine months of fiscal 2019; this difference was primarily related to a net change in deferred tax expense. The net contribution of non-cash items decreased cash by $6.8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19"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and net changes in operating assets and liabilities increased cash by $9.3 million for the first nine months of fiscal 2020 as compared to the same period in fiscal 2019.</w:t>
      </w:r>
    </w:p>
    <w:p>
      <w:pPr>
        <w:spacing w:after="0" w:line="11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Changes in operating assets and liabilities resulted in a net increase of $9.3 million to cash for the first nine months of fiscal 2020, compared to the same period in 2019. Accounts receivable and unbilled costs fluctuate from period to period, depending on the amount, timing of sales and billing activities and cash collections. The fluctuations in accounts payable and accrued expenses were primarily due to the timing of liabilities incurred and managing timing of vendor payments. The change in inventories and in customer service inventories were primarily due to demand and our focus on inventory management. The increase in customer advance payments and unearned revenue was due to the timing of payment from customers and revenue recognition. We used $1.7 million in cash during the first nine months of fiscal 2020 on expenses related to restructuring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was $3.9 million and $4.1 million for the first nine months of fiscal 2020 and 2019, respectively, which consisted of capital expenditures. During the remainder of fiscal year 2020, we expect to spend approximately $1.4 million for capital expenditures, primarily on equipment for development and manufacturing of new products and to support customer managed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Financing cash flows consist primarily of proceeds and repayments of short-term debt, repurchase of stock and proceeds from sale of share of common stock through employee equity plans. Net cash used in financing activities was $2.5 million for the first nine months of fiscal 2020, primarily due to $1.8 million for repurchases of our common stock and a $0.8 million payment for taxes related to the net settlement of equity awards.</w:t>
      </w:r>
    </w:p>
    <w:p>
      <w:pPr>
        <w:spacing w:after="0" w:line="1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April 3, 2020, our principal sources of liquidity consisted of $39.2 million in cash and cash equivalents; $14.5 million of available credit under our $25.0 million SVB Credit Facility and future collections of receivables from customers. On May 4, 2020, we entered into Amendment No. 3 to Third Amended and Restated Loan and Security Agreement which extended the expiration date to June 28, 2021.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4, 2020, we entered into Amendment No. 3 to Third Amended and Restated Loan and Security Agreement which extended the expiration date to June 28, 2021. In addition, there can be no assurance that our business will generate cash flow from operations, that we will be in compliance with the quarterly financial covenants contained in the SVB Credit Facility, that we will have a sufficient borrowing base under such facility, or that anticipated operational improvements will be achieved. If we are not in compliance with the financial covenants or do not have sufficient eligible accounts receivable to support our borrowing base, our borrowing base under the SVB Credit Facility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 such as COVID-19.</w:t>
      </w:r>
    </w:p>
    <w:p>
      <w:pPr>
        <w:spacing w:after="0" w:line="1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April 3, 2020, we were in compliance with the quarterly financial covenants, as amended, contained in the SVB Credit Facility. The $9.0 million borrowing was classified as a current liability as of April 3, 2020 and June 28, 2019.</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$0.3 million from a bank in New Zealand to support the operations of our subsidiary located there. This line of credit provides for $0.2 million in short-term advances at various interest rates, all of which was available as of April 3, 2020 and June 28, 2019. The line of credit also provides for the issuance of standby letters of credit and company credit cards, of which $0.1 million was outstanding as of April 3, 2020. This facility may be terminated upon notice, is reviewed annually for renewal or modification, and is supported by a corporate guarantee.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1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liabilities for restructuring activities totaling $1.8 million as of April 3, 2020, $1.5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amounts disclosed in our fiscal 2019 Annual Report on Form 10-K filed with the SEC on August 27, 2019 include our commercial commitments and contractual obligations. During the first nine months of fiscal 2020, no material changes occurred in our contractual obligations to purchase goods and services or to make payments under operating leases or our contingent liabilities on outstanding letters of credit, guarantees, and other arrangements as disclosed in our fiscal 2019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 2020, we had commercial commitments of $57.7 million.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2019 Annual Report on Form 10-K other than for the impact of adopting new lease accounting standards. Please refer to “Note 4 Leases” of the Notes to unaudited condensed consolidated financial statements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19"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color w:val="auto"/>
        </w:rPr>
        <w:t>As of April 3, 2020, we had four foreign currency forward contracts outstanding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2360" w:type="dxa"/>
            <w:vAlign w:val="bottom"/>
          </w:tcPr>
          <w:p>
            <w:pPr>
              <w:jc w:val="right"/>
              <w:ind w:right="118"/>
              <w:spacing w:after="0"/>
              <w:rPr>
                <w:sz w:val="20"/>
                <w:szCs w:val="20"/>
                <w:color w:val="auto"/>
              </w:rPr>
            </w:pPr>
            <w:r>
              <w:rPr>
                <w:rFonts w:ascii="Arial" w:cs="Arial" w:eastAsia="Arial" w:hAnsi="Arial"/>
                <w:sz w:val="14"/>
                <w:szCs w:val="14"/>
                <w:b w:val="1"/>
                <w:bCs w:val="1"/>
                <w:color w:val="auto"/>
                <w:w w:val="97"/>
              </w:rPr>
              <w:t>Notional Contract Amount (Local</w:t>
            </w:r>
          </w:p>
        </w:tc>
        <w:tc>
          <w:tcPr>
            <w:tcW w:w="20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Notional Contract Amount</w:t>
            </w:r>
          </w:p>
        </w:tc>
        <w:tc>
          <w:tcPr>
            <w:tcW w:w="0" w:type="dxa"/>
            <w:vAlign w:val="bottom"/>
          </w:tcPr>
          <w:p>
            <w:pPr>
              <w:spacing w:after="0"/>
              <w:rPr>
                <w:sz w:val="1"/>
                <w:szCs w:val="1"/>
                <w:color w:val="auto"/>
              </w:rPr>
            </w:pPr>
          </w:p>
        </w:tc>
      </w:tr>
      <w:tr>
        <w:trPr>
          <w:trHeight w:val="192"/>
        </w:trPr>
        <w:tc>
          <w:tcPr>
            <w:tcW w:w="6860" w:type="dxa"/>
            <w:vAlign w:val="bottom"/>
            <w:gridSpan w:val="2"/>
            <w:vMerge w:val="continue"/>
          </w:tcPr>
          <w:p>
            <w:pPr>
              <w:spacing w:after="0"/>
              <w:rPr>
                <w:sz w:val="16"/>
                <w:szCs w:val="16"/>
                <w:color w:val="auto"/>
              </w:rPr>
            </w:pPr>
          </w:p>
        </w:tc>
        <w:tc>
          <w:tcPr>
            <w:tcW w:w="2360" w:type="dxa"/>
            <w:vAlign w:val="bottom"/>
          </w:tcPr>
          <w:p>
            <w:pPr>
              <w:jc w:val="right"/>
              <w:ind w:right="838"/>
              <w:spacing w:after="0"/>
              <w:rPr>
                <w:sz w:val="20"/>
                <w:szCs w:val="20"/>
                <w:color w:val="auto"/>
              </w:rPr>
            </w:pPr>
            <w:r>
              <w:rPr>
                <w:rFonts w:ascii="Arial" w:cs="Arial" w:eastAsia="Arial" w:hAnsi="Arial"/>
                <w:sz w:val="14"/>
                <w:szCs w:val="14"/>
                <w:b w:val="1"/>
                <w:bCs w:val="1"/>
                <w:color w:val="auto"/>
              </w:rPr>
              <w:t>Currency)</w:t>
            </w:r>
          </w:p>
        </w:tc>
        <w:tc>
          <w:tcPr>
            <w:tcW w:w="540" w:type="dxa"/>
            <w:vAlign w:val="bottom"/>
          </w:tcPr>
          <w:p>
            <w:pPr>
              <w:spacing w:after="0"/>
              <w:rPr>
                <w:sz w:val="16"/>
                <w:szCs w:val="16"/>
                <w:color w:val="auto"/>
              </w:rPr>
            </w:pPr>
          </w:p>
        </w:tc>
        <w:tc>
          <w:tcPr>
            <w:tcW w:w="1480" w:type="dxa"/>
            <w:vAlign w:val="bottom"/>
          </w:tcPr>
          <w:p>
            <w:pPr>
              <w:jc w:val="right"/>
              <w:ind w:right="733"/>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63"/>
        </w:trPr>
        <w:tc>
          <w:tcPr>
            <w:tcW w:w="6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00" w:type="dxa"/>
            <w:vAlign w:val="bottom"/>
            <w:tcBorders>
              <w:top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600</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360" w:type="dxa"/>
            <w:vAlign w:val="bottom"/>
          </w:tcPr>
          <w:p>
            <w:pPr>
              <w:jc w:val="right"/>
              <w:ind w:right="138"/>
              <w:spacing w:after="0"/>
              <w:rPr>
                <w:sz w:val="20"/>
                <w:szCs w:val="20"/>
                <w:color w:val="auto"/>
              </w:rPr>
            </w:pPr>
            <w:r>
              <w:rPr>
                <w:rFonts w:ascii="Arial" w:cs="Arial" w:eastAsia="Arial" w:hAnsi="Arial"/>
                <w:sz w:val="18"/>
                <w:szCs w:val="18"/>
                <w:color w:val="auto"/>
              </w:rPr>
              <w:t>3,028</w:t>
            </w:r>
          </w:p>
        </w:tc>
        <w:tc>
          <w:tcPr>
            <w:tcW w:w="5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5,000</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Singapore dollar</w:t>
            </w:r>
          </w:p>
        </w:tc>
        <w:tc>
          <w:tcPr>
            <w:tcW w:w="2360" w:type="dxa"/>
            <w:vAlign w:val="bottom"/>
          </w:tcPr>
          <w:p>
            <w:pPr>
              <w:jc w:val="right"/>
              <w:ind w:right="138"/>
              <w:spacing w:after="0"/>
              <w:rPr>
                <w:sz w:val="20"/>
                <w:szCs w:val="20"/>
                <w:color w:val="auto"/>
              </w:rPr>
            </w:pPr>
            <w:r>
              <w:rPr>
                <w:rFonts w:ascii="Arial" w:cs="Arial" w:eastAsia="Arial" w:hAnsi="Arial"/>
                <w:sz w:val="18"/>
                <w:szCs w:val="18"/>
                <w:color w:val="auto"/>
              </w:rPr>
              <w:t>1,200</w:t>
            </w:r>
          </w:p>
        </w:tc>
        <w:tc>
          <w:tcPr>
            <w:tcW w:w="5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of all currency forward contracts</w:t>
            </w:r>
          </w:p>
        </w:tc>
        <w:tc>
          <w:tcPr>
            <w:tcW w:w="2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foreign exchange (income) loss, net recorded in our unaudited condensed consolidated statements of operations during the three and nine months ended April 3, 2020 and March 29, 2019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jc w:val="center"/>
              <w:ind w:left="364"/>
              <w:spacing w:after="0" w:line="153" w:lineRule="exact"/>
              <w:rPr>
                <w:sz w:val="20"/>
                <w:szCs w:val="20"/>
                <w:color w:val="auto"/>
              </w:rPr>
            </w:pPr>
            <w:r>
              <w:rPr>
                <w:rFonts w:ascii="Arial" w:cs="Arial" w:eastAsia="Arial" w:hAnsi="Arial"/>
                <w:sz w:val="14"/>
                <w:szCs w:val="14"/>
                <w:b w:val="1"/>
                <w:bCs w:val="1"/>
                <w:color w:val="auto"/>
                <w:w w:val="96"/>
              </w:rPr>
              <w:t>April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62"/>
              <w:spacing w:after="0" w:line="153" w:lineRule="exact"/>
              <w:rPr>
                <w:sz w:val="20"/>
                <w:szCs w:val="20"/>
                <w:color w:val="auto"/>
              </w:rPr>
            </w:pPr>
            <w:r>
              <w:rPr>
                <w:rFonts w:ascii="Arial" w:cs="Arial" w:eastAsia="Arial" w:hAnsi="Arial"/>
                <w:sz w:val="14"/>
                <w:szCs w:val="14"/>
                <w:b w:val="1"/>
                <w:bCs w:val="1"/>
                <w:color w:val="auto"/>
                <w:w w:val="99"/>
              </w:rPr>
              <w:t>March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6"/>
              </w:rPr>
              <w:t>April 3,</w:t>
            </w:r>
          </w:p>
        </w:tc>
        <w:tc>
          <w:tcPr>
            <w:tcW w:w="260" w:type="dxa"/>
            <w:vAlign w:val="bottom"/>
          </w:tcPr>
          <w:p>
            <w:pPr>
              <w:spacing w:after="0"/>
              <w:rPr>
                <w:sz w:val="13"/>
                <w:szCs w:val="13"/>
                <w:color w:val="auto"/>
              </w:rPr>
            </w:pPr>
          </w:p>
        </w:tc>
        <w:tc>
          <w:tcPr>
            <w:tcW w:w="120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2020 and 2019 were $2.5 million and $0.4 million, respectively, was included as a component of stockholders’ equity. As of April 3, 2020 and June 28, 2019, the cumulative translation adjustment decreased our equity by $15.2 million and $12.7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$39.2 million in total cash and cash equivalents as of April 3, 2020. Cash equivalents totaled $24.7 million as of April 3, 2020 and were comprised of money market funds and bank certificates of deposit. Cash equivalents investments have been recorded at fair value on our balance sheet.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April 3, 2020 was 37.7 days, and these investments had an average yield of approximately 5.98% per annum. A 10% change in interest rates on our cash equivalents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borrowings outstanding under the SVB Credit Facility incurred interest at the prime rate plus a spread of 0.50% to 1.50% with such spread determined based on our adjusted quick ratio. During the first nine months of fiscal 2020, our weighted-average interest rate was 4.24%, and the interest expense on these borrowings was insignificant.</w:t>
      </w:r>
    </w:p>
    <w:p>
      <w:pPr>
        <w:spacing w:after="0" w:line="13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1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Based on management’s evaluation, with participation of our President and Chief Executive Officer (“CEO”), and Chief Financial officer (“CFO”), as of the end of the period covered by this report, our CEO and CFO has concluded that our disclosure controls and procedures, as defined in Rules 13a-15(e) and 15d-15(e) under the Exchange Act, as of April 3, 2020,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CFO, as appropriate to allow timely decisions regarding required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were no changes to our internal controls over financial reporting as defined in Rules 13a-15(f) or 15d-15(f) that occurred during the quarter ended April 3, 2020 that have materially affected, or are reasonably likely to materially affect, our internal control over financial reporting.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69" w:right="339" w:bottom="1440" w:gutter="0" w:footer="0" w:header="0"/>
        </w:sectPr>
      </w:pPr>
    </w:p>
    <w:bookmarkStart w:id="35" w:name="page36"/>
    <w:bookmarkEnd w:id="35"/>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Please refer to Legal Proceedings under “Note 12 Commitments and Contingencies” of the Notes to unaudited condensed consolidated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The recent COVID-19 pandemic and related economic repercussions have had, and are expected to continue to have, a significant impact on our business, and depending on the duration of the pandemic could have a material adverse effect on our business, liquidity, consolidated results of operations and consolidated financial condition.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COVID-19 pandemic and related economic repercussions have created significant volatility, uncertainty, and turmoil in all industries around the world. These events have directly affected our business and have exacerbated the potential negative impact from many of the risks described in our Form 10-K for the year ended June 28, 2019, including those relating to the global economy, our sales cycle, our global supply chain, and our employees. For example, we are facing logistical challenges including border closures, travel restrictions and an inability to commute to certain facilities and job sites, as we provide services and products to our customers. We are also experiencing inefficiencies surrounding stay-at-home orders and remote work arrangements.</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7"/>
          <w:szCs w:val="17"/>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 w:lineRule="exact"/>
        <w:rPr>
          <w:sz w:val="20"/>
          <w:szCs w:val="20"/>
          <w:color w:val="auto"/>
        </w:rPr>
      </w:pPr>
    </w:p>
    <w:p>
      <w:pPr>
        <w:ind w:left="660" w:hanging="26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disruption to our supply chain for certain components essential to our business, including restrictions on importing and exporting products;</w:t>
      </w:r>
    </w:p>
    <w:p>
      <w:pPr>
        <w:spacing w:after="0" w:line="74" w:lineRule="exact"/>
        <w:rPr>
          <w:rFonts w:ascii="Arial" w:cs="Arial" w:eastAsia="Arial" w:hAnsi="Arial"/>
          <w:sz w:val="17"/>
          <w:szCs w:val="17"/>
          <w:color w:val="auto"/>
        </w:rPr>
      </w:pPr>
    </w:p>
    <w:p>
      <w:pPr>
        <w:ind w:left="660" w:hanging="26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challenges, including impacts related to delayed customer payments;</w:t>
      </w:r>
    </w:p>
    <w:p>
      <w:pPr>
        <w:spacing w:after="0" w:line="63" w:lineRule="exact"/>
        <w:rPr>
          <w:rFonts w:ascii="Arial" w:cs="Arial" w:eastAsia="Arial" w:hAnsi="Arial"/>
          <w:sz w:val="18"/>
          <w:szCs w:val="18"/>
          <w:color w:val="auto"/>
        </w:rPr>
      </w:pPr>
    </w:p>
    <w:p>
      <w:pPr>
        <w:ind w:left="660" w:right="100" w:hanging="26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w:t>
      </w:r>
    </w:p>
    <w:p>
      <w:pPr>
        <w:spacing w:after="0" w:line="8" w:lineRule="exact"/>
        <w:rPr>
          <w:rFonts w:ascii="Arial" w:cs="Arial" w:eastAsia="Arial" w:hAnsi="Arial"/>
          <w:sz w:val="18"/>
          <w:szCs w:val="18"/>
          <w:color w:val="auto"/>
        </w:rPr>
      </w:pPr>
    </w:p>
    <w:p>
      <w:pPr>
        <w:ind w:left="660" w:right="440" w:hanging="26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w:t>
      </w:r>
    </w:p>
    <w:p>
      <w:pPr>
        <w:spacing w:after="0" w:line="8" w:lineRule="exact"/>
        <w:rPr>
          <w:rFonts w:ascii="Arial" w:cs="Arial" w:eastAsia="Arial" w:hAnsi="Arial"/>
          <w:sz w:val="18"/>
          <w:szCs w:val="18"/>
          <w:color w:val="auto"/>
        </w:rPr>
      </w:pPr>
    </w:p>
    <w:p>
      <w:pPr>
        <w:ind w:left="660" w:right="780" w:hanging="26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spacing w:after="0" w:line="8" w:lineRule="exact"/>
        <w:rPr>
          <w:rFonts w:ascii="Arial" w:cs="Arial" w:eastAsia="Arial" w:hAnsi="Arial"/>
          <w:sz w:val="18"/>
          <w:szCs w:val="18"/>
          <w:color w:val="auto"/>
        </w:rPr>
      </w:pPr>
    </w:p>
    <w:p>
      <w:pPr>
        <w:ind w:left="660" w:hanging="261"/>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86" w:lineRule="exact"/>
        <w:rPr>
          <w:rFonts w:ascii="Arial" w:cs="Arial" w:eastAsia="Arial" w:hAnsi="Arial"/>
          <w:sz w:val="16"/>
          <w:szCs w:val="16"/>
          <w:color w:val="auto"/>
        </w:rPr>
      </w:pPr>
    </w:p>
    <w:p>
      <w:pPr>
        <w:ind w:left="660" w:hanging="26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undertaken by national, regional and local governments and health officials to contain the virus or treat its effects; and</w:t>
      </w:r>
    </w:p>
    <w:p>
      <w:pPr>
        <w:spacing w:after="0" w:line="63" w:lineRule="exact"/>
        <w:rPr>
          <w:rFonts w:ascii="Arial" w:cs="Arial" w:eastAsia="Arial" w:hAnsi="Arial"/>
          <w:sz w:val="18"/>
          <w:szCs w:val="18"/>
          <w:color w:val="auto"/>
        </w:rPr>
      </w:pPr>
    </w:p>
    <w:p>
      <w:pPr>
        <w:ind w:left="660" w:right="560" w:hanging="26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structural shift in the global economy and changes in the way people work, travel and interact, or in connection with a global recession or depression.</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combination of events described above have had, and are expected to continue to have, a significant impact on our business, and depending on the duration of the pandemic could have a material adverse effect on our business, liquidity, consolidated results of operations and consolidated financial condition. For more information, see “Management’s Discussion and Analysis of Financial Condition and Results of Operations - Overview of Business; Operating Environment and Key Factors Impacting Fiscal 2020 and 2019 Results.”</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Investors should also carefully review and consider the information regarding certain factors which could materially affect our business, operating results, cash flows, and financial condition set forth under Item 1A, Risk Factors, in our fiscal 2019 Annual Report on Form 10-K filed with the SEC on August 27, 2019.</w:t>
      </w:r>
    </w:p>
    <w:p>
      <w:pPr>
        <w:spacing w:after="0" w:line="13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believe that there have been any other material additions or changes to the risk factors previously disclosed in our fiscal 2019 Annual Report on Form 10-K, except as disclosed as above, although we may disclose changes to such factors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7" w:right="3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or disclose additional factors from time to time in our future filings with the SEC. Additional risks and uncertainties not presently known to us or that we currently deem immaterial also may impair our business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April 3, 2020: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5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Repurchased Under</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Number of</w:t>
            </w:r>
          </w:p>
        </w:tc>
        <w:tc>
          <w:tcPr>
            <w:tcW w:w="14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 Paid</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560" w:type="dxa"/>
            <w:vAlign w:val="bottom"/>
          </w:tcPr>
          <w:p>
            <w:pPr>
              <w:jc w:val="center"/>
              <w:ind w:right="39"/>
              <w:spacing w:after="0" w:line="203"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10"/>
        </w:trPr>
        <w:tc>
          <w:tcPr>
            <w:tcW w:w="4400" w:type="dxa"/>
            <w:vAlign w:val="bottom"/>
            <w:gridSpan w:val="2"/>
          </w:tcPr>
          <w:p>
            <w:pPr>
              <w:ind w:left="1920"/>
              <w:spacing w:after="0"/>
              <w:rPr>
                <w:sz w:val="20"/>
                <w:szCs w:val="20"/>
                <w:color w:val="auto"/>
              </w:rPr>
            </w:pPr>
            <w:r>
              <w:rPr>
                <w:rFonts w:ascii="Arial" w:cs="Arial" w:eastAsia="Arial" w:hAnsi="Arial"/>
                <w:sz w:val="16"/>
                <w:szCs w:val="16"/>
                <w:b w:val="1"/>
                <w:bCs w:val="1"/>
                <w:color w:val="auto"/>
              </w:rPr>
              <w:t>Period</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Shares Repurchased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 Share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Announced Program</w:t>
            </w:r>
          </w:p>
        </w:tc>
        <w:tc>
          <w:tcPr>
            <w:tcW w:w="120" w:type="dxa"/>
            <w:vAlign w:val="bottom"/>
          </w:tcPr>
          <w:p>
            <w:pPr>
              <w:spacing w:after="0"/>
              <w:rPr>
                <w:sz w:val="18"/>
                <w:szCs w:val="18"/>
                <w:color w:val="auto"/>
              </w:rPr>
            </w:pPr>
          </w:p>
        </w:tc>
        <w:tc>
          <w:tcPr>
            <w:tcW w:w="15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28, 2019 through January 24,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17,197</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January 25, 2020 through February 28, 2020</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9,287</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3,414</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29, 2020 through April 3,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3,414</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26,484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Stock Repurchase Programs</w:t>
      </w:r>
    </w:p>
    <w:p>
      <w:pPr>
        <w:spacing w:after="0" w:line="14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May 2018, our board of directors approved a stock repurchase program, which does not have an expiration date, for the repurchase of up to $7.5 million of our common stock. During the three months ended April 3, 2020, we repurchased $0.4 million of our common stock in the open market. As of April 3, 2020, $3.4 million remained available under our stock repurchase program. In February 2020, we suspended the stock repurchase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0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1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8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gridSpan w:val="8"/>
          </w:tcPr>
          <w:p>
            <w:pPr>
              <w:ind w:left="100"/>
              <w:spacing w:after="0"/>
              <w:rPr>
                <w:sz w:val="20"/>
                <w:szCs w:val="20"/>
                <w:color w:val="auto"/>
              </w:rPr>
            </w:pPr>
            <w:r>
              <w:rPr>
                <w:rFonts w:ascii="Arial" w:cs="Arial" w:eastAsia="Arial" w:hAnsi="Arial"/>
                <w:sz w:val="14"/>
                <w:szCs w:val="14"/>
                <w:b w:val="1"/>
                <w:bCs w:val="1"/>
                <w:color w:val="auto"/>
              </w:rPr>
              <w:t>Descriptions</w:t>
            </w:r>
          </w:p>
        </w:tc>
      </w:tr>
      <w:tr>
        <w:trPr>
          <w:trHeight w:val="250"/>
        </w:trPr>
        <w:tc>
          <w:tcPr>
            <w:tcW w:w="1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960" w:type="dxa"/>
            <w:vAlign w:val="bottom"/>
            <w:tcBorders>
              <w:top w:val="single" w:sz="8" w:color="auto"/>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Restructuring Plan (Current Report on Form 8-K filed with the SEC on March 23, 2020, File No. 001-33278)</w:t>
              </w:r>
            </w:hyperlink>
          </w:p>
        </w:tc>
      </w:tr>
      <w:tr>
        <w:trPr>
          <w:trHeight w:val="203"/>
        </w:trPr>
        <w:tc>
          <w:tcPr>
            <w:tcW w:w="114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9800" w:type="dxa"/>
            <w:vAlign w:val="bottom"/>
            <w:tcBorders>
              <w:bottom w:val="single" w:sz="8" w:color="0000FF"/>
            </w:tcBorders>
            <w:gridSpan w:val="9"/>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Certificate of Incorporation of Aviat Networks, Inc., as amended (incorporated by reference to Exhibit 3.1 to the</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2"/>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Current Report on Form 10-Q filed with the SEC on February 10, 2017, File No. 001-33278)</w:t>
              </w:r>
            </w:hyperlink>
          </w:p>
        </w:tc>
      </w:tr>
      <w:tr>
        <w:trPr>
          <w:trHeight w:val="48"/>
        </w:trPr>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7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140" w:type="dxa"/>
            <w:vAlign w:val="bottom"/>
            <w:tcBorders>
              <w:right w:val="single" w:sz="8" w:color="CCEEFF"/>
            </w:tcBorders>
            <w:shd w:val="clear" w:color="auto" w:fill="CCEEFF"/>
          </w:tcPr>
          <w:p>
            <w:pPr>
              <w:spacing w:after="0"/>
              <w:rPr>
                <w:sz w:val="17"/>
                <w:szCs w:val="17"/>
                <w:color w:val="auto"/>
              </w:rPr>
            </w:pPr>
          </w:p>
        </w:tc>
        <w:tc>
          <w:tcPr>
            <w:tcW w:w="9960" w:type="dxa"/>
            <w:vAlign w:val="bottom"/>
            <w:gridSpan w:val="12"/>
            <w:shd w:val="clear" w:color="auto" w:fill="CCEEFF"/>
          </w:tcPr>
          <w:p>
            <w:pPr>
              <w:spacing w:after="0" w:line="202"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Amended and Restated Bylaws of Aviat Networks, Inc. (incorporated by reference to Exhibit 3.2 to the Current Report on Form 8-K filed</w:t>
              </w:r>
            </w:hyperlink>
          </w:p>
        </w:tc>
      </w:tr>
      <w:tr>
        <w:trPr>
          <w:trHeight w:val="243"/>
        </w:trPr>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96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with the SEC on October 2, 2015, File No. 001-33278)</w:t>
              </w:r>
            </w:hyperlink>
          </w:p>
        </w:tc>
        <w:tc>
          <w:tcPr>
            <w:tcW w:w="594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6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140" w:type="dxa"/>
            <w:vAlign w:val="bottom"/>
          </w:tcPr>
          <w:p>
            <w:pPr>
              <w:ind w:left="40"/>
              <w:spacing w:after="0" w:line="202"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7"/>
                <w:szCs w:val="17"/>
                <w:color w:val="auto"/>
              </w:rPr>
            </w:pPr>
          </w:p>
        </w:tc>
        <w:tc>
          <w:tcPr>
            <w:tcW w:w="9960" w:type="dxa"/>
            <w:vAlign w:val="bottom"/>
            <w:gridSpan w:val="12"/>
          </w:tcPr>
          <w:p>
            <w:pPr>
              <w:spacing w:after="0" w:line="202"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Amendment of the Bylaws of the Company (incorporated by reference to Exhibit 3.1 to the Current Report on Form 8-K filed with the</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SEC on September 20, 2019, File No. 001-33278)</w:t>
              </w:r>
            </w:hyperlink>
          </w:p>
        </w:tc>
        <w:tc>
          <w:tcPr>
            <w:tcW w:w="260" w:type="dxa"/>
            <w:vAlign w:val="bottom"/>
            <w:gridSpan w:val="4"/>
          </w:tcPr>
          <w:p>
            <w:pPr>
              <w:spacing w:after="0"/>
              <w:rPr>
                <w:sz w:val="17"/>
                <w:szCs w:val="17"/>
                <w:color w:val="auto"/>
              </w:rPr>
            </w:pPr>
          </w:p>
        </w:tc>
      </w:tr>
      <w:tr>
        <w:trPr>
          <w:trHeight w:val="48"/>
        </w:trPr>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7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700" w:type="dxa"/>
            <w:vAlign w:val="bottom"/>
            <w:tcBorders>
              <w:bottom w:val="single" w:sz="8" w:color="0000FF"/>
              <w:right w:val="single" w:sz="8" w:color="CCEEFF"/>
            </w:tcBorders>
            <w:gridSpan w:val="8"/>
            <w:shd w:val="clear" w:color="auto" w:fill="CCEEFF"/>
          </w:tcPr>
          <w:p>
            <w:pPr>
              <w:spacing w:after="0" w:line="202"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2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60" w:type="dxa"/>
            <w:vAlign w:val="bottom"/>
            <w:gridSpan w:val="12"/>
            <w:shd w:val="clear" w:color="auto" w:fill="CCEEFF"/>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Agent (incorporated by reference to Exhibit 4.1 to the Current Report on Form 8-K filed with the SEC on September 7, 2016, File No.</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600" w:type="dxa"/>
            <w:vAlign w:val="bottom"/>
            <w:gridSpan w:val="2"/>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011-33278)</w:t>
              </w:r>
            </w:hyperlink>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4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9960" w:type="dxa"/>
            <w:vAlign w:val="bottom"/>
            <w:gridSpan w:val="12"/>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Aviat Networks, Inc. 2018 Incentive Plan (incorporated by reference to Appendix A to the Registrant’s Proxy Statement on Schedule 14A</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filed with the SEC on February 12, 2018, File No. 001-33278)</w:t>
              </w:r>
            </w:hyperlink>
          </w:p>
        </w:tc>
        <w:tc>
          <w:tcPr>
            <w:tcW w:w="40" w:type="dxa"/>
            <w:vAlign w:val="bottom"/>
          </w:tcPr>
          <w:p>
            <w:pPr>
              <w:spacing w:after="0"/>
              <w:rPr>
                <w:sz w:val="17"/>
                <w:szCs w:val="17"/>
                <w:color w:val="auto"/>
              </w:rPr>
            </w:pPr>
          </w:p>
        </w:tc>
      </w:tr>
      <w:tr>
        <w:trPr>
          <w:trHeight w:val="48"/>
        </w:trPr>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7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5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Employment Agreement, dated January 2, 2020, between Aviat Networks, Inc. and Peter Smith (incorporated by reference to Exhibit</w:t>
              </w:r>
            </w:hyperlink>
          </w:p>
        </w:tc>
        <w:tc>
          <w:tcPr>
            <w:tcW w:w="380" w:type="dxa"/>
            <w:vAlign w:val="bottom"/>
            <w:tcBorders>
              <w:bottom w:val="single" w:sz="8" w:color="CCEEFF"/>
            </w:tcBorders>
            <w:gridSpan w:val="5"/>
            <w:shd w:val="clear" w:color="auto" w:fill="CCEEFF"/>
          </w:tcPr>
          <w:p>
            <w:pPr>
              <w:spacing w:after="0"/>
              <w:rPr>
                <w:sz w:val="17"/>
                <w:szCs w:val="17"/>
                <w:color w:val="auto"/>
              </w:rPr>
            </w:pPr>
          </w:p>
        </w:tc>
      </w:tr>
      <w:tr>
        <w:trPr>
          <w:trHeight w:val="243"/>
        </w:trPr>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24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Current Report on Form 8-K filed with the SEC on January 2, 2020, File No. 001-33278)</w:t>
              </w:r>
            </w:hyperlink>
          </w:p>
        </w:tc>
        <w:tc>
          <w:tcPr>
            <w:tcW w:w="2720" w:type="dxa"/>
            <w:vAlign w:val="bottom"/>
            <w:tcBorders>
              <w:bottom w:val="single" w:sz="8" w:color="CCEEFF"/>
            </w:tcBorders>
            <w:gridSpan w:val="6"/>
            <w:shd w:val="clear" w:color="auto" w:fill="CCEEFF"/>
          </w:tcPr>
          <w:p>
            <w:pPr>
              <w:spacing w:after="0"/>
              <w:rPr>
                <w:sz w:val="21"/>
                <w:szCs w:val="21"/>
                <w:color w:val="auto"/>
              </w:rPr>
            </w:pPr>
          </w:p>
        </w:tc>
      </w:tr>
      <w:tr>
        <w:trPr>
          <w:trHeight w:val="243"/>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9960" w:type="dxa"/>
            <w:vAlign w:val="bottom"/>
            <w:gridSpan w:val="1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Rule 13a-14(a)/15d-14(a) Certification of President and Chief Executive Officer</w:t>
              </w:r>
            </w:hyperlink>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996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Rule 13a-14(a)/15d-14(a) Certification of Chief Financial Officer</w:t>
              </w:r>
            </w:hyperlink>
          </w:p>
        </w:tc>
      </w:tr>
      <w:tr>
        <w:trPr>
          <w:trHeight w:val="243"/>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1"/>
                <w:szCs w:val="21"/>
                <w:color w:val="auto"/>
              </w:rPr>
            </w:pPr>
          </w:p>
        </w:tc>
        <w:tc>
          <w:tcPr>
            <w:tcW w:w="9960" w:type="dxa"/>
            <w:vAlign w:val="bottom"/>
            <w:gridSpan w:val="12"/>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Section 1350 Certification of Chief Executive Officer and Chief Financial Officer</w:t>
              </w:r>
            </w:hyperlink>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8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9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8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9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8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96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97"/>
        </w:trPr>
        <w:tc>
          <w:tcPr>
            <w:tcW w:w="11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1280" w:hanging="1245"/>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80" w:hanging="1245"/>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540" w:right="4560" w:hanging="5505"/>
        <w:spacing w:after="0" w:line="629" w:lineRule="auto"/>
        <w:tabs>
          <w:tab w:leader="none" w:pos="1283"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Constitutes management contracts or compensatory plans or arrangements. 38</w:t>
      </w:r>
    </w:p>
    <w:p>
      <w:pPr>
        <w:sectPr>
          <w:pgSz w:w="11900" w:h="16838" w:orient="portrait"/>
          <w:cols w:equalWidth="0" w:num="1">
            <w:col w:w="11240"/>
          </w:cols>
          <w:pgMar w:left="320" w:top="130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(duly authorized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6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Peter Smith.,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2020,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Date: May 12, 2020</w:t>
            </w:r>
          </w:p>
        </w:tc>
        <w:tc>
          <w:tcPr>
            <w:tcW w:w="1120" w:type="dxa"/>
            <w:vAlign w:val="bottom"/>
          </w:tcPr>
          <w:p>
            <w:pPr>
              <w:ind w:left="20"/>
              <w:spacing w:after="0"/>
              <w:rPr>
                <w:sz w:val="20"/>
                <w:szCs w:val="20"/>
                <w:color w:val="auto"/>
              </w:rPr>
            </w:pPr>
            <w:r>
              <w:rPr>
                <w:rFonts w:ascii="Arial" w:cs="Arial" w:eastAsia="Arial" w:hAnsi="Arial"/>
                <w:sz w:val="18"/>
                <w:szCs w:val="18"/>
                <w:color w:val="auto"/>
                <w:w w:val="91"/>
              </w:rPr>
              <w:t>/s/ Peter Smith</w:t>
            </w:r>
          </w:p>
        </w:tc>
        <w:tc>
          <w:tcPr>
            <w:tcW w:w="358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Name:</w:t>
            </w:r>
          </w:p>
        </w:tc>
        <w:tc>
          <w:tcPr>
            <w:tcW w:w="3580" w:type="dxa"/>
            <w:vAlign w:val="bottom"/>
          </w:tcPr>
          <w:p>
            <w:pPr>
              <w:ind w:left="20"/>
              <w:spacing w:after="0"/>
              <w:rPr>
                <w:sz w:val="20"/>
                <w:szCs w:val="20"/>
                <w:color w:val="auto"/>
              </w:rPr>
            </w:pPr>
            <w:r>
              <w:rPr>
                <w:rFonts w:ascii="Arial" w:cs="Arial" w:eastAsia="Arial" w:hAnsi="Arial"/>
                <w:sz w:val="18"/>
                <w:szCs w:val="18"/>
                <w:color w:val="auto"/>
              </w:rPr>
              <w:t>Peter Smith</w:t>
            </w:r>
          </w:p>
        </w:tc>
      </w:tr>
      <w:tr>
        <w:trPr>
          <w:trHeight w:val="270"/>
        </w:trPr>
        <w:tc>
          <w:tcPr>
            <w:tcW w:w="648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Title:</w:t>
            </w:r>
          </w:p>
        </w:tc>
        <w:tc>
          <w:tcPr>
            <w:tcW w:w="35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Eric Chang,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2020,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May 12, 2020</w:t>
            </w:r>
          </w:p>
        </w:tc>
        <w:tc>
          <w:tcPr>
            <w:tcW w:w="5300" w:type="dxa"/>
            <w:vAlign w:val="bottom"/>
            <w:gridSpan w:val="2"/>
          </w:tcPr>
          <w:p>
            <w:pPr>
              <w:ind w:left="40"/>
              <w:spacing w:after="0"/>
              <w:rPr>
                <w:sz w:val="20"/>
                <w:szCs w:val="20"/>
                <w:color w:val="auto"/>
              </w:rPr>
            </w:pPr>
            <w:r>
              <w:rPr>
                <w:rFonts w:ascii="Arial" w:cs="Arial" w:eastAsia="Arial" w:hAnsi="Arial"/>
                <w:sz w:val="18"/>
                <w:szCs w:val="18"/>
                <w:color w:val="auto"/>
              </w:rPr>
              <w:t>/s/ Eric Chang</w:t>
            </w:r>
          </w:p>
        </w:tc>
      </w:tr>
      <w:tr>
        <w:trPr>
          <w:trHeight w:val="27"/>
        </w:trPr>
        <w:tc>
          <w:tcPr>
            <w:tcW w:w="5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580" w:type="dxa"/>
            <w:vAlign w:val="bottom"/>
          </w:tcPr>
          <w:p>
            <w:pPr>
              <w:ind w:left="200"/>
              <w:spacing w:after="0"/>
              <w:rPr>
                <w:sz w:val="20"/>
                <w:szCs w:val="20"/>
                <w:color w:val="auto"/>
              </w:rPr>
            </w:pPr>
            <w:r>
              <w:rPr>
                <w:rFonts w:ascii="Arial" w:cs="Arial" w:eastAsia="Arial" w:hAnsi="Arial"/>
                <w:sz w:val="18"/>
                <w:szCs w:val="18"/>
                <w:color w:val="auto"/>
              </w:rPr>
              <w:t>Eric Chang</w:t>
            </w:r>
          </w:p>
        </w:tc>
      </w:tr>
      <w:tr>
        <w:trPr>
          <w:trHeight w:val="270"/>
        </w:trPr>
        <w:tc>
          <w:tcPr>
            <w:tcW w:w="560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5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5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PRINCIPAL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TITLE 18 OF THE UNITED STATES CODE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3, 2020, as filed with the Securities and Exchange Commission on the date hereof (the “Report”), we, Peter Smith, President and Chief Executive Officer of Aviat Networks, and Eric Chang, Chief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2020</w:t>
      </w:r>
    </w:p>
    <w:p>
      <w:pPr>
        <w:ind w:left="5980"/>
        <w:spacing w:after="0"/>
        <w:rPr>
          <w:sz w:val="20"/>
          <w:szCs w:val="20"/>
          <w:color w:val="auto"/>
        </w:rPr>
      </w:pPr>
      <w:r>
        <w:rPr>
          <w:rFonts w:ascii="Arial" w:cs="Arial" w:eastAsia="Arial" w:hAnsi="Arial"/>
          <w:sz w:val="18"/>
          <w:szCs w:val="18"/>
          <w:color w:val="auto"/>
        </w:rPr>
        <w:t>/s/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21590</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Smith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12, 2020</w:t>
      </w:r>
    </w:p>
    <w:p>
      <w:pPr>
        <w:ind w:left="5980"/>
        <w:spacing w:after="0"/>
        <w:rPr>
          <w:sz w:val="20"/>
          <w:szCs w:val="20"/>
          <w:color w:val="auto"/>
        </w:rPr>
      </w:pPr>
      <w:r>
        <w:rPr>
          <w:rFonts w:ascii="Arial" w:cs="Arial" w:eastAsia="Arial" w:hAnsi="Arial"/>
          <w:sz w:val="18"/>
          <w:szCs w:val="18"/>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21590</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Chang</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16" Type="http://schemas.openxmlformats.org/officeDocument/2006/relationships/hyperlink" Target="http://www.sec.gov/Archives/edgar/data/1377789/000137778920000013/form8-kq3fy20plan.htm" TargetMode="External"/><Relationship Id="rId17" Type="http://schemas.openxmlformats.org/officeDocument/2006/relationships/hyperlink" Target="http://www.sec.gov/Archives/edgar/data/1377789/000137778917000022/avnwexhibit31amendedandres.htm" TargetMode="External"/><Relationship Id="rId18" Type="http://schemas.openxmlformats.org/officeDocument/2006/relationships/hyperlink" Target="http://www.sec.gov/Archives/edgar/data/1377789/000137778915000082/exhibit_aviatamendedandres.htm" TargetMode="External"/><Relationship Id="rId19" Type="http://schemas.openxmlformats.org/officeDocument/2006/relationships/hyperlink" Target="http://www.sec.gov/Archives/edgar/data/1377789/000137778919000068/amendmenttobylawsavnw.htm" TargetMode="External"/><Relationship Id="rId20" Type="http://schemas.openxmlformats.org/officeDocument/2006/relationships/hyperlink" Target="http://www.sec.gov/Archives/edgar/data/1377789/000119312516702547/d254391dex41.htm" TargetMode="External"/><Relationship Id="rId21" Type="http://schemas.openxmlformats.org/officeDocument/2006/relationships/hyperlink" Target="http://www.sec.gov/Archives/edgar/data/1377789/000137778918000016/aviatannualproxyfy17.htm" TargetMode="External"/><Relationship Id="rId22" Type="http://schemas.openxmlformats.org/officeDocument/2006/relationships/hyperlink" Target="http://www.sec.gov/Archives/edgar/data/1377789/000092189520000006/ex101to8k11093001_0102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2020-05-12T15:15:04Z</dcterms:created>
  <dcterms:modified xsi:type="dcterms:W3CDTF">2020-05-12T15:15:04Z</dcterms:modified>
</cp:coreProperties>
</file>