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0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28, 2014</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40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454660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AVIAT NETWORKS,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20-5961564</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5200 Great America Parkway</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4"/>
              </w:rPr>
              <w:t>Santa Clara, California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95054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2420" w:type="dxa"/>
            <w:vAlign w:val="bottom"/>
          </w:tcPr>
          <w:p>
            <w:pPr>
              <w:spacing w:after="0"/>
              <w:rPr>
                <w:sz w:val="24"/>
                <w:szCs w:val="24"/>
                <w:color w:val="auto"/>
              </w:rPr>
            </w:pPr>
          </w:p>
        </w:tc>
        <w:tc>
          <w:tcPr>
            <w:tcW w:w="5260" w:type="dxa"/>
            <w:vAlign w:val="bottom"/>
          </w:tcPr>
          <w:p>
            <w:pPr>
              <w:jc w:val="right"/>
              <w:ind w:right="2940"/>
              <w:spacing w:after="0"/>
              <w:rPr>
                <w:sz w:val="20"/>
                <w:szCs w:val="20"/>
                <w:color w:val="auto"/>
              </w:rPr>
            </w:pPr>
            <w:r>
              <w:rPr>
                <w:rFonts w:ascii="Arial" w:cs="Arial" w:eastAsia="Arial" w:hAnsi="Arial"/>
                <w:sz w:val="18"/>
                <w:szCs w:val="18"/>
                <w:b w:val="1"/>
                <w:bCs w:val="1"/>
                <w:color w:val="auto"/>
              </w:rPr>
              <w:t>(408) 567-7000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 changes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7" w:lineRule="exact"/>
        <w:rPr>
          <w:sz w:val="24"/>
          <w:szCs w:val="24"/>
          <w:color w:val="auto"/>
        </w:rPr>
      </w:pPr>
    </w:p>
    <w:p>
      <w:pPr>
        <w:ind w:left="4760"/>
        <w:spacing w:after="0"/>
        <w:rPr>
          <w:sz w:val="20"/>
          <w:szCs w:val="20"/>
          <w:color w:val="auto"/>
        </w:rPr>
      </w:pPr>
      <w:r>
        <w:rPr>
          <w:rFonts w:ascii="Arial" w:cs="Arial" w:eastAsia="Arial" w:hAnsi="Arial"/>
          <w:sz w:val="14"/>
          <w:szCs w:val="14"/>
          <w:color w:val="auto"/>
        </w:rPr>
        <w:t>__________________________</w:t>
      </w:r>
    </w:p>
    <w:p>
      <w:pPr>
        <w:spacing w:after="0" w:line="91"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159"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3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102" w:right="25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600" w:space="720"/>
            <w:col w:w="4380" w:space="720"/>
            <w:col w:w="2800" w:space="720"/>
            <w:col w:w="460"/>
          </w:cols>
          <w:pgMar w:left="240" w:top="1102"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11" w:lineRule="exact"/>
        <w:rPr>
          <w:sz w:val="24"/>
          <w:szCs w:val="24"/>
          <w:color w:val="auto"/>
        </w:rPr>
      </w:pPr>
    </w:p>
    <w:p>
      <w:pPr>
        <w:sectPr>
          <w:pgSz w:w="11900" w:h="16838" w:orient="portrait"/>
          <w:cols w:equalWidth="0" w:num="4">
            <w:col w:w="1600" w:space="720"/>
            <w:col w:w="4380" w:space="720"/>
            <w:col w:w="2800" w:space="720"/>
            <w:col w:w="460"/>
          </w:cols>
          <w:pgMar w:left="240" w:top="1102" w:right="259" w:bottom="1440" w:gutter="0" w:footer="0" w:header="0"/>
          <w:type w:val="continuous"/>
        </w:sectPr>
      </w:pP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200" w:lineRule="exact"/>
        <w:rPr>
          <w:sz w:val="24"/>
          <w:szCs w:val="24"/>
          <w:color w:val="auto"/>
        </w:rPr>
      </w:pPr>
    </w:p>
    <w:p>
      <w:pPr>
        <w:sectPr>
          <w:pgSz w:w="11900" w:h="16838" w:orient="portrait"/>
          <w:cols w:equalWidth="0" w:num="3">
            <w:col w:w="7380" w:space="140"/>
            <w:col w:w="400" w:space="160"/>
            <w:col w:w="3320"/>
          </w:cols>
          <w:pgMar w:left="240" w:top="1102" w:right="25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as of April 30, 2014 was 62,149,780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02"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40" w:type="dxa"/>
            <w:vAlign w:val="bottom"/>
            <w:gridSpan w:val="7"/>
          </w:tcPr>
          <w:p>
            <w:pPr>
              <w:jc w:val="center"/>
              <w:ind w:right="2040"/>
              <w:spacing w:after="0"/>
              <w:rPr>
                <w:sz w:val="20"/>
                <w:szCs w:val="20"/>
                <w:color w:val="auto"/>
              </w:rPr>
            </w:pPr>
            <w:r>
              <w:rPr>
                <w:rFonts w:ascii="Arial" w:cs="Arial" w:eastAsia="Arial" w:hAnsi="Arial"/>
                <w:sz w:val="18"/>
                <w:szCs w:val="18"/>
                <w:b w:val="1"/>
                <w:bCs w:val="1"/>
                <w:color w:val="auto"/>
              </w:rPr>
              <w:t>AVIAT NETWORKS, INC.</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40" w:type="dxa"/>
            <w:vAlign w:val="bottom"/>
            <w:gridSpan w:val="7"/>
          </w:tcPr>
          <w:p>
            <w:pPr>
              <w:jc w:val="center"/>
              <w:ind w:right="2060"/>
              <w:spacing w:after="0"/>
              <w:rPr>
                <w:sz w:val="20"/>
                <w:szCs w:val="20"/>
                <w:color w:val="auto"/>
              </w:rPr>
            </w:pPr>
            <w:r>
              <w:rPr>
                <w:rFonts w:ascii="Arial" w:cs="Arial" w:eastAsia="Arial" w:hAnsi="Arial"/>
                <w:sz w:val="18"/>
                <w:szCs w:val="18"/>
                <w:b w:val="1"/>
                <w:bCs w:val="1"/>
                <w:color w:val="auto"/>
                <w:w w:val="99"/>
              </w:rPr>
              <w:t>QUARTERLY REPORT ON FORM 10-Q</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40" w:type="dxa"/>
            <w:vAlign w:val="bottom"/>
            <w:gridSpan w:val="7"/>
          </w:tcPr>
          <w:p>
            <w:pPr>
              <w:jc w:val="center"/>
              <w:ind w:right="2040"/>
              <w:spacing w:after="0"/>
              <w:rPr>
                <w:sz w:val="20"/>
                <w:szCs w:val="20"/>
                <w:color w:val="auto"/>
              </w:rPr>
            </w:pPr>
            <w:r>
              <w:rPr>
                <w:rFonts w:ascii="Arial" w:cs="Arial" w:eastAsia="Arial" w:hAnsi="Arial"/>
                <w:sz w:val="18"/>
                <w:szCs w:val="18"/>
                <w:b w:val="1"/>
                <w:bCs w:val="1"/>
                <w:color w:val="auto"/>
                <w:w w:val="92"/>
              </w:rPr>
              <w:t>For the Quarterly Period Ended March 28, 2014</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40" w:type="dxa"/>
            <w:vAlign w:val="bottom"/>
            <w:gridSpan w:val="7"/>
          </w:tcPr>
          <w:p>
            <w:pPr>
              <w:jc w:val="center"/>
              <w:ind w:right="2040"/>
              <w:spacing w:after="0"/>
              <w:rPr>
                <w:sz w:val="20"/>
                <w:szCs w:val="20"/>
                <w:color w:val="auto"/>
              </w:rPr>
            </w:pPr>
            <w:r>
              <w:rPr>
                <w:rFonts w:ascii="Arial" w:cs="Arial" w:eastAsia="Arial" w:hAnsi="Arial"/>
                <w:sz w:val="18"/>
                <w:szCs w:val="18"/>
                <w:b w:val="1"/>
                <w:bCs w:val="1"/>
                <w:color w:val="auto"/>
                <w:w w:val="89"/>
              </w:rPr>
              <w:t>Table of Contents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4"/>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189"/>
        </w:trPr>
        <w:tc>
          <w:tcPr>
            <w:tcW w:w="10300" w:type="dxa"/>
            <w:vAlign w:val="bottom"/>
            <w:gridSpan w:val="19"/>
          </w:tcPr>
          <w:p>
            <w:pPr>
              <w:spacing w:after="0" w:line="189" w:lineRule="exact"/>
              <w:rPr>
                <w:sz w:val="20"/>
                <w:szCs w:val="20"/>
                <w:color w:val="auto"/>
              </w:rPr>
            </w:pPr>
            <w:r>
              <w:rPr>
                <w:rFonts w:ascii="Arial" w:cs="Arial" w:eastAsia="Arial" w:hAnsi="Arial"/>
                <w:sz w:val="18"/>
                <w:szCs w:val="18"/>
                <w:b w:val="1"/>
                <w:bCs w:val="1"/>
                <w:color w:val="0000FF"/>
              </w:rPr>
              <w:t>Part I. Financial Information</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940" w:type="dxa"/>
            <w:vAlign w:val="bottom"/>
            <w:gridSpan w:val="18"/>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Item 1. Financial Statements</w:t>
              </w:r>
            </w:hyperlink>
          </w:p>
        </w:tc>
        <w:tc>
          <w:tcPr>
            <w:tcW w:w="6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9940" w:type="dxa"/>
            <w:vAlign w:val="bottom"/>
            <w:gridSpan w:val="18"/>
          </w:tcPr>
          <w:p>
            <w:pPr>
              <w:spacing w:after="0"/>
              <w:rPr>
                <w:rFonts w:ascii="Arial" w:cs="Arial" w:eastAsia="Arial" w:hAnsi="Arial"/>
                <w:sz w:val="18"/>
                <w:szCs w:val="18"/>
                <w:color w:val="0000EE"/>
                <w:w w:val="94"/>
              </w:rPr>
            </w:pPr>
            <w:hyperlink w:anchor="page1">
              <w:r>
                <w:rPr>
                  <w:rFonts w:ascii="Arial" w:cs="Arial" w:eastAsia="Arial" w:hAnsi="Arial"/>
                  <w:sz w:val="18"/>
                  <w:szCs w:val="18"/>
                  <w:color w:val="0000EE"/>
                  <w:w w:val="94"/>
                </w:rPr>
                <w:t>Condensed Consolidated Statements of Operations for the Quarter and Three Quarters Ended March 28, 2014 and March 29, 2013</w:t>
              </w:r>
            </w:hyperlink>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1">
              <w:r>
                <w:rPr>
                  <w:rFonts w:ascii="Arial" w:cs="Arial" w:eastAsia="Arial" w:hAnsi="Arial"/>
                  <w:sz w:val="18"/>
                  <w:szCs w:val="18"/>
                  <w:color w:val="0000EE"/>
                  <w:w w:val="91"/>
                </w:rPr>
                <w:t>(Unaudited)</w:t>
              </w:r>
            </w:hyperlink>
          </w:p>
        </w:tc>
        <w:tc>
          <w:tcPr>
            <w:tcW w:w="8280" w:type="dxa"/>
            <w:vAlign w:val="bottom"/>
            <w:tcBorders>
              <w:top w:val="single" w:sz="8" w:color="0000EE"/>
            </w:tcBorders>
            <w:gridSpan w:val="11"/>
          </w:tcPr>
          <w:p>
            <w:pPr>
              <w:spacing w:after="0"/>
              <w:rPr>
                <w:sz w:val="17"/>
                <w:szCs w:val="17"/>
                <w:color w:val="auto"/>
              </w:rPr>
            </w:pPr>
          </w:p>
        </w:tc>
        <w:tc>
          <w:tcPr>
            <w:tcW w:w="560" w:type="dxa"/>
            <w:vAlign w:val="bottom"/>
            <w:gridSpan w:val="3"/>
          </w:tcPr>
          <w:p>
            <w:pPr>
              <w:spacing w:after="0"/>
              <w:rPr>
                <w:sz w:val="17"/>
                <w:szCs w:val="17"/>
                <w:color w:val="auto"/>
              </w:rPr>
            </w:pPr>
          </w:p>
        </w:tc>
        <w:tc>
          <w:tcPr>
            <w:tcW w:w="5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0"/>
        </w:trPr>
        <w:tc>
          <w:tcPr>
            <w:tcW w:w="360" w:type="dxa"/>
            <w:vAlign w:val="bottom"/>
          </w:tcPr>
          <w:p>
            <w:pPr>
              <w:spacing w:after="0"/>
              <w:rPr>
                <w:sz w:val="21"/>
                <w:szCs w:val="21"/>
                <w:color w:val="auto"/>
              </w:rPr>
            </w:pPr>
          </w:p>
        </w:tc>
        <w:tc>
          <w:tcPr>
            <w:tcW w:w="9940" w:type="dxa"/>
            <w:vAlign w:val="bottom"/>
            <w:gridSpan w:val="18"/>
          </w:tcPr>
          <w:p>
            <w:pPr>
              <w:spacing w:after="0"/>
              <w:rPr>
                <w:rFonts w:ascii="Arial" w:cs="Arial" w:eastAsia="Arial" w:hAnsi="Arial"/>
                <w:sz w:val="18"/>
                <w:szCs w:val="18"/>
                <w:color w:val="0000EE"/>
                <w:w w:val="91"/>
              </w:rPr>
            </w:pPr>
            <w:hyperlink w:anchor="page1">
              <w:r>
                <w:rPr>
                  <w:rFonts w:ascii="Arial" w:cs="Arial" w:eastAsia="Arial" w:hAnsi="Arial"/>
                  <w:sz w:val="18"/>
                  <w:szCs w:val="18"/>
                  <w:color w:val="0000EE"/>
                  <w:w w:val="91"/>
                </w:rPr>
                <w:t>Condensed Consolidated Statements of Comprehensive Loss for the Quarter and Three Quarters Ended March 28, 2014 and March 29,</w:t>
              </w:r>
            </w:hyperlink>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
              <w:r>
                <w:rPr>
                  <w:rFonts w:ascii="Arial" w:cs="Arial" w:eastAsia="Arial" w:hAnsi="Arial"/>
                  <w:sz w:val="18"/>
                  <w:szCs w:val="18"/>
                  <w:color w:val="0000EE"/>
                  <w:w w:val="90"/>
                </w:rPr>
                <w:t>2013 (Unaudited)</w:t>
              </w:r>
            </w:hyperlink>
          </w:p>
        </w:tc>
        <w:tc>
          <w:tcPr>
            <w:tcW w:w="8200" w:type="dxa"/>
            <w:vAlign w:val="bottom"/>
            <w:tcBorders>
              <w:top w:val="single" w:sz="8" w:color="0000EE"/>
            </w:tcBorders>
            <w:gridSpan w:val="11"/>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250"/>
        </w:trPr>
        <w:tc>
          <w:tcPr>
            <w:tcW w:w="360" w:type="dxa"/>
            <w:vAlign w:val="bottom"/>
          </w:tcPr>
          <w:p>
            <w:pPr>
              <w:spacing w:after="0"/>
              <w:rPr>
                <w:sz w:val="21"/>
                <w:szCs w:val="21"/>
                <w:color w:val="auto"/>
              </w:rPr>
            </w:pPr>
          </w:p>
        </w:tc>
        <w:tc>
          <w:tcPr>
            <w:tcW w:w="9940" w:type="dxa"/>
            <w:vAlign w:val="bottom"/>
            <w:gridSpan w:val="1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Condensed Consolidated Balance Sheets as of March 28, 2014 and June 28, 2013 (Unaudited)</w:t>
              </w:r>
            </w:hyperlink>
          </w:p>
        </w:tc>
        <w:tc>
          <w:tcPr>
            <w:tcW w:w="6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94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
              <w:r>
                <w:rPr>
                  <w:rFonts w:ascii="Arial" w:cs="Arial" w:eastAsia="Arial" w:hAnsi="Arial"/>
                  <w:sz w:val="18"/>
                  <w:szCs w:val="18"/>
                  <w:color w:val="0000EE"/>
                  <w:w w:val="89"/>
                </w:rPr>
                <w:t>Condensed Consolidated Statements of Cash Flows for the Three Quarters Ended March 28, 2014 and March 29, 2013 (Unaudited)</w:t>
              </w:r>
            </w:hyperlink>
          </w:p>
        </w:tc>
        <w:tc>
          <w:tcPr>
            <w:tcW w:w="480" w:type="dxa"/>
            <w:vAlign w:val="bottom"/>
            <w:gridSpan w:val="2"/>
          </w:tcPr>
          <w:p>
            <w:pPr>
              <w:spacing w:after="0"/>
              <w:rPr>
                <w:sz w:val="21"/>
                <w:szCs w:val="21"/>
                <w:color w:val="auto"/>
              </w:rPr>
            </w:pPr>
          </w:p>
        </w:tc>
        <w:tc>
          <w:tcPr>
            <w:tcW w:w="5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49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5040" w:type="dxa"/>
            <w:vAlign w:val="bottom"/>
            <w:gridSpan w:val="6"/>
          </w:tcPr>
          <w:p>
            <w:pPr>
              <w:spacing w:after="0"/>
              <w:rPr>
                <w:sz w:val="21"/>
                <w:szCs w:val="21"/>
                <w:color w:val="auto"/>
              </w:rPr>
            </w:pPr>
          </w:p>
        </w:tc>
        <w:tc>
          <w:tcPr>
            <w:tcW w:w="5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7000" w:type="dxa"/>
            <w:vAlign w:val="bottom"/>
            <w:gridSpan w:val="14"/>
          </w:tcPr>
          <w:p>
            <w:pPr>
              <w:spacing w:after="0"/>
              <w:rPr>
                <w:sz w:val="20"/>
                <w:szCs w:val="20"/>
                <w:color w:val="auto"/>
              </w:rPr>
            </w:pPr>
            <w:r>
              <w:rPr>
                <w:rFonts w:ascii="Arial" w:cs="Arial" w:eastAsia="Arial" w:hAnsi="Arial"/>
                <w:sz w:val="18"/>
                <w:szCs w:val="18"/>
                <w:color w:val="0000FF"/>
                <w:w w:val="90"/>
              </w:rPr>
              <w:t>Item 2. Management’s Discussion and Analysis of Financial Condition and Results of Operations</w:t>
            </w:r>
          </w:p>
        </w:tc>
        <w:tc>
          <w:tcPr>
            <w:tcW w:w="2940" w:type="dxa"/>
            <w:vAlign w:val="bottom"/>
            <w:gridSpan w:val="4"/>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900" w:type="dxa"/>
            <w:vAlign w:val="bottom"/>
            <w:gridSpan w:val="12"/>
          </w:tcPr>
          <w:p>
            <w:pPr>
              <w:spacing w:after="0"/>
              <w:rPr>
                <w:sz w:val="20"/>
                <w:szCs w:val="20"/>
                <w:color w:val="auto"/>
              </w:rPr>
            </w:pPr>
            <w:r>
              <w:rPr>
                <w:rFonts w:ascii="Arial" w:cs="Arial" w:eastAsia="Arial" w:hAnsi="Arial"/>
                <w:sz w:val="18"/>
                <w:szCs w:val="18"/>
                <w:color w:val="0000FF"/>
                <w:w w:val="91"/>
              </w:rPr>
              <w:t>Item 3. Quantitative and Qualitative Disclosures About Market Risk</w:t>
            </w:r>
          </w:p>
        </w:tc>
        <w:tc>
          <w:tcPr>
            <w:tcW w:w="2100" w:type="dxa"/>
            <w:vAlign w:val="bottom"/>
            <w:gridSpan w:val="2"/>
          </w:tcPr>
          <w:p>
            <w:pPr>
              <w:spacing w:after="0"/>
              <w:rPr>
                <w:sz w:val="21"/>
                <w:szCs w:val="21"/>
                <w:color w:val="auto"/>
              </w:rPr>
            </w:pPr>
          </w:p>
        </w:tc>
        <w:tc>
          <w:tcPr>
            <w:tcW w:w="2940" w:type="dxa"/>
            <w:vAlign w:val="bottom"/>
            <w:gridSpan w:val="4"/>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900" w:type="dxa"/>
            <w:vAlign w:val="bottom"/>
            <w:gridSpan w:val="12"/>
          </w:tcPr>
          <w:p>
            <w:pPr>
              <w:spacing w:after="0"/>
              <w:rPr>
                <w:sz w:val="20"/>
                <w:szCs w:val="20"/>
                <w:color w:val="auto"/>
              </w:rPr>
            </w:pPr>
            <w:r>
              <w:rPr>
                <w:rFonts w:ascii="Arial" w:cs="Arial" w:eastAsia="Arial" w:hAnsi="Arial"/>
                <w:sz w:val="18"/>
                <w:szCs w:val="18"/>
                <w:color w:val="0000FF"/>
              </w:rPr>
              <w:t>Item 4. Controls and Procedures</w:t>
            </w:r>
          </w:p>
        </w:tc>
        <w:tc>
          <w:tcPr>
            <w:tcW w:w="5040" w:type="dxa"/>
            <w:vAlign w:val="bottom"/>
            <w:gridSpan w:val="6"/>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64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w w:val="96"/>
              </w:rPr>
              <w:t>Part II. Other Information</w:t>
            </w:r>
          </w:p>
        </w:tc>
        <w:tc>
          <w:tcPr>
            <w:tcW w:w="8240" w:type="dxa"/>
            <w:vAlign w:val="bottom"/>
            <w:gridSpan w:val="10"/>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1880" w:type="dxa"/>
            <w:vAlign w:val="bottom"/>
            <w:gridSpan w:val="9"/>
          </w:tcPr>
          <w:p>
            <w:pPr>
              <w:spacing w:after="0"/>
              <w:rPr>
                <w:sz w:val="20"/>
                <w:szCs w:val="20"/>
                <w:color w:val="auto"/>
              </w:rPr>
            </w:pPr>
            <w:r>
              <w:rPr>
                <w:rFonts w:ascii="Arial" w:cs="Arial" w:eastAsia="Arial" w:hAnsi="Arial"/>
                <w:sz w:val="18"/>
                <w:szCs w:val="18"/>
                <w:color w:val="0000FF"/>
                <w:w w:val="88"/>
              </w:rPr>
              <w:t>Item 1. Legal Proceedings</w:t>
            </w:r>
          </w:p>
        </w:tc>
        <w:tc>
          <w:tcPr>
            <w:tcW w:w="8060" w:type="dxa"/>
            <w:vAlign w:val="bottom"/>
            <w:gridSpan w:val="9"/>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580" w:type="dxa"/>
            <w:vAlign w:val="bottom"/>
            <w:gridSpan w:val="7"/>
          </w:tcPr>
          <w:p>
            <w:pPr>
              <w:spacing w:after="0"/>
              <w:rPr>
                <w:sz w:val="20"/>
                <w:szCs w:val="20"/>
                <w:color w:val="auto"/>
              </w:rPr>
            </w:pPr>
            <w:r>
              <w:rPr>
                <w:rFonts w:ascii="Arial" w:cs="Arial" w:eastAsia="Arial" w:hAnsi="Arial"/>
                <w:sz w:val="18"/>
                <w:szCs w:val="18"/>
                <w:color w:val="0000FF"/>
                <w:w w:val="90"/>
              </w:rPr>
              <w:t>Item 1A. Risk Factors</w:t>
            </w:r>
          </w:p>
        </w:tc>
        <w:tc>
          <w:tcPr>
            <w:tcW w:w="300" w:type="dxa"/>
            <w:vAlign w:val="bottom"/>
            <w:gridSpan w:val="2"/>
          </w:tcPr>
          <w:p>
            <w:pPr>
              <w:spacing w:after="0"/>
              <w:rPr>
                <w:sz w:val="21"/>
                <w:szCs w:val="21"/>
                <w:color w:val="auto"/>
              </w:rPr>
            </w:pPr>
          </w:p>
        </w:tc>
        <w:tc>
          <w:tcPr>
            <w:tcW w:w="8060" w:type="dxa"/>
            <w:vAlign w:val="bottom"/>
            <w:gridSpan w:val="9"/>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36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0000FF"/>
                <w:w w:val="90"/>
              </w:rPr>
              <w:t>Item 6. Exhibits</w:t>
            </w:r>
          </w:p>
        </w:tc>
        <w:tc>
          <w:tcPr>
            <w:tcW w:w="440" w:type="dxa"/>
            <w:vAlign w:val="bottom"/>
            <w:gridSpan w:val="2"/>
          </w:tcPr>
          <w:p>
            <w:pPr>
              <w:spacing w:after="0"/>
              <w:rPr>
                <w:sz w:val="21"/>
                <w:szCs w:val="21"/>
                <w:color w:val="auto"/>
              </w:rPr>
            </w:pPr>
          </w:p>
        </w:tc>
        <w:tc>
          <w:tcPr>
            <w:tcW w:w="8360" w:type="dxa"/>
            <w:vAlign w:val="bottom"/>
            <w:gridSpan w:val="11"/>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80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FF"/>
                <w:w w:val="86"/>
              </w:rPr>
              <w:t>Signature</w:t>
            </w:r>
          </w:p>
        </w:tc>
        <w:tc>
          <w:tcPr>
            <w:tcW w:w="9560" w:type="dxa"/>
            <w:vAlign w:val="bottom"/>
            <w:gridSpan w:val="16"/>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00" w:type="dxa"/>
            <w:vAlign w:val="bottom"/>
            <w:gridSpan w:val="19"/>
          </w:tcPr>
          <w:p>
            <w:pPr>
              <w:spacing w:after="0"/>
              <w:rPr>
                <w:sz w:val="20"/>
                <w:szCs w:val="20"/>
                <w:color w:val="auto"/>
              </w:rPr>
            </w:pPr>
            <w:r>
              <w:rPr>
                <w:rFonts w:ascii="Arial" w:cs="Arial" w:eastAsia="Arial" w:hAnsi="Arial"/>
                <w:sz w:val="18"/>
                <w:szCs w:val="18"/>
                <w:b w:val="1"/>
                <w:bCs w:val="1"/>
                <w:color w:val="0000FF"/>
              </w:rPr>
              <w:t>Exhibit Index</w:t>
            </w:r>
          </w:p>
        </w:tc>
        <w:tc>
          <w:tcPr>
            <w:tcW w:w="6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c>
          <w:tcPr>
            <w:tcW w:w="20" w:type="dxa"/>
            <w:vAlign w:val="bottom"/>
          </w:tcPr>
          <w:p>
            <w:pPr>
              <w:spacing w:after="0"/>
              <w:rPr>
                <w:sz w:val="21"/>
                <w:szCs w:val="21"/>
                <w:color w:val="auto"/>
              </w:rPr>
            </w:pPr>
          </w:p>
        </w:tc>
      </w:tr>
      <w:tr>
        <w:trPr>
          <w:trHeight w:val="723"/>
        </w:trPr>
        <w:tc>
          <w:tcPr>
            <w:tcW w:w="1040" w:type="dxa"/>
            <w:vAlign w:val="bottom"/>
            <w:tcBorders>
              <w:top w:val="single" w:sz="8" w:color="0000FF"/>
            </w:tcBorders>
            <w:gridSpan w:val="4"/>
          </w:tcPr>
          <w:p>
            <w:pPr>
              <w:spacing w:after="0"/>
              <w:rPr>
                <w:sz w:val="24"/>
                <w:szCs w:val="24"/>
                <w:color w:val="auto"/>
              </w:rPr>
            </w:pPr>
          </w:p>
        </w:tc>
        <w:tc>
          <w:tcPr>
            <w:tcW w:w="6080" w:type="dxa"/>
            <w:vAlign w:val="bottom"/>
            <w:gridSpan w:val="10"/>
          </w:tcPr>
          <w:p>
            <w:pPr>
              <w:jc w:val="center"/>
              <w:ind w:left="2650"/>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40"/>
          </w:cols>
          <w:pgMar w:left="500" w:top="580" w:right="459" w:bottom="1440" w:gutter="0" w:footer="0" w:header="0"/>
        </w:sectPr>
      </w:pPr>
    </w:p>
    <w:bookmarkStart w:id="2" w:name="page3"/>
    <w:bookmarkEnd w:id="2"/>
    <w:p>
      <w:pPr>
        <w:spacing w:after="0"/>
        <w:tabs>
          <w:tab w:leader="none" w:pos="840" w:val="left"/>
        </w:tabs>
        <w:rPr>
          <w:sz w:val="20"/>
          <w:szCs w:val="20"/>
          <w:color w:val="auto"/>
        </w:rPr>
      </w:pPr>
      <w:r>
        <w:rPr>
          <w:rFonts w:ascii="Arial" w:cs="Arial" w:eastAsia="Arial" w:hAnsi="Arial"/>
          <w:sz w:val="18"/>
          <w:szCs w:val="18"/>
          <w:b w:val="1"/>
          <w:bCs w:val="1"/>
          <w:color w:val="auto"/>
        </w:rPr>
        <w:t>PART I.</w:t>
        <w:tab/>
        <w:t>FINANCIAL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Quarter Ended</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3"/>
                <w:szCs w:val="13"/>
                <w:b w:val="1"/>
                <w:bCs w:val="1"/>
                <w:color w:val="auto"/>
              </w:rPr>
              <w:t>Three Quarters Ended</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March 28,</w:t>
            </w:r>
          </w:p>
        </w:tc>
        <w:tc>
          <w:tcPr>
            <w:tcW w:w="380" w:type="dxa"/>
            <w:vAlign w:val="bottom"/>
          </w:tcPr>
          <w:p>
            <w:pPr>
              <w:spacing w:after="0"/>
              <w:rPr>
                <w:sz w:val="12"/>
                <w:szCs w:val="12"/>
                <w:color w:val="auto"/>
              </w:rPr>
            </w:pPr>
          </w:p>
        </w:tc>
        <w:tc>
          <w:tcPr>
            <w:tcW w:w="112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March 29,</w:t>
            </w:r>
          </w:p>
        </w:tc>
        <w:tc>
          <w:tcPr>
            <w:tcW w:w="240" w:type="dxa"/>
            <w:vAlign w:val="bottom"/>
          </w:tcPr>
          <w:p>
            <w:pPr>
              <w:spacing w:after="0"/>
              <w:rPr>
                <w:sz w:val="12"/>
                <w:szCs w:val="12"/>
                <w:color w:val="auto"/>
              </w:rPr>
            </w:pPr>
          </w:p>
        </w:tc>
        <w:tc>
          <w:tcPr>
            <w:tcW w:w="1200" w:type="dxa"/>
            <w:vAlign w:val="bottom"/>
            <w:gridSpan w:val="2"/>
          </w:tcPr>
          <w:p>
            <w:pPr>
              <w:ind w:left="140"/>
              <w:spacing w:after="0" w:line="144" w:lineRule="exact"/>
              <w:rPr>
                <w:sz w:val="20"/>
                <w:szCs w:val="20"/>
                <w:color w:val="auto"/>
              </w:rPr>
            </w:pPr>
            <w:r>
              <w:rPr>
                <w:rFonts w:ascii="Arial" w:cs="Arial" w:eastAsia="Arial" w:hAnsi="Arial"/>
                <w:sz w:val="13"/>
                <w:szCs w:val="13"/>
                <w:b w:val="1"/>
                <w:bCs w:val="1"/>
                <w:color w:val="auto"/>
              </w:rPr>
              <w:t>March 28,</w:t>
            </w:r>
          </w:p>
        </w:tc>
        <w:tc>
          <w:tcPr>
            <w:tcW w:w="260" w:type="dxa"/>
            <w:vAlign w:val="bottom"/>
          </w:tcPr>
          <w:p>
            <w:pPr>
              <w:spacing w:after="0"/>
              <w:rPr>
                <w:sz w:val="12"/>
                <w:szCs w:val="12"/>
                <w:color w:val="auto"/>
              </w:rPr>
            </w:pPr>
          </w:p>
        </w:tc>
        <w:tc>
          <w:tcPr>
            <w:tcW w:w="1100" w:type="dxa"/>
            <w:vAlign w:val="bottom"/>
          </w:tcPr>
          <w:p>
            <w:pPr>
              <w:jc w:val="right"/>
              <w:ind w:right="340"/>
              <w:spacing w:after="0" w:line="144" w:lineRule="exact"/>
              <w:rPr>
                <w:sz w:val="20"/>
                <w:szCs w:val="20"/>
                <w:color w:val="auto"/>
              </w:rPr>
            </w:pPr>
            <w:r>
              <w:rPr>
                <w:rFonts w:ascii="Arial" w:cs="Arial" w:eastAsia="Arial" w:hAnsi="Arial"/>
                <w:sz w:val="13"/>
                <w:szCs w:val="13"/>
                <w:b w:val="1"/>
                <w:bCs w:val="1"/>
                <w:color w:val="auto"/>
              </w:rPr>
              <w:t>March 29,</w:t>
            </w:r>
          </w:p>
        </w:tc>
        <w:tc>
          <w:tcPr>
            <w:tcW w:w="0" w:type="dxa"/>
            <w:vAlign w:val="bottom"/>
          </w:tcPr>
          <w:p>
            <w:pPr>
              <w:spacing w:after="0"/>
              <w:rPr>
                <w:sz w:val="1"/>
                <w:szCs w:val="1"/>
                <w:color w:val="auto"/>
              </w:rPr>
            </w:pPr>
          </w:p>
        </w:tc>
      </w:tr>
      <w:tr>
        <w:trPr>
          <w:trHeight w:val="17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(In millions, except per share amounts)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Revenue from product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84.9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165.5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262.9</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from services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7"/>
        </w:trPr>
        <w:tc>
          <w:tcPr>
            <w:tcW w:w="562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260.6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362.3</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Cost of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Cost of product sales</w:t>
            </w:r>
          </w:p>
        </w:tc>
        <w:tc>
          <w:tcPr>
            <w:tcW w:w="24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128.2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services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7"/>
        </w:trPr>
        <w:tc>
          <w:tcPr>
            <w:tcW w:w="5620" w:type="dxa"/>
            <w:vAlign w:val="bottom"/>
          </w:tcPr>
          <w:p>
            <w:pPr>
              <w:ind w:left="380"/>
              <w:spacing w:after="0"/>
              <w:rPr>
                <w:sz w:val="20"/>
                <w:szCs w:val="20"/>
                <w:color w:val="auto"/>
              </w:rPr>
            </w:pPr>
            <w:r>
              <w:rPr>
                <w:rFonts w:ascii="Arial" w:cs="Arial" w:eastAsia="Arial" w:hAnsi="Arial"/>
                <w:sz w:val="16"/>
                <w:szCs w:val="16"/>
                <w:color w:val="auto"/>
              </w:rPr>
              <w:t>Total cost of revenues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255.8</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3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identifiable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24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from continuing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24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Basic and diluted income (loss) per common share:</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Continuing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Weighted average shares outstanding, basic and diluted</w:t>
            </w:r>
          </w:p>
        </w:tc>
        <w:tc>
          <w:tcPr>
            <w:tcW w:w="24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4"/>
                <w:szCs w:val="14"/>
                <w:b w:val="1"/>
                <w:bCs w:val="1"/>
                <w:color w:val="auto"/>
              </w:rPr>
              <w:t>Quarter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28,</w:t>
            </w:r>
          </w:p>
        </w:tc>
        <w:tc>
          <w:tcPr>
            <w:tcW w:w="10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28,</w:t>
            </w:r>
          </w:p>
        </w:tc>
        <w:tc>
          <w:tcPr>
            <w:tcW w:w="200" w:type="dxa"/>
            <w:vAlign w:val="bottom"/>
          </w:tcPr>
          <w:p>
            <w:pPr>
              <w:spacing w:after="0"/>
              <w:rPr>
                <w:sz w:val="13"/>
                <w:szCs w:val="13"/>
                <w:color w:val="auto"/>
              </w:rPr>
            </w:pPr>
          </w:p>
        </w:tc>
        <w:tc>
          <w:tcPr>
            <w:tcW w:w="104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1"/>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flow hedges: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60"/>
              <w:spacing w:after="0"/>
              <w:rPr>
                <w:sz w:val="20"/>
                <w:szCs w:val="20"/>
                <w:color w:val="auto"/>
              </w:rPr>
            </w:pPr>
            <w:r>
              <w:rPr>
                <w:rFonts w:ascii="Arial" w:cs="Arial" w:eastAsia="Arial" w:hAnsi="Arial"/>
                <w:sz w:val="16"/>
                <w:szCs w:val="16"/>
                <w:color w:val="auto"/>
              </w:rPr>
              <w:t>Change in unrealized gain (loss) on cash flow hedges</w:t>
            </w:r>
          </w:p>
        </w:tc>
        <w:tc>
          <w:tcPr>
            <w:tcW w:w="2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Reclassification adjustment for realized net gain (loss) on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cash flow hedges included in net loss</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7"/>
        </w:trPr>
        <w:tc>
          <w:tcPr>
            <w:tcW w:w="5820" w:type="dxa"/>
            <w:vAlign w:val="bottom"/>
          </w:tcPr>
          <w:p>
            <w:pPr>
              <w:ind w:left="680"/>
              <w:spacing w:after="0"/>
              <w:rPr>
                <w:sz w:val="20"/>
                <w:szCs w:val="20"/>
                <w:color w:val="auto"/>
              </w:rPr>
            </w:pPr>
            <w:r>
              <w:rPr>
                <w:rFonts w:ascii="Arial" w:cs="Arial" w:eastAsia="Arial" w:hAnsi="Arial"/>
                <w:sz w:val="16"/>
                <w:szCs w:val="16"/>
                <w:color w:val="auto"/>
              </w:rPr>
              <w:t>Net change in unrealized gain or loss on cash flow hedges</w:t>
            </w: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gain (loss)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5820" w:type="dxa"/>
            <w:vAlign w:val="bottom"/>
          </w:tcPr>
          <w:p>
            <w:pPr>
              <w:ind w:left="36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1"/>
              </w:rPr>
              <w:t>(0.1)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loss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1"/>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costs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service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Long-Term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long-term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Advance payments and unearned income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12)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Stockholders’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3"/>
                <w:szCs w:val="13"/>
                <w:color w:val="auto"/>
              </w:rPr>
            </w:pPr>
          </w:p>
        </w:tc>
        <w:tc>
          <w:tcPr>
            <w:tcW w:w="114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Amortization of identifiable intangible assets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Depreciation and amortization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Bad debt expenses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Charges for inventory and customer service inventory write-downs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Gain on disposition of the WiMAX business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Other non-cash items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Unbilled costs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Customer service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Advance payments and unearned income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Income taxes payable or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Reserve for uncertain tax positions and deferred taxes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Other assets and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Cash disbursed related to sale of WiMAX business, net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Additions of property, plant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Repayments of debt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capital leases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Proceeds from share-based compensation awards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Aviat Networks, Inc. (the "Company” or “we”) designs, manufactures and sells a range of wireless networking products,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by us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management, such interim financial statements reflect all adjustments (consisting of normal recurring adjustments) considered necessary for a fair presentation of financial position, results of operations and cash flows for such periods. The results for the quarter and three quarters ended March 28, 2014 (the “third quarter and first three quarters of fiscal 2014”)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28, 2013.</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financial statements include the accounts of the Company and its wholly-owned and majority 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intercompany transactions and accounts have been eliminated.</w:t>
      </w:r>
    </w:p>
    <w:p>
      <w:pPr>
        <w:spacing w:after="0" w:line="15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operate on a 52-week or 53-week year ending on the Friday nearest June 30. The first three quarters of fiscal 2014 and 2013 included 13 weeks in each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Correction of Immaterial Errors</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recognized an adjustment of $2.2 million during the second quarter of fiscal 2014 to correct immaterial errors arising from fiscal 2007 through September 27, 2013. The result of this adjustment was to decrease the benefit from income taxes and increase our reserve for uncertain tax positions. This had no impact to our statement of cash flows for fiscal 2013 and fiscal 2014 periods. We believe the impact of the adjustment is not material to our annual and quarterly financial statements as a whole for current or prior periods.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preparation of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and customer service inventory valuation, valuation allowances for deferred tax assets, uncertainties in income taxes, restructuring obligations, product warranty obligations, share-based awards, contingencies and useful lives of property, plant and equipment.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and for the first three quarters of fiscal 2014, as compared to the significant accounting policies described in our Annual Report on Form 10-K for the fiscal year ended June 28,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In February 2013, the Financial Accounting Standards Board (“FASB”) issued an accounting standards update on reporting amounts reclassified out of accumulated other comprehensive income (“AOCI”), which requires companies to present information about reclassifications out of AOCI in one place. Companies also are required to present reclassifications by component when reporting changes in AOCI balances. For significant items reclassified out of AOCI to net income in their entirety in the period, companies must report the effect of the reclassifications on the respective line items in the statement where net income is presented. This information may be provided either in the notes or parenthetically on the face of that statement as long as all the information is disclosed in a single location. For items not reclassified to net income in their entirety in the period, companies must cross-reference in a note to other required disclosures. We adopted this new guidance in the first quarter of fiscal 2014 and the adoption did not impact our condensed consolidated financial position or results of operations as the guidance relates only to financial statement presentation.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July 2013, the FASB issued an amendment to the accounting guidance on the presentation of an unrecognized tax benefit when a net operating loss carryforward, a similar tax loss, or tax credit carryforward exists. This new guidance requires entities, if certain criteria are met, to present an unrecognized tax benefit, or portion of an unrecognized tax benefit, in the financial statements as a reduction to a deferred tax asset for a net operating loss carryforward, a similar tax loss, or a tax credit carryforward when such items exist in the same taxing jurisdiction. This new guidance is to be adopted prospectively and is effective for us beginning in our first quarter of fiscal 2015. The adoption of this standard will have no effect on our consolidated financial position or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Accumulated Other Comprehensive Income (Loss)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components of our accumulated other comprehensive loss during the first three quarters of fiscal 2014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2"/>
                <w:szCs w:val="12"/>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Adjustment</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(“CTA”)</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28,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 gain</w:t>
            </w:r>
          </w:p>
        </w:tc>
        <w:tc>
          <w:tcPr>
            <w:tcW w:w="260" w:type="dxa"/>
            <w:vAlign w:val="bottom"/>
          </w:tcPr>
          <w:p>
            <w:pPr>
              <w:spacing w:after="0"/>
              <w:rPr>
                <w:sz w:val="21"/>
                <w:szCs w:val="21"/>
                <w:color w:val="auto"/>
              </w:rPr>
            </w:pP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hedging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March 28, 2014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(Loss) Per Share of Common Stock</w:t>
      </w:r>
    </w:p>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As we incurred net loss in all periods presented, all potential dilutive securities from stock options, restricted stocks and units and performance shares and units have been excluded from the diluted net loss per share calculations, as their effect would have been anti-dilutive. The following table summarizes the potential weighted average shares of common stock outstanding that have been excluded from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2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diluted net loss per share calculations: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30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Quarter Ended</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right"/>
              <w:ind w:right="497"/>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3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March 28,</w:t>
            </w:r>
          </w:p>
        </w:tc>
        <w:tc>
          <w:tcPr>
            <w:tcW w:w="92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5"/>
          </w:tcPr>
          <w:p>
            <w:pPr>
              <w:ind w:left="300"/>
              <w:spacing w:after="0" w:line="153" w:lineRule="exact"/>
              <w:rPr>
                <w:sz w:val="20"/>
                <w:szCs w:val="20"/>
                <w:color w:val="auto"/>
              </w:rPr>
            </w:pPr>
            <w:r>
              <w:rPr>
                <w:rFonts w:ascii="Arial" w:cs="Arial" w:eastAsia="Arial" w:hAnsi="Arial"/>
                <w:sz w:val="14"/>
                <w:szCs w:val="14"/>
                <w:b w:val="1"/>
                <w:bCs w:val="1"/>
                <w:color w:val="auto"/>
              </w:rPr>
              <w:t>March 28,</w:t>
            </w:r>
          </w:p>
        </w:tc>
        <w:tc>
          <w:tcPr>
            <w:tcW w:w="124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gridSpan w:val="4"/>
          </w:tcPr>
          <w:p>
            <w:pPr>
              <w:ind w:left="26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Restricted stock awards and units and performance shares and units</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0.5</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potential shares of common stock excluded</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spacing w:after="0"/>
              <w:rPr>
                <w:sz w:val="20"/>
                <w:szCs w:val="20"/>
                <w:color w:val="auto"/>
              </w:rPr>
            </w:pPr>
            <w:r>
              <w:rPr>
                <w:rFonts w:ascii="Arial" w:cs="Arial" w:eastAsia="Arial" w:hAnsi="Arial"/>
                <w:sz w:val="18"/>
                <w:szCs w:val="18"/>
                <w:b w:val="1"/>
                <w:bCs w:val="1"/>
                <w:i w:val="1"/>
                <w:iCs w:val="1"/>
                <w:color w:val="auto"/>
              </w:rPr>
              <w:t>Receivables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ind w:left="420"/>
              <w:spacing w:after="0"/>
              <w:rPr>
                <w:sz w:val="20"/>
                <w:szCs w:val="20"/>
                <w:color w:val="auto"/>
              </w:rPr>
            </w:pPr>
            <w:r>
              <w:rPr>
                <w:rFonts w:ascii="Arial" w:cs="Arial" w:eastAsia="Arial" w:hAnsi="Arial"/>
                <w:sz w:val="18"/>
                <w:szCs w:val="18"/>
                <w:color w:val="auto"/>
              </w:rPr>
              <w:t>Our receivables are summarized below:</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99"/>
              </w:rPr>
              <w:t>March 28,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477"/>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4"/>
          </w:tcPr>
          <w:p>
            <w:pPr>
              <w:ind w:left="140"/>
              <w:spacing w:after="0"/>
              <w:rPr>
                <w:sz w:val="20"/>
                <w:szCs w:val="20"/>
                <w:color w:val="auto"/>
              </w:rPr>
            </w:pPr>
            <w:r>
              <w:rPr>
                <w:rFonts w:ascii="Arial" w:cs="Arial" w:eastAsia="Arial" w:hAnsi="Arial"/>
                <w:sz w:val="14"/>
                <w:szCs w:val="14"/>
                <w:b w:val="1"/>
                <w:bCs w:val="1"/>
                <w:color w:val="auto"/>
                <w:w w:val="96"/>
              </w:rPr>
              <w:t>(In millions)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6"/>
              </w:rPr>
              <w:t>89.2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6"/>
              </w:rPr>
              <w:t>80.1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regularly require letters of credit from some customers and we generally discount these letters of credit with various financial institutions. Under these arrangements, collection risk is fully transferred to the financial institutions. We record the cost of discounting these letters of credit as interest expense. Total customer letters of credit being discounted and related interest expense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4"/>
                <w:szCs w:val="14"/>
                <w:b w:val="1"/>
                <w:bCs w:val="1"/>
                <w:color w:val="auto"/>
                <w:w w:val="96"/>
              </w:rPr>
              <w:t>Quarter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538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44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March 28,</w:t>
            </w:r>
          </w:p>
        </w:tc>
        <w:tc>
          <w:tcPr>
            <w:tcW w:w="340" w:type="dxa"/>
            <w:vAlign w:val="bottom"/>
          </w:tcPr>
          <w:p>
            <w:pPr>
              <w:spacing w:after="0"/>
              <w:rPr>
                <w:sz w:val="13"/>
                <w:szCs w:val="13"/>
                <w:color w:val="auto"/>
              </w:rPr>
            </w:pPr>
          </w:p>
        </w:tc>
        <w:tc>
          <w:tcPr>
            <w:tcW w:w="1020" w:type="dxa"/>
            <w:vAlign w:val="bottom"/>
          </w:tcPr>
          <w:p>
            <w:pPr>
              <w:jc w:val="center"/>
              <w:ind w:right="297"/>
              <w:spacing w:after="0" w:line="153" w:lineRule="exact"/>
              <w:rPr>
                <w:sz w:val="20"/>
                <w:szCs w:val="20"/>
                <w:color w:val="auto"/>
              </w:rPr>
            </w:pPr>
            <w:r>
              <w:rPr>
                <w:rFonts w:ascii="Arial" w:cs="Arial" w:eastAsia="Arial" w:hAnsi="Arial"/>
                <w:sz w:val="14"/>
                <w:szCs w:val="14"/>
                <w:b w:val="1"/>
                <w:bCs w:val="1"/>
                <w:color w:val="auto"/>
                <w:w w:val="99"/>
              </w:rPr>
              <w:t>March 29,</w:t>
            </w:r>
          </w:p>
        </w:tc>
      </w:tr>
      <w:tr>
        <w:trPr>
          <w:trHeight w:val="192"/>
        </w:trPr>
        <w:tc>
          <w:tcPr>
            <w:tcW w:w="5380" w:type="dxa"/>
            <w:vAlign w:val="bottom"/>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(In millions)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letters of credit being discounted</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85"/>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83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0.2</w:t>
            </w:r>
          </w:p>
        </w:tc>
      </w:tr>
      <w:tr>
        <w:trPr>
          <w:trHeight w:val="486"/>
        </w:trPr>
        <w:tc>
          <w:tcPr>
            <w:tcW w:w="538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5380" w:type="dxa"/>
            <w:vAlign w:val="bottom"/>
          </w:tcPr>
          <w:p>
            <w:pPr>
              <w:ind w:left="440"/>
              <w:spacing w:after="0"/>
              <w:rPr>
                <w:sz w:val="20"/>
                <w:szCs w:val="20"/>
                <w:color w:val="auto"/>
              </w:rPr>
            </w:pPr>
            <w:r>
              <w:rPr>
                <w:rFonts w:ascii="Arial" w:cs="Arial" w:eastAsia="Arial" w:hAnsi="Arial"/>
                <w:sz w:val="18"/>
                <w:szCs w:val="18"/>
                <w:color w:val="auto"/>
              </w:rPr>
              <w:t>Our inventories are summarized below:</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5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March 28,</w:t>
            </w:r>
          </w:p>
        </w:tc>
        <w:tc>
          <w:tcPr>
            <w:tcW w:w="340" w:type="dxa"/>
            <w:vAlign w:val="bottom"/>
          </w:tcPr>
          <w:p>
            <w:pPr>
              <w:spacing w:after="0"/>
              <w:rPr>
                <w:sz w:val="24"/>
                <w:szCs w:val="24"/>
                <w:color w:val="auto"/>
              </w:rPr>
            </w:pPr>
          </w:p>
        </w:tc>
        <w:tc>
          <w:tcPr>
            <w:tcW w:w="1020" w:type="dxa"/>
            <w:vAlign w:val="bottom"/>
          </w:tcPr>
          <w:p>
            <w:pPr>
              <w:jc w:val="center"/>
              <w:ind w:right="297"/>
              <w:spacing w:after="0"/>
              <w:rPr>
                <w:sz w:val="20"/>
                <w:szCs w:val="20"/>
                <w:color w:val="auto"/>
              </w:rPr>
            </w:pPr>
            <w:r>
              <w:rPr>
                <w:rFonts w:ascii="Arial" w:cs="Arial" w:eastAsia="Arial" w:hAnsi="Arial"/>
                <w:sz w:val="14"/>
                <w:szCs w:val="14"/>
                <w:b w:val="1"/>
                <w:bCs w:val="1"/>
                <w:color w:val="auto"/>
                <w:w w:val="92"/>
              </w:rPr>
              <w:t>June 28,</w:t>
            </w:r>
          </w:p>
        </w:tc>
      </w:tr>
      <w:tr>
        <w:trPr>
          <w:trHeight w:val="192"/>
        </w:trPr>
        <w:tc>
          <w:tcPr>
            <w:tcW w:w="5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2013</w:t>
            </w:r>
          </w:p>
        </w:tc>
      </w:tr>
      <w:tr>
        <w:trPr>
          <w:trHeight w:val="196"/>
        </w:trPr>
        <w:tc>
          <w:tcPr>
            <w:tcW w:w="5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3.9</w:t>
            </w:r>
          </w:p>
        </w:tc>
      </w:tr>
      <w:tr>
        <w:trPr>
          <w:trHeight w:val="27"/>
        </w:trPr>
        <w:tc>
          <w:tcPr>
            <w:tcW w:w="5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0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r>
      <w:tr>
        <w:trPr>
          <w:trHeight w:val="237"/>
        </w:trPr>
        <w:tc>
          <w:tcPr>
            <w:tcW w:w="5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35.0</w:t>
            </w:r>
          </w:p>
        </w:tc>
      </w:tr>
      <w:tr>
        <w:trPr>
          <w:trHeight w:val="67"/>
        </w:trPr>
        <w:tc>
          <w:tcPr>
            <w:tcW w:w="538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sales included within finished goods</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3.1</w:t>
            </w:r>
          </w:p>
        </w:tc>
      </w:tr>
      <w:tr>
        <w:trPr>
          <w:trHeight w:val="20"/>
        </w:trPr>
        <w:tc>
          <w:tcPr>
            <w:tcW w:w="5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recorded charges to adjust our inventory and customer service inventory to the lower of cost or market. These charges were primarily due to excess and obsolete inventory resulting from product transitioning and discontinuance, and deferred costs of revenue that we were unlikely to derive revenue from due to the disposition of our WiMAX business or customer insolvency. During the first three quarters of fiscal 2014 and 2013, such charges incurred were classified in cost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of product sales or discontinued operations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Quarter Ended</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jc w:val="right"/>
              <w:ind w:right="795"/>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496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March 28,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395"/>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4960" w:type="dxa"/>
            <w:vAlign w:val="bottom"/>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2013</w:t>
            </w:r>
          </w:p>
        </w:tc>
      </w:tr>
      <w:tr>
        <w:trPr>
          <w:trHeight w:val="250"/>
        </w:trPr>
        <w:tc>
          <w:tcPr>
            <w:tcW w:w="49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80" w:type="dxa"/>
            <w:vAlign w:val="bottom"/>
            <w:gridSpan w:val="7"/>
          </w:tcPr>
          <w:p>
            <w:pPr>
              <w:ind w:left="180"/>
              <w:spacing w:after="0"/>
              <w:rPr>
                <w:sz w:val="20"/>
                <w:szCs w:val="20"/>
                <w:color w:val="auto"/>
              </w:rPr>
            </w:pPr>
            <w:r>
              <w:rPr>
                <w:rFonts w:ascii="Arial" w:cs="Arial" w:eastAsia="Arial" w:hAnsi="Arial"/>
                <w:sz w:val="14"/>
                <w:szCs w:val="14"/>
                <w:b w:val="1"/>
                <w:bCs w:val="1"/>
                <w:color w:val="auto"/>
              </w:rPr>
              <w:t>(In millions, except percentages)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Excess and obsolete inventory and deferred cost of sales charges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4.2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10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ind w:left="7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ind w:left="7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0.6</w:t>
            </w:r>
          </w:p>
        </w:tc>
      </w:tr>
      <w:tr>
        <w:trPr>
          <w:trHeight w:val="27"/>
        </w:trPr>
        <w:tc>
          <w:tcPr>
            <w:tcW w:w="49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4.8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960" w:type="dxa"/>
            <w:vAlign w:val="bottom"/>
          </w:tcPr>
          <w:p>
            <w:pPr>
              <w:ind w:left="40"/>
              <w:spacing w:after="0"/>
              <w:rPr>
                <w:sz w:val="20"/>
                <w:szCs w:val="20"/>
                <w:color w:val="auto"/>
              </w:rPr>
            </w:pPr>
            <w:r>
              <w:rPr>
                <w:rFonts w:ascii="Arial" w:cs="Arial" w:eastAsia="Arial" w:hAnsi="Arial"/>
                <w:sz w:val="18"/>
                <w:szCs w:val="18"/>
                <w:color w:val="auto"/>
              </w:rPr>
              <w:t>As % of revenue</w:t>
            </w:r>
          </w:p>
        </w:tc>
        <w:tc>
          <w:tcPr>
            <w:tcW w:w="108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w w:val="97"/>
              </w:rPr>
              <w:t>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ind w:left="700"/>
              <w:spacing w:after="0"/>
              <w:rPr>
                <w:sz w:val="20"/>
                <w:szCs w:val="20"/>
                <w:color w:val="auto"/>
              </w:rPr>
            </w:pPr>
            <w:r>
              <w:rPr>
                <w:rFonts w:ascii="Arial" w:cs="Arial" w:eastAsia="Arial" w:hAnsi="Arial"/>
                <w:sz w:val="18"/>
                <w:szCs w:val="18"/>
                <w:color w:val="auto"/>
                <w:w w:val="92"/>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ind w:left="740"/>
              <w:spacing w:after="0"/>
              <w:rPr>
                <w:sz w:val="20"/>
                <w:szCs w:val="20"/>
                <w:color w:val="auto"/>
              </w:rPr>
            </w:pPr>
            <w:r>
              <w:rPr>
                <w:rFonts w:ascii="Arial" w:cs="Arial" w:eastAsia="Arial" w:hAnsi="Arial"/>
                <w:sz w:val="18"/>
                <w:szCs w:val="18"/>
                <w:color w:val="auto"/>
                <w:w w:val="97"/>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w w:val="97"/>
              </w:rPr>
              <w:t>1.3%</w:t>
            </w:r>
          </w:p>
        </w:tc>
      </w:tr>
      <w:tr>
        <w:trPr>
          <w:trHeight w:val="486"/>
        </w:trPr>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rPr>
              <w:t>Property, Plant and Equipment</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4960" w:type="dxa"/>
            <w:vAlign w:val="bottom"/>
          </w:tcPr>
          <w:p>
            <w:pPr>
              <w:ind w:left="440"/>
              <w:spacing w:after="0"/>
              <w:rPr>
                <w:sz w:val="20"/>
                <w:szCs w:val="20"/>
                <w:color w:val="auto"/>
              </w:rPr>
            </w:pPr>
            <w:r>
              <w:rPr>
                <w:rFonts w:ascii="Arial" w:cs="Arial" w:eastAsia="Arial" w:hAnsi="Arial"/>
                <w:sz w:val="18"/>
                <w:szCs w:val="18"/>
                <w:color w:val="auto"/>
                <w:w w:val="96"/>
              </w:rPr>
              <w:t>Our property, plant and equipment are summarized below:</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8"/>
        </w:trPr>
        <w:tc>
          <w:tcPr>
            <w:tcW w:w="4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ind w:left="260"/>
              <w:spacing w:after="0"/>
              <w:rPr>
                <w:sz w:val="20"/>
                <w:szCs w:val="20"/>
                <w:color w:val="auto"/>
              </w:rPr>
            </w:pPr>
            <w:r>
              <w:rPr>
                <w:rFonts w:ascii="Arial" w:cs="Arial" w:eastAsia="Arial" w:hAnsi="Arial"/>
                <w:sz w:val="14"/>
                <w:szCs w:val="14"/>
                <w:b w:val="1"/>
                <w:bCs w:val="1"/>
                <w:color w:val="auto"/>
              </w:rPr>
              <w:t>March 28,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28,</w:t>
            </w:r>
          </w:p>
        </w:tc>
      </w:tr>
      <w:tr>
        <w:trPr>
          <w:trHeight w:val="192"/>
        </w:trPr>
        <w:tc>
          <w:tcPr>
            <w:tcW w:w="4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r>
      <w:tr>
        <w:trPr>
          <w:trHeight w:val="196"/>
        </w:trPr>
        <w:tc>
          <w:tcPr>
            <w:tcW w:w="4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7"/>
          </w:tcPr>
          <w:p>
            <w:pPr>
              <w:jc w:val="center"/>
              <w:ind w:right="35"/>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10.6</w:t>
            </w:r>
          </w:p>
        </w:tc>
      </w:tr>
      <w:tr>
        <w:trPr>
          <w:trHeight w:val="27"/>
        </w:trPr>
        <w:tc>
          <w:tcPr>
            <w:tcW w:w="4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48.8</w:t>
            </w:r>
          </w:p>
        </w:tc>
      </w:tr>
      <w:tr>
        <w:trPr>
          <w:trHeight w:val="27"/>
        </w:trPr>
        <w:tc>
          <w:tcPr>
            <w:tcW w:w="49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(48.6)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
        </w:trPr>
        <w:tc>
          <w:tcPr>
            <w:tcW w:w="49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5960" w:type="dxa"/>
            <w:vAlign w:val="bottom"/>
          </w:tcPr>
          <w:p>
            <w:pPr>
              <w:spacing w:after="0"/>
              <w:rPr>
                <w:sz w:val="13"/>
                <w:szCs w:val="13"/>
                <w:color w:val="auto"/>
              </w:rPr>
            </w:pPr>
          </w:p>
        </w:tc>
        <w:tc>
          <w:tcPr>
            <w:tcW w:w="920" w:type="dxa"/>
            <w:vAlign w:val="bottom"/>
          </w:tcPr>
          <w:p>
            <w:pPr>
              <w:jc w:val="center"/>
              <w:ind w:left="224"/>
              <w:spacing w:after="0" w:line="153" w:lineRule="exact"/>
              <w:rPr>
                <w:sz w:val="20"/>
                <w:szCs w:val="20"/>
                <w:color w:val="auto"/>
              </w:rPr>
            </w:pPr>
            <w:r>
              <w:rPr>
                <w:rFonts w:ascii="Arial" w:cs="Arial" w:eastAsia="Arial" w:hAnsi="Arial"/>
                <w:sz w:val="14"/>
                <w:szCs w:val="14"/>
                <w:b w:val="1"/>
                <w:bCs w:val="1"/>
                <w:color w:val="auto"/>
                <w:w w:val="95"/>
              </w:rPr>
              <w:t>March 28,</w:t>
            </w:r>
          </w:p>
        </w:tc>
        <w:tc>
          <w:tcPr>
            <w:tcW w:w="360" w:type="dxa"/>
            <w:vAlign w:val="bottom"/>
          </w:tcPr>
          <w:p>
            <w:pPr>
              <w:spacing w:after="0"/>
              <w:rPr>
                <w:sz w:val="13"/>
                <w:szCs w:val="13"/>
                <w:color w:val="auto"/>
              </w:rPr>
            </w:pPr>
          </w:p>
        </w:tc>
        <w:tc>
          <w:tcPr>
            <w:tcW w:w="1020" w:type="dxa"/>
            <w:vAlign w:val="bottom"/>
          </w:tcPr>
          <w:p>
            <w:pPr>
              <w:jc w:val="center"/>
              <w:ind w:left="302"/>
              <w:spacing w:after="0" w:line="153" w:lineRule="exact"/>
              <w:rPr>
                <w:sz w:val="20"/>
                <w:szCs w:val="20"/>
                <w:color w:val="auto"/>
              </w:rPr>
            </w:pPr>
            <w:r>
              <w:rPr>
                <w:rFonts w:ascii="Arial" w:cs="Arial" w:eastAsia="Arial" w:hAnsi="Arial"/>
                <w:sz w:val="14"/>
                <w:szCs w:val="14"/>
                <w:b w:val="1"/>
                <w:bCs w:val="1"/>
                <w:color w:val="auto"/>
                <w:w w:val="99"/>
              </w:rPr>
              <w:t>March 29,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84"/>
              <w:spacing w:after="0" w:line="153" w:lineRule="exact"/>
              <w:rPr>
                <w:sz w:val="20"/>
                <w:szCs w:val="20"/>
                <w:color w:val="auto"/>
              </w:rPr>
            </w:pPr>
            <w:r>
              <w:rPr>
                <w:rFonts w:ascii="Arial" w:cs="Arial" w:eastAsia="Arial" w:hAnsi="Arial"/>
                <w:sz w:val="14"/>
                <w:szCs w:val="14"/>
                <w:b w:val="1"/>
                <w:bCs w:val="1"/>
                <w:color w:val="auto"/>
                <w:w w:val="99"/>
              </w:rPr>
              <w:t>March 28,</w:t>
            </w:r>
          </w:p>
        </w:tc>
        <w:tc>
          <w:tcPr>
            <w:tcW w:w="320" w:type="dxa"/>
            <w:vAlign w:val="bottom"/>
          </w:tcPr>
          <w:p>
            <w:pPr>
              <w:spacing w:after="0"/>
              <w:rPr>
                <w:sz w:val="13"/>
                <w:szCs w:val="13"/>
                <w:color w:val="auto"/>
              </w:rPr>
            </w:pPr>
          </w:p>
        </w:tc>
        <w:tc>
          <w:tcPr>
            <w:tcW w:w="104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5"/>
              </w:rPr>
              <w:t>March 29,</w:t>
            </w:r>
          </w:p>
        </w:tc>
      </w:tr>
      <w:tr>
        <w:trPr>
          <w:trHeight w:val="192"/>
        </w:trPr>
        <w:tc>
          <w:tcPr>
            <w:tcW w:w="5960" w:type="dxa"/>
            <w:vAlign w:val="bottom"/>
          </w:tcPr>
          <w:p>
            <w:pPr>
              <w:spacing w:after="0"/>
              <w:rPr>
                <w:sz w:val="16"/>
                <w:szCs w:val="16"/>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2013</w:t>
            </w:r>
          </w:p>
        </w:tc>
      </w:tr>
      <w:tr>
        <w:trPr>
          <w:trHeight w:val="196"/>
        </w:trPr>
        <w:tc>
          <w:tcPr>
            <w:tcW w:w="5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0" w:type="dxa"/>
            <w:vAlign w:val="bottom"/>
            <w:gridSpan w:val="4"/>
          </w:tcPr>
          <w:p>
            <w:pPr>
              <w:jc w:val="right"/>
              <w:ind w:right="904"/>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9"/>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1.8</w:t>
            </w:r>
          </w:p>
        </w:tc>
        <w:tc>
          <w:tcPr>
            <w:tcW w:w="10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4.2</w:t>
            </w:r>
          </w:p>
        </w:tc>
      </w:tr>
      <w:tr>
        <w:trPr>
          <w:trHeight w:val="27"/>
        </w:trPr>
        <w:tc>
          <w:tcPr>
            <w:tcW w:w="59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have accrued for the estimated cost to repair or replace products under warranty at the time of sale. Changes in our warranty liability, which are</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included as a component of other accrued expenses on the consolidated balance sheets, during the first three quarters of fiscal 2014 and 2013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March 28,</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96"/>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8460" w:type="dxa"/>
            <w:vAlign w:val="bottom"/>
          </w:tcPr>
          <w:p>
            <w:pPr>
              <w:spacing w:after="0"/>
              <w:rPr>
                <w:sz w:val="16"/>
                <w:szCs w:val="16"/>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r>
      <w:tr>
        <w:trPr>
          <w:trHeight w:val="196"/>
        </w:trPr>
        <w:tc>
          <w:tcPr>
            <w:tcW w:w="8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Warranty provision for revenue recorded during the period</w:t>
            </w:r>
          </w:p>
        </w:tc>
        <w:tc>
          <w:tcPr>
            <w:tcW w:w="1060" w:type="dxa"/>
            <w:vAlign w:val="bottom"/>
          </w:tcPr>
          <w:p>
            <w:pPr>
              <w:spacing w:after="0"/>
              <w:rPr>
                <w:sz w:val="21"/>
                <w:szCs w:val="21"/>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2.4</w:t>
            </w:r>
          </w:p>
        </w:tc>
      </w:tr>
      <w:tr>
        <w:trPr>
          <w:trHeight w:val="27"/>
        </w:trPr>
        <w:tc>
          <w:tcPr>
            <w:tcW w:w="8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3.3</w:t>
            </w:r>
          </w:p>
        </w:tc>
      </w:tr>
      <w:tr>
        <w:trPr>
          <w:trHeight w:val="27"/>
        </w:trPr>
        <w:tc>
          <w:tcPr>
            <w:tcW w:w="84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175"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hierarchy that prioritizes the inputs used to measure fair value. The three levels of inputs used to measure fair value are as follows:</w:t>
      </w:r>
    </w:p>
    <w:p>
      <w:pPr>
        <w:spacing w:after="0" w:line="171" w:lineRule="exact"/>
        <w:rPr>
          <w:sz w:val="20"/>
          <w:szCs w:val="20"/>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cost, estimated fair values and valuation input levels of our assets and liabilities that are measured at fair value on a recurring basis as of March 28, 2014 and June 28, 2013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w w:val="98"/>
              </w:rPr>
              <w:t>March 28, 2014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June 28, 2013</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4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Valuation Inputs</w:t>
            </w:r>
          </w:p>
        </w:tc>
      </w:tr>
      <w:tr>
        <w:trPr>
          <w:trHeight w:val="264"/>
        </w:trPr>
        <w:tc>
          <w:tcPr>
            <w:tcW w:w="50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8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82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Level 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0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include shares in money market funds purchased from two major financial institutions. As of March 28, 2014 and June 28, 2013, these money market shares were valued at $1.00 net asset value per share by these financial institutions.</w:t>
      </w:r>
    </w:p>
    <w:p>
      <w:pPr>
        <w:spacing w:after="0" w:line="127" w:lineRule="exact"/>
        <w:rPr>
          <w:sz w:val="20"/>
          <w:szCs w:val="20"/>
          <w:color w:val="auto"/>
        </w:rPr>
      </w:pPr>
    </w:p>
    <w:p>
      <w:pPr>
        <w:ind w:right="380" w:firstLine="432"/>
        <w:spacing w:after="0" w:line="312" w:lineRule="auto"/>
        <w:rPr>
          <w:sz w:val="20"/>
          <w:szCs w:val="20"/>
          <w:color w:val="auto"/>
        </w:rPr>
      </w:pPr>
      <w:r>
        <w:rPr>
          <w:rFonts w:ascii="Arial" w:cs="Arial" w:eastAsia="Arial" w:hAnsi="Arial"/>
          <w:sz w:val="16"/>
          <w:szCs w:val="16"/>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w:t>
      </w:r>
    </w:p>
    <w:p>
      <w:pPr>
        <w:spacing w:after="0" w:line="93"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three quarters of fiscal 2014 and 2013, we had no transfers between levels of the fair value hierarchy of our assets or liabilities measured at fair value.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On March 28, 2014, we entered into a Second Amended and Restated Loan Agreement with Silicon Valley Bank (the "SVB Credit Facility"). This agreement amends and restates our existing First Amended and Restated Loan and Security Agreement, which was entered into on September 27, 2013 and amended on October 29, 2013, November 20, 2013 and February 10, 2014, respectively, providing for certain amendments to the maximum borrowing limit and financial covenants. On September 27, 2013, we repaid the remaining $1.7 million outstanding balance of the original $8.3 million two-year term loan that we borrowed on January 30, 2012 to fund the redemption of the preference shares issued by our Singapore subsidiary.</w:t>
      </w:r>
    </w:p>
    <w:p>
      <w:pPr>
        <w:spacing w:after="0" w:line="10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SVB Credit Facility provides for a committed amount of up to $40.0 million, decreased from the $50.0 million credit limit under the first amended and restated credit facility, with a $30.0 million sublimit that can be borrowed by our Singapore subsidiary. Borrowings may be advanced under the SVB Credit Facility at the lesser of $40.0 million or a borrowing base equal to $7.0 million plus a specified percentage of the value of eligible accounts receivable of the Company, subject to certain reserves and eligibility criteria. The SVB Credit Facility can also be utilized to issue letters of credit. Principal, together with all accrued and unpaid interest, is due and payable on September 26, 2016. We may prepay loans under the SVB Credit Facility in whole or in part at any time without premium or penalty. We currently do not expect to repay any loans within the next 12 months. As of March 28, 2014, available credit under the SVB Credit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1" w:name="page12"/>
    <w:bookmarkEnd w:id="11"/>
    <w:p>
      <w:pPr>
        <w:ind w:right="140"/>
        <w:spacing w:after="0" w:line="277" w:lineRule="auto"/>
        <w:rPr>
          <w:sz w:val="20"/>
          <w:szCs w:val="20"/>
          <w:color w:val="auto"/>
        </w:rPr>
      </w:pPr>
      <w:r>
        <w:rPr>
          <w:rFonts w:ascii="Arial" w:cs="Arial" w:eastAsia="Arial" w:hAnsi="Arial"/>
          <w:sz w:val="18"/>
          <w:szCs w:val="18"/>
          <w:color w:val="auto"/>
        </w:rPr>
        <w:t>Facility was $23.8 million reflecting the calculated borrowing base of $34.3 million less existing borrowings of $6.0 million and outstanding letters of credit of $4.5 million.</w:t>
      </w:r>
    </w:p>
    <w:p>
      <w:pPr>
        <w:spacing w:after="0" w:line="116"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 xml:space="preserve">Borrowings under the SVB Credit Facility carry an interest rate computed at the daily prime rate as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plus a spread of 0.50% to 1.50%, with such spread determined based on our adjusted quick ratio. If a minimum adjusted quick ratio requirement is satisfied, LIBOR advances are offered at LIBOR plus a spread of 2.75%. Interest is due and payable in arrears monthly for prime rate loans and, for LIBOR rate loans, at the end of an interest period or at each three-month interval if the interest period is greater than three months. During the first three quarters of fiscal 2014, the weighted average interest rate on our $6.0 million loan was 3.25%. The previous $8.3 million two-year term loan bore a fixed interest rate of 5% per annum.</w:t>
      </w:r>
    </w:p>
    <w:p>
      <w:pPr>
        <w:spacing w:after="0" w:line="104"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The SVB Credit Facility contains financial covenants including minimum adjusted quick ratio and minimum profitability (EBITDA) requirements. In the event our adjusted quick ratio falls below a certain level, cash received in our accounts with SVB may be directly applied to reduce outstanding obligations under the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1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of March 28, 2014, we were in compliance with the financial covenants contained in the SVB Credit Facility. However, as a result of the uncertainty on our ability to meet the financial covenants and the fact that the SVB Credit Facility contains subjective acceleration clauses that could be triggered by the lender, the $6.0 million borrowing was classified as a current liability as of March 28, 2014.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2014-2015 Plan</w:t>
      </w:r>
    </w:p>
    <w:p>
      <w:pPr>
        <w:spacing w:after="0" w:line="175"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force.</w:t>
      </w:r>
    </w:p>
    <w:p>
      <w:pPr>
        <w:spacing w:after="0" w:line="127"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following table summarizes our costs incurred during the third quarter and first three quarters of fiscal 2014, estimated additional costs to be incurred and estimated total costs expected to be incurred as of March 28, 2014 under the Fiscal 2014-2015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Costs Incurred</w:t>
            </w:r>
          </w:p>
        </w:tc>
        <w:tc>
          <w:tcPr>
            <w:tcW w:w="22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Costs Incurred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During Three Quarters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During Quarter Ended</w:t>
            </w: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Costs to be</w:t>
            </w:r>
          </w:p>
        </w:tc>
        <w:tc>
          <w:tcPr>
            <w:tcW w:w="140" w:type="dxa"/>
            <w:vAlign w:val="bottom"/>
          </w:tcPr>
          <w:p>
            <w:pPr>
              <w:spacing w:after="0"/>
              <w:rPr>
                <w:sz w:val="12"/>
                <w:szCs w:val="12"/>
                <w:color w:val="auto"/>
              </w:rPr>
            </w:pPr>
          </w:p>
        </w:tc>
        <w:tc>
          <w:tcPr>
            <w:tcW w:w="13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28, 2014</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March 28, 2014</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March 28, 2014</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9"/>
              </w:rPr>
              <w:t>Incurred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54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2014-2015 Plan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During the first three quarters of fiscal 2014, our severance and benefits charges under the Fiscal 2014-2015 Plan primarily related to reductions in force in Santa Clara, California and several international locations. We intend to substantially complete the remaining restructuring activities under the Fiscal 2014-2015 Plan by the end of the second quarter of fiscal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Fiscal 2013-2014 Plan</w:t>
      </w:r>
    </w:p>
    <w:p>
      <w:pPr>
        <w:spacing w:after="0" w:line="17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During the fourth quarter of fiscal 2013, we initiated a restructuring plan (the “Fiscal 2013-2014 Plan”) to bring our cost structure in line with the changing business environment of the worldwide microwave radio and telecommunication markets, primarily in North America, Europe and Asia. Activities under the Fiscal 2013-2014 Plan include the downsizing of our Santa Clara, California headquarters and certain U.S. and international field offices, and reductions in force to reduce our operating expenses.</w:t>
      </w:r>
    </w:p>
    <w:p>
      <w:pPr>
        <w:spacing w:after="0" w:line="133"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following table summarizes our costs incurred during the third quarter and first three quarters of fiscal 2014, estimated additional costs to be incurred and estimated total costs expected to be incurred as of March 28, 2014 under the Fiscal 2013-2014 Plan:</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Costs Incurred</w:t>
            </w: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Costs Incurred</w:t>
            </w: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During Three Quarters</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During Quarter Ended</w:t>
            </w:r>
          </w:p>
        </w:tc>
        <w:tc>
          <w:tcPr>
            <w:tcW w:w="22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Costs to be</w:t>
            </w:r>
          </w:p>
        </w:tc>
        <w:tc>
          <w:tcPr>
            <w:tcW w:w="140" w:type="dxa"/>
            <w:vAlign w:val="bottom"/>
          </w:tcPr>
          <w:p>
            <w:pPr>
              <w:spacing w:after="0"/>
              <w:rPr>
                <w:sz w:val="12"/>
                <w:szCs w:val="12"/>
                <w:color w:val="auto"/>
              </w:rPr>
            </w:pPr>
          </w:p>
        </w:tc>
        <w:tc>
          <w:tcPr>
            <w:tcW w:w="13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28, 2014</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March 28, 2014</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March 28, 2014</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9"/>
              </w:rPr>
              <w:t>Incurred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Severance and benefits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420" w:type="dxa"/>
            <w:vAlign w:val="bottom"/>
          </w:tcPr>
          <w:p>
            <w:pPr>
              <w:ind w:left="700"/>
              <w:spacing w:after="0"/>
              <w:rPr>
                <w:sz w:val="20"/>
                <w:szCs w:val="20"/>
                <w:color w:val="auto"/>
              </w:rPr>
            </w:pPr>
            <w:r>
              <w:rPr>
                <w:rFonts w:ascii="Arial" w:cs="Arial" w:eastAsia="Arial" w:hAnsi="Arial"/>
                <w:sz w:val="18"/>
                <w:szCs w:val="18"/>
                <w:color w:val="auto"/>
              </w:rPr>
              <w:t>Facilities and other</w:t>
            </w:r>
          </w:p>
        </w:tc>
        <w:tc>
          <w:tcPr>
            <w:tcW w:w="18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for Fiscal 2013-2014 Plan</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During the first three quarters of fiscal 2014, our severance and benefits charges under the Fiscal 2013-2014 Plan primarily related to reductions in force in Santa Clara, California and several international locations. Facilities and other charges in the first three quarters of fiscal 2014 included obligations under a non-cancelable lease for facilities that we ceased to use at our Santa Clara, California headquarters and certain U.S. and international field offices. We intend to complete a majority of the remaining restructuring activities in fiscal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Plan</w:t>
      </w:r>
    </w:p>
    <w:p>
      <w:pPr>
        <w:spacing w:after="0" w:line="175"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During the first quarter of fiscal 2011, we initiated a restructuring plan (the “Fiscal 2011 Plan”) to reduce our operational costs. The Fiscal 2011 Plan was intended to bring our cost structure in line with the changing dynamics of the worldwide microwave radio and telecommunication markets, primarily in North America, Europe and Asia. Activities under the Fiscal 2011 Plan included reductions in force to reduce our operating expenses and the downsizing or closure of our Morrisville, North Carolina, Santa Clara, California, Montreal, Canada and certain international field offices. The initiatives under the Fiscal 2011 Plan were completed in fiscal 2013.</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costs incurred during the third quarter and first three quarters of fiscal 2013 and total costs incurred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Fiscal 2011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Costs Incurred During</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80" w:type="dxa"/>
            <w:vAlign w:val="bottom"/>
          </w:tcPr>
          <w:p>
            <w:pPr>
              <w:spacing w:after="0"/>
              <w:rPr>
                <w:sz w:val="14"/>
                <w:szCs w:val="14"/>
                <w:color w:val="auto"/>
              </w:rPr>
            </w:pPr>
          </w:p>
        </w:tc>
        <w:tc>
          <w:tcPr>
            <w:tcW w:w="152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w w:val="97"/>
              </w:rPr>
              <w:t>Total Restructuring</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During Three</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6"/>
              </w:rPr>
              <w:t>Quarter Ended March</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Quarters Ended</w:t>
            </w:r>
          </w:p>
        </w:tc>
        <w:tc>
          <w:tcPr>
            <w:tcW w:w="180" w:type="dxa"/>
            <w:vAlign w:val="bottom"/>
          </w:tcPr>
          <w:p>
            <w:pPr>
              <w:spacing w:after="0"/>
              <w:rPr>
                <w:sz w:val="12"/>
                <w:szCs w:val="12"/>
                <w:color w:val="auto"/>
              </w:rPr>
            </w:pPr>
          </w:p>
        </w:tc>
        <w:tc>
          <w:tcPr>
            <w:tcW w:w="1520" w:type="dxa"/>
            <w:vAlign w:val="bottom"/>
          </w:tcPr>
          <w:p>
            <w:pPr>
              <w:jc w:val="right"/>
              <w:ind w:right="317"/>
              <w:spacing w:after="0" w:line="149" w:lineRule="exact"/>
              <w:rPr>
                <w:sz w:val="20"/>
                <w:szCs w:val="20"/>
                <w:color w:val="auto"/>
              </w:rPr>
            </w:pPr>
            <w:r>
              <w:rPr>
                <w:rFonts w:ascii="Arial" w:cs="Arial" w:eastAsia="Arial" w:hAnsi="Arial"/>
                <w:sz w:val="14"/>
                <w:szCs w:val="14"/>
                <w:b w:val="1"/>
                <w:bCs w:val="1"/>
                <w:color w:val="auto"/>
              </w:rPr>
              <w:t>Costs Incurred</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477"/>
              <w:spacing w:after="0"/>
              <w:rPr>
                <w:sz w:val="20"/>
                <w:szCs w:val="20"/>
                <w:color w:val="auto"/>
              </w:rPr>
            </w:pPr>
            <w:r>
              <w:rPr>
                <w:rFonts w:ascii="Arial" w:cs="Arial" w:eastAsia="Arial" w:hAnsi="Arial"/>
                <w:sz w:val="14"/>
                <w:szCs w:val="14"/>
                <w:b w:val="1"/>
                <w:bCs w:val="1"/>
                <w:color w:val="auto"/>
              </w:rPr>
              <w:t>29, 2013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29, 2013</w:t>
            </w: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(Completed in Fiscal 2013)</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12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2011 Plan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During the first three quarters of fiscal 2013, we continued executing restructuring activities to reduce our operating costs worldwide under the Fiscal 2011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Liabilities</w:t>
      </w:r>
    </w:p>
    <w:p>
      <w:pPr>
        <w:spacing w:after="0" w:line="175"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Our restructuring liabilities consisted primarily of accrued severance and benefits as well as facilities restructuring reserves related to our office leases in California and North Carolina. The information in the following table summarizes the changes in our restructuring liabilities during the first three quarters of fiscal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9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Severance and</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Facilities and</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Benefits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liabilities as of June 28,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Provision and adjustments</w:t>
            </w: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Restructuring liabilities as of March 28, 2014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restructuring liabilities as of March 28, 2014</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Long-term portion included in other long-term liabilities as of March 28, 2014</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Divestiture</w:t>
      </w:r>
    </w:p>
    <w:p>
      <w:pPr>
        <w:spacing w:after="0" w:line="175"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In March 2011, our board of directors approved a plan for the sale of our WiMAX business. On September 2, 2011, we sold to EION Networks, Inc. (“EION”) our WiMAX business and related assets consisting of certain technology, inventory and equipment. As consideration for the sale of assets, EION agreed to pay us $0.4 million in cash and up to $2.8 million in additional cash payments contingent upon specific factors related to future WiMAX business performance. Currently we are not able to estimate the amount of consideration that we will receive beyond the $0.4 million nor the probability of any such payment. Accordingly, any future consideration will be recorded as a contingent gain in the period that it is received. As of March 28, 2014, we had received $0.1 million of such contingent payments. EION is also entitled to receive cash payments of up to $2.0 million upon collection of certain WiMAX accounts receivable. As of March 28, 2014, we have paid $1.6 million to EION and reduced $0.3 million of our liability to EION resulting from the write-down of the corresponding WiMAX accounts receivable. As of March 28, 2014 and June 28, 2013, our accrued liabilities related to the disposition of the WiMAX business were $0.1 million and $0.1 million, respectively.</w:t>
      </w:r>
    </w:p>
    <w:p>
      <w:pPr>
        <w:spacing w:after="0" w:line="12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third quarter of fiscal 2011, we began accounting for the WiMAX business as a discontinued operation and, therefore, the operating results of our WiMAX business are included in discontinued operations in our condensed consolidated financial statements for all periods presented. The loss incurred in the first three quarters of fiscal 2013 was primarily due to write-down of certain WiMAX deferred cost of sales that were not transferred to EION and certain expenses we incurred to support a remaining customer obligation. The income recognized in the first three quarters of fiscal 2014 was primarily due to the recovery of certain WiMAX deferred cost of sales that was previously written down.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4"/>
                <w:szCs w:val="14"/>
                <w:b w:val="1"/>
                <w:bCs w:val="1"/>
                <w:color w:val="auto"/>
                <w:w w:val="96"/>
              </w:rPr>
              <w:t>Quarter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March 28, 2014</w:t>
            </w:r>
          </w:p>
        </w:tc>
        <w:tc>
          <w:tcPr>
            <w:tcW w:w="160" w:type="dxa"/>
            <w:vAlign w:val="bottom"/>
          </w:tcPr>
          <w:p>
            <w:pPr>
              <w:spacing w:after="0"/>
              <w:rPr>
                <w:sz w:val="13"/>
                <w:szCs w:val="13"/>
                <w:color w:val="auto"/>
              </w:rPr>
            </w:pPr>
          </w:p>
        </w:tc>
        <w:tc>
          <w:tcPr>
            <w:tcW w:w="12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8"/>
              </w:rPr>
              <w:t>March 29, 2013</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gridSpan w:val="3"/>
          </w:tcPr>
          <w:p>
            <w:pPr>
              <w:jc w:val="right"/>
              <w:ind w:right="174"/>
              <w:spacing w:after="0"/>
              <w:rPr>
                <w:sz w:val="20"/>
                <w:szCs w:val="20"/>
                <w:color w:val="auto"/>
              </w:rPr>
            </w:pPr>
            <w:r>
              <w:rPr>
                <w:rFonts w:ascii="Arial" w:cs="Arial" w:eastAsia="Arial" w:hAnsi="Arial"/>
                <w:sz w:val="14"/>
                <w:szCs w:val="14"/>
                <w:b w:val="1"/>
                <w:bCs w:val="1"/>
                <w:color w:val="auto"/>
                <w:w w:val="94"/>
              </w:rPr>
              <w:t>(In millions)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(loss) from operations related to WiMAX</w:t>
            </w:r>
          </w:p>
        </w:tc>
        <w:tc>
          <w:tcPr>
            <w:tcW w:w="1080" w:type="dxa"/>
            <w:vAlign w:val="bottom"/>
            <w:tcBorders>
              <w:top w:val="single" w:sz="8" w:color="auto"/>
            </w:tcBorders>
          </w:tcPr>
          <w:p>
            <w:pPr>
              <w:jc w:val="right"/>
              <w:ind w:right="87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disposal</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08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Income (loss) from discontinued operations</w:t>
            </w: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Stock Equity Plan and Activities</w:t>
      </w:r>
    </w:p>
    <w:p>
      <w:pPr>
        <w:spacing w:after="0" w:line="175"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As of March 28, 2014, we had one stock incentive plan for our employees and nonemployee directors, the 2007 Stock Equity Plan, as amended and restated effective November 17, 2011 (the “2007 Stock Plan”). The 2007 Stock Plan provides for accelerated vesting of certain share-based awards if there is a change in control of the Company. The 2007 Stock Plan also provides for the issuance of share-based awards in the form of stock options, stock appreciation rights, restricted stock awards and units, and performance share awards and units. We have various incentive programs under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26" w:right="239" w:bottom="1440" w:gutter="0" w:footer="0" w:header="0"/>
        </w:sectPr>
      </w:pPr>
    </w:p>
    <w:bookmarkStart w:id="14" w:name="page15"/>
    <w:bookmarkEnd w:id="14"/>
    <w:p>
      <w:pPr>
        <w:ind w:right="480"/>
        <w:spacing w:after="0" w:line="277" w:lineRule="auto"/>
        <w:rPr>
          <w:sz w:val="20"/>
          <w:szCs w:val="20"/>
          <w:color w:val="auto"/>
        </w:rPr>
      </w:pPr>
      <w:r>
        <w:rPr>
          <w:rFonts w:ascii="Arial" w:cs="Arial" w:eastAsia="Arial" w:hAnsi="Arial"/>
          <w:sz w:val="18"/>
          <w:szCs w:val="18"/>
          <w:color w:val="auto"/>
        </w:rPr>
        <w:t>the 2007 Stock Plan, including annual and long-term incentive programs ("AIP" or "LTIP"), a global equity program ("GEP") and product development incentive programs (“PDIP”).</w:t>
      </w:r>
    </w:p>
    <w:p>
      <w:pPr>
        <w:spacing w:after="0" w:line="116"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Under the 2007 Stock Plan, option exercise prices are equal to the fair market value on the date the options are granted using our closing stock price. Options may be exercised for a period set at the time of grant, which is generally seven years after the date of grant. Options generally vest in installments on one of three vesting schedules: (1) 50% one year from the grant date and 25% each year thereafter over a three-year period from the date of grant; (2) one-third annually over a three-year period from the date of grant; or (3) one-fourth annually over a four-year period from date of grant. Stock options are issued to directors annually and generally vest in one year from the grant date.</w:t>
      </w:r>
    </w:p>
    <w:p>
      <w:pPr>
        <w:spacing w:after="0" w:line="119"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Restricted stock is not transferable until vested and the restrictions lapse upon the achievement of continued employment or service over a specified time period. Restricted stock issued to employees generally vests either one-third annually over a three-year period from the date of grant or in full three years after the grant date. Restricted stock is issued to directors annually and generally vests in full one year from the grant date.</w:t>
      </w:r>
    </w:p>
    <w:p>
      <w:pPr>
        <w:spacing w:after="0" w:line="111" w:lineRule="exact"/>
        <w:rPr>
          <w:sz w:val="20"/>
          <w:szCs w:val="20"/>
          <w:color w:val="auto"/>
        </w:rPr>
      </w:pPr>
    </w:p>
    <w:p>
      <w:pPr>
        <w:jc w:val="both"/>
        <w:ind w:right="320" w:firstLine="432"/>
        <w:spacing w:after="0" w:line="259" w:lineRule="auto"/>
        <w:rPr>
          <w:sz w:val="20"/>
          <w:szCs w:val="20"/>
          <w:color w:val="auto"/>
        </w:rPr>
      </w:pPr>
      <w:r>
        <w:rPr>
          <w:rFonts w:ascii="Arial" w:cs="Arial" w:eastAsia="Arial" w:hAnsi="Arial"/>
          <w:sz w:val="18"/>
          <w:szCs w:val="18"/>
          <w:color w:val="auto"/>
        </w:rPr>
        <w:t>Vesting of performance shares under our AIP, LTIP or GEP is subject to financial performance criteria including revenue, operating income, or cash flow targets for the periods as defined in the programs and continued employment through the end of the applicable period. Performance shares under our PDIPs are issued to employees related to certain new product development projects and vest upon achievement of the product development milestones as defined in the programs.</w:t>
      </w:r>
    </w:p>
    <w:p>
      <w:pPr>
        <w:spacing w:after="0" w:line="13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During the first three quarters of fiscal 2014, we granted options to purchase 2,263,978 shares of our common stock to employees under our 2007 Stock Plan. During the first three quarters of fiscal 2014, 1,121,128 performance shares vested upon the achievement of financial performance targets and 367,874 performance shares were canceled because the performance target threshold were not met.</w:t>
      </w:r>
    </w:p>
    <w:p>
      <w:pPr>
        <w:spacing w:after="0" w:line="12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Upon the exercise of stock options, vesting of restricted stock awards and units, or vesting of performance share awards and units, we issue new shares of our common stock to our employees. All awards that are canceled prior to vesting or expire unexercised are returned to the approved pool of reserved shares under the 2007 Stock Plan and made available for future grants. Shares of our common stock remaining available for future issuance under the 2007 Stock Plan totaled 3,314,165 as of March 28,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Total compensation expense for share-based awards included in our condensed consolidated statements of operations for the third quarter of fiscal 2014 and 2013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w w:val="96"/>
              </w:rPr>
              <w:t>Quarter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Three Quarters Ended</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380" w:type="dxa"/>
            <w:vAlign w:val="bottom"/>
            <w:tcBorders>
              <w:bottom w:val="single" w:sz="8" w:color="CCEEFF"/>
            </w:tcBorders>
            <w:gridSpan w:val="4"/>
            <w:vMerge w:val="continue"/>
          </w:tcPr>
          <w:p>
            <w:pPr>
              <w:spacing w:after="0"/>
              <w:rPr>
                <w:sz w:val="16"/>
                <w:szCs w:val="16"/>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3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380" w:type="dxa"/>
            <w:vAlign w:val="bottom"/>
            <w:gridSpan w:val="4"/>
          </w:tcPr>
          <w:p>
            <w:pPr>
              <w:ind w:left="40"/>
              <w:spacing w:after="0"/>
              <w:rPr>
                <w:sz w:val="20"/>
                <w:szCs w:val="20"/>
                <w:color w:val="auto"/>
              </w:rPr>
            </w:pPr>
            <w:r>
              <w:rPr>
                <w:rFonts w:ascii="Arial" w:cs="Arial" w:eastAsia="Arial" w:hAnsi="Arial"/>
                <w:sz w:val="18"/>
                <w:szCs w:val="18"/>
                <w:color w:val="auto"/>
              </w:rPr>
              <w:t>Cost of product sales and services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0" w:type="dxa"/>
            <w:vAlign w:val="bottom"/>
          </w:tcPr>
          <w:p>
            <w:pPr>
              <w:jc w:val="right"/>
              <w:ind w:right="798"/>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0.2</w:t>
            </w:r>
          </w:p>
        </w:tc>
        <w:tc>
          <w:tcPr>
            <w:tcW w:w="120" w:type="dxa"/>
            <w:vAlign w:val="bottom"/>
          </w:tcPr>
          <w:p>
            <w:pPr>
              <w:spacing w:after="0"/>
              <w:rPr>
                <w:sz w:val="21"/>
                <w:szCs w:val="21"/>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0.7</w:t>
            </w:r>
          </w:p>
        </w:tc>
        <w:tc>
          <w:tcPr>
            <w:tcW w:w="0" w:type="dxa"/>
            <w:vAlign w:val="bottom"/>
          </w:tcPr>
          <w:p>
            <w:pPr>
              <w:spacing w:after="0"/>
              <w:rPr>
                <w:sz w:val="1"/>
                <w:szCs w:val="1"/>
                <w:color w:val="auto"/>
              </w:rPr>
            </w:pPr>
          </w:p>
        </w:tc>
      </w:tr>
      <w:tr>
        <w:trPr>
          <w:trHeight w:val="243"/>
        </w:trPr>
        <w:tc>
          <w:tcPr>
            <w:tcW w:w="538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06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2.4</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4.7</w:t>
            </w:r>
          </w:p>
        </w:tc>
        <w:tc>
          <w:tcPr>
            <w:tcW w:w="0" w:type="dxa"/>
            <w:vAlign w:val="bottom"/>
          </w:tcPr>
          <w:p>
            <w:pPr>
              <w:spacing w:after="0"/>
              <w:rPr>
                <w:sz w:val="1"/>
                <w:szCs w:val="1"/>
                <w:color w:val="auto"/>
              </w:rPr>
            </w:pPr>
          </w:p>
        </w:tc>
      </w:tr>
      <w:tr>
        <w:trPr>
          <w:trHeight w:val="20"/>
        </w:trPr>
        <w:tc>
          <w:tcPr>
            <w:tcW w:w="53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gridSpan w:val="4"/>
            <w:vMerge w:val="continue"/>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8"/>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43"/>
        </w:trPr>
        <w:tc>
          <w:tcPr>
            <w:tcW w:w="5380" w:type="dxa"/>
            <w:vAlign w:val="bottom"/>
            <w:gridSpan w:val="4"/>
          </w:tcPr>
          <w:p>
            <w:pPr>
              <w:ind w:left="40"/>
              <w:spacing w:after="0"/>
              <w:rPr>
                <w:sz w:val="20"/>
                <w:szCs w:val="20"/>
                <w:color w:val="auto"/>
              </w:rPr>
            </w:pPr>
            <w:r>
              <w:rPr>
                <w:rFonts w:ascii="Arial" w:cs="Arial" w:eastAsia="Arial" w:hAnsi="Arial"/>
                <w:sz w:val="18"/>
                <w:szCs w:val="18"/>
                <w:color w:val="auto"/>
              </w:rPr>
              <w:t>Restricted stock awards and units</w:t>
            </w:r>
          </w:p>
        </w:tc>
        <w:tc>
          <w:tcPr>
            <w:tcW w:w="106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34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2.8</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As of March 28, 2014, there was $3.5 million of total unrecognized compensation expense related to nonvested share-based awards granted under our 2007 Stock Plan. This expense is expected to be recognized over a weighted-average period of 1.9 years. The fair value of each option grant under our 2007 Stock Plan was estimated using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ind w:right="40"/>
        <w:spacing w:after="0" w:line="277" w:lineRule="auto"/>
        <w:rPr>
          <w:sz w:val="20"/>
          <w:szCs w:val="20"/>
          <w:color w:val="auto"/>
        </w:rPr>
      </w:pPr>
      <w:r>
        <w:rPr>
          <w:rFonts w:ascii="Arial" w:cs="Arial" w:eastAsia="Arial" w:hAnsi="Arial"/>
          <w:sz w:val="18"/>
          <w:szCs w:val="18"/>
          <w:color w:val="auto"/>
        </w:rPr>
        <w:t>Black-Scholes option pricing model on the date of grant. A summary of the significant weighted average assumptions we used in the Black-Scholes valuation model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5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3"/>
                <w:szCs w:val="13"/>
                <w:color w:val="auto"/>
              </w:rPr>
            </w:pPr>
          </w:p>
        </w:tc>
        <w:tc>
          <w:tcPr>
            <w:tcW w:w="11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5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2013</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9"/>
              </w:rPr>
              <w:t>—%</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w w:val="93"/>
              </w:rPr>
              <w:t>52.5%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w w:val="93"/>
              </w:rPr>
              <w:t>57.7%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w w:val="93"/>
              </w:rPr>
              <w:t>54.1%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w w:val="93"/>
              </w:rPr>
              <w:t>64.9%</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3"/>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3"/>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3"/>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3"/>
              </w:rPr>
              <w:t>0.49%</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26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4.33</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1.30</w:t>
            </w:r>
          </w:p>
        </w:tc>
      </w:tr>
      <w:tr>
        <w:trPr>
          <w:trHeight w:val="27"/>
        </w:trPr>
        <w:tc>
          <w:tcPr>
            <w:tcW w:w="5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and Geographic Information</w:t>
      </w:r>
    </w:p>
    <w:p>
      <w:pPr>
        <w:spacing w:after="0" w:line="17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 (the “CODM”).</w:t>
      </w:r>
    </w:p>
    <w:p>
      <w:pPr>
        <w:spacing w:after="0" w:line="12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third quarter and first three quarters of fiscal 2014 and 2013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Quarters Ended</w:t>
            </w:r>
          </w:p>
        </w:tc>
      </w:tr>
      <w:tr>
        <w:trPr>
          <w:trHeight w:val="264"/>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28, 2014</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29, 2013</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28, 2014</w:t>
            </w:r>
          </w:p>
        </w:tc>
        <w:tc>
          <w:tcPr>
            <w:tcW w:w="140" w:type="dxa"/>
            <w:vAlign w:val="bottom"/>
          </w:tcPr>
          <w:p>
            <w:pPr>
              <w:spacing w:after="0"/>
              <w:rPr>
                <w:sz w:val="22"/>
                <w:szCs w:val="22"/>
                <w:color w:val="auto"/>
              </w:rPr>
            </w:pPr>
          </w:p>
        </w:tc>
        <w:tc>
          <w:tcPr>
            <w:tcW w:w="1120" w:type="dxa"/>
            <w:vAlign w:val="bottom"/>
          </w:tcPr>
          <w:p>
            <w:pPr>
              <w:jc w:val="right"/>
              <w:ind w:right="73"/>
              <w:spacing w:after="0"/>
              <w:rPr>
                <w:sz w:val="20"/>
                <w:szCs w:val="20"/>
                <w:color w:val="auto"/>
              </w:rPr>
            </w:pPr>
            <w:r>
              <w:rPr>
                <w:rFonts w:ascii="Arial" w:cs="Arial" w:eastAsia="Arial" w:hAnsi="Arial"/>
                <w:sz w:val="14"/>
                <w:szCs w:val="14"/>
                <w:b w:val="1"/>
                <w:bCs w:val="1"/>
                <w:color w:val="auto"/>
                <w:w w:val="94"/>
              </w:rPr>
              <w:t>March 29, 2013</w:t>
            </w: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133.0</w:t>
            </w:r>
          </w:p>
        </w:tc>
      </w:tr>
      <w:tr>
        <w:trPr>
          <w:trHeight w:val="243"/>
        </w:trPr>
        <w:tc>
          <w:tcPr>
            <w:tcW w:w="582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1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150.6</w:t>
            </w: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w:t>
            </w:r>
          </w:p>
        </w:tc>
      </w:tr>
      <w:tr>
        <w:trPr>
          <w:trHeight w:val="243"/>
        </w:trPr>
        <w:tc>
          <w:tcPr>
            <w:tcW w:w="582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1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47.7</w:t>
            </w: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362.3</w:t>
            </w: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During the third quarter and first three quarters of fiscal 2014 and 2013, we had one international customer in Africa (Mobile Telephone Networks Group or "MTN Group") that accounted for more than 10% of our total revenue. MTN Group also accounted for more than 10% of our accounts receivable at March 28, 2014 and June 28,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 During interim periods, we accrue tax expenses for foreign jurisdictions that are anticipated to be profitable for fiscal 2014.</w:t>
      </w:r>
    </w:p>
    <w:p>
      <w:pPr>
        <w:spacing w:after="0" w:line="12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determination of our provision for the third quarter and first three quarters of fiscal 2014 and 2013 was based on our estimated annual effective tax rate adjusted for losses in certain jurisdictions for which no tax benefit can be recognized. The tax expense for the third quarter and first three quarters of fiscal 2014 was primarily attributable to tax expense related to profitable foreign subsidiaries, partially offset by the adjustment to tax reserves in connection with a local country examination.</w:t>
      </w:r>
    </w:p>
    <w:p>
      <w:pPr>
        <w:spacing w:after="0" w:line="133"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and Nigeria. The earliest years that are open and subject to potential audits for these jurisdictions are as follows: U.S. — 2003; Singapore — 2006; and Nigeria — 2004.</w:t>
      </w:r>
    </w:p>
    <w:p>
      <w:pPr>
        <w:spacing w:after="0" w:line="127"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Prior to fiscal 2014, we received several assessments from the taxing authorities in various foreign countries challenging certain tax positions recognized in those jurisdictions. During the second quarter of fiscal 2014, we received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6" w:name="page17"/>
    <w:bookmarkEnd w:id="16"/>
    <w:p>
      <w:pPr>
        <w:ind w:right="60"/>
        <w:spacing w:after="0" w:line="257" w:lineRule="auto"/>
        <w:rPr>
          <w:sz w:val="20"/>
          <w:szCs w:val="20"/>
          <w:color w:val="auto"/>
        </w:rPr>
      </w:pPr>
      <w:r>
        <w:rPr>
          <w:rFonts w:ascii="Arial" w:cs="Arial" w:eastAsia="Arial" w:hAnsi="Arial"/>
          <w:sz w:val="18"/>
          <w:szCs w:val="18"/>
          <w:color w:val="auto"/>
        </w:rPr>
        <w:t>a revised assessment letter from the Inland Revenue Authority of Singapore (“Singapore”). Based on this latest assessment letter and in accordance with the local tax law, we made a prepayment of $13.2 million related to tax years 2007 through 2010, reflecting all of the taxes incrementally assessed by Singapore. We continue to believe that our tax positions in Singapore are defensible and we continue to pursue remedies to object to this assessment. As the result of this most recent assessment, we recognized a discrete tax benefit of $0.9 million in the second quarter of fiscal 2014 in order to reduce tax reserves to the total amount due under the assessment.</w:t>
      </w:r>
    </w:p>
    <w:p>
      <w:pPr>
        <w:spacing w:after="0" w:line="134"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We are also under examination by the Federal Inland Revenue Service (“Nigeria”) for fiscal year 2005 through 2010. While we cannot predict the ultimate outcome of the examination, we believe our current ASC 740-10 reserve is sufficient to cover any potential assessment. The Nigeria audit covers fiscal 2004 through 2010.</w:t>
      </w:r>
    </w:p>
    <w:p>
      <w:pPr>
        <w:spacing w:after="0" w:line="127"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We account for interest and penalties related to unrecognized tax benefits as part of our provision for federal, foreign, and state income taxes. During the third quarter and first three quarters of fiscal 2014, we accrued $0.2 million and $0.7 million of additional interest,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As of March 28, 2014, future minimum lease payments for our headquarters total $15.7 million through April 2020. We vacated approximately half of our Santa Clara headquarters building and made it available for sublease at September 27, 2013.</w:t>
      </w:r>
    </w:p>
    <w:p>
      <w:pPr>
        <w:spacing w:after="0" w:line="13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March 28, 2014, our future minimum lease payments under all non-cancelable operating leases with an initial lease term in excess of one year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39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(one quarter remaining)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4.5</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2.8</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Thereafter (through April 2020)</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5.1</w:t>
            </w:r>
          </w:p>
        </w:tc>
      </w:tr>
      <w:tr>
        <w:trPr>
          <w:trHeight w:val="27"/>
        </w:trPr>
        <w:tc>
          <w:tcPr>
            <w:tcW w:w="9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r>
      <w:tr>
        <w:trPr>
          <w:trHeight w:val="20"/>
        </w:trPr>
        <w:tc>
          <w:tcPr>
            <w:tcW w:w="9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 We sublease a portion of our facilities to third parties and total minimum rentals to be received in the future under our noncancelable subleases was $0.3 million as of March 28, 2014.</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Rental expense for operating leases, including rentals on a month-to-month basis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Quarter Ended</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6060" w:type="dxa"/>
            <w:vAlign w:val="bottom"/>
          </w:tcPr>
          <w:p>
            <w:pPr>
              <w:spacing w:after="0"/>
              <w:rPr>
                <w:sz w:val="13"/>
                <w:szCs w:val="13"/>
                <w:color w:val="auto"/>
              </w:rPr>
            </w:pPr>
          </w:p>
        </w:tc>
        <w:tc>
          <w:tcPr>
            <w:tcW w:w="940" w:type="dxa"/>
            <w:vAlign w:val="bottom"/>
          </w:tcPr>
          <w:p>
            <w:pPr>
              <w:jc w:val="center"/>
              <w:ind w:left="204"/>
              <w:spacing w:after="0" w:line="153" w:lineRule="exact"/>
              <w:rPr>
                <w:sz w:val="20"/>
                <w:szCs w:val="20"/>
                <w:color w:val="auto"/>
              </w:rPr>
            </w:pPr>
            <w:r>
              <w:rPr>
                <w:rFonts w:ascii="Arial" w:cs="Arial" w:eastAsia="Arial" w:hAnsi="Arial"/>
                <w:sz w:val="14"/>
                <w:szCs w:val="14"/>
                <w:b w:val="1"/>
                <w:bCs w:val="1"/>
                <w:color w:val="auto"/>
                <w:w w:val="95"/>
              </w:rPr>
              <w:t>March 28,</w:t>
            </w:r>
          </w:p>
        </w:tc>
        <w:tc>
          <w:tcPr>
            <w:tcW w:w="340" w:type="dxa"/>
            <w:vAlign w:val="bottom"/>
          </w:tcPr>
          <w:p>
            <w:pPr>
              <w:spacing w:after="0"/>
              <w:rPr>
                <w:sz w:val="13"/>
                <w:szCs w:val="13"/>
                <w:color w:val="auto"/>
              </w:rPr>
            </w:pPr>
          </w:p>
        </w:tc>
        <w:tc>
          <w:tcPr>
            <w:tcW w:w="1020" w:type="dxa"/>
            <w:vAlign w:val="bottom"/>
          </w:tcPr>
          <w:p>
            <w:pPr>
              <w:jc w:val="center"/>
              <w:ind w:left="322"/>
              <w:spacing w:after="0" w:line="153" w:lineRule="exact"/>
              <w:rPr>
                <w:sz w:val="20"/>
                <w:szCs w:val="20"/>
                <w:color w:val="auto"/>
              </w:rPr>
            </w:pPr>
            <w:r>
              <w:rPr>
                <w:rFonts w:ascii="Arial" w:cs="Arial" w:eastAsia="Arial" w:hAnsi="Arial"/>
                <w:sz w:val="14"/>
                <w:szCs w:val="14"/>
                <w:b w:val="1"/>
                <w:bCs w:val="1"/>
                <w:color w:val="auto"/>
                <w:w w:val="95"/>
              </w:rPr>
              <w:t>March 29,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64"/>
              <w:spacing w:after="0" w:line="153" w:lineRule="exact"/>
              <w:rPr>
                <w:sz w:val="20"/>
                <w:szCs w:val="20"/>
                <w:color w:val="auto"/>
              </w:rPr>
            </w:pPr>
            <w:r>
              <w:rPr>
                <w:rFonts w:ascii="Arial" w:cs="Arial" w:eastAsia="Arial" w:hAnsi="Arial"/>
                <w:sz w:val="14"/>
                <w:szCs w:val="14"/>
                <w:b w:val="1"/>
                <w:bCs w:val="1"/>
                <w:color w:val="auto"/>
                <w:w w:val="95"/>
              </w:rPr>
              <w:t>March 28,</w:t>
            </w:r>
          </w:p>
        </w:tc>
        <w:tc>
          <w:tcPr>
            <w:tcW w:w="320" w:type="dxa"/>
            <w:vAlign w:val="bottom"/>
          </w:tcPr>
          <w:p>
            <w:pPr>
              <w:spacing w:after="0"/>
              <w:rPr>
                <w:sz w:val="13"/>
                <w:szCs w:val="13"/>
                <w:color w:val="auto"/>
              </w:rPr>
            </w:pPr>
          </w:p>
        </w:tc>
        <w:tc>
          <w:tcPr>
            <w:tcW w:w="104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5"/>
              </w:rPr>
              <w:t>March 29,</w:t>
            </w:r>
          </w:p>
        </w:tc>
      </w:tr>
      <w:tr>
        <w:trPr>
          <w:trHeight w:val="192"/>
        </w:trPr>
        <w:tc>
          <w:tcPr>
            <w:tcW w:w="6060" w:type="dxa"/>
            <w:vAlign w:val="bottom"/>
          </w:tcPr>
          <w:p>
            <w:pPr>
              <w:spacing w:after="0"/>
              <w:rPr>
                <w:sz w:val="16"/>
                <w:szCs w:val="16"/>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2013</w:t>
            </w:r>
          </w:p>
        </w:tc>
      </w:tr>
      <w:tr>
        <w:trPr>
          <w:trHeight w:val="196"/>
        </w:trPr>
        <w:tc>
          <w:tcPr>
            <w:tcW w:w="6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0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2.1</w:t>
            </w:r>
          </w:p>
        </w:tc>
        <w:tc>
          <w:tcPr>
            <w:tcW w:w="10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6.4</w:t>
            </w:r>
          </w:p>
        </w:tc>
      </w:tr>
      <w:tr>
        <w:trPr>
          <w:trHeight w:val="27"/>
        </w:trPr>
        <w:tc>
          <w:tcPr>
            <w:tcW w:w="6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From time to time in the normal course of business we may enter into purchasing agreements with our suppliers that require us to accept delivery of, and remit full payment for, finished products that we have ordered, finished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7" w:name="page18"/>
    <w:bookmarkEnd w:id="17"/>
    <w:p>
      <w:pPr>
        <w:ind w:right="20"/>
        <w:spacing w:after="0" w:line="255" w:lineRule="auto"/>
        <w:rPr>
          <w:sz w:val="20"/>
          <w:szCs w:val="20"/>
          <w:color w:val="auto"/>
        </w:rPr>
      </w:pPr>
      <w:r>
        <w:rPr>
          <w:rFonts w:ascii="Arial" w:cs="Arial" w:eastAsia="Arial" w:hAnsi="Arial"/>
          <w:sz w:val="18"/>
          <w:szCs w:val="18"/>
          <w:color w:val="auto"/>
        </w:rPr>
        <w:t>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March 28, 2014, we had outstanding purchase obligations with our suppliers or contract manufacturers of $38.5 million. In addition, we had contractual obligations of approximately $0.9 million associated with major capital purchases and service agreements as of March 28,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90"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March 28, 2014, we had no guarantees applicable to our debt arrangements.</w:t>
      </w:r>
    </w:p>
    <w:p>
      <w:pPr>
        <w:spacing w:after="0" w:line="3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March 28, 2014, we had commercial commitments of $52.2 million outstanding that were not recorded on our consolidated balance sheets. We do not believe, based on historical experience and information currently available, that it is probable that any amounts will be required to be paid on the performance guarantees.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March 28, 2014,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March 28, 2014, we had not recorded any liabilities related to these indemnifications.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90"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Our Singapore subsidiary is in the process of evaluating its historical compliance with certain export regulations in Singapore. Depending on the results of this evaluation, we may take additional actions to ensure our compliance with these regulations in the future. As part of these additional actions, we could elect to make certain voluntary disclosures, which may, in certain circumstances, result in the imposition of various fines and penalties. Any fines and penalties will be based on the specific facts and findings of our evaluation, as well as negotiation with Singapore authorities. At this time, we cannot estimate the amount or range of any fines and penalties, if any should be imposed.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ind w:right="20" w:firstLine="432"/>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and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13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our liquidity;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00" w:right="6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46" w:right="259" w:bottom="1440" w:gutter="0" w:footer="0" w:header="0"/>
        </w:sectPr>
      </w:pPr>
    </w:p>
    <w:bookmarkStart w:id="19" w:name="page20"/>
    <w:bookmarkEnd w:id="19"/>
    <w:p>
      <w:pPr>
        <w:ind w:left="900" w:hanging="325"/>
        <w:spacing w:after="0"/>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effects of currency and interest rate risks; and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2013 Annual Report on Form 10-K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forward-looking statements to reflect further developments or information obtained after the date of filing of this Quarterly Report on Form 10-Q or, in the case of any document incorporated by reference, the date of that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Business; Operating Environment and Key Factors Impacting Fiscal 2013 and 2014 Results</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June 27, 2014 is referred to as “fiscal 2014” or “2014” and fiscal year ended June 28, 2013 as “fiscal 2013” or “2013”.</w:t>
      </w:r>
    </w:p>
    <w:p>
      <w:pPr>
        <w:spacing w:after="0" w:line="133" w:lineRule="exact"/>
        <w:rPr>
          <w:sz w:val="20"/>
          <w:szCs w:val="20"/>
          <w:color w:val="auto"/>
        </w:rPr>
      </w:pPr>
    </w:p>
    <w:p>
      <w:pPr>
        <w:ind w:right="280" w:firstLine="432"/>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2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7" w:lineRule="exact"/>
        <w:rPr>
          <w:sz w:val="20"/>
          <w:szCs w:val="20"/>
          <w:color w:val="auto"/>
        </w:rPr>
      </w:pPr>
    </w:p>
    <w:p>
      <w:pPr>
        <w:ind w:right="420" w:firstLine="432"/>
        <w:spacing w:after="0" w:line="302" w:lineRule="auto"/>
        <w:rPr>
          <w:sz w:val="20"/>
          <w:szCs w:val="20"/>
          <w:color w:val="auto"/>
        </w:rPr>
      </w:pPr>
      <w:r>
        <w:rPr>
          <w:rFonts w:ascii="Arial" w:cs="Arial" w:eastAsia="Arial" w:hAnsi="Arial"/>
          <w:sz w:val="16"/>
          <w:szCs w:val="16"/>
          <w:color w:val="auto"/>
        </w:rPr>
        <w:t>Our strategic focus in fiscal 2014 will be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0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 and other factors.</w:t>
      </w:r>
    </w:p>
    <w:p>
      <w:pPr>
        <w:spacing w:after="0" w:line="124"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During fiscal 2014,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38"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Operations Review</w:t>
      </w:r>
    </w:p>
    <w:p>
      <w:pPr>
        <w:spacing w:after="0" w:line="283"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Internationally, our business continued to rely on a combination of customers increasing their capacity to handle 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2013 Annual Report on Form 10-K, a number of factors could prevent us from achieving our objectives, including ongoing pricing pressures attributable to competition and macroeconomic conditions in the geographic markets that we service.</w:t>
      </w:r>
    </w:p>
    <w:p>
      <w:pPr>
        <w:spacing w:after="0" w:line="12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During the third quarter of fiscal 2014, in line with the decrease in revenue that we experienced and our reduced forecast for the immediate future, we announced a new restructuring plan. Our restructuring expenses incurred during the first three quarters of fiscal 2014 related to our Fiscal 2014-2015 Plan and Fiscal 2013-2014 Plan. We intend to complete a majority of the remaining restructuring activities under the current plans by the end of second quarter of fiscal 2015. See “Restructuring Charges”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Africa and Middle East, Europe and Russia, and Latin America and Asia Pacific. Revenue by region for the third quarter and first three quarters of fiscal 2014 and 2013 and the related changes are shown in the table below:</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Three Quarters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28, 2014</w:t>
            </w:r>
          </w:p>
        </w:tc>
        <w:tc>
          <w:tcPr>
            <w:tcW w:w="100" w:type="dxa"/>
            <w:vAlign w:val="bottom"/>
            <w:vMerge w:val="restart"/>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29, 2013</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3"/>
                <w:szCs w:val="13"/>
                <w:color w:val="auto"/>
              </w:rPr>
            </w:pP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28, 2014</w:t>
            </w:r>
          </w:p>
        </w:tc>
        <w:tc>
          <w:tcPr>
            <w:tcW w:w="120" w:type="dxa"/>
            <w:vAlign w:val="bottom"/>
            <w:vMerge w:val="restart"/>
          </w:tcPr>
          <w:p>
            <w:pPr>
              <w:spacing w:after="0"/>
              <w:rPr>
                <w:sz w:val="13"/>
                <w:szCs w:val="13"/>
                <w:color w:val="auto"/>
              </w:rPr>
            </w:pPr>
          </w:p>
        </w:tc>
        <w:tc>
          <w:tcPr>
            <w:tcW w:w="112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March 29, 2013</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335"/>
              <w:spacing w:after="0" w:line="153"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36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2320" w:type="dxa"/>
            <w:vAlign w:val="bottom"/>
          </w:tcPr>
          <w:p>
            <w:pPr>
              <w:ind w:left="40"/>
              <w:spacing w:after="0"/>
              <w:rPr>
                <w:sz w:val="20"/>
                <w:szCs w:val="20"/>
                <w:color w:val="auto"/>
              </w:rPr>
            </w:pPr>
            <w:r>
              <w:rPr>
                <w:rFonts w:ascii="Arial" w:cs="Arial" w:eastAsia="Arial" w:hAnsi="Arial"/>
                <w:sz w:val="18"/>
                <w:szCs w:val="18"/>
                <w:color w:val="auto"/>
              </w:rPr>
              <w:t>Latin America and Asia</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40"/>
              <w:spacing w:after="0"/>
              <w:rPr>
                <w:sz w:val="20"/>
                <w:szCs w:val="20"/>
                <w:color w:val="auto"/>
              </w:rPr>
            </w:pPr>
            <w:r>
              <w:rPr>
                <w:rFonts w:ascii="Arial" w:cs="Arial" w:eastAsia="Arial" w:hAnsi="Arial"/>
                <w:sz w:val="18"/>
                <w:szCs w:val="18"/>
                <w:color w:val="auto"/>
              </w:rPr>
              <w:t>Pacific</w:t>
            </w:r>
          </w:p>
        </w:tc>
        <w:tc>
          <w:tcPr>
            <w:tcW w:w="4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revenue in North America decreased $15.5 million, or 29.3%, during the third quarter of fiscal 2014 compared with the same quarter of fiscal 2013. Revenue from wireless operator customers was down as they reach completion of their LTE network building period and we expect this trend to continue in the near term. We also saw lower revenue from private government and utility networks due to the timing of purchases and project deliveries to those customers. On a year-to-date basis, North America revenue is down $28.1 million, or 21.1%, compared to the same period in fiscal 2013 for the same reasons as the quarter volumes are down from the prior year.</w:t>
      </w:r>
    </w:p>
    <w:p>
      <w:pPr>
        <w:spacing w:after="0" w:line="134"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Our revenue in Africa and Middle East was down $16.0 million, or 42.4%, for the third quarter of fiscal 2014 compared with the same quarter of fiscal 2013. The majority of this decrease was from our business in Africa, where our customers continued to closely manage their capital spending. On a year-to-date basis, Africa and Middle East revenue was down $65.9 million, or 43.8%, from the same period in fiscal 2013, mostly from reduced capital spending by our largest customer in the region.</w:t>
      </w:r>
    </w:p>
    <w:p>
      <w:pPr>
        <w:spacing w:after="0" w:line="133" w:lineRule="exact"/>
        <w:rPr>
          <w:sz w:val="20"/>
          <w:szCs w:val="20"/>
          <w:color w:val="auto"/>
        </w:rPr>
      </w:pPr>
    </w:p>
    <w:p>
      <w:pPr>
        <w:jc w:val="both"/>
        <w:ind w:right="420" w:firstLine="405"/>
        <w:spacing w:after="0" w:line="312" w:lineRule="auto"/>
        <w:rPr>
          <w:sz w:val="20"/>
          <w:szCs w:val="20"/>
          <w:color w:val="auto"/>
        </w:rPr>
      </w:pPr>
      <w:r>
        <w:rPr>
          <w:rFonts w:ascii="Arial" w:cs="Arial" w:eastAsia="Arial" w:hAnsi="Arial"/>
          <w:sz w:val="16"/>
          <w:szCs w:val="16"/>
          <w:color w:val="auto"/>
        </w:rPr>
        <w:t>Revenue in Europe and Russia increased $0.1 million, or 1.1%, for the third quarter quarter of fiscal 2014 compared with the same quarter of fiscal 2013. This increase came from normal variances in purchase patterns with our larger customers in the sector. On a year-to-date basis, Europe and Russia revenue was down $2.9 million, or 9.4%, from the same period in fiscal 2013. This variation was due to timing of customer purchasing.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88" w:right="239" w:bottom="1440" w:gutter="0" w:footer="0" w:header="0"/>
        </w:sectPr>
      </w:pPr>
    </w:p>
    <w:bookmarkStart w:id="21" w:name="page22"/>
    <w:bookmarkEnd w:id="21"/>
    <w:p>
      <w:pPr>
        <w:ind w:right="120" w:firstLine="405"/>
        <w:spacing w:after="0" w:line="259" w:lineRule="auto"/>
        <w:rPr>
          <w:sz w:val="20"/>
          <w:szCs w:val="20"/>
          <w:color w:val="auto"/>
        </w:rPr>
      </w:pPr>
      <w:r>
        <w:rPr>
          <w:rFonts w:ascii="Arial" w:cs="Arial" w:eastAsia="Arial" w:hAnsi="Arial"/>
          <w:sz w:val="18"/>
          <w:szCs w:val="18"/>
          <w:color w:val="auto"/>
        </w:rPr>
        <w:t>Revenue in Latin America and Asia Pacific decreased $5.5 million, or 30.1%, during the third quarter of fiscal 2014 compared with the same quarter in fiscal 2013. The decrease was primarily due to fewer deliveries to customers in Central and Southeast Asia in the third quarter of fiscal 2014. On a year-to-date basis revenue in Latin America and Asia Pacific was down by $4.8 million, or 10.1%, from the same period in fiscal 2013, largely on reduced sales in Asia Pacific.</w:t>
      </w:r>
    </w:p>
    <w:p>
      <w:pPr>
        <w:spacing w:after="0" w:line="133"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revenue from product sales was down by $34.8 million, or 41.0%, for the third quarter of fiscal 2014 compared with the same quarter in fiscal 2013. The decrease came primarily from strong sales in Africa, North America and Asia in the third quarter of fiscal 2013 that were not repeated at the same level in the third quarter of fiscal 2014. Product sales in the other sales regions were flat compared with the previous year. Our services revenue was down by $2.1 million, or 6.3%, during the third quarter of fiscal 2014 compared with the same quarter of fiscal 2013, due to reduced services delivered in North America.</w:t>
      </w:r>
    </w:p>
    <w:p>
      <w:pPr>
        <w:spacing w:after="0" w:line="10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revenue from product sales was down by $97.4 million, or 37.0%, for the first three quarters of fiscal 2014 compared with the same period in fiscal 2013. The decrease came primarily from strong sales in Africa and North America in the first three quarters of fiscal 2013 that were not repeated at the same level in the first three quarters of fiscal 2014. Asia Pacific and European product sales were also down compared to the first three quarters of fiscal 2013, with a small increase in Latin America. Our services revenue was down by $4.3 million, or 4.3%, during the first three quarters of fiscal 2014 compared with the same period of fiscal 2013. The decrease in the first three quarters of fiscal 2014 came from reduced services delivered in Africa and Middle East, partially offset by increases in North America, Asia Pacific and Europe.</w:t>
      </w:r>
    </w:p>
    <w:p>
      <w:pPr>
        <w:spacing w:after="0" w:line="12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During the third quarter and the first three quarters of fiscal 2014 and 2013, the MTN Group in Africa accounted for more than 10% of our total revenue. We have entered into separate and distinct contracts with MTN Group as well as separate arrangements with MTN Group subsidiaries. The loss of all MTN Group business could adversely affect our results of operations, cash flows and financial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Quarters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0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millions, except</w:t>
            </w:r>
          </w:p>
        </w:tc>
        <w:tc>
          <w:tcPr>
            <w:tcW w:w="140" w:type="dxa"/>
            <w:vAlign w:val="bottom"/>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March 28, 2014</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4"/>
              </w:rPr>
              <w:t>March 29, 2013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2"/>
                <w:szCs w:val="12"/>
                <w:color w:val="auto"/>
              </w:rPr>
            </w:pPr>
          </w:p>
        </w:tc>
        <w:tc>
          <w:tcPr>
            <w:tcW w:w="10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6"/>
              </w:rPr>
              <w:t>March 28, 2014</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March 29, 2013</w:t>
            </w:r>
          </w:p>
        </w:tc>
        <w:tc>
          <w:tcPr>
            <w:tcW w:w="100" w:type="dxa"/>
            <w:vAlign w:val="bottom"/>
            <w:vMerge w:val="restart"/>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118.3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362.3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96"/>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1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34.1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40" w:type="dxa"/>
            <w:vAlign w:val="bottom"/>
          </w:tcPr>
          <w:p>
            <w:pPr>
              <w:spacing w:after="0"/>
              <w:rPr>
                <w:sz w:val="21"/>
                <w:szCs w:val="21"/>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auto"/>
                <w:w w:val="93"/>
              </w:rPr>
              <w:t>25.7%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Gross margin for the third quarter of fiscal 2014 was lower by $13.2 million, or 38.7%, compared with the same quarter of fiscal 2013. Most of the gross margin decrease came from lower sales volume and lower margin rate in the quarter, primarily in North America, Africa and Middle East and Asia Pacific. These decreases were offset in part by a small increase in Europe. Gross margin as a percentage of revenue decreased in the third quarter of fiscal 2014 compared with the same quarter of fiscal 2013, primarily due to lower product gross margin rates in Africa and Middle East, Europe and Asia Pacific, and less favorable absorption of supply chain costs driven by lower volume. Much of these gross margin rate variances were driven by market price changes and changes in the mix of products and services delivered.</w:t>
      </w:r>
    </w:p>
    <w:p>
      <w:pPr>
        <w:spacing w:after="0" w:line="139"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On a year-to-date basis gross margin was $41.2 million less than the same period in fiscal 2013. The main reason for the decline is the reduced revenue realized in Africa and Middle East, North America, and Asia Pacific along with lower market prices and differing product mixes in all regions.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Quarters Ended</w:t>
            </w:r>
          </w:p>
        </w:tc>
        <w:tc>
          <w:tcPr>
            <w:tcW w:w="1000" w:type="dxa"/>
            <w:vAlign w:val="bottom"/>
            <w:tcBorders>
              <w:bottom w:val="single" w:sz="8" w:color="auto"/>
            </w:tcBorders>
          </w:tcPr>
          <w:p>
            <w:pPr>
              <w:spacing w:after="0"/>
              <w:rPr>
                <w:sz w:val="16"/>
                <w:szCs w:val="16"/>
                <w:color w:val="auto"/>
              </w:rPr>
            </w:pPr>
          </w:p>
        </w:tc>
      </w:tr>
      <w:tr>
        <w:trPr>
          <w:trHeight w:val="264"/>
        </w:trPr>
        <w:tc>
          <w:tcPr>
            <w:tcW w:w="2200" w:type="dxa"/>
            <w:vAlign w:val="bottom"/>
          </w:tcPr>
          <w:p>
            <w:pPr>
              <w:ind w:left="40"/>
              <w:spacing w:after="0"/>
              <w:rPr>
                <w:sz w:val="20"/>
                <w:szCs w:val="20"/>
                <w:color w:val="auto"/>
              </w:rPr>
            </w:pPr>
            <w:r>
              <w:rPr>
                <w:rFonts w:ascii="Arial" w:cs="Arial" w:eastAsia="Arial" w:hAnsi="Arial"/>
                <w:sz w:val="14"/>
                <w:szCs w:val="14"/>
                <w:b w:val="1"/>
                <w:bCs w:val="1"/>
                <w:color w:val="auto"/>
                <w:w w:val="98"/>
              </w:rPr>
              <w:t>(In millions, except percentages)</w:t>
            </w: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28, 2014</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29, 2013</w:t>
            </w:r>
          </w:p>
        </w:tc>
        <w:tc>
          <w:tcPr>
            <w:tcW w:w="12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28, 2014</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29, 2013</w:t>
            </w:r>
          </w:p>
        </w:tc>
        <w:tc>
          <w:tcPr>
            <w:tcW w:w="12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0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Research and development</w:t>
            </w: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ind w:left="440"/>
              <w:spacing w:after="0"/>
              <w:rPr>
                <w:sz w:val="20"/>
                <w:szCs w:val="20"/>
                <w:color w:val="auto"/>
              </w:rPr>
            </w:pPr>
            <w:r>
              <w:rPr>
                <w:rFonts w:ascii="Arial" w:cs="Arial" w:eastAsia="Arial" w:hAnsi="Arial"/>
                <w:sz w:val="18"/>
                <w:szCs w:val="18"/>
                <w:color w:val="auto"/>
                <w:w w:val="92"/>
              </w:rPr>
              <w:t>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w w:val="93"/>
              </w:rPr>
              <w:t>10.6%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7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research and development (“R&amp;D”) expenses decreased $1.5 million, or 15.2%, in the third quarter of fiscal 2014 compared with the same quarter in fiscal 2013, primarily due to a $1.2 million reduction in personnel and related expenses and a $0.4 million decrease in new product development costs. Our R&amp;D expenses decreased $1.5 million, or 5.2%, for the first three quarters of fiscal 2014 compared with the same period in fiscal 2013, primarily due to a $2.1 million reduction in personnel and related expenses and a $0.5 million decrease in share-based compensation expenses, partially offset by increases in R&amp;D supply costs reflecting our investment in our new product development projects during the first three quarters of fiscal 2014. We continue to invest in new product features, new functionality and lower cost platforms that we believe will enable our product lines to retain their technology leads in a cost effective manner.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Quarter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Quarters Ended</w:t>
            </w:r>
          </w:p>
        </w:tc>
        <w:tc>
          <w:tcPr>
            <w:tcW w:w="980" w:type="dxa"/>
            <w:vAlign w:val="bottom"/>
            <w:tcBorders>
              <w:bottom w:val="single" w:sz="8" w:color="auto"/>
            </w:tcBorders>
          </w:tcPr>
          <w:p>
            <w:pPr>
              <w:spacing w:after="0"/>
              <w:rPr>
                <w:sz w:val="16"/>
                <w:szCs w:val="16"/>
                <w:color w:val="auto"/>
              </w:rPr>
            </w:pPr>
          </w:p>
        </w:tc>
      </w:tr>
      <w:tr>
        <w:trPr>
          <w:trHeight w:val="264"/>
        </w:trPr>
        <w:tc>
          <w:tcPr>
            <w:tcW w:w="2200" w:type="dxa"/>
            <w:vAlign w:val="bottom"/>
          </w:tcPr>
          <w:p>
            <w:pPr>
              <w:ind w:left="40"/>
              <w:spacing w:after="0"/>
              <w:rPr>
                <w:sz w:val="20"/>
                <w:szCs w:val="20"/>
                <w:color w:val="auto"/>
              </w:rPr>
            </w:pPr>
            <w:r>
              <w:rPr>
                <w:rFonts w:ascii="Arial" w:cs="Arial" w:eastAsia="Arial" w:hAnsi="Arial"/>
                <w:sz w:val="14"/>
                <w:szCs w:val="14"/>
                <w:b w:val="1"/>
                <w:bCs w:val="1"/>
                <w:color w:val="auto"/>
                <w:w w:val="98"/>
              </w:rPr>
              <w:t>(In millions, except percentages)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28, 2014</w:t>
            </w: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29, 2013</w:t>
            </w:r>
          </w:p>
        </w:tc>
        <w:tc>
          <w:tcPr>
            <w:tcW w:w="1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28, 2014</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29, 2013</w:t>
            </w:r>
          </w:p>
        </w:tc>
        <w:tc>
          <w:tcPr>
            <w:tcW w:w="12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71.7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400" w:type="dxa"/>
            <w:vAlign w:val="bottom"/>
          </w:tcPr>
          <w:p>
            <w:pPr>
              <w:spacing w:after="0"/>
              <w:rPr>
                <w:sz w:val="21"/>
                <w:szCs w:val="21"/>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w w:val="97"/>
              </w:rPr>
              <w:t>28.3%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w w:val="93"/>
              </w:rPr>
              <w:t>20.9%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w w:val="93"/>
              </w:rPr>
              <w:t>25.9%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ind w:left="460"/>
              <w:spacing w:after="0"/>
              <w:rPr>
                <w:sz w:val="20"/>
                <w:szCs w:val="20"/>
                <w:color w:val="auto"/>
              </w:rPr>
            </w:pPr>
            <w:r>
              <w:rPr>
                <w:rFonts w:ascii="Arial" w:cs="Arial" w:eastAsia="Arial" w:hAnsi="Arial"/>
                <w:sz w:val="18"/>
                <w:szCs w:val="18"/>
                <w:color w:val="auto"/>
                <w:w w:val="93"/>
              </w:rPr>
              <w:t>19.8%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75"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Our selling and administrative expenses declined $1.7 million, or 6.9%, and $4.3 million, or 6.0%, respectively, in the third quarter and first three quarters of fiscal 2014 compared with the same periods in fiscal 2013. The decrease for the third quarter of fiscal 2014 compared with the same quarter in fiscal 2013 was primarily due to a $1.0 million decrease in personnel and related expenses, a $0.8 million decrease in share-based compensation expenses resulting from stock award vesting, and a $0.4 million decrease in agent commissions driven by lower fee-based revenues, partially offset by a $0.7 million increase in bad debt expense. The decrease for the first three quarters of fiscal 2014 compared with the same period in fiscal 2013 was primarily due to a $1.4 million decrease in agent commissions driven by lower fee-based revenues, a $1.4 million reduction in bad debt expense as we recovered certain receivables that were previously written off due to customer insolvency and a $1.2 million decrease in share-based compensation expenses resulting from stock award vesting in the first three quarters of fiscal 2014.</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During the third quarter of fiscal 2014, in line with the decrease in revenue that we experienced and our reduced forecast for the immediate future, we initiated the Fiscal 2014-2015 Plan to reduce our operating costs, primarily in North America, Europe and Asia. Activities under the Fiscal 2014-2015 Plan primarily related to reductions in force.</w:t>
      </w:r>
    </w:p>
    <w:p>
      <w:pPr>
        <w:spacing w:after="0" w:line="12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the fourth quarter of fiscal 2013, we initiated the Fiscal 2013-2014 Plan that was intended to bring our cost structure in line with the changing business environment of the worldwide microwave radio and telecommunication markets, primarily in North America, Europe and Asia. Activities under the Fiscal 2013-2014 Plan included the downsizing of our Santa Clara, California headquarters and certain international field offices, and reductions in force to reduce our operating expenses.</w:t>
      </w:r>
    </w:p>
    <w:p>
      <w:pPr>
        <w:spacing w:after="0" w:line="133"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During the first quarter of fiscal 2011, we initiated the Fiscal 2011 Plan to reduce our operational costs primarily in North America, Europe and Asia. Activities under the Fiscal 2011 Plan included the reductions in force to reduce our operating expenses and downsizing or closures of our Morrisville, North Carolina, Santa Clara, California, Montreal, Canada offices and certain international field offices. The Fiscal 2011 Plan has been completed as of the end of fiscal 2013.</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restructuring charges by plan for the third quarter and first three quarters of fiscal 2014 and 2013 are summarized in the table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27" w:right="2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Quarter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Quarters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March 28, 2014</w:t>
            </w:r>
          </w:p>
        </w:tc>
        <w:tc>
          <w:tcPr>
            <w:tcW w:w="100" w:type="dxa"/>
            <w:vAlign w:val="bottom"/>
            <w:vMerge w:val="restart"/>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29, 2013</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3"/>
                <w:szCs w:val="13"/>
                <w:color w:val="auto"/>
              </w:rPr>
            </w:pP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29,</w:t>
            </w:r>
          </w:p>
        </w:tc>
        <w:tc>
          <w:tcPr>
            <w:tcW w:w="120" w:type="dxa"/>
            <w:vAlign w:val="bottom"/>
          </w:tcPr>
          <w:p>
            <w:pPr>
              <w:spacing w:after="0"/>
              <w:rPr>
                <w:sz w:val="13"/>
                <w:szCs w:val="13"/>
                <w:color w:val="auto"/>
              </w:rPr>
            </w:pPr>
          </w:p>
        </w:tc>
        <w:tc>
          <w:tcPr>
            <w:tcW w:w="7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950.0%  $</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3"/>
        </w:trPr>
        <w:tc>
          <w:tcPr>
            <w:tcW w:w="2300" w:type="dxa"/>
            <w:vAlign w:val="bottom"/>
          </w:tcPr>
          <w:p>
            <w:pPr>
              <w:ind w:left="20"/>
              <w:spacing w:after="0"/>
              <w:rPr>
                <w:sz w:val="20"/>
                <w:szCs w:val="20"/>
                <w:color w:val="auto"/>
              </w:rPr>
            </w:pPr>
            <w:r>
              <w:rPr>
                <w:rFonts w:ascii="Arial" w:cs="Arial" w:eastAsia="Arial" w:hAnsi="Arial"/>
                <w:sz w:val="18"/>
                <w:szCs w:val="18"/>
                <w:color w:val="auto"/>
              </w:rPr>
              <w:t>By Plan:</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Fiscal 2014-2015 Plan</w:t>
            </w: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00"/>
              <w:spacing w:after="0"/>
              <w:rPr>
                <w:sz w:val="20"/>
                <w:szCs w:val="20"/>
                <w:color w:val="auto"/>
              </w:rPr>
            </w:pPr>
            <w:r>
              <w:rPr>
                <w:rFonts w:ascii="Arial" w:cs="Arial" w:eastAsia="Arial" w:hAnsi="Arial"/>
                <w:sz w:val="18"/>
                <w:szCs w:val="18"/>
                <w:color w:val="auto"/>
              </w:rPr>
              <w:t>Fiscal 2013-2014 Plan</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Fiscal 2011 Plan</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restructuring expenses consisted primarily of severance and related benefit charges and facilities costs related to obligations under non-cancelable leases for facilities that we ceased to use. Restructuring charges for the third quarter of fiscal 2014 included a $3.9 million employee termination charge primarily related to our Fiscal 2014-2015 Plan. Restructuring charges for the first three quarters of fiscal 2014 included a $4.0 million facilities charge related to ceasing to use a portion of our Santa Clara headquarters building and a $4.8 million employee termination charge. We have substantially completed our activities under the Fiscal 2013-2014 Plan and intend to complete a majority of the remaining restructuring activities under the Fiscal 2014-2015 Plan by the end of the second quarter of fiscal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14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March 28,</w:t>
            </w:r>
          </w:p>
        </w:tc>
        <w:tc>
          <w:tcPr>
            <w:tcW w:w="44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29,</w:t>
            </w:r>
          </w:p>
        </w:tc>
        <w:tc>
          <w:tcPr>
            <w:tcW w:w="300" w:type="dxa"/>
            <w:vAlign w:val="bottom"/>
          </w:tcPr>
          <w:p>
            <w:pPr>
              <w:spacing w:after="0"/>
              <w:rPr>
                <w:sz w:val="13"/>
                <w:szCs w:val="13"/>
                <w:color w:val="auto"/>
              </w:rPr>
            </w:pPr>
          </w:p>
        </w:tc>
        <w:tc>
          <w:tcPr>
            <w:tcW w:w="14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28,</w:t>
            </w:r>
          </w:p>
        </w:tc>
        <w:tc>
          <w:tcPr>
            <w:tcW w:w="300" w:type="dxa"/>
            <w:vAlign w:val="bottom"/>
          </w:tcPr>
          <w:p>
            <w:pPr>
              <w:spacing w:after="0"/>
              <w:rPr>
                <w:sz w:val="13"/>
                <w:szCs w:val="13"/>
                <w:color w:val="auto"/>
              </w:rPr>
            </w:pPr>
          </w:p>
        </w:tc>
        <w:tc>
          <w:tcPr>
            <w:tcW w:w="130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expense was primarily related to interest associated with borrowings, term loan and letters of credit under the SVB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Quarters Ended</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28, 2014</w:t>
            </w:r>
          </w:p>
        </w:tc>
        <w:tc>
          <w:tcPr>
            <w:tcW w:w="140" w:type="dxa"/>
            <w:vAlign w:val="bottom"/>
          </w:tcPr>
          <w:p>
            <w:pPr>
              <w:spacing w:after="0"/>
              <w:rPr>
                <w:sz w:val="22"/>
                <w:szCs w:val="22"/>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March 29, 2013</w:t>
            </w:r>
          </w:p>
        </w:tc>
        <w:tc>
          <w:tcPr>
            <w:tcW w:w="160" w:type="dxa"/>
            <w:vAlign w:val="bottom"/>
          </w:tcPr>
          <w:p>
            <w:pPr>
              <w:spacing w:after="0"/>
              <w:rPr>
                <w:sz w:val="22"/>
                <w:szCs w:val="22"/>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4"/>
              </w:rPr>
              <w:t>March 28, 2014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March 29, 2013</w:t>
            </w:r>
          </w:p>
        </w:tc>
        <w:tc>
          <w:tcPr>
            <w:tcW w:w="160" w:type="dxa"/>
            <w:vAlign w:val="bottom"/>
          </w:tcPr>
          <w:p>
            <w:pPr>
              <w:spacing w:after="0"/>
              <w:rPr>
                <w:sz w:val="22"/>
                <w:szCs w:val="22"/>
                <w:color w:val="auto"/>
              </w:rPr>
            </w:pPr>
          </w:p>
        </w:tc>
        <w:tc>
          <w:tcPr>
            <w:tcW w:w="840" w:type="dxa"/>
            <w:vAlign w:val="bottom"/>
          </w:tcPr>
          <w:p>
            <w:pPr>
              <w:jc w:val="right"/>
              <w:ind w:right="116"/>
              <w:spacing w:after="0"/>
              <w:rPr>
                <w:sz w:val="20"/>
                <w:szCs w:val="20"/>
                <w:color w:val="auto"/>
              </w:rPr>
            </w:pPr>
            <w:r>
              <w:rPr>
                <w:rFonts w:ascii="Arial" w:cs="Arial" w:eastAsia="Arial" w:hAnsi="Arial"/>
                <w:sz w:val="14"/>
                <w:szCs w:val="14"/>
                <w:b w:val="1"/>
                <w:bCs w:val="1"/>
                <w:color w:val="auto"/>
                <w:w w:val="98"/>
              </w:rPr>
              <w:t>$ Change</w:t>
            </w:r>
          </w:p>
        </w:tc>
      </w:tr>
      <w:tr>
        <w:trPr>
          <w:trHeight w:val="215"/>
        </w:trPr>
        <w:tc>
          <w:tcPr>
            <w:tcW w:w="3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37"/>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 of income (loss) from continuing operations before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7"/>
        </w:trPr>
        <w:tc>
          <w:tcPr>
            <w:tcW w:w="3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estimate our annual effective rate at the end of each quarterly period, and we record the tax effect of certain discrete items in the interim period in which they occur, including changes in judgment about uncertain tax positions and deferred tax valuation allowances. The determination of the effective tax rate reflects tax expense and benefit generated in certain foreign jurisdictions. However, jurisdictions with a year-to-date loss where no tax benefit can be recognized are excluded from the annual effective tax rate.</w:t>
      </w:r>
    </w:p>
    <w:p>
      <w:pPr>
        <w:spacing w:after="0" w:line="18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recognized an adjustment of $2.2 million during the second quarter of fiscal 2014 to correct immaterial errors arising from fiscal 2007 through September 27, 2013. The result of this adjustment was to decrease the benefit from income taxes and increase our reserve for uncertain tax positions. This had no impact to our statement of cash flows for fiscal 2013 and fiscal 2014 periods. We believe the impact of the adjustment is not material to our annual and quarterly financial statements as a whole for current or prior periods.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68"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Quarters Ended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28, 2014</w:t>
            </w:r>
          </w:p>
        </w:tc>
        <w:tc>
          <w:tcPr>
            <w:tcW w:w="14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29, 2013</w:t>
            </w:r>
          </w:p>
        </w:tc>
        <w:tc>
          <w:tcPr>
            <w:tcW w:w="16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6"/>
              </w:rPr>
              <w:t>March 28, 2014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29, 2013</w:t>
            </w:r>
          </w:p>
        </w:tc>
        <w:tc>
          <w:tcPr>
            <w:tcW w:w="160" w:type="dxa"/>
            <w:vAlign w:val="bottom"/>
          </w:tcPr>
          <w:p>
            <w:pPr>
              <w:spacing w:after="0"/>
              <w:rPr>
                <w:sz w:val="22"/>
                <w:szCs w:val="22"/>
                <w:color w:val="auto"/>
              </w:rPr>
            </w:pPr>
          </w:p>
        </w:tc>
        <w:tc>
          <w:tcPr>
            <w:tcW w:w="860" w:type="dxa"/>
            <w:vAlign w:val="bottom"/>
          </w:tcPr>
          <w:p>
            <w:pPr>
              <w:jc w:val="right"/>
              <w:ind w:right="139"/>
              <w:spacing w:after="0"/>
              <w:rPr>
                <w:sz w:val="20"/>
                <w:szCs w:val="20"/>
                <w:color w:val="auto"/>
              </w:rPr>
            </w:pPr>
            <w:r>
              <w:rPr>
                <w:rFonts w:ascii="Arial" w:cs="Arial" w:eastAsia="Arial" w:hAnsi="Arial"/>
                <w:sz w:val="14"/>
                <w:szCs w:val="14"/>
                <w:b w:val="1"/>
                <w:bCs w:val="1"/>
                <w:color w:val="auto"/>
                <w:w w:val="98"/>
              </w:rPr>
              <w:t>$ Change</w:t>
            </w:r>
          </w:p>
        </w:tc>
      </w:tr>
      <w:tr>
        <w:trPr>
          <w:trHeight w:val="215"/>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Income (loss) from discontinued operations, net of</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w:t>
            </w:r>
          </w:p>
        </w:tc>
      </w:tr>
      <w:tr>
        <w:trPr>
          <w:trHeight w:val="27"/>
        </w:trPr>
        <w:tc>
          <w:tcPr>
            <w:tcW w:w="3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Our discontinued operations consist of the WiMAX business, which was sold to EION on September 2, 2011. We completed the business transition with EION in fiscal 2012. The income incurred in the first three quarters of fiscal 2014 was primarily due to recovery of certain WiMAX deferred cost of sales that was previously written down. The loss incurred in the first three quarters of fiscal 2013 was primarily due to write-down of certain WiMAX deferred cost of sales that were not transferred to EION.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As of March 28, 2014, our total cash and cash equivalents were $47.5 million. Approximately $7.7 million, or 16.2% of our total cash and cash equivalents, was held by entities domiciled in the United States. The remaining balance of $39.8 million, or 83.8%, was held by entities outside the United States. Of the amount of cash and cash equivalents held by our foreign subsidiaries at March 28, 2014, $30.2 million was held in jurisdictions where our undistributed earnings are indefinitely reinvested and would be subject to U.S. taxes if repatriated.</w:t>
      </w:r>
    </w:p>
    <w:p>
      <w:pPr>
        <w:spacing w:after="0" w:line="133"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As of March 28, 2014, our principal sources of liquidity consisted of the $47.5 million in cash and cash equivalents, $23.8 million of available credit under our $40.0 million SVB Credit Facility, and future collections of receivables from customers. As of March 28, 2014, we were in compliance with the financial covenants contained in the SVB Credit Facility.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three quarters of fiscal 2014, our total cash and cash equivalents decreased by $42.5 million primarily due to $7.8 million of cash being used for capital expenditures, $2.8 million repayments on our term loan and $32.1 million of cash used in operating activities.</w:t>
      </w:r>
    </w:p>
    <w:p>
      <w:pPr>
        <w:spacing w:after="0" w:line="11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Cash used in operating activities was $32.1 million in the first three quarters of fiscal 2014, primarily due to our net loss of $38.3 million adjusted by non-cash expense items of $12.4 million, decreases in reserve for uncertain tax positions and deferred taxes of $14.8 million and in accounts payable and accrued expenses of $15.1 million, and an increase in inventories of $1.4 million, partially offset by decreases in accounts receivables of $5.5 million, in unbilled costs of $2.1 million and in net prepaid income taxes of $2.2 million, and increases in customer advance payments and unearned income of $10.4 million and in accrued restructuring liabilities of $4.1 million. The decrease in the reserve for uncertain tax positions and deferred taxes was primarily due a tax payment made to a jurisdiction during the second quarter of fiscal 2014 of $13.2 million. The decreases in accounts payable and accrued expenses were primarily due to the timing of payments to our contract manufacturers and suppliers as well as the payout of employee bonuses. The decrease in unbilled costs was due to the timing of billing of projects. The increase in inventories was due to the timing of customer shipments. The decrease in accounts receivable was due to collections during the first three quarters exceeding billings. The decrease in net prepaid income taxes was due to a tax refund that we received from a tax jurisdiction during the period. The increase in customer advance payments and unearned income was due to the timing of revenue recognition on several large contracts. The increase in restructuring liabilities was primarily related to severance related expenses we accrued under the Fiscal 2014-2015 Plan and the facility exit cost liability we incurred associated with our Santa Clara headquarters building under the Fiscal 2013-2104 Plan. We used $4.9 million in cash during the first three quarters of fiscal 2014 on expenses related to restructuring liabilities.</w:t>
      </w:r>
    </w:p>
    <w:p>
      <w:pPr>
        <w:spacing w:after="0" w:line="121"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During the remainder of fiscal year 2014, we expect to spend approximately $2.0 million for capital expenditures, primarily on equipment for development of new products and improvement of our information technology infrastructure which will enable more automated supply chain management and financial reporting and lead to process and cost efficiency and a greater ability to scale our business.</w:t>
      </w:r>
    </w:p>
    <w:p>
      <w:pPr>
        <w:spacing w:after="0" w:line="111"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We believe that our existing cash and cash equivalents, the available line of credit under the SVB Credit Facility and future cash collections from customers will be sufficient to provide for our anticipated requirements for working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6" w:right="239" w:bottom="1440" w:gutter="0" w:footer="0" w:header="0"/>
        </w:sectPr>
      </w:pPr>
    </w:p>
    <w:bookmarkStart w:id="25" w:name="page26"/>
    <w:bookmarkEnd w:id="25"/>
    <w:p>
      <w:pPr>
        <w:ind w:right="140"/>
        <w:spacing w:after="0" w:line="290" w:lineRule="auto"/>
        <w:rPr>
          <w:sz w:val="20"/>
          <w:szCs w:val="20"/>
          <w:color w:val="auto"/>
        </w:rPr>
      </w:pPr>
      <w:r>
        <w:rPr>
          <w:rFonts w:ascii="Arial" w:cs="Arial" w:eastAsia="Arial" w:hAnsi="Arial"/>
          <w:sz w:val="16"/>
          <w:szCs w:val="16"/>
          <w:color w:val="auto"/>
        </w:rPr>
        <w:t>capital and capital expenditures for the next 12 months and the foreseeable future. There can be no assurance, however, that our business will generate cash flow, we will be in compliance with the financial covenants contained in the SVB Credit Facility, or that anticipated operational improvements will be achieved. If we are not in compliance with the financial covenants, the availability of our credit facility is not certain or may be diminished.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17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On March 28, 2014, we entered into a Second Amended and Restated Loan Agreement with SVB. This agreement amends and restates our existing First Amended and Restated Loan and Security Agreement, which was entered into on September 27, 2013 and amended on October 29, 2013, November 20, 2013 and February 10, 2014, respectively, providing for certain amendments to the maximum borrowing limit and financial covenants. On September 27, 2013, we repaid the remaining $1.7 million outstanding balance of the original $8.3 million two-year term loan that we borrowed on January 30, 2012.</w:t>
      </w:r>
    </w:p>
    <w:p>
      <w:pPr>
        <w:spacing w:after="0" w:line="10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SVB Credit Facility provides for a committed amount of up to $40.0 million, decreased from the $50.0 million credit limit under the first amended and restated credit facility, with a $30.0 million sublimit that can be borrowed by our Singapore subsidiary. Borrowings that may be advanced under the SVB Credit Facility at the lesser of $40.0 million or a borrowing base equal to $7.0 million plus a specified percentage of the value of eligible accounts receivable of the Company, subject to certain reserves and eligibility criteria. The SVB Credit Facility can also be utilized to issue letters of credit. Principal, together with all accrued and unpaid interest, is due and payable on September 26, 2016. We may prepay loans under the SVB Credit Facility in whole or in part at any time without premium or penalty. We currently do not expect to repay any loans within the next 12 months. As of March 28, 2014, available credit under the amended and restated credit facility was $23.8 million reflecting the calculated borrowing base of $34.3 million less existing borrowings of $6.0 million and outstanding letters of credit of $4.5 million.</w:t>
      </w:r>
    </w:p>
    <w:p>
      <w:pPr>
        <w:spacing w:after="0" w:line="13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 xml:space="preserve">Borrowings under the SVB Credit Facility carry an interest rate computed at the daily prime rate as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plus a spread of 0.50% to 1.50%, with such spread determined based on our adjusted quick ratio. If a minimum adjusted quick ratio requirement is satisfied, LIBOR advances are offered at LIBOR plus a spread of 2.75%. Interest is due and payable in arrears monthly for prime rate loans and, for LIBOR rate loans, at the end of an interest period or at each three-month interval if the interest period is greater than three months. During the first three quarters of fiscal 2014, the weighted average interest rate on our $6.0 million loan was 3.25%. The previous $8.3 million two-year term loan bore a fixed interest rate of 5% per annum.</w:t>
      </w:r>
    </w:p>
    <w:p>
      <w:pPr>
        <w:spacing w:after="0" w:line="104"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SVB Credit Facility contains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3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of March 28, 2014, we were in compliance with the financial covenants contained in the SVB Credit Facility. However, as a result of the uncertainty on our ability to meet the financial covenants and the fact that the SVB Credit Facility contains subjective acceleration clauses that could be triggered by the lender, the $6.0 million borrowing was classified as a current liability as of March 28,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6" w:name="page27"/>
    <w:bookmarkEnd w:id="26"/>
    <w:p>
      <w:pPr>
        <w:ind w:right="420" w:firstLine="432"/>
        <w:spacing w:after="0" w:line="342" w:lineRule="auto"/>
        <w:rPr>
          <w:sz w:val="20"/>
          <w:szCs w:val="20"/>
          <w:color w:val="auto"/>
        </w:rPr>
      </w:pPr>
      <w:r>
        <w:rPr>
          <w:rFonts w:ascii="Arial" w:cs="Arial" w:eastAsia="Arial" w:hAnsi="Arial"/>
          <w:sz w:val="16"/>
          <w:szCs w:val="16"/>
          <w:color w:val="auto"/>
        </w:rPr>
        <w:t>We have liabilities for restructuring activities totaling $6.8 million as of March 28, 2014, $4.5 million of which is classified as current liability and expected to be paid out in cash over the next 12 months. We expect to fund these future payments with available cash and cash provided by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amounts disclosed in our fiscal 2013 Annual Report on Form 10-K include our commercial commitments and contractual obligations. During the first three quarters of fiscal 2014, other than the a $13.2 million payment related to our reserve for uncertain tax positions and $2.8 million repayments of a term loan under the SVB Credit Facility, no material changes occurred in our contractual cash obligations to repay debt, to purchase goods and services and to make payments under operating leases or our commercial commitments and contingent liabilities on outstanding letters of credit, guarantees and other arrangements as disclosed in our fiscal 2013 Annual Report on Form 10-K. Please refer to Note 12, "Commitments and Contingencies" in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Singapore subsidiary is in the process of evaluating its historical compliance with certain export regulations in Singapore. Depending on the results of this evaluation, we may take additional actions to ensure our compliance with these regulations in the future. As part of these additional actions, we could elect to make certain voluntary disclosures, which may, in certain circumstances, result in the imposition of various fines and penalties. Any fines and penalties will be based on the specific facts and findings of our evaluation, as well as negotiation with Singapore authorities. At this time, we cannot estimate the amount or range of any fines and penalties, if any should be imposed. Please refer to Note 12, "Commitments and Contingencies" in this Quarterly Report on Form 10-Q.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2013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These derivatives are designated as cash flow hedges and are carried at fair value. The effective portion of the gain or loss is initially reported as a component of accumulated other comprehensive income (loss), and upon occurrence of the forecasted transaction, is subsequently reclassified into the income or expense line item to which the hedged transaction relates.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of March 28, 2014, we had foreign currency forward contracts outstanding with a total notional amount of $20.3 million consisting of 12 different currencies. The following is a summary of the gross notional amount of our outstanding contracts grouped by the underlying foreign currency as of March 28, 2014:</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46" w:right="2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5"/>
              </w:rPr>
              <w:t>Notional Contract</w:t>
            </w:r>
          </w:p>
        </w:tc>
        <w:tc>
          <w:tcPr>
            <w:tcW w:w="440" w:type="dxa"/>
            <w:vAlign w:val="bottom"/>
          </w:tcPr>
          <w:p>
            <w:pPr>
              <w:spacing w:after="0"/>
              <w:rPr>
                <w:sz w:val="14"/>
                <w:szCs w:val="14"/>
                <w:color w:val="auto"/>
              </w:rPr>
            </w:pPr>
          </w:p>
        </w:tc>
        <w:tc>
          <w:tcPr>
            <w:tcW w:w="1160" w:type="dxa"/>
            <w:vAlign w:val="bottom"/>
          </w:tcPr>
          <w:p>
            <w:pPr>
              <w:jc w:val="center"/>
              <w:ind w:right="356"/>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center"/>
              <w:ind w:right="356"/>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7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Pr>
          <w:p>
            <w:pPr>
              <w:spacing w:after="0"/>
              <w:rPr>
                <w:sz w:val="12"/>
                <w:szCs w:val="12"/>
                <w:color w:val="auto"/>
              </w:rPr>
            </w:pPr>
          </w:p>
        </w:tc>
        <w:tc>
          <w:tcPr>
            <w:tcW w:w="1160" w:type="dxa"/>
            <w:vAlign w:val="bottom"/>
          </w:tcPr>
          <w:p>
            <w:pPr>
              <w:jc w:val="center"/>
              <w:ind w:right="336"/>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120" w:type="dxa"/>
            <w:vAlign w:val="bottom"/>
            <w:gridSpan w:val="2"/>
            <w:vMerge w:val="continue"/>
          </w:tcPr>
          <w:p>
            <w:pPr>
              <w:spacing w:after="0"/>
              <w:rPr>
                <w:sz w:val="16"/>
                <w:szCs w:val="16"/>
                <w:color w:val="auto"/>
              </w:rPr>
            </w:pPr>
          </w:p>
        </w:tc>
        <w:tc>
          <w:tcPr>
            <w:tcW w:w="170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(Local Currency)</w:t>
            </w:r>
          </w:p>
        </w:tc>
        <w:tc>
          <w:tcPr>
            <w:tcW w:w="440" w:type="dxa"/>
            <w:vAlign w:val="bottom"/>
          </w:tcPr>
          <w:p>
            <w:pPr>
              <w:spacing w:after="0"/>
              <w:rPr>
                <w:sz w:val="16"/>
                <w:szCs w:val="16"/>
                <w:color w:val="auto"/>
              </w:rPr>
            </w:pPr>
          </w:p>
        </w:tc>
        <w:tc>
          <w:tcPr>
            <w:tcW w:w="1160" w:type="dxa"/>
            <w:vAlign w:val="bottom"/>
          </w:tcPr>
          <w:p>
            <w:pPr>
              <w:jc w:val="center"/>
              <w:ind w:right="336"/>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17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1700" w:type="dxa"/>
            <w:vAlign w:val="bottom"/>
          </w:tcPr>
          <w:p>
            <w:pPr>
              <w:jc w:val="right"/>
              <w:ind w:right="117"/>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17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207.2</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Philippine peso</w:t>
            </w:r>
          </w:p>
        </w:tc>
        <w:tc>
          <w:tcPr>
            <w:tcW w:w="1700" w:type="dxa"/>
            <w:vAlign w:val="bottom"/>
          </w:tcPr>
          <w:p>
            <w:pPr>
              <w:jc w:val="right"/>
              <w:ind w:right="117"/>
              <w:spacing w:after="0"/>
              <w:rPr>
                <w:sz w:val="20"/>
                <w:szCs w:val="20"/>
                <w:color w:val="auto"/>
              </w:rPr>
            </w:pPr>
            <w:r>
              <w:rPr>
                <w:rFonts w:ascii="Arial" w:cs="Arial" w:eastAsia="Arial" w:hAnsi="Arial"/>
                <w:sz w:val="18"/>
                <w:szCs w:val="18"/>
                <w:color w:val="auto"/>
              </w:rPr>
              <w:t>153.8</w:t>
            </w:r>
          </w:p>
        </w:tc>
        <w:tc>
          <w:tcPr>
            <w:tcW w:w="4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17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9.1</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Republic of South Africa rand</w:t>
            </w:r>
          </w:p>
        </w:tc>
        <w:tc>
          <w:tcPr>
            <w:tcW w:w="1700" w:type="dxa"/>
            <w:vAlign w:val="bottom"/>
          </w:tcPr>
          <w:p>
            <w:pPr>
              <w:jc w:val="right"/>
              <w:ind w:right="117"/>
              <w:spacing w:after="0"/>
              <w:rPr>
                <w:sz w:val="20"/>
                <w:szCs w:val="20"/>
                <w:color w:val="auto"/>
              </w:rPr>
            </w:pPr>
            <w:r>
              <w:rPr>
                <w:rFonts w:ascii="Arial" w:cs="Arial" w:eastAsia="Arial" w:hAnsi="Arial"/>
                <w:sz w:val="18"/>
                <w:szCs w:val="18"/>
                <w:color w:val="auto"/>
              </w:rPr>
              <w:t>27.7</w:t>
            </w:r>
          </w:p>
        </w:tc>
        <w:tc>
          <w:tcPr>
            <w:tcW w:w="4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currencies</w:t>
            </w:r>
          </w:p>
        </w:tc>
        <w:tc>
          <w:tcPr>
            <w:tcW w:w="17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N/A</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7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Net foreign exchange loss recorded in our consolidated statements of operations during the third quarter and first three quarters of fiscal 2014 and 2013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142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5"/>
              </w:rPr>
              <w:t>March 28,</w:t>
            </w:r>
          </w:p>
        </w:tc>
        <w:tc>
          <w:tcPr>
            <w:tcW w:w="440" w:type="dxa"/>
            <w:vAlign w:val="bottom"/>
          </w:tcPr>
          <w:p>
            <w:pPr>
              <w:spacing w:after="0"/>
              <w:rPr>
                <w:sz w:val="13"/>
                <w:szCs w:val="13"/>
                <w:color w:val="auto"/>
              </w:rPr>
            </w:pPr>
          </w:p>
        </w:tc>
        <w:tc>
          <w:tcPr>
            <w:tcW w:w="126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w w:val="99"/>
              </w:rPr>
              <w:t>March 29,</w:t>
            </w:r>
          </w:p>
        </w:tc>
        <w:tc>
          <w:tcPr>
            <w:tcW w:w="300" w:type="dxa"/>
            <w:vAlign w:val="bottom"/>
          </w:tcPr>
          <w:p>
            <w:pPr>
              <w:spacing w:after="0"/>
              <w:rPr>
                <w:sz w:val="13"/>
                <w:szCs w:val="13"/>
                <w:color w:val="auto"/>
              </w:rPr>
            </w:pPr>
          </w:p>
        </w:tc>
        <w:tc>
          <w:tcPr>
            <w:tcW w:w="14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9"/>
              </w:rPr>
              <w:t>March 28,</w:t>
            </w:r>
          </w:p>
        </w:tc>
        <w:tc>
          <w:tcPr>
            <w:tcW w:w="300" w:type="dxa"/>
            <w:vAlign w:val="bottom"/>
          </w:tcPr>
          <w:p>
            <w:pPr>
              <w:spacing w:after="0"/>
              <w:rPr>
                <w:sz w:val="13"/>
                <w:szCs w:val="13"/>
                <w:color w:val="auto"/>
              </w:rPr>
            </w:pPr>
          </w:p>
        </w:tc>
        <w:tc>
          <w:tcPr>
            <w:tcW w:w="1300" w:type="dxa"/>
            <w:vAlign w:val="bottom"/>
          </w:tcPr>
          <w:p>
            <w:pPr>
              <w:jc w:val="center"/>
              <w:ind w:right="242"/>
              <w:spacing w:after="0" w:line="153" w:lineRule="exact"/>
              <w:rPr>
                <w:sz w:val="20"/>
                <w:szCs w:val="20"/>
                <w:color w:val="auto"/>
              </w:rPr>
            </w:pPr>
            <w:r>
              <w:rPr>
                <w:rFonts w:ascii="Arial" w:cs="Arial" w:eastAsia="Arial" w:hAnsi="Arial"/>
                <w:sz w:val="14"/>
                <w:szCs w:val="14"/>
                <w:b w:val="1"/>
                <w:bCs w:val="1"/>
                <w:color w:val="auto"/>
                <w:w w:val="95"/>
              </w:rPr>
              <w:t>March 29,</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loss,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March 28, 2014 would have an impact of approximately $1.7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9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Certain of our international business was transacted in non-U.S. dollar currency. As discussed above, we utilize foreign currency hedging instruments to minimize the currency risk of international transactions. The impact of translating the assets and liabilities of foreign operations to U.S. dollars is included as a component of stockholders’ equity. As of March 28, 2014 and June 28, 2013, the cumulative translation adjustment decreased our stockholders’ equity by $2.4 million and $3.4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exposure to market risk for changes in interest rates relates primarily to our cash equivalents and borrowings under the SVB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We had $47.5 million in total cash and cash equivalents as of March 28, 2014. Cash equivalents totaled $7.4 million as of March 28, 2014 and were comprised of money market funds and certificates of deposit. Cash equivalents have been recorded at fair value on our balance sheet.</w:t>
      </w:r>
    </w:p>
    <w:p>
      <w:pPr>
        <w:spacing w:after="0" w:line="9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March 28, 2014 was three days, and these investments had an average yield of 0.06% per annum.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26" w:right="239" w:bottom="1440" w:gutter="0" w:footer="0" w:header="0"/>
        </w:sectPr>
      </w:pPr>
    </w:p>
    <w:bookmarkStart w:id="28" w:name="page29"/>
    <w:bookmarkEnd w:id="28"/>
    <w:p>
      <w:pPr>
        <w:ind w:right="220"/>
        <w:spacing w:after="0" w:line="277" w:lineRule="auto"/>
        <w:rPr>
          <w:sz w:val="20"/>
          <w:szCs w:val="20"/>
          <w:color w:val="auto"/>
        </w:rPr>
      </w:pPr>
      <w:r>
        <w:rPr>
          <w:rFonts w:ascii="Arial" w:cs="Arial" w:eastAsia="Arial" w:hAnsi="Arial"/>
          <w:sz w:val="18"/>
          <w:szCs w:val="18"/>
          <w:color w:val="auto"/>
        </w:rPr>
        <w:t>A 10% change in interest rates on our cash and cash equivalents is not expected to have a material impact on our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During the first three quarters of fiscal 2014, we had $6.0 million of borrowings outstanding under the SVB Credit Facility that incurred interest at the prime rate. We also recorded interest on our $8.3 million borrowing drawn on January 30, 2012 and paid off on September 27, 2013 at the fixed rate of 5% per annum. During the first three quarters of fiscal 2014, our weighted average interest rate was 3.4% and we recorded total interest expense of $0.2 million on these borrowings.</w:t>
      </w:r>
    </w:p>
    <w:p>
      <w:pPr>
        <w:spacing w:after="0" w:line="13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2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Management has conducted an evaluation, under the supervision and with the participation of our Chief Executive Officer and Chief Financial Officer, of the effectiveness of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March 28, 2014.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27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Please refer to Legal Proceedings under Note 12, "Commitments and Contingencies"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2013 Annual Report on Form 10-K.</w:t>
      </w:r>
    </w:p>
    <w:p>
      <w:pPr>
        <w:spacing w:after="0" w:line="11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do not believe that there have been any other material additions or changes to the risk factors previously disclosed in our fiscal 2013 Annual Report on Form 10-K, although we may disclose changes to such factors or disclose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746" w:right="27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additional factors from time to time in our future filings with the SEC. Additional risks and uncertainties not presently known to us or that we currently deem immaterial also may impair our business operations.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746"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640" w:type="dxa"/>
            <w:vAlign w:val="bottom"/>
          </w:tcPr>
          <w:p>
            <w:pPr>
              <w:ind w:left="444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Second Amended and Restated Loan and Security Agreement, dated as of March 28, 2014, by and among Aviat Networks, Inc.,</w:t>
            </w: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6"/>
              </w:rPr>
              <w:t>Aviat U.S., Inc., Aviat Networks (S) Pte. Ltd. and Silicon Valley Bank (incorporated by reference to Exhibit 10.1 to the Current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Report on Form 8-K filed with the SEC on March 31, 2014, File No. 001-33278)</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6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918"/>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0980"/>
          </w:cols>
          <w:pgMar w:left="240" w:top="580" w:right="679" w:bottom="1440" w:gutter="0" w:footer="0" w:header="0"/>
        </w:sectPr>
      </w:pPr>
    </w:p>
    <w:bookmarkStart w:id="31" w:name="page32"/>
    <w:bookmarkEnd w:id="31"/>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J.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2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John J. Madigan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 and</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20"/>
          </w:cols>
          <w:pgMar w:left="240" w:top="796" w:right="9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10980" w:type="dxa"/>
            <w:vAlign w:val="bottom"/>
            <w:gridSpan w:val="3"/>
          </w:tcPr>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tc>
      </w:tr>
      <w:tr>
        <w:trPr>
          <w:trHeight w:val="588"/>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640" w:type="dxa"/>
            <w:vAlign w:val="bottom"/>
          </w:tcPr>
          <w:p>
            <w:pPr>
              <w:ind w:left="444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Second Amended and Restated Loan and Security Agreement, dated as of March 28, 2014, by and among Aviat Networks, Inc.,</w:t>
            </w: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40"/>
              <w:spacing w:after="0"/>
              <w:rPr>
                <w:sz w:val="20"/>
                <w:szCs w:val="20"/>
                <w:color w:val="auto"/>
              </w:rPr>
            </w:pPr>
            <w:r>
              <w:rPr>
                <w:rFonts w:ascii="Arial" w:cs="Arial" w:eastAsia="Arial" w:hAnsi="Arial"/>
                <w:sz w:val="18"/>
                <w:szCs w:val="18"/>
                <w:color w:val="auto"/>
                <w:w w:val="96"/>
              </w:rPr>
              <w:t>Aviat U.S., Inc., Aviat Networks (S) Pte. Ltd. and Silicon Valley Bank (incorporated by reference to Exhibit 10.1 to the Current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40"/>
              <w:spacing w:after="0"/>
              <w:rPr>
                <w:sz w:val="20"/>
                <w:szCs w:val="20"/>
                <w:color w:val="auto"/>
              </w:rPr>
            </w:pPr>
            <w:r>
              <w:rPr>
                <w:rFonts w:ascii="Arial" w:cs="Arial" w:eastAsia="Arial" w:hAnsi="Arial"/>
                <w:sz w:val="18"/>
                <w:szCs w:val="18"/>
                <w:color w:val="auto"/>
              </w:rPr>
              <w:t>Report on Form 8-K filed with the SEC on March 31, 2014, File No. 001-33278)</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6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0980"/>
          </w:cols>
          <w:pgMar w:left="240" w:top="796" w:right="6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28, 2014,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May 7, 2014</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Edward J. Hayes, Jr., certify that:</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28, 2014,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May 7, 2014</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Edward J. Hayes, Jr.</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Edward J. Hayes, Jr.</w:t>
            </w:r>
          </w:p>
        </w:tc>
      </w:tr>
      <w:tr>
        <w:trPr>
          <w:trHeight w:val="256"/>
        </w:trPr>
        <w:tc>
          <w:tcPr>
            <w:tcW w:w="65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Officer, Principal Financial Officer</w:t>
            </w:r>
          </w:p>
        </w:tc>
      </w:tr>
    </w:tbl>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March 28, 2014, as filed with the Securities and Exchange Commission on the date hereof (the “Report”), we, Michael A. Pangia, President and Chief Executive Officer of Aviat Networks, and Edward J Hayes, Jr., Senior Vice President and Chief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2"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May 7, 2014</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143510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23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Date: May 7, 2014</w:t>
      </w:r>
    </w:p>
    <w:p>
      <w:pPr>
        <w:ind w:left="6000"/>
        <w:spacing w:after="0"/>
        <w:rPr>
          <w:sz w:val="20"/>
          <w:szCs w:val="20"/>
          <w:color w:val="auto"/>
        </w:rPr>
      </w:pPr>
      <w:r>
        <w:rPr>
          <w:rFonts w:ascii="Arial" w:cs="Arial" w:eastAsia="Arial" w:hAnsi="Arial"/>
          <w:sz w:val="18"/>
          <w:szCs w:val="18"/>
          <w:color w:val="auto"/>
        </w:rPr>
        <w:t>/s/ Edward J Hayes,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21590</wp:posOffset>
            </wp:positionV>
            <wp:extent cx="2804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4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Edward J Hayes, Jr.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2019-12-07T14:21:07Z</dcterms:created>
  <dcterms:modified xsi:type="dcterms:W3CDTF">2019-12-07T14:21:07Z</dcterms:modified>
</cp:coreProperties>
</file>