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December 29, 2017</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5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400"/>
              <w:spacing w:after="0"/>
              <w:rPr>
                <w:sz w:val="20"/>
                <w:szCs w:val="20"/>
                <w:color w:val="auto"/>
              </w:rPr>
            </w:pPr>
            <w:r>
              <w:rPr>
                <w:rFonts w:ascii="Arial" w:cs="Arial" w:eastAsia="Arial" w:hAnsi="Arial"/>
                <w:sz w:val="18"/>
                <w:szCs w:val="18"/>
                <w:color w:val="auto"/>
              </w:rPr>
              <w:t>x (Do not check if a smaller reporting company)</w:t>
            </w:r>
          </w:p>
        </w:tc>
        <w:tc>
          <w:tcPr>
            <w:tcW w:w="33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680" w:type="dxa"/>
            <w:vAlign w:val="bottom"/>
          </w:tcPr>
          <w:p>
            <w:pPr>
              <w:ind w:left="400"/>
              <w:spacing w:after="0"/>
              <w:rPr>
                <w:sz w:val="20"/>
                <w:szCs w:val="20"/>
                <w:color w:val="auto"/>
              </w:rPr>
            </w:pPr>
            <w:r>
              <w:rPr>
                <w:rFonts w:ascii="Arial" w:cs="Arial" w:eastAsia="Arial" w:hAnsi="Arial"/>
                <w:sz w:val="18"/>
                <w:szCs w:val="18"/>
                <w:color w:val="auto"/>
              </w:rPr>
              <w:t>o</w:t>
            </w:r>
          </w:p>
        </w:tc>
        <w:tc>
          <w:tcPr>
            <w:tcW w:w="334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pacing w:after="0" w:line="74" w:lineRule="exact"/>
        <w:rPr>
          <w:sz w:val="24"/>
          <w:szCs w:val="24"/>
          <w:color w:val="auto"/>
        </w:rPr>
      </w:pPr>
    </w:p>
    <w:p>
      <w:pPr>
        <w:ind w:right="204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February 1, 2018 was 5,340,851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29, 2017</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 (Loss)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19">
              <w:r>
                <w:rPr>
                  <w:rFonts w:ascii="Arial" w:cs="Arial" w:eastAsia="Arial" w:hAnsi="Arial"/>
                  <w:sz w:val="18"/>
                  <w:szCs w:val="18"/>
                  <w:color w:val="auto"/>
                </w:rPr>
                <w:t>Item 2. 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7">
              <w:r>
                <w:rPr>
                  <w:rFonts w:ascii="Arial" w:cs="Arial" w:eastAsia="Arial" w:hAnsi="Arial"/>
                  <w:sz w:val="18"/>
                  <w:szCs w:val="18"/>
                  <w:color w:val="auto"/>
                </w:rPr>
                <w:t>Item 3. Quantitative and Qualitative Disclosures About Market Risk</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8">
              <w:r>
                <w:rPr>
                  <w:rFonts w:ascii="Arial" w:cs="Arial" w:eastAsia="Arial" w:hAnsi="Arial"/>
                  <w:sz w:val="18"/>
                  <w:szCs w:val="18"/>
                  <w:color w:val="auto"/>
                </w:rPr>
                <w:t>Item 4. Controls and Procedures</w:t>
              </w:r>
            </w:hyperlink>
          </w:p>
        </w:tc>
        <w:tc>
          <w:tcPr>
            <w:tcW w:w="5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1. Legal Proceedings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1A. Risk Factors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2. Unregistered Sales of Equity Securities and Use of Proceeds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3. Defaults upon Senior Securities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4. Mine Safety Disclosures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5.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0">
              <w:r>
                <w:rPr>
                  <w:rFonts w:ascii="Arial" w:cs="Arial" w:eastAsia="Arial" w:hAnsi="Arial"/>
                  <w:sz w:val="18"/>
                  <w:szCs w:val="18"/>
                  <w:color w:val="auto"/>
                </w:rPr>
                <w:t>Item 6. Exhibits</w:t>
              </w:r>
            </w:hyperlink>
          </w:p>
        </w:tc>
        <w:tc>
          <w:tcPr>
            <w:tcW w:w="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Signature</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Exhibit Index</w:t>
              </w:r>
            </w:hyperlink>
          </w:p>
        </w:tc>
        <w:tc>
          <w:tcPr>
            <w:tcW w:w="5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486"/>
        </w:trPr>
        <w:tc>
          <w:tcPr>
            <w:tcW w:w="10460" w:type="dxa"/>
            <w:vAlign w:val="bottom"/>
          </w:tcPr>
          <w:p>
            <w:pPr>
              <w:ind w:left="54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r>
    </w:tbl>
    <w:p>
      <w:pPr>
        <w:sectPr>
          <w:pgSz w:w="11900" w:h="16838" w:orient="portrait"/>
          <w:cols w:equalWidth="0" w:num="1">
            <w:col w:w="11000"/>
          </w:cols>
          <w:pgMar w:left="460" w:top="580" w:right="4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jc w:val="center"/>
              <w:ind w:right="5550"/>
              <w:spacing w:after="0"/>
              <w:rPr>
                <w:sz w:val="20"/>
                <w:szCs w:val="20"/>
                <w:color w:val="auto"/>
              </w:rPr>
            </w:pPr>
            <w:r>
              <w:rPr>
                <w:rFonts w:ascii="Arial" w:cs="Arial" w:eastAsia="Arial" w:hAnsi="Arial"/>
                <w:sz w:val="18"/>
                <w:szCs w:val="18"/>
                <w:b w:val="1"/>
                <w:bCs w:val="1"/>
                <w:color w:val="auto"/>
                <w:w w:val="89"/>
              </w:rPr>
              <w:t>Financial Statements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AVIAT NETWORKS, INC.</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7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43,098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43"/>
        </w:trPr>
        <w:tc>
          <w:tcPr>
            <w:tcW w:w="12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7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124,585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16,931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160,210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19,842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Advanced payments and 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Restructuring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86,018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Unearned income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98,236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Equity:</w:t>
            </w:r>
          </w:p>
        </w:tc>
        <w:tc>
          <w:tcPr>
            <w:tcW w:w="7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Preferred stock, </w:t>
            </w:r>
            <w:r>
              <w:rPr>
                <w:rFonts w:ascii="Arial" w:cs="Arial" w:eastAsia="Arial" w:hAnsi="Arial"/>
                <w:sz w:val="16"/>
                <w:szCs w:val="16"/>
                <w:color w:val="auto"/>
              </w:rPr>
              <w:t>$0.01 par value, 50,000,000 shares authorized, no shares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8580" w:type="dxa"/>
            <w:vAlign w:val="bottom"/>
            <w:gridSpan w:val="2"/>
          </w:tcPr>
          <w:p>
            <w:pPr>
              <w:ind w:left="280"/>
              <w:spacing w:after="0"/>
              <w:rPr>
                <w:sz w:val="20"/>
                <w:szCs w:val="20"/>
                <w:color w:val="auto"/>
              </w:rPr>
            </w:pPr>
            <w:r>
              <w:rPr>
                <w:rFonts w:ascii="Arial" w:cs="Arial" w:eastAsia="Arial" w:hAnsi="Arial"/>
                <w:sz w:val="18"/>
                <w:szCs w:val="18"/>
                <w:color w:val="auto"/>
                <w:w w:val="92"/>
              </w:rPr>
              <w:t xml:space="preserve">Common stock, </w:t>
            </w:r>
            <w:r>
              <w:rPr>
                <w:rFonts w:ascii="Arial" w:cs="Arial" w:eastAsia="Arial" w:hAnsi="Arial"/>
                <w:sz w:val="16"/>
                <w:szCs w:val="16"/>
                <w:color w:val="auto"/>
                <w:w w:val="92"/>
              </w:rPr>
              <w:t>$0.01 par value, 300,000,000 shares authorized, 5,340,851 shares issued and outstanding at December 29,</w:t>
            </w:r>
          </w:p>
        </w:tc>
        <w:tc>
          <w:tcPr>
            <w:tcW w:w="180" w:type="dxa"/>
            <w:vAlign w:val="bottom"/>
          </w:tcPr>
          <w:p>
            <w:pPr>
              <w:spacing w:after="0"/>
              <w:rPr>
                <w:sz w:val="20"/>
                <w:szCs w:val="20"/>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2"/>
        </w:trPr>
        <w:tc>
          <w:tcPr>
            <w:tcW w:w="8580" w:type="dxa"/>
            <w:vAlign w:val="bottom"/>
            <w:gridSpan w:val="2"/>
          </w:tcPr>
          <w:p>
            <w:pPr>
              <w:ind w:left="600"/>
              <w:spacing w:after="0"/>
              <w:rPr>
                <w:sz w:val="20"/>
                <w:szCs w:val="20"/>
                <w:color w:val="auto"/>
              </w:rPr>
            </w:pPr>
            <w:r>
              <w:rPr>
                <w:rFonts w:ascii="Arial" w:cs="Arial" w:eastAsia="Arial" w:hAnsi="Arial"/>
                <w:sz w:val="16"/>
                <w:szCs w:val="16"/>
                <w:color w:val="auto"/>
              </w:rPr>
              <w:t>2017; 5,317,766 shares issued and outstanding at June 30, 2017</w:t>
            </w: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813,733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(743,790)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(748,204)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Total equity</w:t>
            </w:r>
          </w:p>
        </w:tc>
        <w:tc>
          <w:tcPr>
            <w:tcW w:w="7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54,340</w:t>
            </w:r>
          </w:p>
        </w:tc>
        <w:tc>
          <w:tcPr>
            <w:tcW w:w="0" w:type="dxa"/>
            <w:vAlign w:val="bottom"/>
          </w:tcPr>
          <w:p>
            <w:pPr>
              <w:spacing w:after="0"/>
              <w:rPr>
                <w:sz w:val="1"/>
                <w:szCs w:val="1"/>
                <w:color w:val="auto"/>
              </w:rPr>
            </w:pPr>
          </w:p>
        </w:tc>
      </w:tr>
      <w:tr>
        <w:trPr>
          <w:trHeight w:val="257"/>
        </w:trPr>
        <w:tc>
          <w:tcPr>
            <w:tcW w:w="8580" w:type="dxa"/>
            <w:vAlign w:val="bottom"/>
            <w:gridSpan w:val="2"/>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160,210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152,576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37,719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45,958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72,786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80,682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46,061</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68,536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117,905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126,743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23,784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55,863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32,399</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39,833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78,719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88,262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14,056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27,826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(recovery) charges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37,518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38,893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Aviat Networks’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 of common stock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5"/>
              </w:rPr>
              <w:t>Less: Comprehensive income attributable to noncontrolling interests, net of tax</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Aviat Networks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(recovery from) uncollectible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for acquisition of property, plant and equipment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42,481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30, 2017.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six months ended December 29, 2017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30, 2017.</w:t>
      </w:r>
    </w:p>
    <w:p>
      <w:pPr>
        <w:spacing w:after="0" w:line="143"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consolidated financial statements of the prior period have been reclassified to conform to the presentation for the current period.</w:t>
      </w:r>
    </w:p>
    <w:p>
      <w:pPr>
        <w:spacing w:after="0" w:line="12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two quarters of fiscal 2018 and fiscal 2017 included 13 weeks in each quarter. Fiscal year 2018 will be comprised of 52 weeks and will end on June 29,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six months ended December 29, 2017, as compared to the significant accounting policies described in our Annual Report on Form 10-K for the fiscal year ended June 30,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(Topic 740),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Income Taxes: Intra-Entity Transfers of Assets Other than Inventory</w:t>
      </w:r>
      <w:r>
        <w:rPr>
          <w:rFonts w:ascii="Arial" w:cs="Arial" w:eastAsia="Arial" w:hAnsi="Arial"/>
          <w:sz w:val="18"/>
          <w:szCs w:val="18"/>
          <w:color w:val="auto"/>
        </w:rPr>
        <w:t>, which requires that an entity recognizes the tax expense from the sale of intra-entity</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assets, other than inventory, in the seller’s tax jurisdiction when the transfer occurs, even though the pre-tax effects of that transaction are eliminate in consolidation. We adopted this update during the first quarter of fiscal 2018. The adoption had no material impact on our unaudited condensed consolidated financial statements.</w:t>
      </w:r>
    </w:p>
    <w:p>
      <w:pPr>
        <w:spacing w:after="0" w:line="13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 xml:space="preserve">In July 2015, the FASB issued ASU 2015-11 (Topic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provides guidance to companies who account for inventory using either the first-in, first-out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We adopted this update prospectively during the first quarter of fiscal 2018. The adoption had no material impact on our unaudited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(ASC Topic 606), Revenue from Contracts with Customers</w:t>
      </w:r>
      <w:r>
        <w:rPr>
          <w:rFonts w:ascii="Arial" w:cs="Arial" w:eastAsia="Arial" w:hAnsi="Arial"/>
          <w:sz w:val="17"/>
          <w:szCs w:val="17"/>
          <w:color w:val="auto"/>
        </w:rPr>
        <w:t xml:space="preserve"> with amendments issued in 2015 and 2016. This standard update will supersede nearly all current U.S. GAAP guidance on this topic and eliminate industry-specific guidance. Revenue recognition will depict the transfer of promised goods or services to customers in an amount that reflects the consideration to which the entity expects to be entitled in exchange for those goods or services. Additional disclosures will also be required to enable users to understand the nature, amount, timing and uncertainty of revenue and cash flows arising from contracts with customers. The new revenue standard may be applied retrospectively to each prior period presented or retrospectively with the cumulative effect recognized in retained earnings as of the date of adoption.</w:t>
      </w:r>
    </w:p>
    <w:p>
      <w:pPr>
        <w:spacing w:after="0" w:line="124"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We are on schedule in establishing new accounting policies, implementing systems and processes (including more extensive use of estimates), and internal controls necessary to support the requirements of the new standard. We have completed our preliminary assessment of the financial statement impact of the new standard and will continue to update that assessment as more information becomes available. We expect the timing of revenue recognition to change in certain areas, including our services segment’s installation revenue, which upon adoption will be recognized as revenue and costs over a period of time. The performance obligations of certain arrangements are expected to be satisfied at the time of title transfer and risk of loss to the customer which is generally upon shipment, rather than at customer acceptance. Additionally, the analysis of our contracts under the new revenue recognition standard supports the recognition of revenue over time under the cost-to-cost method for some of our contracts, which is consistent with our current revenue recognition model. Revenue on these contracts will continue to be recognized over time because of the continuous transfer of control to the customer. Under the new standard, the cost-to-cost measure of progress continues to best depict the transfer of control of assets to the customer, which occurs as we incur costs. In addition, the number of our performance obligations within our financial accounting and reporting model under the existing standard is not expected to be materially different under the new standard. This preliminary assessment is based on the types and number of revenue arrangements currently in place. The exact impact of the new standard will be dependent on facts and circumstances at adoption and could vary from quarter to quarter.</w:t>
      </w:r>
    </w:p>
    <w:p>
      <w:pPr>
        <w:spacing w:after="0" w:line="11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We currently expense sales commissions as incurred, and the requirement in the new standard is to capitalize certain in-scope sales commissions. This requirement is being evaluated to determine its potential impact on our financial statements in the year of adoption. We expect to adopt the new standard on a modified retrospective basis in the first quarter of fiscal 2019. We are continuing to assess all potential impacts of the guidance on our unaudited condensed consolidated financial statements and given normal ongoing business dynamics, preliminary conclusions are subject to change.</w:t>
      </w:r>
    </w:p>
    <w:p>
      <w:pPr>
        <w:spacing w:after="0" w:line="100"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expect that most of our operating lease commitments will be subject to the new standard and recognized as right-of-use assets and operating lease liabilities upon the adoption of ASU 2016-02. We are evaluating the effect the adoption of the standard will have on our unaudited condensed consolidated financial statements.</w:t>
      </w:r>
    </w:p>
    <w:p>
      <w:pPr>
        <w:spacing w:after="0" w:line="139"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This guidance retains the current accounting for classifying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ind w:right="20"/>
        <w:spacing w:after="0" w:line="273" w:lineRule="auto"/>
        <w:rPr>
          <w:sz w:val="20"/>
          <w:szCs w:val="20"/>
          <w:color w:val="auto"/>
        </w:rPr>
      </w:pPr>
      <w:r>
        <w:rPr>
          <w:rFonts w:ascii="Arial" w:cs="Arial" w:eastAsia="Arial" w:hAnsi="Arial"/>
          <w:sz w:val="17"/>
          <w:szCs w:val="17"/>
          <w:color w:val="auto"/>
        </w:rPr>
        <w:t>measuring investments in debt securities and loans, but 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do not expect the adoption of this standard to have a material impact on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 of Common Stock</w:t>
      </w:r>
    </w:p>
    <w:p>
      <w:pPr>
        <w:spacing w:after="0" w:line="175"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Net income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is immaterial.</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per share attributable to our common stockholders: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attributable to Aviat Networks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5,071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potentially dilutive equivalent shares</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 of common stock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weighted-average equity awards that were excluded from the diluted net income per share calculations: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29,</w:t>
            </w: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30,</w:t>
            </w: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29,</w:t>
            </w:r>
          </w:p>
        </w:tc>
        <w:tc>
          <w:tcPr>
            <w:tcW w:w="12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54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128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potential shares of common stock excluded</w:t>
            </w:r>
          </w:p>
        </w:tc>
        <w:tc>
          <w:tcPr>
            <w:tcW w:w="254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summary of our cash, cash equivalents and restricted cash:</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29,</w:t>
            </w:r>
          </w:p>
        </w:tc>
        <w:tc>
          <w:tcPr>
            <w:tcW w:w="260" w:type="dxa"/>
            <w:vAlign w:val="bottom"/>
          </w:tcPr>
          <w:p>
            <w:pPr>
              <w:spacing w:after="0"/>
              <w:rPr>
                <w:sz w:val="14"/>
                <w:szCs w:val="14"/>
                <w:color w:val="auto"/>
              </w:rPr>
            </w:pPr>
          </w:p>
        </w:tc>
        <w:tc>
          <w:tcPr>
            <w:tcW w:w="110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42,481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net accounts receivable were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29,</w:t>
            </w:r>
          </w:p>
        </w:tc>
        <w:tc>
          <w:tcPr>
            <w:tcW w:w="260" w:type="dxa"/>
            <w:vAlign w:val="bottom"/>
          </w:tcPr>
          <w:p>
            <w:pPr>
              <w:spacing w:after="0"/>
              <w:rPr>
                <w:sz w:val="24"/>
                <w:szCs w:val="24"/>
                <w:color w:val="auto"/>
              </w:rPr>
            </w:pPr>
          </w:p>
        </w:tc>
        <w:tc>
          <w:tcPr>
            <w:tcW w:w="110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46,696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49,864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inventories were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29,</w:t>
            </w:r>
          </w:p>
        </w:tc>
        <w:tc>
          <w:tcPr>
            <w:tcW w:w="260" w:type="dxa"/>
            <w:vAlign w:val="bottom"/>
          </w:tcPr>
          <w:p>
            <w:pPr>
              <w:spacing w:after="0"/>
              <w:rPr>
                <w:sz w:val="24"/>
                <w:szCs w:val="24"/>
                <w:color w:val="auto"/>
              </w:rPr>
            </w:pPr>
          </w:p>
        </w:tc>
        <w:tc>
          <w:tcPr>
            <w:tcW w:w="110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24,556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21,794</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We record recovery or charges to adjust our inventory and customer service inventory due to excess and obsolete inventory resulting from lower sales forecasts, product transitioning or discontinuance. During the three and six months ended December 29, 2017, we recorded a net recovery of $0.1 million and $0.1 million, respectively, related to previously reserved inventory due to sell through. During the three and six months ended December 30, 2016, we recorded a net write down charge of $0.1 million and $0.6 million, respectively. Such recovery or charges during the three and six months ended December 29, 2017 and December 30, 2016 were classified in cost of product sales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property, plant and equipment, net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December 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45,924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43,174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73,511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70,129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4"/>
            <w:vMerge w:val="restart"/>
          </w:tcPr>
          <w:p>
            <w:pPr>
              <w:ind w:left="500"/>
              <w:spacing w:after="0"/>
              <w:rPr>
                <w:sz w:val="20"/>
                <w:szCs w:val="20"/>
                <w:color w:val="auto"/>
              </w:rPr>
            </w:pPr>
            <w:r>
              <w:rPr>
                <w:rFonts w:ascii="Arial" w:cs="Arial" w:eastAsia="Arial" w:hAnsi="Arial"/>
                <w:sz w:val="18"/>
                <w:szCs w:val="18"/>
                <w:color w:val="auto"/>
                <w:w w:val="90"/>
              </w:rPr>
              <w:t>Depreciation and amortization expense related to property, plant and equipment was as follows:</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36"/>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60" w:type="dxa"/>
            <w:vAlign w:val="bottom"/>
          </w:tcPr>
          <w:p>
            <w:pPr>
              <w:spacing w:after="0"/>
              <w:rPr>
                <w:sz w:val="13"/>
                <w:szCs w:val="13"/>
                <w:color w:val="auto"/>
              </w:rPr>
            </w:pPr>
          </w:p>
        </w:tc>
        <w:tc>
          <w:tcPr>
            <w:tcW w:w="12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rPr>
              <w:t>Our accrued expenses are summarized below:</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December 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Accrued warranties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19,842</w:t>
            </w:r>
          </w:p>
        </w:tc>
        <w:tc>
          <w:tcPr>
            <w:tcW w:w="120" w:type="dxa"/>
            <w:vAlign w:val="bottom"/>
          </w:tcPr>
          <w:p>
            <w:pPr>
              <w:spacing w:after="0"/>
              <w:rPr>
                <w:sz w:val="20"/>
                <w:szCs w:val="20"/>
                <w:color w:val="auto"/>
              </w:rPr>
            </w:pPr>
          </w:p>
        </w:tc>
        <w:tc>
          <w:tcPr>
            <w:tcW w:w="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21,933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at the time of sale. Changes in our warranty liability, which is included as a component of accrued expenses in the unaudited condensed consolidated balance sheets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56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Advanced payments and Unearned Income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advanced payments and unearned income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11,244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25,273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of Assets and Liabilities</w:t>
      </w:r>
    </w:p>
    <w:p>
      <w:pPr>
        <w:spacing w:after="0" w:line="175" w:lineRule="exact"/>
        <w:rPr>
          <w:sz w:val="20"/>
          <w:szCs w:val="20"/>
          <w:color w:val="auto"/>
        </w:rPr>
      </w:pPr>
    </w:p>
    <w:p>
      <w:pPr>
        <w:ind w:right="280" w:firstLine="486"/>
        <w:spacing w:after="0" w:line="30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December 29, 2017 and June 30, 2017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December 29, 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2"/>
                <w:szCs w:val="22"/>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480" w:type="dxa"/>
            <w:vAlign w:val="bottom"/>
          </w:tcPr>
          <w:p>
            <w:pPr>
              <w:ind w:left="220"/>
              <w:spacing w:after="0"/>
              <w:rPr>
                <w:sz w:val="20"/>
                <w:szCs w:val="20"/>
                <w:color w:val="auto"/>
              </w:rPr>
            </w:pPr>
            <w:r>
              <w:rPr>
                <w:rFonts w:ascii="Arial" w:cs="Arial" w:eastAsia="Arial" w:hAnsi="Arial"/>
                <w:sz w:val="14"/>
                <w:szCs w:val="14"/>
                <w:b w:val="1"/>
                <w:bCs w:val="1"/>
                <w:color w:val="auto"/>
              </w:rPr>
              <w:t>Valuation Inputs</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6"/>
              </w:rPr>
              <w:t>Level 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Level 2</w:t>
            </w:r>
          </w:p>
        </w:tc>
      </w:tr>
      <w:tr>
        <w:trPr>
          <w:trHeight w:val="27"/>
        </w:trPr>
        <w:tc>
          <w:tcPr>
            <w:tcW w:w="4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960"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December 29, 2017 and June 30, 2017, these money market funds were valued at $1.00 net asset value per share.</w:t>
      </w:r>
    </w:p>
    <w:p>
      <w:pPr>
        <w:spacing w:after="0" w:line="116"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00"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As of December 29, 2017 and June 30, 2017, we did not have any recurring assets or liabilities that were valued using significant unobservable inputs.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8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six months of fiscal 2018 and 2017,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March 28, 2014, we entered into a Second Amended and Restated Loan Agreement with Silicon Valley Bank (the “SVB Credit Facility”). The SVB Credit Facility expires on June 30, 2018. 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 In September 2017, the SVB Credit Facility was amended to allow up to 30% of our Singapore subsidiary’s accounts receivable to be included in the calculation of the borrowing base and the inclusion of the accounts receivable of certain high credit quality customers that are aged 90 to 120 days to be included in the calculation of the borrowing base.</w:t>
      </w:r>
    </w:p>
    <w:p>
      <w:pPr>
        <w:spacing w:after="0" w:line="14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outstanding debt under the SVB Credit Facility was $9.0 million as of December 29, 2017 and June 30, 2017. The SVB Credit Facility carries an interest rate computed at the daily prime rate as published in the Wall Street Journal plus a spread of 0.50% to 1.50%, with such spread determined based on our adjusted quick ratio. During the first six months of fiscal year 2018, the weighted average interest rate on our outstanding loan was 4.79%. As of December 29, 2017, available credit under the SVB Credit Facility was $11.7 million reflecting the calculated borrowing base of $23.3 million less existing borrowings of $9.0 million and outstanding letters of credit of $2.6 million.</w:t>
      </w:r>
    </w:p>
    <w:p>
      <w:pPr>
        <w:spacing w:after="0" w:line="13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December 29, 2017, we were in compliance with the quarterly financial covenants, as amended, contained in the SVB Credit Facility.</w:t>
      </w:r>
    </w:p>
    <w:p>
      <w:pPr>
        <w:spacing w:after="0" w:line="11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December 29, 2017 and June 30, 2017. The line of credit also provides for the issuance of standby letters of credit and company credit cards, of which $0.1 million was outstanding as of December 29, 2017. This facility may be terminated upon notice, is reviewed annually for renewal or modification, and is supported by a corporate guarantee.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6"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 related activities during the first six months of fiscal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Severance and Benefits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Facilities and Other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740" w:type="dxa"/>
            <w:vAlign w:val="bottom"/>
          </w:tcPr>
          <w:p>
            <w:pPr>
              <w:jc w:val="center"/>
              <w:ind w:right="14"/>
              <w:spacing w:after="0" w:line="153" w:lineRule="exact"/>
              <w:rPr>
                <w:sz w:val="20"/>
                <w:szCs w:val="20"/>
                <w:color w:val="auto"/>
              </w:rPr>
            </w:pPr>
            <w:r>
              <w:rPr>
                <w:rFonts w:ascii="Arial" w:cs="Arial" w:eastAsia="Arial" w:hAnsi="Arial"/>
                <w:sz w:val="14"/>
                <w:szCs w:val="14"/>
                <w:b w:val="1"/>
                <w:bCs w:val="1"/>
                <w:color w:val="auto"/>
                <w:w w:val="90"/>
              </w:rPr>
              <w:t>Fiscal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2015-2016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2014-2015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September 29,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Charges (recovery), net</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balance, December 29,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December 29, 2017, $0.3 million of the accrual balance was in short-term restructuring liabilities while $0.2 million was included in other long-term liabilities on the unaudited condensed consolidated balance sheets. In January 2018, we reached an agreement with a certain foreign government which allowed us to reduce our estimated payments relating to the fiscal 2014-2015 restructuring plan by $0.3 million. We recorded this reduction in the second quarter of fiscal 2018.</w:t>
      </w:r>
    </w:p>
    <w:p>
      <w:pPr>
        <w:spacing w:after="0" w:line="13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have completed the restructuring activities under each of the plans referenced in the table above. Remaining payments for these plans will be paid through fiscal year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w:t>
      </w:r>
    </w:p>
    <w:p>
      <w:pPr>
        <w:spacing w:after="0" w:line="17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of December 29, 2017, we had one stock incentive plan for our employees and nonemployee directors, the 2007 Stock Equity Plan, as amended and restated effective November 13, 2015 (the “2007 Stock Plan”). During the first six months of fiscal 2018, we issued 524 shares of common stock under the Employee Stock Purchase Plan (ESPP), and 191 shares of common stock for options exercised.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2"/>
        </w:trPr>
        <w:tc>
          <w:tcPr>
            <w:tcW w:w="6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As of December 29, 2017, there was $0.1 million of total unrecognized compensation expense related to nonvested stock options granted under our 2007 Stock Plan. This expense is expected to be recognized over a weighted average period of 0.59 years. As of December 29, 2017, there was $2.5 million of total unrecognized compensation expense related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nonvested stock awards and units granted under our 2007 Stock Plan. This expense is expected to be recognized over a weighted average period of 1.21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six months ended December 29, 2017 and December 30, 2016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67,937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12,682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26,144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31,119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15,514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20,370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61,723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68,536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117,905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126,743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During the three and six months ended December 29, 2017, Mobile Telephone Networks Group (MTN Group) accounted 11% and 13%, respectively, of our total revenue. During the three and six months ended December 30, 2016, MTN Group accounted for 12% and 11%, respectively, of our total revenue. Motorola Solutions, Inc. (Motorola) and MTN Group and T-Mobile accounted for 16%, 11% and 11%, respectively, of our accounts receivable as of December 29, 2017. MTN Group also accounted for 26% of our accounts receivable as of June 30, 2017. We have entered into separate and distinct contracts with MTN Group and Motorola, as well as separate arrangements with their various subsidiaries. The loss of all business from MTN Group, Motorola, or any other significant customers, could adversely affect our results of operations, cash flows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(“Tax Act”). The Tax Act makes broad and complex changes to the U.S. tax code that will affect our fiscal year ending June 29, 2018, including, but not limited to, (1) reducing the U.S. federal corporate tax rate, (2) requiring a one-time transition tax on certain unrepatriated earnings of foreign subsidiaries that is payable over eight years, and (3) elimination of the corporate Alternative Minimum Tax (“AMT”). The Tax Act reduces the federal corporate tax rate to 21.0% in the fiscal year ending June 29, 2018. Section 15 of the Internal Revenue Code stipulates that our fiscal year ending June 29, 2018 will have a blended corporate tax rate of 28.1%, which is based on the applicable tax rates before and after the Tax Act and the number of days in the year.</w:t>
      </w:r>
    </w:p>
    <w:p>
      <w:pPr>
        <w:spacing w:after="0" w:line="111" w:lineRule="exact"/>
        <w:rPr>
          <w:sz w:val="20"/>
          <w:szCs w:val="20"/>
          <w:color w:val="auto"/>
        </w:rPr>
      </w:pPr>
    </w:p>
    <w:p>
      <w:pPr>
        <w:ind w:right="320" w:firstLine="486"/>
        <w:spacing w:after="0" w:line="286" w:lineRule="auto"/>
        <w:rPr>
          <w:sz w:val="20"/>
          <w:szCs w:val="20"/>
          <w:color w:val="auto"/>
        </w:rPr>
      </w:pPr>
      <w:r>
        <w:rPr>
          <w:rFonts w:ascii="Arial" w:cs="Arial" w:eastAsia="Arial" w:hAnsi="Arial"/>
          <w:sz w:val="17"/>
          <w:szCs w:val="17"/>
          <w:color w:val="auto"/>
        </w:rPr>
        <w:t>Our effective tax rate varies from the U.S. federal statutory rate of 28.1% due to results of foreign operations that are subject to income taxes at different statutory rates, certain jurisdictions where we cannot recognize tax benefits on current losses, tax benefit from a foreign tax refund and release of valuation allowance. During interim periods, we accrue tax expenses for jurisdictions that are anticipated to be profitable for fiscal 2018.</w:t>
      </w:r>
    </w:p>
    <w:p>
      <w:pPr>
        <w:spacing w:after="0" w:line="11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The determination of our tax benefit for the first six months of fiscal 2018 and 2017 was based on our estimated annual effective tax rate adjusted for losses in certain jurisdictions for which no tax benefit can be recognized. The tax benefit for the first six months of fiscal 2018 was primarily attributable to the foreign tax refunds received from the Inland Revenue Authority of Singapore (“IRAS”) and release of valuation allowance related to the refundable AMT credit as provided under the Tax Act, offset by tax expense related to profitable subsidiaries. The tax benefit for the first six months of fiscal 2017 was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primarily attributable to the foreign tax refund received from the IRAS, offset by the tax expense related to profitable subsidiaries.</w:t>
      </w:r>
    </w:p>
    <w:p>
      <w:pPr>
        <w:spacing w:after="0" w:line="171"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During the fiscal year 2014, we received an assessment letter from IRAS related to deductions claimed in prior years and made a payment of $13.2 million related to tax years 2007 through 2010, reflecting all the taxes incrementally assessed by IRAS. Since the initial assessment, we continued to challenge this assessment. During the first quarter of fiscal 2017, we received an initial refund of $3.7 million from IRAS. During the first quarter of fiscal 2018, we received an additional refund of $1.3 million from IRAS which represents a final settlement. These refunds were recorded as a discrete tax benefit during the quarter the respective payment was received. During the second quarter of fiscal 2018, we recorded a valuation allowance release of $3.3 million related to refundable AMT credit under the Tax Act as a discrete benefit and recorded as a long-term receivable in our Other Assets in the unaudited condensed consolidated balance sheet. Under the Tax Act, any carryforward AMT tax credits can be refunded if not fully utilized by fiscal year 2022. We expect to receive the refund of this tax benefit starting in our fiscal year 2020.</w:t>
      </w:r>
    </w:p>
    <w:p>
      <w:pPr>
        <w:spacing w:after="0" w:line="125"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Nigeria and the Ivory Coast. The earliest years that are open and subject to potential audits for these jurisdictions are as follows: U.S. — 2003; Singapore — 2011; Nigeria — 2011, and Ivory Coast — 2016.</w:t>
      </w:r>
    </w:p>
    <w:p>
      <w:pPr>
        <w:spacing w:after="0" w:line="12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six months ended December 29, 2017 and December 30, 2016.</w:t>
      </w:r>
    </w:p>
    <w:p>
      <w:pPr>
        <w:spacing w:after="0" w:line="11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SEC staff issued Staff Accounting Bulletin (“SAB”) No.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35" w:lineRule="exact"/>
        <w:rPr>
          <w:sz w:val="20"/>
          <w:szCs w:val="20"/>
          <w:color w:val="auto"/>
        </w:rPr>
      </w:pPr>
    </w:p>
    <w:p>
      <w:pPr>
        <w:ind w:right="320" w:firstLine="486"/>
        <w:spacing w:after="0" w:line="273" w:lineRule="auto"/>
        <w:rPr>
          <w:sz w:val="20"/>
          <w:szCs w:val="20"/>
          <w:color w:val="auto"/>
        </w:rPr>
      </w:pPr>
      <w:r>
        <w:rPr>
          <w:rFonts w:ascii="Arial" w:cs="Arial" w:eastAsia="Arial" w:hAnsi="Arial"/>
          <w:sz w:val="17"/>
          <w:szCs w:val="17"/>
          <w:color w:val="auto"/>
        </w:rPr>
        <w:t>In connection with our initial analysis of the impact of the Tax Act, we have recorded a discrete net tax benefit of $3.3 million in the period ended December 29, 2017. This net benefit relates to a valuation allowance release of refundable AMT credit. For various reasons that are discussed more fully below, we have not fully completed our accounting for the income tax effects of certain elements of the Tax Act. If we were able to make reasonable estimates of the effects of elements for which our analysis is not yet complete, we recorded provisional adjustments. If we were not yet able to make reasonable estimates of the impact of certain elements, we have not recorded any adjustments related to those elements and have continued accounting for them in accordance with ASC 740 on the basis of the tax laws in effect before the Tax Act.</w:t>
      </w:r>
    </w:p>
    <w:p>
      <w:pPr>
        <w:spacing w:after="0" w:line="12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Our accounting for the following elements of the Tax Act is incomplete. However, we were able to make reasonable estimates of certain effects and, therefore, recorded provisional adjustments as follows:</w:t>
      </w:r>
    </w:p>
    <w:p>
      <w:pPr>
        <w:spacing w:after="0" w:line="116"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i w:val="1"/>
          <w:iCs w:val="1"/>
          <w:color w:val="auto"/>
        </w:rPr>
        <w:t xml:space="preserve">Reduction of U.S. Federal Corporate Tax Rate: </w:t>
      </w:r>
      <w:r>
        <w:rPr>
          <w:rFonts w:ascii="Arial" w:cs="Arial" w:eastAsia="Arial" w:hAnsi="Arial"/>
          <w:sz w:val="17"/>
          <w:szCs w:val="17"/>
          <w:color w:val="auto"/>
        </w:rPr>
        <w:t>The Tax Act reduces the corporate tax rate to 21.0%, effective January 1, 2018. For certain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deferred tax liabilities, we have recorded a provisional decrease of $53.8 million, respectively, with a corresponding net adjustment to valuation allowance of $53.8 million for the period ended December 29, 2017. While we are able to make a reasonable estimate of the impact of the reduction in corporate rate, it may be affected by other analyses related to the Tax Act, including, but not limited to, our calculation of deemed repatriation of deferred foreign income and the state tax effect of adjustments made to federal temporary differences.</w:t>
      </w:r>
    </w:p>
    <w:p>
      <w:pPr>
        <w:spacing w:after="0" w:line="11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The Deemed Repatriation Transition Tax (“Transition Tax”) is a tax on previously untaxed accumulated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earnings and profits (“E&amp;P”) of certain foreign subsidiaries. To determine the amount of the Transition Tax, we must determine, in addition to other factors, the amount of post-1986 E&amp;P of the relevant subsidiaries, as well as the amount of non-U.S. income taxes paid on such earnings. We are able to make a reasonable estimate of the Transition Tax and currently do not believe we will be charged this tax, due to preliminary calculations of net negative E&amp;P for our foreign subsidiaries subjected to this tax. However, we are continuing to gather additional information to more precisely compute the amount of the Transition Tax.</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accounting for the following elements of the Tax Act is incomplete, and we were not yet able to make reasonable estimates of the effects.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no provisional adjustments were recorded.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right="60" w:firstLine="486"/>
        <w:spacing w:after="0" w:line="257" w:lineRule="auto"/>
        <w:rPr>
          <w:sz w:val="20"/>
          <w:szCs w:val="20"/>
          <w:color w:val="auto"/>
        </w:rPr>
      </w:pPr>
      <w:r>
        <w:rPr>
          <w:rFonts w:ascii="Arial" w:cs="Arial" w:eastAsia="Arial" w:hAnsi="Arial"/>
          <w:sz w:val="18"/>
          <w:szCs w:val="18"/>
          <w:i w:val="1"/>
          <w:iCs w:val="1"/>
          <w:color w:val="auto"/>
        </w:rPr>
        <w:t xml:space="preserve">Global Intangible Low Taxed Income (“GILTI”): </w:t>
      </w:r>
      <w:r>
        <w:rPr>
          <w:rFonts w:ascii="Arial" w:cs="Arial" w:eastAsia="Arial" w:hAnsi="Arial"/>
          <w:sz w:val="18"/>
          <w:szCs w:val="18"/>
          <w:color w:val="auto"/>
        </w:rPr>
        <w:t>The Tax Act creates a new requirement that certain income (i.e., GILTI) earned by controlled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(“CFCs”) must be included currently in the gross income of the CFCs’ U.S. shareholder. GILTI is the excess of the shareholder’s “net CFC tested income” over the net deemed tangible income return, which is currently defined as the excess of, (1) 10.0% of the aggregate of the U.S. shareholder’s pro-rata share of the qualified business asset investment of each CFC with respect to which it is a U.S. shareholder, (2) the amount of certain interest expense taken into account in the determination of net CFC-tested income.</w:t>
      </w:r>
    </w:p>
    <w:p>
      <w:pPr>
        <w:spacing w:after="0" w:line="134"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Because of the complexity of the new GILTI tax rules, we are continuing to evaluate this provision of the Tax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taxed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not only our current structure and estimated future results of global operations but also our intent and ability to modify our structure and/or our business, we are not yet able to reasonably estimate the effect of this provision of the Tax Act. Therefore, we have not made any adjustments related to the potential GILTI tax in our financial statements and have not made a policy decision regarding whether to record deferred taxes on GILTI.</w:t>
      </w:r>
    </w:p>
    <w:p>
      <w:pPr>
        <w:spacing w:after="0" w:line="128" w:lineRule="exact"/>
        <w:rPr>
          <w:sz w:val="20"/>
          <w:szCs w:val="20"/>
          <w:color w:val="auto"/>
        </w:rPr>
      </w:pPr>
    </w:p>
    <w:p>
      <w:pPr>
        <w:jc w:val="both"/>
        <w:ind w:right="500" w:firstLine="486"/>
        <w:spacing w:after="0" w:line="259" w:lineRule="auto"/>
        <w:rPr>
          <w:sz w:val="20"/>
          <w:szCs w:val="20"/>
          <w:color w:val="auto"/>
        </w:rPr>
      </w:pPr>
      <w:r>
        <w:rPr>
          <w:rFonts w:ascii="Arial" w:cs="Arial" w:eastAsia="Arial" w:hAnsi="Arial"/>
          <w:sz w:val="18"/>
          <w:szCs w:val="18"/>
          <w:i w:val="1"/>
          <w:iCs w:val="1"/>
          <w:color w:val="auto"/>
        </w:rPr>
        <w:t xml:space="preserve">Valuation Allowances: </w:t>
      </w:r>
      <w:r>
        <w:rPr>
          <w:rFonts w:ascii="Arial" w:cs="Arial" w:eastAsia="Arial" w:hAnsi="Arial"/>
          <w:sz w:val="18"/>
          <w:szCs w:val="18"/>
          <w:color w:val="auto"/>
        </w:rPr>
        <w:t>The company must assess whether valuation allowances assessments are affected by various aspects of the Tax Act (e.g.,</w:t>
      </w:r>
      <w:r>
        <w:rPr>
          <w:rFonts w:ascii="Arial" w:cs="Arial" w:eastAsia="Arial" w:hAnsi="Arial"/>
          <w:sz w:val="18"/>
          <w:szCs w:val="18"/>
          <w:i w:val="1"/>
          <w:iCs w:val="1"/>
          <w:color w:val="auto"/>
        </w:rPr>
        <w:t xml:space="preserve"> </w:t>
      </w:r>
      <w:r>
        <w:rPr>
          <w:rFonts w:ascii="Arial" w:cs="Arial" w:eastAsia="Arial" w:hAnsi="Arial"/>
          <w:sz w:val="18"/>
          <w:szCs w:val="18"/>
          <w:color w:val="auto"/>
        </w:rPr>
        <w:t>deemed repatriation of deferred foreign income, GILTI inclusions, new categories of FTCs, AMT repeal). During the second quarter of fiscal 2018, we recorded a valuation allowance release of $3.3 million related to refundable AMT credit under the Tax Act as a discrete benefit. Under the Tax Act, any carryforward AMT tax credits can be refunded if not fully utilized by fiscal year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as our corporate headquarters.</w:t>
      </w:r>
    </w:p>
    <w:p>
      <w:pPr>
        <w:spacing w:after="0" w:line="11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As of December 29, 2017,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(two quarters remaining)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1,692</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962</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2,022</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7,332</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December 29, 2017. The future minimum lease payments are not reduced by the minimum sublease rents.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29,</w:t>
            </w:r>
          </w:p>
        </w:tc>
        <w:tc>
          <w:tcPr>
            <w:tcW w:w="160" w:type="dxa"/>
            <w:vAlign w:val="bottom"/>
          </w:tcPr>
          <w:p>
            <w:pPr>
              <w:spacing w:after="0"/>
              <w:rPr>
                <w:sz w:val="13"/>
                <w:szCs w:val="13"/>
                <w:color w:val="auto"/>
              </w:rPr>
            </w:pPr>
          </w:p>
        </w:tc>
        <w:tc>
          <w:tcPr>
            <w:tcW w:w="110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December 29, 2017, we had outstanding purchase obligations with our suppliers or contract manufacturers of $20.4 million. In addition, we had contractual obligations of approximately $0.7 million associated with software licenses as of December 29,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29, 2017, we had no guarantees applicable to our debt arrangements.</w:t>
      </w:r>
    </w:p>
    <w:p>
      <w:pPr>
        <w:spacing w:after="0" w:line="117"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29, 2017, we had commercial commitments of $51.9 million outstanding that were not recorded in our unaudited condensed consolidated balance sheets. We do not believe, based on historical experience and information currently available, that it is probable that any significant amounts will be required to be paid on the performance guarantees in the future.</w:t>
      </w:r>
    </w:p>
    <w:p>
      <w:pPr>
        <w:sectPr>
          <w:pgSz w:w="11900" w:h="16838" w:orient="portrait"/>
          <w:cols w:equalWidth="0" w:num="1">
            <w:col w:w="11420"/>
          </w:cols>
          <w:pgMar w:left="240" w:top="746"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25"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December 29, 2017, we have not received any notices that any customer is subject to an infringement claim arising from the use of our products; we have not received any requests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29, 2017,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litigations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9" w:name="page20"/>
    <w:bookmarkEnd w:id="19"/>
    <w:p>
      <w:pPr>
        <w:ind w:right="100"/>
        <w:spacing w:after="0" w:line="270" w:lineRule="auto"/>
        <w:rPr>
          <w:sz w:val="20"/>
          <w:szCs w:val="20"/>
          <w:color w:val="auto"/>
        </w:rPr>
      </w:pPr>
      <w:r>
        <w:rPr>
          <w:rFonts w:ascii="Arial" w:cs="Arial" w:eastAsia="Arial" w:hAnsi="Arial"/>
          <w:sz w:val="17"/>
          <w:szCs w:val="17"/>
          <w:color w:val="auto"/>
        </w:rPr>
        <w:t>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right="5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2017 Annual Report on Form 10-K filed with the SEC on September 6, 2017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jc w:val="both"/>
        <w:ind w:right="20" w:firstLine="486"/>
        <w:spacing w:after="0" w:line="302" w:lineRule="auto"/>
        <w:rPr>
          <w:sz w:val="20"/>
          <w:szCs w:val="20"/>
          <w:color w:val="auto"/>
        </w:rPr>
      </w:pPr>
      <w:r>
        <w:rPr>
          <w:rFonts w:ascii="Arial" w:cs="Arial" w:eastAsia="Arial" w:hAnsi="Arial"/>
          <w:sz w:val="16"/>
          <w:szCs w:val="16"/>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ind w:right="840"/>
        <w:spacing w:after="0" w:line="277" w:lineRule="auto"/>
        <w:rPr>
          <w:sz w:val="20"/>
          <w:szCs w:val="20"/>
          <w:color w:val="auto"/>
        </w:rPr>
      </w:pPr>
      <w:r>
        <w:rPr>
          <w:rFonts w:ascii="Arial" w:cs="Arial" w:eastAsia="Arial" w:hAnsi="Arial"/>
          <w:sz w:val="18"/>
          <w:szCs w:val="18"/>
          <w:color w:val="auto"/>
        </w:rPr>
        <w:t>reflect further developments or information obtained after the date of filing of this Quarterly Report on Form 10-Q or, in the case of any document incorporated by reference, the date of that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2018 and 2017 Results</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29, 2018 is referred to as “fiscal 2018” or “2018” and our fiscal year ended June 30, 2017 is referred to as “fiscal 2017” or “2017”.</w:t>
      </w:r>
    </w:p>
    <w:p>
      <w:pPr>
        <w:spacing w:after="0" w:line="13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design, manufacture and sell a range of wireless networking products, solutions and services to mobile and fixed public network operators, federal, state and local government agencies, transportation, energy and utility companies, public safety agencies and broadcast network operations around the world. Our products utilize microwave and millimeter wave technologies to create point to point wireless links for short, medium and long distance interconnections. Our wireless systems deliver urban, suburban, regional and country-wide communication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are easier to implement than optical fiber in areas with rugged terrain, and are able to provide connections over bodies of water, such as between islands or between oil and gas production platforms. We also provide network management software solutions to enable operators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15"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1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strategic focus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33"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Although the general trend of increasing demand for bandwidth to support mobile networks applies in all markets and creates demand for our solutions,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13"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3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continue to explore strategic alternatives to improve the market position and profitability of our product offerings in the marketplace, generate additional liquidity and enhance our valuation. We may pursue our goals during the next twelve months through organic growth and through strategic alternatives. Some of these alternatives have included, and could continue to include, selective acquisitions of business segments or entire businesses, divestitures, the sale of assets or securities, a sale or merger of our company or a restructuring of our company. We have also provided, and may from time to time in the future provide, information to interested parties.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continues to be adversely affected by constrained availability of U.S. dollars in countries with economies highly dependent on resource exports, particularly oil. This condition, along with decline in local purchasing power because of currency devaluations relative to the U.S. dollar, limits capital spending and slows payments from customers in those locations.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2017 Annual Report on Form 10-K, a number of factors could prevent us from achieving our objectives, including ongoing pricing pressures attributable to competition and macroeconomic conditions in the geographic markets that we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six months ended December 29, 2017 and December 30, 2016 and the related changes were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30, 2016</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30,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color w:val="auto"/>
              </w:rPr>
              <w:t>Africa and Middle East</w:t>
            </w:r>
          </w:p>
        </w:tc>
        <w:tc>
          <w:tcPr>
            <w:tcW w:w="4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12,682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16,770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(4,088)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26,144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(4,975)</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and Russia</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35.7 %</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8"/>
              </w:rPr>
              <w:t>Latin America and Asia Pacific</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9,603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126,743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revenue in North America decreased $2.4 million, or 6.0%, during the second quarter of fiscal 2018 compared with the same period of fiscal 2017. The volume of private network projects coming to completion decreased year-to-year but that was partially offset by a year-to-year increase in revenue with mobile operator customers in the sector. On a year-to-date basis, North America revenue increased slightly by $0.1 million, or 0.1%, compared with the same period in fiscal 2017.</w:t>
      </w:r>
    </w:p>
    <w:p>
      <w:pPr>
        <w:spacing w:after="0" w:line="133"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Our revenue in Africa and the Middle East decreased $4.1 million, or 24.4%, for the second quarter of fiscal 2018 compared with the same period of fiscal 2017. The decrease in revenue was primarily due to lower sales volume to our large operator customers in Africa. On a year-to-date basis, Africa and the Middle East revenue decreased $5.0 million, or 16.0%, compared with the same period in fiscal 2017. The year-to-date decrease in the region was also from lower sales to mobile operator customers in Africa.</w:t>
      </w:r>
    </w:p>
    <w:p>
      <w:pPr>
        <w:spacing w:after="0" w:line="133"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Revenue in Europe and Russia increased $1.0 million, or 35.7%, for the second quarter of fiscal 2018 compared with the same quarter of fiscal 2017. The increase was from sales to a new mobile operator customer in the region. On a year-to-date basis, revenue in Europe and Russia was up $0.9 million, or 12.9%, from the same period in fiscal 2017. The increase was from sales to a new mobile operator customer in the region.</w:t>
      </w:r>
    </w:p>
    <w:p>
      <w:pPr>
        <w:spacing w:after="0" w:line="11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Revenue in Latin America and Asia Pacific decreased $1.4 million, or 14.2%, during the second quarter of fiscal 2018 compared with the same period in fiscal 2017. The decrease was primarily due to decreased deliveries to our larger customers in Latin America. On a year-to-date basis, revenue in Latin America and Asia Pacific decreased $4.9 million, or 23.8%, from the same period in fiscal 2017 mainly due to decreased sales to large mobile operator customers in Asia Pacific.</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9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30, 2016</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30,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sales</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80,682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Services</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24,004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22,578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1,426</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46,061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126,743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revenue from product sales decreased $8.2 million, or 17.9%, for the second quarter of fiscal 2018 compared with the same period in fiscal 2017. Product volumes were $2.5 million lower in North America and $5.7 million lower in other regions. Our services revenue increased by $1.4 million, or 6.3%, during the second quarter of fiscal 2018 compared with the same period of fiscal 2017, due to increased service activities in all regions except for Latin America.</w:t>
      </w:r>
    </w:p>
    <w:p>
      <w:pPr>
        <w:spacing w:after="0" w:line="13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revenue from product sales decreased by $7.9 million, or 9.8%, for the first six months of fiscal 2018 compared with the same period in fiscal 2017. The decrease came primarily from weaker product sales in Africa, the Middle East, Latin America and Asia Pacific, offset in part by stronger sales in North America and Europe. Our services revenue decreased by $0.9 million, or 2.0%, during the first six months of fiscal 2018 compared with the same period of fiscal 2017, due to reduced service activities in most regions, except for the Middle East Africa and Europe where we had a small increase in service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29, 2017</w:t>
            </w:r>
          </w:p>
        </w:tc>
        <w:tc>
          <w:tcPr>
            <w:tcW w:w="120" w:type="dxa"/>
            <w:vAlign w:val="bottom"/>
            <w:vMerge w:val="restart"/>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30, 2016</w:t>
            </w:r>
          </w:p>
        </w:tc>
        <w:tc>
          <w:tcPr>
            <w:tcW w:w="120" w:type="dxa"/>
            <w:vAlign w:val="bottom"/>
            <w:vMerge w:val="restart"/>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29, 2017</w:t>
            </w:r>
          </w:p>
        </w:tc>
        <w:tc>
          <w:tcPr>
            <w:tcW w:w="120" w:type="dxa"/>
            <w:vAlign w:val="bottom"/>
            <w:vMerge w:val="restart"/>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30, 2016</w:t>
            </w:r>
          </w:p>
        </w:tc>
        <w:tc>
          <w:tcPr>
            <w:tcW w:w="100" w:type="dxa"/>
            <w:vAlign w:val="bottom"/>
            <w:vMerge w:val="restart"/>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61,723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68,536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117,905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126,743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39,833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47,420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78,719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88,262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56"/>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39,186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38,481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64"/>
        </w:trPr>
        <w:tc>
          <w:tcPr>
            <w:tcW w:w="186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 margin %</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ind w:left="200"/>
              <w:spacing w:after="0"/>
              <w:rPr>
                <w:sz w:val="20"/>
                <w:szCs w:val="20"/>
                <w:color w:val="auto"/>
              </w:rPr>
            </w:pPr>
            <w:r>
              <w:rPr>
                <w:rFonts w:ascii="Arial" w:cs="Arial" w:eastAsia="Arial" w:hAnsi="Arial"/>
                <w:sz w:val="14"/>
                <w:szCs w:val="14"/>
                <w:color w:val="auto"/>
              </w:rPr>
              <w:t>Service margin %</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firstLine="486"/>
        <w:spacing w:after="0" w:line="286" w:lineRule="auto"/>
        <w:rPr>
          <w:sz w:val="20"/>
          <w:szCs w:val="20"/>
          <w:color w:val="auto"/>
        </w:rPr>
      </w:pPr>
      <w:r>
        <w:rPr>
          <w:rFonts w:ascii="Arial" w:cs="Arial" w:eastAsia="Arial" w:hAnsi="Arial"/>
          <w:sz w:val="17"/>
          <w:szCs w:val="17"/>
          <w:color w:val="auto"/>
        </w:rPr>
        <w:t>Gross margin for the three and six months ended December 29, 2017 increased by $0.8 million, or 3.7%, and $0.7 million, or 1.8%, respectively, compared with the three and six months ended December 30, 2016. The margin increase resulted from improved product margins primarily in Africa and improved profitability of service projects in Africa, as well as an increase share of business in the North America market.</w:t>
      </w:r>
    </w:p>
    <w:p>
      <w:pPr>
        <w:spacing w:after="0" w:line="11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Gross margin as a percentage of revenue increased in the second quarter of fiscal 2018 compared with the same period in fiscal 2017 due to improved product and service margins, as well as an increase in the share of business in North America. Product margin as a percentage of product revenue increased from the prior year quarter primarily due to improvements of product margins in Africa facilitated by relative stability in exchange rates as well as the increased share of business in North America. Service margin as a percentage of service revenue increased due to continued efforts to improve execution of our field services projects, primarily in Africa.</w:t>
      </w:r>
    </w:p>
    <w:p>
      <w:pPr>
        <w:spacing w:after="0" w:line="13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a year-to-date basis, gross margin as a percentage of revenue increased due to lower supply chain costs and higher margin on both product and service. Gross margin rates in our services businesses in most international sectors improved compared with the same period in fiscal 2017. Product margin as a percentage of product revenue increased in the first six months of fiscal 2018 over the same period in fiscal 2017 primarily due to reduced supply chain costs as well as the above-mentioned shift in the portion of our business coming from North America relative to international markets, and from improved product margins in Africa and Asia-Pacific.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8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5,144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4,475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669</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9,942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58"/>
        </w:trPr>
        <w:tc>
          <w:tcPr>
            <w:tcW w:w="188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research and development expenses increased $0.7 million, or 14.9%, in the second quarter of fiscal 2018 compared with the same period in fiscal</w:t>
      </w:r>
    </w:p>
    <w:p>
      <w:pPr>
        <w:spacing w:after="0" w:line="4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2017. The increase was due to a $0.5 million increase in professional service expense and a $0.2 million increase in compensation and related employee expenses.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research and development expenses increased $0.5 million, or 5.6%, in the first six months of fiscal 2018 compared with the same period in fiscal</w:t>
      </w:r>
    </w:p>
    <w:p>
      <w:pPr>
        <w:spacing w:after="0" w:line="46"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2017. The increase was primarily due to a $0.5 million increase in compensation and related employee expenses and $0.2 million additional spending in professional service expense. The increase was offset by $0.1 million due to a higher economic incentive grant credit in the first six months of fiscal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8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8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Selling and administrative</w:t>
            </w: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14,104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14,056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27,826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29,243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58"/>
        </w:trPr>
        <w:tc>
          <w:tcPr>
            <w:tcW w:w="1880" w:type="dxa"/>
            <w:vAlign w:val="bottom"/>
          </w:tcPr>
          <w:p>
            <w:pPr>
              <w:ind w:left="200"/>
              <w:spacing w:after="0"/>
              <w:rPr>
                <w:sz w:val="20"/>
                <w:szCs w:val="20"/>
                <w:color w:val="auto"/>
              </w:rPr>
            </w:pPr>
            <w:r>
              <w:rPr>
                <w:rFonts w:ascii="Arial" w:cs="Arial" w:eastAsia="Arial" w:hAnsi="Arial"/>
                <w:sz w:val="14"/>
                <w:szCs w:val="14"/>
                <w:color w:val="auto"/>
              </w:rPr>
              <w:t>% of revenue</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320" w:firstLine="486"/>
        <w:spacing w:after="0" w:line="279" w:lineRule="auto"/>
        <w:rPr>
          <w:sz w:val="20"/>
          <w:szCs w:val="20"/>
          <w:color w:val="auto"/>
        </w:rPr>
      </w:pPr>
      <w:r>
        <w:rPr>
          <w:rFonts w:ascii="Arial" w:cs="Arial" w:eastAsia="Arial" w:hAnsi="Arial"/>
          <w:sz w:val="17"/>
          <w:szCs w:val="17"/>
          <w:color w:val="auto"/>
        </w:rPr>
        <w:t>Our selling and administrative expenses increased $48.0 thousand, or 0.3%, in the second quarter of fiscal 2018 compared with the same periods in fiscal 2017. The increase for the second quarter of fiscal 2018 compared with the same quarter in fiscal 2017 was primarily due to a $0.8 million bad debt recovery in the second quarter of fiscal 2017 that was not repeated in the current quarter and was offset by $0.2 million in savings in professional services expense and a $0.6 million savings in facilities costs due to our relocation to a new facility in fiscal 2017.</w:t>
      </w:r>
    </w:p>
    <w:p>
      <w:pPr>
        <w:spacing w:after="0" w:line="117"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The decrease for the first six months of fiscal 2018 compared with the same period in fiscal 2017 was primarily due to a $1.0 million decrease in facility costs, a $0.4 million decrease in professional fees, a $0.3 million decrease in personnel costs and a $0.3 million decrease in depreciation expenses. The decrease was offset by a $0.7 million bad debt recovery in the first six months of fiscal 2017 that was not repeated in the first six months of fiscal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Restructuring (recovery)</w:t>
            </w:r>
          </w:p>
        </w:tc>
        <w:tc>
          <w:tcPr>
            <w:tcW w:w="4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restructuring expenses in the three and six months ended December 30, 2016 consisted primarily of the facility costs related to our previous headquarters in Santa Clara. During the second quarter of fiscal 2018, based on communications with certain foreign government, we reduced our estimated payments relating to the fiscal 2014-2015 restructuring plan by $0.3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333.3 %</w:t>
            </w:r>
          </w:p>
        </w:tc>
        <w:tc>
          <w:tcPr>
            <w:tcW w:w="10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19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Other (expense) income were primarily comprised of a foreign exchange loss related to a dividend declared by our Nigeria entity (a partnership for U.S. tax purposes) to our Aviat U.S. entity.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2016</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30, 2016</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6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(loss) before income</w:t>
            </w:r>
          </w:p>
        </w:tc>
        <w:tc>
          <w:tcPr>
            <w:tcW w:w="4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(Benefit from) provision for</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60"/>
              <w:spacing w:after="0"/>
              <w:rPr>
                <w:sz w:val="20"/>
                <w:szCs w:val="20"/>
                <w:color w:val="auto"/>
              </w:rPr>
            </w:pPr>
            <w:r>
              <w:rPr>
                <w:rFonts w:ascii="Arial" w:cs="Arial" w:eastAsia="Arial" w:hAnsi="Arial"/>
                <w:sz w:val="14"/>
                <w:szCs w:val="14"/>
                <w:color w:val="auto"/>
              </w:rPr>
              <w:t>income taxes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(2,564)</w:t>
            </w:r>
          </w:p>
        </w:tc>
        <w:tc>
          <w:tcPr>
            <w:tcW w:w="1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(3,203)</w:t>
            </w:r>
          </w:p>
        </w:tc>
        <w:tc>
          <w:tcPr>
            <w:tcW w:w="12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99.6 %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 During the first quarter of fiscal 2017, we received a tax refund of $3.7 million from the IRAS related to an assessment we paid in fiscal year 2014 related to deductions claimed in tax years 2007 through 2010. During the first quarter of fiscal 2018, we received an additional refund of $1.3 million from IRAS which represents a final settlement. Both tax refunds were recorded as a discrete tax benefit during the quarter the respective payment was received. During the second quarter of fiscal 2018, we recorded a valuation allowance release of $3.3 million related to refundable AMT credit under the Tax Act as a discrete benefit. We expect to receive the refund of this tax benefit starting in our fiscal year 2020. The determination of the effective tax rate reflects tax expense and benefit generated in certain jurisdictions. However, jurisdictions with a year-to-date loss where no tax benefit can be recognized are excluded from the annual effective tax rate.</w:t>
      </w:r>
    </w:p>
    <w:p>
      <w:pPr>
        <w:spacing w:after="0" w:line="112"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Due to the uncertainty regarding the timing and extent of our future profitability, we continue to record a full valuation allowance to offset our U.S. deferred tax assets which primarily represent future income tax benefits associated with our operating losses because we do not currently believe that it is more likely than not that these assets will be realized. In the future, if we conclude that sufficient positive evidence (including our estimate of future taxable income) exists to support a reversal of all or a portion of the valuation allowance, we expect that a significant portion of any release of the valuation allowance will be recorded as an income tax benefit at the time of release.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As of December 29, 2017, our total cash, cash equivalents, restricted cash, and short-term investments were $42.8 million. Approximately $19.2 million, or 44.9% was held in the United States. The remaining balance of $23.5 million, or 55.1%, was held by entities outside the United States. As of December 29, 2017, $1.0 million was classified as restricted cash as it was being held by the bank under forward contracts specifically for the repayment of a dividend declared by our Nigeria entity (a partnership for U.S. tax purposes) to our Aviat U.S. entity. These forward contracts were settled in January 2018.</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operating activities was $9.2 million in the first six months of fiscal 2018 as compared to cash provided by operating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$8.3 million in the first six months of fiscal 2017. Cash provided by operating activities is presented as net income adjusted for non-cash items and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assets and liabilities. Net contribution of non-cash items to cash provided by operating activities decreased by $3.8 million and net contribution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 to cash provided by operating activities increased by $0.9 million for the first six months of fiscal 2018 as compared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same period in fiscal 2017.</w:t>
      </w:r>
    </w:p>
    <w:p>
      <w:pPr>
        <w:spacing w:after="0" w:line="157"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The $3.8 million decrease in the net contribution of non-cash items to cash provided by operating activities was primarily due to a $3.1 million net decrease in deferred tax expense of which $3.3 million was related to the release of a valuation allowance for Alternative Minimum Tax, a $0.9 million decrease in charges for inventory write-downs, a $0.5 million decrease in depreciation and amortization of property, plant and equipment, offset by a $0.7 million decrease in bad debt recovery, and a $0.2 million increase in share-based compensation expense.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ind w:right="40" w:firstLine="486"/>
        <w:spacing w:after="0" w:line="293" w:lineRule="auto"/>
        <w:rPr>
          <w:sz w:val="20"/>
          <w:szCs w:val="20"/>
          <w:color w:val="auto"/>
        </w:rPr>
      </w:pPr>
      <w:r>
        <w:rPr>
          <w:rFonts w:ascii="Arial" w:cs="Arial" w:eastAsia="Arial" w:hAnsi="Arial"/>
          <w:sz w:val="16"/>
          <w:szCs w:val="16"/>
          <w:color w:val="auto"/>
        </w:rPr>
        <w:t>Changes in operating assets and liabilities resulted in a net increase of $0.9 million to cash provided by operating activities for the first six months of fiscal 2018 as compared to the same period in 2017. Accounts receivable and unbilled costs fluctuate from period to period, depending on the amount, timing of sales and billing activities as well as cash collections. The fluctuations in accounts payable and accrued expenses were primarily due to the timing of liabilities incurred and vendor payments. The change in inventories and in customer service inventories were primarily due to demand and our focus on improving our inventory management. The decrease in customer advance payments and unearned income was due to the timing of payment from customers and revenue recognition. We used $0.9 million in cash during the first six months of fiscal 2018 on expenses related to restructuring liabilities.</w:t>
      </w:r>
    </w:p>
    <w:p>
      <w:pPr>
        <w:spacing w:after="0" w:line="11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During the remainder of fiscal year 2018, we expect to spend approximately $2.3 million for capital expenditures, primarily on equipment for development and manufacturing of new products and to support customer managed services.</w:t>
      </w:r>
    </w:p>
    <w:p>
      <w:pPr>
        <w:spacing w:after="0" w:line="116"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of December 29, 2017, our principal sources of liquidity consisted of the $40.6 million in cash, cash equivalents and short-term investments, $11.7 million of available credit under our $30.0 million SVB Credit Facility which expires on June 30, 2018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30, 2018. While we intend to renew the SVB Credit Facility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right="200" w:firstLine="486"/>
        <w:spacing w:after="0" w:line="342" w:lineRule="auto"/>
        <w:rPr>
          <w:sz w:val="20"/>
          <w:szCs w:val="20"/>
          <w:color w:val="auto"/>
        </w:rPr>
      </w:pPr>
      <w:r>
        <w:rPr>
          <w:rFonts w:ascii="Arial" w:cs="Arial" w:eastAsia="Arial" w:hAnsi="Arial"/>
          <w:sz w:val="16"/>
          <w:szCs w:val="16"/>
          <w:color w:val="auto"/>
        </w:rPr>
        <w:t>We had liabilities for restructuring activities totaling $0.6 million as of December 29, 2017, $0.3 million of which was classified as current liabilities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amounts disclosed in our fiscal 2017 Annual Report on Form 10-K filed with the SEC on September 6, 2017 include our commercial commitments and contractual obligations. During the first six months of fiscal 2018, no material changes occurred in our contractual obligations to purchase goods and services and to make payments under operating leases or our contingent liabilities on outstanding letters of credit, guarantees and other arrangements as disclosed in our fiscal 2017 Annual Report on Form 10-K. As of December 29, 2017, we had commercial commitments of $51.9 million outstanding that were not recorded in our unaudited condensed consolidated balance sheets. This is an increase of $17.1 million from the amount disclosed in our fiscal 2017 Annual Report on Form 10-K. Please refer to Note 10 Commitments and Contingencies of the Notes to Condensed Consolidated Financial Statements (Unaudited) in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2017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into.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As of December 29, 2017, we had foreign currency forward contracts outstanding with a total notional amount of $4.7 million consisting of two currencies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040" w:type="dxa"/>
            <w:vAlign w:val="bottom"/>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5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4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1580" w:type="dxa"/>
            <w:vAlign w:val="bottom"/>
          </w:tcPr>
          <w:p>
            <w:pPr>
              <w:jc w:val="center"/>
              <w:ind w:right="42"/>
              <w:spacing w:after="0"/>
              <w:rPr>
                <w:sz w:val="20"/>
                <w:szCs w:val="20"/>
                <w:color w:val="auto"/>
              </w:rPr>
            </w:pPr>
            <w:r>
              <w:rPr>
                <w:rFonts w:ascii="Arial" w:cs="Arial" w:eastAsia="Arial" w:hAnsi="Arial"/>
                <w:sz w:val="14"/>
                <w:szCs w:val="14"/>
                <w:b w:val="1"/>
                <w:bCs w:val="1"/>
                <w:color w:val="auto"/>
                <w:w w:val="95"/>
              </w:rPr>
              <w:t>(Local Currency)</w:t>
            </w:r>
          </w:p>
        </w:tc>
        <w:tc>
          <w:tcPr>
            <w:tcW w:w="440" w:type="dxa"/>
            <w:vAlign w:val="bottom"/>
          </w:tcPr>
          <w:p>
            <w:pPr>
              <w:spacing w:after="0"/>
              <w:rPr>
                <w:sz w:val="16"/>
                <w:szCs w:val="16"/>
                <w:color w:val="auto"/>
              </w:rPr>
            </w:pPr>
          </w:p>
        </w:tc>
        <w:tc>
          <w:tcPr>
            <w:tcW w:w="1040" w:type="dxa"/>
            <w:vAlign w:val="bottom"/>
          </w:tcPr>
          <w:p>
            <w:pPr>
              <w:jc w:val="center"/>
              <w:ind w:right="3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15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5,400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Nigeria Naira</w:t>
            </w:r>
          </w:p>
        </w:tc>
        <w:tc>
          <w:tcPr>
            <w:tcW w:w="1580" w:type="dxa"/>
            <w:vAlign w:val="bottom"/>
          </w:tcPr>
          <w:p>
            <w:pPr>
              <w:jc w:val="right"/>
              <w:ind w:right="122"/>
              <w:spacing w:after="0"/>
              <w:rPr>
                <w:sz w:val="20"/>
                <w:szCs w:val="20"/>
                <w:color w:val="auto"/>
              </w:rPr>
            </w:pPr>
            <w:r>
              <w:rPr>
                <w:rFonts w:ascii="Arial" w:cs="Arial" w:eastAsia="Arial" w:hAnsi="Arial"/>
                <w:sz w:val="18"/>
                <w:szCs w:val="18"/>
                <w:color w:val="auto"/>
              </w:rPr>
              <w:t>331,200</w:t>
            </w:r>
          </w:p>
        </w:tc>
        <w:tc>
          <w:tcPr>
            <w:tcW w:w="4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5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Net foreign exchange income (loss) recorded in our unaudited condensed consolidated statements of operations during the first six months of fiscal 2018 and 2017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10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Amount included in other expense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foreign exchange 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December 29, 2017 would have an impact of approximately $0.4 million on the fair value of such instruments.</w:t>
      </w:r>
    </w:p>
    <w:p>
      <w:pPr>
        <w:spacing w:after="0" w:line="11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six months of fiscal 2018 was $0.6 million and was included as a component of stockholders’ equity. As of December 29, 2017 and June 30, 2017, the cumulative translation adjustment decreased our equity by $11.2 million and $11.8 million,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 and Short-term Investments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had $42.8 million in total cash, cash equivalents and short-term investments as of December 29, 2017. Cash equivalents and short-term investments totaled $22.7 million as of December 29, 2017 and were comprised of money market funds and bank certificates of deposit. Cash equivalents and short-term investments have been recorded at fair value on our balance sheet.</w:t>
      </w:r>
    </w:p>
    <w:p>
      <w:pPr>
        <w:spacing w:after="0" w:line="12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and short-term investments held as of December 29, 2017 was 156 days, and these investments had an average yield of 7.18% per annum. A 10% change in interest rates on our cash equivalents and short-term investments is not expected to have a material impact on our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During the first six months of fiscal 2018, we had $9.0 million of borrowings outstanding under the SVB Credit Facility that incurred interest at the prime rate plus a spread of 0.50% to 1.50% with such spread determined based on our adjusted quick ratio. During the first six months of fiscal 2018, our weighted average interest rate was 4.79% and the interest expense on these borrowings was insignificant.</w:t>
      </w:r>
    </w:p>
    <w:p>
      <w:pPr>
        <w:spacing w:after="0" w:line="12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as of December 29, 2017,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our first six months of fiscal 2018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management, including the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6"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Over time, controls may become inadequate because of changes in conditions or deterioration in the degree of compliance with policies or procedures.</w:t>
      </w:r>
    </w:p>
    <w:p>
      <w:pPr>
        <w:sectPr>
          <w:pgSz w:w="11900" w:h="16838" w:orient="portrait"/>
          <w:cols w:equalWidth="0" w:num="1">
            <w:col w:w="10840"/>
          </w:cols>
          <w:pgMar w:left="240" w:top="746" w:right="819" w:bottom="1440" w:gutter="0" w:footer="0" w:header="0"/>
        </w:sectPr>
      </w:pP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840"/>
          </w:cols>
          <w:pgMar w:left="240" w:top="746" w:right="819" w:bottom="1440" w:gutter="0" w:footer="0" w:header="0"/>
          <w:type w:val="continuous"/>
        </w:sectPr>
      </w:pPr>
    </w:p>
    <w:bookmarkStart w:id="29" w:name="page30"/>
    <w:bookmarkEnd w:id="29"/>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Please refer to Legal Proceedings under Note 10 Commitments and Contingencies of the Notes to Condensed Consolidated Financial Statements (Unaudited)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2017 Annual Report on Form 10-K filed with the SEC on September 6, 2017.</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2017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 section of this report) and is included, or incorporated by reference, in this Form 10-Q.</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904" w:right="25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79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20" w:type="dxa"/>
            <w:vAlign w:val="bottom"/>
            <w:gridSpan w:val="10"/>
          </w:tcPr>
          <w:p>
            <w:pPr>
              <w:jc w:val="center"/>
              <w:ind w:right="17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20" w:type="dxa"/>
            <w:vAlign w:val="bottom"/>
            <w:gridSpan w:val="14"/>
          </w:tcPr>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3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160" w:type="dxa"/>
            <w:vAlign w:val="bottom"/>
            <w:gridSpan w:val="9"/>
          </w:tcPr>
          <w:p>
            <w:pPr>
              <w:ind w:left="70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9720" w:type="dxa"/>
            <w:vAlign w:val="bottom"/>
            <w:tcBorders>
              <w:top w:val="single" w:sz="8" w:color="auto"/>
              <w:bottom w:val="single" w:sz="8" w:color="0000FF"/>
            </w:tcBorders>
            <w:gridSpan w:val="8"/>
            <w:shd w:val="clear" w:color="auto" w:fill="CCEEFF"/>
          </w:tcPr>
          <w:p>
            <w:pPr>
              <w:spacing w:after="0" w:line="202"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Certificate of Incorporation of Aviat Networks, Inc., as amended (incorporate by reference to Exhibit 3.1 to the</w:t>
              </w:r>
            </w:hyperlink>
          </w:p>
        </w:tc>
        <w:tc>
          <w:tcPr>
            <w:tcW w:w="400" w:type="dxa"/>
            <w:vAlign w:val="bottom"/>
            <w:tcBorders>
              <w:top w:val="single" w:sz="8" w:color="auto"/>
              <w:bottom w:val="single" w:sz="8" w:color="CCEEFF"/>
            </w:tcBorders>
            <w:gridSpan w:val="3"/>
            <w:shd w:val="clear" w:color="auto" w:fill="CCEEFF"/>
          </w:tcPr>
          <w:p>
            <w:pPr>
              <w:spacing w:after="0"/>
              <w:rPr>
                <w:sz w:val="17"/>
                <w:szCs w:val="17"/>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Current Report on Form 10-Q filed with the SEC on February 10, 2017, File No. 001-33278)</w:t>
              </w:r>
            </w:hyperlink>
          </w:p>
        </w:tc>
        <w:tc>
          <w:tcPr>
            <w:tcW w:w="342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9"/>
          </w:tcPr>
          <w:p>
            <w:pPr>
              <w:spacing w:after="0" w:line="202"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Bylaws of Aviat Networks, Inc. (incorporate by reference to Exhibit 3.2 to the Current Report on Form 8-K filed</w:t>
              </w:r>
            </w:hyperlink>
          </w:p>
        </w:tc>
        <w:tc>
          <w:tcPr>
            <w:tcW w:w="30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with the SEC on October 2, 2015,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42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Agent (incorporated by reference to Exhibit 4.1 to the Current Report on Form 8-K filed with the SEC on September 7, 2016, File No. 011-</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40"/>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33278)</w:t>
              </w:r>
            </w:hyperlink>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1"/>
          </w:tcPr>
          <w:p>
            <w:pPr>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Rule 13a-14(a)/15d-14(a) Certification of Chief Executive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1"/>
            <w:shd w:val="clear" w:color="auto" w:fill="CCEEFF"/>
          </w:tcPr>
          <w:p>
            <w:pPr>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Rule 13a-14(a)/15d-14(a) Certification of Chief Financial Officer</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1"/>
          </w:tcPr>
          <w:p>
            <w:pPr>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Section 1350 Certification of Chief Executive Officer and Chief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1"/>
                <w:szCs w:val="21"/>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1"/>
                <w:szCs w:val="21"/>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1"/>
                <w:szCs w:val="21"/>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4"/>
          </w:tcPr>
          <w:p>
            <w:pPr>
              <w:jc w:val="right"/>
              <w:ind w:right="128"/>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29,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8, 2018</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29,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February 8, 2018</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Senior Vice President and Chief Financial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29, 2017,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February 8, 2018</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8, 2018</w:t>
      </w:r>
    </w:p>
    <w:p>
      <w:pPr>
        <w:ind w:left="6080"/>
        <w:spacing w:after="0"/>
        <w:rPr>
          <w:sz w:val="20"/>
          <w:szCs w:val="20"/>
          <w:color w:val="auto"/>
        </w:rPr>
      </w:pPr>
      <w:r>
        <w:rPr>
          <w:rFonts w:ascii="Arial" w:cs="Arial" w:eastAsia="Arial" w:hAnsi="Arial"/>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5" Type="http://schemas.openxmlformats.org/officeDocument/2006/relationships/hyperlink" Target="http://www.sec.gov/Archives/edgar/data/1377789/000137778917000022/avnwexhibit31amendedandres.htm" TargetMode="External"/><Relationship Id="rId16" Type="http://schemas.openxmlformats.org/officeDocument/2006/relationships/hyperlink" Target="http://www.sec.gov/Archives/edgar/data/1377789/000137778915000082/exhibit_aviatamendedandres.htm" TargetMode="External"/><Relationship Id="rId17" Type="http://schemas.openxmlformats.org/officeDocument/2006/relationships/hyperlink" Target="http://www.sec.gov/Archives/edgar/data/1377789/000119312516702547/d25439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2019-12-29T01:17:36Z</dcterms:created>
  <dcterms:modified xsi:type="dcterms:W3CDTF">2019-12-29T01:17:36Z</dcterms:modified>
</cp:coreProperties>
</file>