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440" w:right="2880" w:hanging="414"/>
        <w:spacing w:after="0" w:line="279" w:lineRule="auto"/>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June 27, 2025 or</w:t>
      </w:r>
    </w:p>
    <w:p>
      <w:pPr>
        <w:spacing w:after="0" w:line="4" w:lineRule="exact"/>
        <w:rPr>
          <w:sz w:val="24"/>
          <w:szCs w:val="24"/>
          <w:color w:val="auto"/>
        </w:rPr>
      </w:pPr>
    </w:p>
    <w:p>
      <w:pPr>
        <w:ind w:left="440" w:right="2560" w:hanging="414"/>
        <w:spacing w:after="0" w:line="318" w:lineRule="auto"/>
        <w:tabs>
          <w:tab w:leader="none" w:pos="4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from to</w:t>
      </w: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001-33278</w:t>
      </w:r>
    </w:p>
    <w:p>
      <w:pPr>
        <w:spacing w:after="0" w:line="3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AVIAT NETWORKS, INC.</w:t>
      </w:r>
    </w:p>
    <w:p>
      <w:pPr>
        <w:spacing w:after="0" w:line="5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00" w:lineRule="exact"/>
        <w:rPr>
          <w:sz w:val="24"/>
          <w:szCs w:val="24"/>
          <w:color w:val="auto"/>
        </w:rPr>
      </w:pPr>
    </w:p>
    <w:tbl>
      <w:tblPr>
        <w:tblLayout w:type="fixed"/>
        <w:tblInd w:w="260" w:type="dxa"/>
        <w:tblCellMar>
          <w:top w:w="0" w:type="dxa"/>
          <w:left w:w="0" w:type="dxa"/>
          <w:bottom w:w="0" w:type="dxa"/>
          <w:right w:w="0" w:type="dxa"/>
        </w:tblCellMar>
      </w:tblPr>
      <w:tr>
        <w:trPr>
          <w:trHeight w:val="215"/>
        </w:trPr>
        <w:tc>
          <w:tcPr>
            <w:tcW w:w="45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20-5961564</w:t>
            </w:r>
          </w:p>
        </w:tc>
      </w:tr>
      <w:tr>
        <w:trPr>
          <w:trHeight w:val="185"/>
        </w:trPr>
        <w:tc>
          <w:tcPr>
            <w:tcW w:w="45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619"/>
        </w:trPr>
        <w:tc>
          <w:tcPr>
            <w:tcW w:w="452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200 Parker Drive, Suite C100A,  Austin,  Texas</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78728</w:t>
            </w:r>
          </w:p>
        </w:tc>
      </w:tr>
      <w:tr>
        <w:trPr>
          <w:trHeight w:val="185"/>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473"/>
        </w:trPr>
        <w:tc>
          <w:tcPr>
            <w:tcW w:w="8380" w:type="dxa"/>
            <w:vAlign w:val="bottom"/>
            <w:gridSpan w:val="5"/>
          </w:tcPr>
          <w:p>
            <w:pPr>
              <w:jc w:val="right"/>
              <w:ind w:right="365"/>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941-7100</w:t>
            </w:r>
          </w:p>
        </w:tc>
        <w:tc>
          <w:tcPr>
            <w:tcW w:w="2380" w:type="dxa"/>
            <w:vAlign w:val="bottom"/>
          </w:tcPr>
          <w:p>
            <w:pPr>
              <w:spacing w:after="0"/>
              <w:rPr>
                <w:sz w:val="24"/>
                <w:szCs w:val="24"/>
                <w:color w:val="auto"/>
              </w:rPr>
            </w:pPr>
          </w:p>
        </w:tc>
      </w:tr>
      <w:tr>
        <w:trPr>
          <w:trHeight w:val="257"/>
        </w:trPr>
        <w:tc>
          <w:tcPr>
            <w:tcW w:w="8380" w:type="dxa"/>
            <w:vAlign w:val="bottom"/>
            <w:gridSpan w:val="5"/>
          </w:tcPr>
          <w:p>
            <w:pPr>
              <w:jc w:val="right"/>
              <w:ind w:right="745"/>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380" w:type="dxa"/>
            <w:vAlign w:val="bottom"/>
          </w:tcPr>
          <w:p>
            <w:pPr>
              <w:spacing w:after="0"/>
              <w:rPr>
                <w:sz w:val="22"/>
                <w:szCs w:val="22"/>
                <w:color w:val="auto"/>
              </w:rPr>
            </w:pPr>
          </w:p>
        </w:tc>
      </w:tr>
      <w:tr>
        <w:trPr>
          <w:trHeight w:val="476"/>
        </w:trPr>
        <w:tc>
          <w:tcPr>
            <w:tcW w:w="45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52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gridSpan w:val="2"/>
          </w:tcPr>
          <w:p>
            <w:pPr>
              <w:spacing w:after="0"/>
              <w:rPr>
                <w:sz w:val="2"/>
                <w:szCs w:val="2"/>
                <w:color w:val="auto"/>
              </w:rPr>
            </w:pPr>
          </w:p>
        </w:tc>
      </w:tr>
      <w:tr>
        <w:trPr>
          <w:trHeight w:val="182"/>
        </w:trPr>
        <w:tc>
          <w:tcPr>
            <w:tcW w:w="45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6"/>
              </w:rPr>
              <w:t>AVNW</w:t>
            </w:r>
          </w:p>
        </w:tc>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r>
      <w:tr>
        <w:trPr>
          <w:trHeight w:val="193"/>
        </w:trPr>
        <w:tc>
          <w:tcPr>
            <w:tcW w:w="45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Preferred Share Purchase Rights</w:t>
            </w: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r>
      <w:tr>
        <w:trPr>
          <w:trHeight w:val="361"/>
        </w:trPr>
        <w:tc>
          <w:tcPr>
            <w:tcW w:w="8380" w:type="dxa"/>
            <w:vAlign w:val="bottom"/>
            <w:gridSpan w:val="5"/>
          </w:tcPr>
          <w:p>
            <w:pPr>
              <w:jc w:val="right"/>
              <w:ind w:right="365"/>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2380" w:type="dxa"/>
            <w:vAlign w:val="bottom"/>
          </w:tcPr>
          <w:p>
            <w:pPr>
              <w:spacing w:after="0"/>
              <w:rPr>
                <w:sz w:val="24"/>
                <w:szCs w:val="24"/>
                <w:color w:val="auto"/>
              </w:rPr>
            </w:pPr>
          </w:p>
        </w:tc>
      </w:tr>
      <w:tr>
        <w:trPr>
          <w:trHeight w:val="247"/>
        </w:trPr>
        <w:tc>
          <w:tcPr>
            <w:tcW w:w="8380" w:type="dxa"/>
            <w:vAlign w:val="bottom"/>
            <w:gridSpan w:val="5"/>
          </w:tcPr>
          <w:p>
            <w:pPr>
              <w:jc w:val="right"/>
              <w:ind w:right="745"/>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2380" w:type="dxa"/>
            <w:vAlign w:val="bottom"/>
          </w:tcPr>
          <w:p>
            <w:pPr>
              <w:spacing w:after="0"/>
              <w:rPr>
                <w:sz w:val="21"/>
                <w:szCs w:val="21"/>
                <w:color w:val="auto"/>
              </w:rPr>
            </w:pPr>
          </w:p>
        </w:tc>
      </w:tr>
      <w:tr>
        <w:trPr>
          <w:trHeight w:val="230"/>
        </w:trPr>
        <w:tc>
          <w:tcPr>
            <w:tcW w:w="8380" w:type="dxa"/>
            <w:vAlign w:val="bottom"/>
            <w:gridSpan w:val="5"/>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23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2"/>
        </w:trPr>
        <w:tc>
          <w:tcPr>
            <w:tcW w:w="8380" w:type="dxa"/>
            <w:vAlign w:val="bottom"/>
            <w:gridSpan w:val="5"/>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238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jc w:val="both"/>
        <w:ind w:firstLine="324"/>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ind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260" w:type="dxa"/>
        <w:tblCellMar>
          <w:top w:w="0" w:type="dxa"/>
          <w:left w:w="0" w:type="dxa"/>
          <w:bottom w:w="0" w:type="dxa"/>
          <w:right w:w="0" w:type="dxa"/>
        </w:tblCellMar>
      </w:tblP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8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8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4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jc w:val="center"/>
        <w:ind w:right="18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p>
      <w:pPr>
        <w:spacing w:after="0" w:line="20" w:lineRule="exact"/>
        <w:rPr>
          <w:sz w:val="24"/>
          <w:szCs w:val="24"/>
          <w:color w:val="auto"/>
        </w:rPr>
      </w:pPr>
    </w:p>
    <w:p>
      <w:pPr>
        <w:jc w:val="center"/>
        <w:ind w:right="140"/>
        <w:spacing w:after="0" w:line="196" w:lineRule="exact"/>
        <w:rPr>
          <w:sz w:val="20"/>
          <w:szCs w:val="20"/>
          <w:color w:val="auto"/>
        </w:rPr>
      </w:pPr>
      <w:r>
        <w:rPr>
          <w:rFonts w:ascii="Times New Roman" w:cs="Times New Roman" w:eastAsia="Times New Roman" w:hAnsi="Times New Roman"/>
          <w:sz w:val="16"/>
          <w:szCs w:val="16"/>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578485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1" w:name="page2"/>
    <w:bookmarkEnd w:id="1"/>
    <w:p>
      <w:pPr>
        <w:ind w:right="220" w:firstLine="324"/>
        <w:spacing w:after="0" w:line="223" w:lineRule="exact"/>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 w:lineRule="exact"/>
        <w:rPr>
          <w:sz w:val="20"/>
          <w:szCs w:val="20"/>
          <w:color w:val="auto"/>
        </w:rPr>
      </w:pPr>
    </w:p>
    <w:p>
      <w:pPr>
        <w:ind w:right="240" w:firstLine="324"/>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0"/>
          <w:szCs w:val="20"/>
          <w:color w:val="auto"/>
        </w:rPr>
      </w:pPr>
    </w:p>
    <w:p>
      <w:pPr>
        <w:ind w:left="340"/>
        <w:spacing w:after="0" w:line="184" w:lineRule="exact"/>
        <w:tabs>
          <w:tab w:leader="none" w:pos="83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0"/>
          <w:szCs w:val="20"/>
          <w:color w:val="auto"/>
        </w:rPr>
      </w:pPr>
    </w:p>
    <w:p>
      <w:pPr>
        <w:jc w:val="both"/>
        <w:ind w:right="20" w:firstLine="324"/>
        <w:spacing w:after="0" w:line="274" w:lineRule="auto"/>
        <w:rPr>
          <w:sz w:val="20"/>
          <w:szCs w:val="20"/>
          <w:color w:val="auto"/>
        </w:rPr>
      </w:pPr>
      <w:r>
        <w:rPr>
          <w:rFonts w:ascii="Times New Roman" w:cs="Times New Roman" w:eastAsia="Times New Roman" w:hAnsi="Times New Roman"/>
          <w:sz w:val="16"/>
          <w:szCs w:val="16"/>
          <w:color w:val="auto"/>
        </w:rPr>
        <w:t xml:space="preserve">As of </w:t>
      </w:r>
      <w:r>
        <w:rPr>
          <w:rFonts w:ascii="Times New Roman" w:cs="Times New Roman" w:eastAsia="Times New Roman" w:hAnsi="Times New Roman"/>
          <w:sz w:val="17"/>
          <w:szCs w:val="17"/>
          <w:color w:val="auto"/>
        </w:rPr>
        <w:t>December 27, 2024</w:t>
      </w:r>
      <w:r>
        <w:rPr>
          <w:rFonts w:ascii="Times New Roman" w:cs="Times New Roman" w:eastAsia="Times New Roman" w:hAnsi="Times New Roman"/>
          <w:sz w:val="16"/>
          <w:szCs w:val="16"/>
          <w:color w:val="auto"/>
        </w:rPr>
        <w:t xml:space="preserve">, the aggregate market value of the registrant’s common stock held by non-affiliates was approximately </w:t>
      </w:r>
      <w:r>
        <w:rPr>
          <w:rFonts w:ascii="Times New Roman" w:cs="Times New Roman" w:eastAsia="Times New Roman" w:hAnsi="Times New Roman"/>
          <w:sz w:val="17"/>
          <w:szCs w:val="17"/>
          <w:color w:val="auto"/>
        </w:rPr>
        <w:t>$224.4 million</w:t>
      </w:r>
      <w:r>
        <w:rPr>
          <w:rFonts w:ascii="Times New Roman" w:cs="Times New Roman" w:eastAsia="Times New Roman" w:hAnsi="Times New Roman"/>
          <w:sz w:val="16"/>
          <w:szCs w:val="16"/>
          <w:color w:val="auto"/>
        </w:rPr>
        <w:t>. For purposes of this calculation, the registrant has assumed that its directors, executive officers and holders of 10% or more of the outstanding common stock are affiliates.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As of </w:t>
      </w:r>
      <w:r>
        <w:rPr>
          <w:rFonts w:ascii="Times New Roman" w:cs="Times New Roman" w:eastAsia="Times New Roman" w:hAnsi="Times New Roman"/>
          <w:sz w:val="17"/>
          <w:szCs w:val="17"/>
          <w:color w:val="auto"/>
        </w:rPr>
        <w:t>September 09, 2025</w:t>
      </w:r>
      <w:r>
        <w:rPr>
          <w:rFonts w:ascii="Times New Roman" w:cs="Times New Roman" w:eastAsia="Times New Roman" w:hAnsi="Times New Roman"/>
          <w:sz w:val="16"/>
          <w:szCs w:val="16"/>
          <w:color w:val="auto"/>
        </w:rPr>
        <w:t xml:space="preserve">, there were </w:t>
      </w:r>
      <w:r>
        <w:rPr>
          <w:rFonts w:ascii="Times New Roman" w:cs="Times New Roman" w:eastAsia="Times New Roman" w:hAnsi="Times New Roman"/>
          <w:sz w:val="17"/>
          <w:szCs w:val="17"/>
          <w:color w:val="auto"/>
        </w:rPr>
        <w:t>12,799,307</w:t>
      </w:r>
      <w:r>
        <w:rPr>
          <w:rFonts w:ascii="Times New Roman" w:cs="Times New Roman" w:eastAsia="Times New Roman" w:hAnsi="Times New Roman"/>
          <w:sz w:val="16"/>
          <w:szCs w:val="16"/>
          <w:color w:val="auto"/>
        </w:rPr>
        <w:t xml:space="preserve"> shares of the registrant’s common stock outstanding.</w:t>
      </w:r>
    </w:p>
    <w:p>
      <w:pPr>
        <w:spacing w:after="0" w:line="6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3"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6"/>
          <w:szCs w:val="16"/>
          <w:color w:val="auto"/>
        </w:rPr>
        <w:t xml:space="preserve">Portions of the registrant’s definitive Proxy Statement for its fiscal </w:t>
      </w:r>
      <w:r>
        <w:rPr>
          <w:rFonts w:ascii="Times New Roman" w:cs="Times New Roman" w:eastAsia="Times New Roman" w:hAnsi="Times New Roman"/>
          <w:sz w:val="17"/>
          <w:szCs w:val="17"/>
          <w:color w:val="auto"/>
        </w:rPr>
        <w:t>2025</w:t>
      </w:r>
      <w:r>
        <w:rPr>
          <w:rFonts w:ascii="Times New Roman" w:cs="Times New Roman" w:eastAsia="Times New Roman" w:hAnsi="Times New Roman"/>
          <w:sz w:val="16"/>
          <w:szCs w:val="16"/>
          <w:color w:val="auto"/>
        </w:rPr>
        <w:t xml:space="preserve"> Annual Meeting of Stockholders (“Proxy Statement”), which will be filed with the U.S. Securities and Exchange Commission within 120 days after the end of the registrant’s fiscal year ended </w:t>
      </w:r>
      <w:r>
        <w:rPr>
          <w:rFonts w:ascii="Times New Roman" w:cs="Times New Roman" w:eastAsia="Times New Roman" w:hAnsi="Times New Roman"/>
          <w:sz w:val="17"/>
          <w:szCs w:val="17"/>
          <w:color w:val="auto"/>
        </w:rPr>
        <w:t>June 27, 2025</w:t>
      </w:r>
      <w:r>
        <w:rPr>
          <w:rFonts w:ascii="Times New Roman" w:cs="Times New Roman" w:eastAsia="Times New Roman" w:hAnsi="Times New Roman"/>
          <w:sz w:val="16"/>
          <w:szCs w:val="16"/>
          <w:color w:val="auto"/>
        </w:rPr>
        <w: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0" w:type="dxa"/>
            <w:vAlign w:val="bottom"/>
            <w:gridSpan w:val="11"/>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8"/>
              </w:rPr>
              <w:t>AVIAT NETWORKS, INC.</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11"/>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0" w:type="dxa"/>
            <w:vAlign w:val="bottom"/>
            <w:gridSpan w:val="12"/>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0" w:type="dxa"/>
            <w:vAlign w:val="bottom"/>
            <w:gridSpan w:val="12"/>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June 27, 2025</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11"/>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2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10"/>
        </w:trPr>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10"/>
        </w:trPr>
        <w:tc>
          <w:tcPr>
            <w:tcW w:w="70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2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80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1A.</w:t>
            </w: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gridSpan w:val="3"/>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15</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1B.</w:t>
            </w:r>
          </w:p>
        </w:tc>
        <w:tc>
          <w:tcPr>
            <w:tcW w:w="520" w:type="dxa"/>
            <w:vAlign w:val="bottom"/>
            <w:gridSpan w:val="3"/>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240" w:type="dxa"/>
            <w:vAlign w:val="bottom"/>
            <w:gridSpan w:val="3"/>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1C.</w:t>
            </w:r>
          </w:p>
        </w:tc>
        <w:tc>
          <w:tcPr>
            <w:tcW w:w="520" w:type="dxa"/>
            <w:vAlign w:val="bottom"/>
            <w:gridSpan w:val="3"/>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1240" w:type="dxa"/>
            <w:vAlign w:val="bottom"/>
            <w:gridSpan w:val="3"/>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440" w:type="dxa"/>
            <w:vAlign w:val="bottom"/>
            <w:gridSpan w:val="18"/>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gridSpan w:val="2"/>
          </w:tcPr>
          <w:p>
            <w:pPr>
              <w:jc w:val="center"/>
              <w:ind w:right="420"/>
              <w:spacing w:after="0" w:line="189" w:lineRule="exact"/>
              <w:rPr>
                <w:sz w:val="20"/>
                <w:szCs w:val="20"/>
                <w:color w:val="auto"/>
              </w:rPr>
            </w:pPr>
            <w:r>
              <w:rPr>
                <w:rFonts w:ascii="Times New Roman" w:cs="Times New Roman" w:eastAsia="Times New Roman" w:hAnsi="Times New Roman"/>
                <w:sz w:val="18"/>
                <w:szCs w:val="18"/>
                <w:color w:val="0000FF"/>
                <w:w w:val="77"/>
              </w:rPr>
              <w:t>36</w:t>
            </w: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240" w:type="dxa"/>
            <w:vAlign w:val="bottom"/>
            <w:gridSpan w:val="3"/>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240" w:type="dxa"/>
            <w:vAlign w:val="bottom"/>
            <w:gridSpan w:val="3"/>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7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3"/>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40" w:type="dxa"/>
            <w:vAlign w:val="bottom"/>
            <w:gridSpan w:val="3"/>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gridSpan w:val="2"/>
          </w:tcPr>
          <w:p>
            <w:pPr>
              <w:jc w:val="center"/>
              <w:ind w:right="420"/>
              <w:spacing w:after="0" w:line="189" w:lineRule="exact"/>
              <w:rPr>
                <w:sz w:val="20"/>
                <w:szCs w:val="20"/>
                <w:color w:val="auto"/>
              </w:rPr>
            </w:pPr>
            <w:r>
              <w:rPr>
                <w:rFonts w:ascii="Times New Roman" w:cs="Times New Roman" w:eastAsia="Times New Roman" w:hAnsi="Times New Roman"/>
                <w:sz w:val="18"/>
                <w:szCs w:val="18"/>
                <w:color w:val="0000FF"/>
                <w:w w:val="77"/>
              </w:rPr>
              <w:t>38</w:t>
            </w: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gridSpan w:val="3"/>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39</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80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7A.</w:t>
            </w: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gridSpan w:val="3"/>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48</w:t>
            </w: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3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120" w:type="dxa"/>
            <w:vAlign w:val="bottom"/>
            <w:gridSpan w:val="9"/>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560" w:type="dxa"/>
            <w:vAlign w:val="bottom"/>
            <w:gridSpan w:val="2"/>
            <w:shd w:val="clear" w:color="auto" w:fill="CCEEFF"/>
          </w:tcPr>
          <w:p>
            <w:pPr>
              <w:jc w:val="center"/>
              <w:ind w:right="420"/>
              <w:spacing w:after="0" w:line="189" w:lineRule="exact"/>
              <w:rPr>
                <w:sz w:val="20"/>
                <w:szCs w:val="20"/>
                <w:color w:val="auto"/>
              </w:rPr>
            </w:pPr>
            <w:r>
              <w:rPr>
                <w:rFonts w:ascii="Times New Roman" w:cs="Times New Roman" w:eastAsia="Times New Roman" w:hAnsi="Times New Roman"/>
                <w:sz w:val="18"/>
                <w:szCs w:val="18"/>
                <w:color w:val="0000FF"/>
                <w:w w:val="77"/>
              </w:rPr>
              <w:t>49</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40" w:type="dxa"/>
            <w:vAlign w:val="bottom"/>
            <w:gridSpan w:val="3"/>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89</w:t>
            </w: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80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9A.</w:t>
            </w: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gridSpan w:val="3"/>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89</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9B.</w:t>
            </w:r>
          </w:p>
        </w:tc>
        <w:tc>
          <w:tcPr>
            <w:tcW w:w="520" w:type="dxa"/>
            <w:vAlign w:val="bottom"/>
            <w:gridSpan w:val="3"/>
          </w:tcPr>
          <w:p>
            <w:pPr>
              <w:spacing w:after="0"/>
              <w:rPr>
                <w:sz w:val="16"/>
                <w:szCs w:val="16"/>
                <w:color w:val="auto"/>
              </w:rPr>
            </w:pPr>
          </w:p>
        </w:tc>
        <w:tc>
          <w:tcPr>
            <w:tcW w:w="17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680" w:type="dxa"/>
            <w:vAlign w:val="bottom"/>
            <w:gridSpan w:val="14"/>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gridSpan w:val="2"/>
          </w:tcPr>
          <w:p>
            <w:pPr>
              <w:jc w:val="center"/>
              <w:ind w:right="420"/>
              <w:spacing w:after="0" w:line="189" w:lineRule="exact"/>
              <w:rPr>
                <w:sz w:val="20"/>
                <w:szCs w:val="20"/>
                <w:color w:val="auto"/>
              </w:rPr>
            </w:pPr>
            <w:r>
              <w:rPr>
                <w:rFonts w:ascii="Times New Roman" w:cs="Times New Roman" w:eastAsia="Times New Roman" w:hAnsi="Times New Roman"/>
                <w:sz w:val="18"/>
                <w:szCs w:val="18"/>
                <w:color w:val="0000FF"/>
                <w:w w:val="77"/>
              </w:rPr>
              <w:t>93</w:t>
            </w: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80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9C.</w:t>
            </w: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40" w:type="dxa"/>
            <w:vAlign w:val="bottom"/>
            <w:gridSpan w:val="3"/>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93</w:t>
            </w:r>
          </w:p>
        </w:tc>
      </w:tr>
      <w:tr>
        <w:trPr>
          <w:trHeight w:val="216"/>
        </w:trPr>
        <w:tc>
          <w:tcPr>
            <w:tcW w:w="340" w:type="dxa"/>
            <w:vAlign w:val="bottom"/>
            <w:tcBorders>
              <w:top w:val="single" w:sz="8" w:color="CCEEFF"/>
            </w:tcBorders>
          </w:tcPr>
          <w:p>
            <w:pPr>
              <w:spacing w:after="0"/>
              <w:rPr>
                <w:sz w:val="18"/>
                <w:szCs w:val="18"/>
                <w:color w:val="auto"/>
              </w:rPr>
            </w:pPr>
          </w:p>
        </w:tc>
        <w:tc>
          <w:tcPr>
            <w:tcW w:w="520" w:type="dxa"/>
            <w:vAlign w:val="bottom"/>
            <w:tcBorders>
              <w:top w:val="single" w:sz="8" w:color="0000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89"/>
        </w:trPr>
        <w:tc>
          <w:tcPr>
            <w:tcW w:w="150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560" w:type="dxa"/>
            <w:vAlign w:val="bottom"/>
            <w:gridSpan w:val="2"/>
            <w:shd w:val="clear" w:color="auto" w:fill="CCEEFF"/>
          </w:tcPr>
          <w:p>
            <w:pPr>
              <w:jc w:val="center"/>
              <w:ind w:right="420"/>
              <w:spacing w:after="0" w:line="189" w:lineRule="exact"/>
              <w:rPr>
                <w:sz w:val="20"/>
                <w:szCs w:val="20"/>
                <w:color w:val="auto"/>
              </w:rPr>
            </w:pPr>
            <w:r>
              <w:rPr>
                <w:rFonts w:ascii="Times New Roman" w:cs="Times New Roman" w:eastAsia="Times New Roman" w:hAnsi="Times New Roman"/>
                <w:sz w:val="18"/>
                <w:szCs w:val="18"/>
                <w:color w:val="0000FF"/>
                <w:w w:val="77"/>
              </w:rPr>
              <w:t>94</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80" w:type="dxa"/>
            <w:vAlign w:val="bottom"/>
          </w:tcPr>
          <w:p>
            <w:pPr>
              <w:spacing w:after="0"/>
              <w:rPr>
                <w:sz w:val="16"/>
                <w:szCs w:val="16"/>
                <w:color w:val="auto"/>
              </w:rPr>
            </w:pPr>
          </w:p>
        </w:tc>
        <w:tc>
          <w:tcPr>
            <w:tcW w:w="560" w:type="dxa"/>
            <w:vAlign w:val="bottom"/>
            <w:gridSpan w:val="2"/>
          </w:tcPr>
          <w:p>
            <w:pPr>
              <w:jc w:val="center"/>
              <w:ind w:right="420"/>
              <w:spacing w:after="0" w:line="189" w:lineRule="exact"/>
              <w:rPr>
                <w:sz w:val="20"/>
                <w:szCs w:val="20"/>
                <w:color w:val="auto"/>
              </w:rPr>
            </w:pPr>
            <w:r>
              <w:rPr>
                <w:rFonts w:ascii="Times New Roman" w:cs="Times New Roman" w:eastAsia="Times New Roman" w:hAnsi="Times New Roman"/>
                <w:sz w:val="18"/>
                <w:szCs w:val="18"/>
                <w:color w:val="0000FF"/>
                <w:w w:val="77"/>
              </w:rPr>
              <w:t>94</w:t>
            </w: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6640" w:type="dxa"/>
            <w:vAlign w:val="bottom"/>
            <w:gridSpan w:val="13"/>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560" w:type="dxa"/>
            <w:vAlign w:val="bottom"/>
            <w:gridSpan w:val="2"/>
            <w:shd w:val="clear" w:color="auto" w:fill="CCEEFF"/>
          </w:tcPr>
          <w:p>
            <w:pPr>
              <w:jc w:val="center"/>
              <w:ind w:right="420"/>
              <w:spacing w:after="0" w:line="189" w:lineRule="exact"/>
              <w:rPr>
                <w:sz w:val="20"/>
                <w:szCs w:val="20"/>
                <w:color w:val="auto"/>
              </w:rPr>
            </w:pPr>
            <w:r>
              <w:rPr>
                <w:rFonts w:ascii="Times New Roman" w:cs="Times New Roman" w:eastAsia="Times New Roman" w:hAnsi="Times New Roman"/>
                <w:sz w:val="18"/>
                <w:szCs w:val="18"/>
                <w:color w:val="0000FF"/>
                <w:w w:val="77"/>
              </w:rPr>
              <w:t>94</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40" w:type="dxa"/>
            <w:vAlign w:val="bottom"/>
            <w:gridSpan w:val="3"/>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94</w:t>
            </w: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40" w:type="dxa"/>
            <w:vAlign w:val="bottom"/>
            <w:gridSpan w:val="3"/>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94</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240" w:type="dxa"/>
            <w:vAlign w:val="bottom"/>
            <w:gridSpan w:val="3"/>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94</w:t>
            </w:r>
          </w:p>
        </w:tc>
      </w:tr>
      <w:tr>
        <w:trPr>
          <w:trHeight w:val="21"/>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150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3"/>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95</w:t>
            </w:r>
          </w:p>
        </w:tc>
      </w:tr>
      <w:tr>
        <w:trPr>
          <w:trHeight w:val="21"/>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240" w:type="dxa"/>
            <w:vAlign w:val="bottom"/>
            <w:gridSpan w:val="3"/>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95</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240" w:type="dxa"/>
            <w:vAlign w:val="bottom"/>
            <w:gridSpan w:val="3"/>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95</w:t>
            </w:r>
          </w:p>
        </w:tc>
      </w:tr>
      <w:tr>
        <w:trPr>
          <w:trHeight w:val="20"/>
        </w:trPr>
        <w:tc>
          <w:tcPr>
            <w:tcW w:w="34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340" w:type="dxa"/>
            <w:vAlign w:val="bottom"/>
            <w:shd w:val="clear" w:color="auto" w:fill="CCEEFF"/>
          </w:tcPr>
          <w:p>
            <w:pPr>
              <w:spacing w:after="0"/>
              <w:rPr>
                <w:sz w:val="16"/>
                <w:szCs w:val="16"/>
                <w:color w:val="auto"/>
              </w:rPr>
            </w:pPr>
          </w:p>
        </w:tc>
        <w:tc>
          <w:tcPr>
            <w:tcW w:w="11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96</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40" w:type="dxa"/>
            <w:vAlign w:val="bottom"/>
          </w:tcPr>
          <w:p>
            <w:pPr>
              <w:spacing w:after="0"/>
              <w:rPr>
                <w:sz w:val="16"/>
                <w:szCs w:val="16"/>
                <w:color w:val="auto"/>
              </w:rPr>
            </w:pPr>
          </w:p>
        </w:tc>
        <w:tc>
          <w:tcPr>
            <w:tcW w:w="11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3"/>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99"/>
              </w:rPr>
              <w:t>97</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ability to maintain effective internal control over financial reporting and management systems and remediate material weaknesses;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Aviat Networks, Inc.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w:t>
      </w:r>
    </w:p>
    <w:p>
      <w:pPr>
        <w:spacing w:after="0" w:line="12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Annual Report on Form 10-K or, in the case of any document incorporated by reference, the date of that document.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 w:name="page5"/>
    <w:bookmarkEnd w:id="4"/>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 Networks, Inc., together with its subsidiaries, is a global supplier of microwave networking and wireless access networking solutions, backed by an extensive suite of professional services and support. Aviat Networks, Inc. may be referred to as “the Company,” “AVNW,” “Aviat Networks,” “Aviat,” “we,” “us” and “our” in this Annual Report on Form 10-K.</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Aviat was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Aviat’s principal executive offices are located at 200 Parker Dr., Suite C100A, Austin, Texas 78728, and its telephone number is (408) 941-7100.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Aviat’s common stock is listed on the NASDAQ Global Select Market under the symbol AVNW. As of June 27, 2025, the Company had 923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Description of the Business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design, manufacture and sell a range of wireless transport and access networking products, solutions and services to two principal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types.</w:t>
      </w:r>
    </w:p>
    <w:p>
      <w:pPr>
        <w:spacing w:after="0" w:line="261" w:lineRule="exact"/>
        <w:rPr>
          <w:sz w:val="20"/>
          <w:szCs w:val="20"/>
          <w:color w:val="auto"/>
        </w:rPr>
      </w:pPr>
    </w:p>
    <w:p>
      <w:pPr>
        <w:ind w:left="740" w:hanging="246"/>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Service Providers (“CSPs”): These include mobile and fixed telecommunications network operators, broadband and internet service providers and network operators which generate revenues from the communications services that they provide.</w:t>
      </w:r>
    </w:p>
    <w:p>
      <w:pPr>
        <w:spacing w:after="0" w:line="215" w:lineRule="exact"/>
        <w:rPr>
          <w:rFonts w:ascii="Times New Roman" w:cs="Times New Roman" w:eastAsia="Times New Roman" w:hAnsi="Times New Roman"/>
          <w:sz w:val="18"/>
          <w:szCs w:val="18"/>
          <w:color w:val="auto"/>
        </w:rPr>
      </w:pPr>
    </w:p>
    <w:p>
      <w:pPr>
        <w:jc w:val="both"/>
        <w:ind w:left="740" w:hanging="246"/>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network operators: These are customers which do not resell communications services but build networks for reasons of economics, autonomy, and/or security to support a wide variety of mission critical performance applications. Examples include federal, state and local government agencies, transportation agencies, energy and utility companies, public safety agencies and broadcast network operators around the world.</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sell products and services directly to our customers, and, to a lesser extent, agents and resellers.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products utilize microwave and millimeter wave technologies to create point to point and point to multi-point wireless links for short, medium and long-distance interconnections. In addition to our wireless products, we also provide routers and a range of premise and hosted private cloud-based software tools and applications to enable deployment, monitoring, network management, and optimization and operational assurance of our systems as well as to automate network design and procurement. We also source, qualify, supply, integrate, test and support third party equipment such as antennas, power supplies, optical transmission equipment and other equipment necessary to build and deploy a complete telecommunications transmission network. We provide a full suite of professional services for planning, deployment, operations, optimization and maintenance of our customers’ networks.</w:t>
      </w:r>
    </w:p>
    <w:p>
      <w:pPr>
        <w:spacing w:after="0" w:line="13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wireless systems deliver urban, suburban, regional and country-wide communications links as the primary alternative to fiber optic, low earth orbit satellite and copper connections. Fiber optic connections are the primary connectivity alternative to wireless systems. In dense urban and suburban areas, wireless solutions can be faster to deploy and lower cost per mile than new fiber deployments. In developing nations, fiber infrastructure is often scarce and as a result wireless systems are used for both long and short distance connections. Wireless systems also have advantages over optical fiber in areas with rugged terrain, and to provide connections over bodies of water such as between islands or to offshore oil and gas production platforms. Through the air wireless transmission is also inherently lower in latency than transmission through optical cables and can be leveraged in time sensitive networking applications, such as high frequency trading. Our wireless access solutions provide cost-effective alternatives to provide connectivity to private network infrastructure, including smart cities, smart grid, distribution automation, metering and renewables, supervisory control and data acquisition (SCADA) and telemetry, as well as vehicle and fleet connectivity.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from our North America and international regions represented approximately 48% and 52% of our revenue in fiscal 2025, 50% and 50% of our revenue in fiscal 2024, and 58% and 42% of our revenue in fiscal 2023, respectively. Information about our revenue attributable to our geographic regions is set forth in “Item 7. Management’s Discussion and Analysis of Financial Condition and Results of Operations” and in “Note 10. Segment and Geographic Information” of the accompanying consolidated financial statements and notes in this Annual Report on Form 10-K.</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believe that future demand for microwave and millimeter wave transmission systems will be influenced by a number of factors across several market segments.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Mobile/5G Networks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mobile networks evolve, expand, densify, add subscribers, and increase the number of wirelessly connected devices, sensors and machines, investment in backhaul infrastructure is required. Whether mobile network operators choose to self-build this backhaul infrastructure, or lease backhaul services from other network providers, we expect that the evolution of mobile networks will continue to drive demand for microwave and millimeter wave wireless backhaul transmission technologies. Within this overall scope, there are multiple individual drivers for investment in backhaul infrastructure.</w:t>
      </w:r>
    </w:p>
    <w:p>
      <w:pPr>
        <w:spacing w:after="0" w:line="16" w:lineRule="exact"/>
        <w:rPr>
          <w:sz w:val="20"/>
          <w:szCs w:val="20"/>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5G Deployments</w:t>
      </w:r>
      <w:r>
        <w:rPr>
          <w:rFonts w:ascii="Times New Roman" w:cs="Times New Roman" w:eastAsia="Times New Roman" w:hAnsi="Times New Roman"/>
          <w:sz w:val="18"/>
          <w:szCs w:val="18"/>
          <w:color w:val="auto"/>
        </w:rPr>
        <w:t>. Mobile Radio Access Network (“RAN”) technologies are evolving. With the evolution from 4G (HSPA+ and LTE) to 5G, and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6G on the horizon, technology is rapidly advancing and providing subscribers with higher speed access to the Internet, social media, and video streaming services. The dramatic increase in data to be transported through the RAN and across the backhaul infrastructure drives requirements for higher data transport links necessitating upgrades to or replacement of the existing backhaul infrastructure.</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Subscriber Growth. </w:t>
      </w:r>
      <w:r>
        <w:rPr>
          <w:rFonts w:ascii="Times New Roman" w:cs="Times New Roman" w:eastAsia="Times New Roman" w:hAnsi="Times New Roman"/>
          <w:sz w:val="18"/>
          <w:szCs w:val="18"/>
          <w:color w:val="auto"/>
        </w:rPr>
        <w:t>Traffic on the backhaul infrastructure increases as the number of unique subscribers grows.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Connected Devices. </w:t>
      </w:r>
      <w:r>
        <w:rPr>
          <w:rFonts w:ascii="Times New Roman" w:cs="Times New Roman" w:eastAsia="Times New Roman" w:hAnsi="Times New Roman"/>
          <w:sz w:val="18"/>
          <w:szCs w:val="18"/>
          <w:color w:val="auto"/>
        </w:rPr>
        <w:t>The number of devices such as smart phones and tablets connected to the mobile network is far greater than the number of unique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w:t>
      </w:r>
    </w:p>
    <w:p>
      <w:pPr>
        <w:spacing w:after="0" w:line="17"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IoT</w:t>
      </w:r>
      <w:r>
        <w:rPr>
          <w:rFonts w:ascii="Times New Roman" w:cs="Times New Roman" w:eastAsia="Times New Roman" w:hAnsi="Times New Roman"/>
          <w:sz w:val="18"/>
          <w:szCs w:val="18"/>
          <w:color w:val="auto"/>
        </w:rPr>
        <w:t>. The Internet of Things (“IoT”) brings the potential of massive deployment of wireless end points for sensing and reporting data and remotely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machines and devices. The increase of data volume drives investment in network infrastructure.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Network Densification</w:t>
      </w:r>
      <w:r>
        <w:rPr>
          <w:rFonts w:ascii="Times New Roman" w:cs="Times New Roman" w:eastAsia="Times New Roman" w:hAnsi="Times New Roman"/>
          <w:sz w:val="18"/>
          <w:szCs w:val="18"/>
          <w:color w:val="auto"/>
        </w:rPr>
        <w:t>. RAN frequency spectrum is a limited resource and shared between the devices and users within the coverage area of each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station. Meeting the combined demand of increasing subscribers and devices will require the deployment of much higher densities of base stations with reduced coverage (small cells) each requiring interconnection and proportionally driving increased demand for wireless backhaul and or fronthaul solutions as the primary alternative to optical fiber connectivity.</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Geographic Coverage. </w:t>
      </w:r>
      <w:r>
        <w:rPr>
          <w:rFonts w:ascii="Times New Roman" w:cs="Times New Roman" w:eastAsia="Times New Roman" w:hAnsi="Times New Roman"/>
          <w:sz w:val="18"/>
          <w:szCs w:val="18"/>
          <w:color w:val="auto"/>
        </w:rPr>
        <w:t>Expanding the geographic area covered by a mobile network to areas that are unserved or underserved by broadband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the deployment of additional cellular base station sites. Each additional base station site also needs to be connected to the core of the mobile network through expansion of the backhaul system.</w:t>
      </w:r>
    </w:p>
    <w:p>
      <w:pPr>
        <w:spacing w:after="0" w:line="11"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 Mandates</w:t>
      </w:r>
      <w:r>
        <w:rPr>
          <w:rFonts w:ascii="Times New Roman" w:cs="Times New Roman" w:eastAsia="Times New Roman" w:hAnsi="Times New Roman"/>
          <w:sz w:val="18"/>
          <w:szCs w:val="18"/>
          <w:color w:val="auto"/>
        </w:rPr>
        <w:t>. Mobile Operators are licensed telecommunications service providers. Licenses will typically mandate a minimum geographic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footprint within a specific period of time and/or a minimum proportion of a national or regional population served. This can outpace backhaul infrastructure investment and cause periodic spikes in demand.</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Rural Broadband</w:t>
      </w:r>
    </w:p>
    <w:p>
      <w:pPr>
        <w:spacing w:after="0" w:line="65"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Middle Mile</w:t>
      </w:r>
      <w:r>
        <w:rPr>
          <w:rFonts w:ascii="Times New Roman" w:cs="Times New Roman" w:eastAsia="Times New Roman" w:hAnsi="Times New Roman"/>
          <w:sz w:val="18"/>
          <w:szCs w:val="18"/>
          <w:color w:val="auto"/>
        </w:rPr>
        <w:t>. Aviat transport equipment is used to deliver broadband connectivity to rural and suburban communities as an alternative to costly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significant investments being made to improve rural household and enterprise connectivity and many of these investments target middle mile infrastructure builds.</w:t>
      </w:r>
    </w:p>
    <w:p>
      <w:pPr>
        <w:spacing w:after="0" w:line="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of Offered Services. </w:t>
      </w:r>
      <w:r>
        <w:rPr>
          <w:rFonts w:ascii="Times New Roman" w:cs="Times New Roman" w:eastAsia="Times New Roman" w:hAnsi="Times New Roman"/>
          <w:sz w:val="18"/>
          <w:szCs w:val="18"/>
          <w:color w:val="auto"/>
        </w:rPr>
        <w:t>Internet service providers, especially those in emerging markets, now own and operate the most modern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Networks</w:t>
      </w:r>
    </w:p>
    <w:p>
      <w:pPr>
        <w:spacing w:after="0" w:line="175"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8"/>
          <w:szCs w:val="18"/>
          <w:color w:val="auto"/>
        </w:rPr>
        <w:t>In addition to mobile backhaul, we see demand for microwave technology in other vertical markets, including utility, public safety, energy and mining, government, financial institutions and broadcast.</w:t>
      </w:r>
    </w:p>
    <w:p>
      <w:pPr>
        <w:spacing w:after="0" w:line="1" w:lineRule="exact"/>
        <w:rPr>
          <w:sz w:val="20"/>
          <w:szCs w:val="20"/>
          <w:color w:val="auto"/>
        </w:rPr>
      </w:pPr>
    </w:p>
    <w:p>
      <w:pPr>
        <w:ind w:left="340" w:hanging="332"/>
        <w:spacing w:after="0" w:line="281"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network infrastructure. Microwave is well suited to this environment because it is a cost-effective alternative to fiber.</w:t>
      </w:r>
    </w:p>
    <w:p>
      <w:pPr>
        <w:spacing w:after="0" w:line="2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 financial industry. Our products have already been used to create low latency connections between major centers in the United States (“U.S.”), Europe and Asia and we see long-term interest in the creation of further low latency routes in various geographies around the world.</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Evolution to IP (internet protocol). Network Infrastructure capacity, efficiency and flexibility is greatly enhanced by transitioning from legacy SDH (synchronous digital hierarchy) / SONET (synchronous optical network) / TDM (time division multiplexing) to IP infrastructure. Our products offer integrated IP transport and routing functionality, increasing the value they bring in the backhaul network.</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enhancement of border security and surveillance networks to counter terrorism and insurgency is aided by the use of wireless technologies including microwave backhaul.</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remote and industrial access applications to support the evolution of smart networks for cities, oilfields, mines and remote rural broadband connectivity using fixed, nomadic and mobile wireless technologies, particularly where a high degree of environmental resilience and ruggedness is required.</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factors are combining to create a range of opportunities for continued investment in backhaul, transport and access networks that favor microwave and millimeter wave technologies. As we focus on executing future generations of our technology, our goal is to make wireless technology a viable choice for an ever-broadening range of network types.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engaging with customers on the evolution of use cases and applications as 5G mobile and broadband networks edge closer to implementation and begin to factor more strongly in the vendor selection process. We are confident in our ability to address current and future 5G market needs.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focused on building a sustainable and profitable business with growth potential. We have invested in our people and processes to create a platform for operational excellence across sales, services, product development and supply chain areas while continuing to make investments in strengthening our product and services portfolio and expanding our reach into targeted market areas.</w:t>
      </w:r>
    </w:p>
    <w:p>
      <w:pPr>
        <w:spacing w:after="0" w:line="122"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Our strategy has three main elements aligned to deliver a compelling Total Cost of Ownership (“TCO”) value proposition. The first is our portfolio of wireless transport and access products allowing our customers to increase capacity and flexibility with a much better total cost solution. We are expanding the data-carrying capacity of our wireless products to address the increasing data demand in networks of all types, while reducing overall energy consumption. Our research and development is focused on innovations that increase capacity, reduce energy consumption and lower overall TCO.</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Second, to address the operational complexity of planning, deploying, owning and operating wireless networks, we are investing in a combination of software applications, tools and services where simplification, process automation, optimization and performance assurance, combined with our unique expertise in wireless technology can make a significant difference for our customers and partners.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Finally, Aviat is investing in e-commerce through our online platform, the “Aviat Store” and supporting supply chain capabilities. Aviat can better service customers buying through the Aviat Store with lower costs, faster lead times and a simpler purchasing experience. The Aviat Store, together with our supply chain, enables customers (including ISP, Tier 2 and mobile 5G operators) to purchase products as needed, thus avoiding lengthy and variable lead times that come with other vendor solutions and allowing those customers to lower warehousing costs, reduce obsolete equipment, and lower the cost of capital by paying only when equipment is needed.</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develop our professional services portfolio as key to our long-term strategy and differentiation. We offer a portfolio of hosted expert services, and we continue to offer training and accreditation programs for microwave and IP network design, deployment and maintenance.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to continue to serve and expand our existing customer base and develop business with new customers. We intend to leverage our customer base, longstanding presence in many countries, distribution channels, comprehensive product line, superior customer service and our turnkey solution capability to continue to sell existing and new products and services to current and future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Solutions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and solutions portfolio is key to building and maintaining our base of customers. We offer a comprehensive product and solutions portfolio that meets the needs of service providers and network operators and that addresses a broad range of applications, frequencies, capacities and network topologies.</w:t>
      </w:r>
    </w:p>
    <w:p>
      <w:pPr>
        <w:spacing w:after="0" w:line="12" w:lineRule="exact"/>
        <w:rPr>
          <w:sz w:val="20"/>
          <w:szCs w:val="20"/>
          <w:color w:val="auto"/>
        </w:rPr>
      </w:pPr>
    </w:p>
    <w:p>
      <w:pPr>
        <w:jc w:val="both"/>
        <w:ind w:left="340" w:hanging="332"/>
        <w:spacing w:after="0" w:line="25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Broad product and solution portfolio</w:t>
      </w:r>
      <w:r>
        <w:rPr>
          <w:rFonts w:ascii="Times New Roman" w:cs="Times New Roman" w:eastAsia="Times New Roman" w:hAnsi="Times New Roman"/>
          <w:sz w:val="18"/>
          <w:szCs w:val="18"/>
          <w:color w:val="auto"/>
        </w:rPr>
        <w:t>. We offer a comprehensive suite of wireless transport and access systems for microwave and millimeter wave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networking applications. These solutions utilize a wide range of transmission frequencies, ranging from 450 MHz to 90 GHz, and can deliver a wide range of transmission capacities, ranging up to 20 Gigabits per second (Gbps). The major product families included in these solutions are CTR 8000, WTM 4000, RDL 3000, Aprisa, IRU 600, Pasolink, ProVision Plus and AviatCloud. Our CTR 8000 platform is a range of routers purpose-built for wireless transport applications, especially those that require high level of reliability and security. WTM 4000 is the leading high-capacity, all outdoor microwave radio, supporting multi-channel, multi-band configurations combined with best-in-class radio performance to extend multi-gigabit links further with improved reliability and smaller antennas at a lower TCO. We introduced multiple important variants to the WTM 4000 platform; WTM 4100 &amp; 4200 providing single and dual frequency microwave links with advanced XPIC and MIMO capabilities; STR 4500 for multi-channel aggregation of microwave channels in long distance applications; WTM 4800 to address 5G network requirements operating in the 80 GHz E-Band at up to 20 Gbps capacity, with a unique single-box Multi-Band capability which simultaneously uses microwave and E-Band frequencies for maximum capacity, distance and reliability. WTM 4800 is the only single box multi-band solution for lowest TCO deployments. Aviat also introduced new Multi-Band solutions, including a 2-box, 4-channel Extended Distance Multi-Band (MB-XD) to extend 10 Gbps links over distances up to 20km, 3-box, 6-channel MB-MAX that enables maximum capacity, distance and reliability, and Multi-Band Vendor Agnostic (MB-VA) that adds a seamless 10 Gbps E-Band overlay to existing legacy third-party microwave links. Our RDL 3000 platform is designed to support ruggedized fixed and nomadic wireless access in remote and industrial applications. The Aprisa platform includes hardened narrowband wireless SCADA widely used in utility and energy networks, supporting higher throughput and lower TCO than competing solutions, and ruggedized high-capacity LTE/5G cellular modems that address both fixed applications and the growing need for military and public safety vehicular mobile broadband connectivity. Our IRU 600 EHP/UHP is an ultra-high power indoor microwave radio that enables relocation of mission critical links from the 6 GHz band to the 11 GHz band to minimize potential interference and deliver longer links with more capacity, while also minimizing tower related costs. Aviat Pasolink is a market-leading range of split-mount microwave with an extensive global installed base and market leading reliability. Aviat’s ProVision Plus Management Software Suite enables operators to manage and control their network, optimize performance and lower operating expenses. AviatCloud is a platform of secure hosted software and services to automate our customers’ networks and simplify operational complexity.</w:t>
      </w:r>
    </w:p>
    <w:p>
      <w:pPr>
        <w:spacing w:after="0" w:line="2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 TCO. </w:t>
      </w:r>
      <w:r>
        <w:rPr>
          <w:rFonts w:ascii="Times New Roman" w:cs="Times New Roman" w:eastAsia="Times New Roman" w:hAnsi="Times New Roman"/>
          <w:sz w:val="18"/>
          <w:szCs w:val="18"/>
          <w:color w:val="auto"/>
        </w:rPr>
        <w:t>Our wireless-based solutions focus on achieving a low TCO, including savings on the combined costs of initial acquisition, installation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ongoing operation and maintenance. Our latest generation system designs reduce rack space requirements, require less power, need fewer stations in point-to-point multipoint applications, are software-configurable to reduce spare parts requirements, and are simple to install, operate, upgrade and maintain. Our advanced wireless features such as Multi-Band, high modulation and ultra high-power performance also enable operators to save on related costs, including spectrum fees and tower rental fees.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ind w:left="340" w:hanging="33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Futureproof network</w:t>
      </w:r>
      <w:r>
        <w:rPr>
          <w:rFonts w:ascii="Times New Roman" w:cs="Times New Roman" w:eastAsia="Times New Roman" w:hAnsi="Times New Roman"/>
          <w:sz w:val="18"/>
          <w:szCs w:val="18"/>
          <w:color w:val="auto"/>
        </w:rPr>
        <w:t>. Our solutions are designed to protect the network operator’s investment by incorporating software-configurable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upgrades and plug-in modules that provide a smooth migration path to Carrier Ethernet and IP/MPLS (multiprotocol label switching) and segment routing based networking, without the need for costly equipment replacement and/or additions. Our products include key technologies that we believe will be needed by operators for their network evolution to support future broadband services.</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Flexible, easily configurable products. </w:t>
      </w:r>
      <w:r>
        <w:rPr>
          <w:rFonts w:ascii="Times New Roman" w:cs="Times New Roman" w:eastAsia="Times New Roman" w:hAnsi="Times New Roman"/>
          <w:sz w:val="18"/>
          <w:szCs w:val="18"/>
          <w:color w:val="auto"/>
        </w:rPr>
        <w:t>We use flexible architectures with a high level of software configurable features. This design approach produces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network management. </w:t>
      </w:r>
      <w:r>
        <w:rPr>
          <w:rFonts w:ascii="Times New Roman" w:cs="Times New Roman" w:eastAsia="Times New Roman" w:hAnsi="Times New Roman"/>
          <w:sz w:val="18"/>
          <w:szCs w:val="18"/>
          <w:color w:val="auto"/>
        </w:rPr>
        <w:t>We offer a range of flexible network management solutions, from element management to enterprise-wide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and service management software, which together with our Frequency and Health Assurance expert software modules enable operators to improve network performance and lower costs.</w:t>
      </w:r>
    </w:p>
    <w:p>
      <w:pPr>
        <w:spacing w:after="0" w:line="11"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Complete professional services. </w:t>
      </w:r>
      <w:r>
        <w:rPr>
          <w:rFonts w:ascii="Times New Roman" w:cs="Times New Roman" w:eastAsia="Times New Roman" w:hAnsi="Times New Roman"/>
          <w:sz w:val="18"/>
          <w:szCs w:val="18"/>
          <w:color w:val="auto"/>
        </w:rPr>
        <w:t>In addition to our product offerings, we provide network planning and design, site surveys and builds,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71" w:lineRule="exact"/>
        <w:rPr>
          <w:sz w:val="20"/>
          <w:szCs w:val="20"/>
          <w:color w:val="auto"/>
        </w:rPr>
      </w:pPr>
    </w:p>
    <w:p>
      <w:pPr>
        <w:jc w:val="right"/>
        <w:ind w:right="9660"/>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171" w:lineRule="exact"/>
        <w:rPr>
          <w:sz w:val="20"/>
          <w:szCs w:val="20"/>
          <w:color w:val="auto"/>
        </w:rPr>
      </w:pPr>
    </w:p>
    <w:p>
      <w:pPr>
        <w:jc w:val="right"/>
        <w:ind w:right="9600"/>
        <w:spacing w:after="0"/>
        <w:rPr>
          <w:sz w:val="20"/>
          <w:szCs w:val="20"/>
          <w:color w:val="auto"/>
        </w:rPr>
      </w:pPr>
      <w:r>
        <w:rPr>
          <w:rFonts w:ascii="Times New Roman" w:cs="Times New Roman" w:eastAsia="Times New Roman" w:hAnsi="Times New Roman"/>
          <w:sz w:val="18"/>
          <w:szCs w:val="18"/>
          <w:b w:val="1"/>
          <w:bCs w:val="1"/>
          <w:i w:val="1"/>
          <w:iCs w:val="1"/>
          <w:color w:val="auto"/>
        </w:rPr>
        <w:t>Sales and Service</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in customer locations and include, but not limited to, Canada, Mexico, Kenya, India, Saudi Arabia, Indonesia, Australia, New Zealand, and Singapore.</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our direct channel to market, we have relationships with original equipment manufacturers (“OEMs”) and system integrators especially focused towards large and complex projects in national security and government-related applications. Our role in these relationships ranges from equipment supply only to being a sub-contractor for a portion of the project scope where we will supply equipment and a variety of design, deployment and maintenance services.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use indirect sales channels, including dealers, resellers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on our list prices and are free to set the final sales prices paid by the customer.</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direct online sales option through our online “Aviat Store”. The Aviat Store targets customers with a traditional high cost to serve via traditional channels. We provide online design tools for radio link planning and online ordering tools, which we fulfill directly from our Aviat Store with multiple options of product available for next day shipment.</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repair and service centers in the Philippines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 w:name="page10"/>
    <w:bookmarkEnd w:id="9"/>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global manufacturing strategy follows an outsourced manufacturing model using contract manufacturing partners in Asia and the United States. Our strategy is based on balancing cost and supplier performance as well as taking into account qualification for localization requirements of certain market segments, such as the Buy American Act.</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backlog was approximately $323 million as of June 27, 2025, and $292 million as of June 28, 2024, consisting primarily of contracts or purchase orders for both product and service deliveries and extended service warranties. Services include management’s initial estimate of the value of a customer’s commitment under a services contract. The calculation used by management involves estimates and judgments to gauge the extent of a customer’s commitment, including the type and duration of the agreement, and the presence of termination charges or wind down costs. Contract extensions and increases in scope are treated as backlog only to the extent of the new incremental value. We regularly review our backlog to ensure that our customers continue to honor their purchase commitments and have the financial means to purchase and deploy our products and services in accordance with the terms of their purchase contracts. Backlog estimates are subject to change and are affected by several factors, including terminations, changes in the scope of contracts, periodic revalidation, adjustments for revenue not materialized and adjustments for currency.</w:t>
      </w:r>
    </w:p>
    <w:p>
      <w:pPr>
        <w:spacing w:after="0" w:line="1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expect to substantially deliver against the backlog as of June 27, 2025, during fiscal 2026, but we cannot be assured that this will occur. Product orders in our current backlog are subject to changes in delivery schedules or to cancellation at the option of the purchaser without significant penalty as well as long-term projects that could take more than a year to complete.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Although we have a large customer base, during any given fiscal year or quarter, a small number of customers may account for a significant portion of our revenue.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fiscal 2025, 2024 and 2023, no customers accounted for more than 10% of total revenue.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microwave and millimeter-wave wireless networking business is a competitive and specialized segment of the telecommunications industry that is sensitive to technological advancements. Our principal competitors include business units of large mobile and IP network infrastructure manufacturers such as Ericsson, Huawei, ZTE, Nokia Corporation and GE Vernova, as well as a number of smaller transport and access specialist companies such as Ceragon Networks Ltd., Cambium Networks Corporation, RACOM and Airspan Networks. We also compete with fiber optic cable and low earth orbit satellites for networking connections.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Some of our larger competitors may also act as systems integrators through which we sometimes distribute and sell products and services to 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users.</w:t>
      </w:r>
    </w:p>
    <w:p>
      <w:pPr>
        <w:spacing w:after="0" w:line="15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smaller independent private and public specialist competitors typically leverage new technologies and low product costs but are generally less capable of offering a complete solution including professional services, especially in the North America and Africa regions which form the majority of our addressed market.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concentrate on market opportunities that we believe are compatible with our resources, overall technological capabilities and objectives. Principal competitive factors are unique differentiators, TCO,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key technology areas and innovation to differentiate our overall portfolio from our competition. The majority of such research and development resources will be focused on technologies in microwave and millimeter wave RF, digital signal processing, networking protocols and software applications.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expenditures totaled $35.8 million, or 8.2% of revenue, in fiscal 2025, $36.4 million, or 8.9% of revenue, in fiscal 2024, and $24.9 million, or 7.2% of revenue, in fiscal 2023.</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are primarily directed to the development of new products and to build technological capability. We are an industry innovator and intend to continue to focus significant resources on product development in an effort to maintain our competitiveness and support our entry into new markets.</w:t>
      </w:r>
    </w:p>
    <w:p>
      <w:pPr>
        <w:spacing w:after="0" w:line="122" w:lineRule="exact"/>
        <w:rPr>
          <w:sz w:val="20"/>
          <w:szCs w:val="20"/>
          <w:color w:val="auto"/>
        </w:rPr>
      </w:pPr>
    </w:p>
    <w:p>
      <w:pPr>
        <w:ind w:left="340" w:right="1280" w:firstLine="162"/>
        <w:spacing w:after="0" w:line="438" w:lineRule="auto"/>
        <w:rPr>
          <w:sz w:val="20"/>
          <w:szCs w:val="20"/>
          <w:color w:val="auto"/>
        </w:rPr>
      </w:pPr>
      <w:r>
        <w:rPr>
          <w:rFonts w:ascii="Times New Roman" w:cs="Times New Roman" w:eastAsia="Times New Roman" w:hAnsi="Times New Roman"/>
          <w:sz w:val="18"/>
          <w:szCs w:val="18"/>
          <w:color w:val="auto"/>
        </w:rPr>
        <w:t xml:space="preserve">Our product development teams totaled 225 employees as of June 27, 2025, and were located primarily Slovenia and New Zealand. </w:t>
      </w:r>
      <w:r>
        <w:rPr>
          <w:rFonts w:ascii="Times New Roman" w:cs="Times New Roman" w:eastAsia="Times New Roman" w:hAnsi="Times New Roman"/>
          <w:sz w:val="18"/>
          <w:szCs w:val="18"/>
          <w:b w:val="1"/>
          <w:bCs w:val="1"/>
          <w:i w:val="1"/>
          <w:iCs w:val="1"/>
          <w:color w:val="auto"/>
        </w:rPr>
        <w:t>Raw Materials and Supplies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Because of our range of products and services, as well as the wide geographic dispersion of our facilities, we use numerous sources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customers’ requirements or regulatory restrictions and to meet performance and quality specifications and delivery schedules.</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strategy for procuring raw material and supplies includes dual sourcing (where possible)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and ASIC’s and MMICs (types of integrated circuit used in manufacturing microwave radios), which we procure at volume discount from a single source.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Patents and Other Intellectual Property</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consider our patents, trademarks and other intellectual property rights, in the aggregate, to constitute an important asset. We own a portfolio of patents, trade secrets, know-how, confidential information, trademarks, copyrights and other intellectual property. As of June 27, 2025, we (collectively with our subsidiaries) own approximately 244 U.S. patents and 159 international patents and had 8 U.S. patent applications pending and 8 international patent applications pending. The United States Patent and Trademark Office (“USPTO”) and international equivalent bodies have not yet concluded substantive examination of our pending patent applications. Therefore, it is unclear what scope of additional patent coverage, if any, will eventually be provided as a result of those pending applications. Failure to obtain comprehensive patent coverage could impair our ability to prevent competitors from replicating some portions or all of our products. We also license intellectual property to and from third parties. The costs we pay or revenue we receive from such licenses may be dependent on certain factors, such as the market for such licenses and whether such licenses can be negotiated on commercially acceptable terms. However, we do not consider our business to be materially dependent upon any single patent, license or other intellectual property right.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13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circumvented, declared generic or determined to be infringing on other marks. There can be no assurance that competitors will not infringe our trademarks, that we will have adequate resources to enforce our trademarks or that any of our current or future trademark applications will be approved. During trademark registration proceedings, we may receive rejections and, although we are given an opportunity to respond, we may be unable to overcome such rejections. In addition, in proceedings before the USPTO and in proceedings before comparable agencies in many foreign jurisdictions, trademarks are examined for registrability against prior pending and registered third-party trademarks, and third parties are given an opportunity to oppose registration of pending trademark applications and/or to seek cancellation of registered trademarks. Applications to register our trademarks may be finally rejected, and opposition or cancellation proceedings may be filed against our trademarks, which may necessitate a change in branding strategy if such rejections and proceedings cannot be overcome or resolved.</w:t>
      </w:r>
    </w:p>
    <w:p>
      <w:pPr>
        <w:spacing w:after="0" w:line="13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Additionally, competitors may try to develop products that are similar to ours and that may infringe, misappropriate or otherwise violate our intellectual property rights. As a result, from time to time, we might engage in litigation to enforce our patents or other intellectual property rights or defend against claims of alleged infringement asserted by third parties. Any of our patents, trade secrets, trademarks, copyrights and other intellectual property rights could be challenged, invalidated or circumvented, or may not provide competitive advantages. Despite our efforts to protect our intellectual property rights, we cannot be certain that the steps we have taken will be sufficient or effective to prevent the unauthorized access, use, copying, or the reverse engineering of our technology and other intellectual property, including by third parties who may use our technology or other proprietary information to develop products and services that compete with ours. Additionally, policing unauthorized use of our intellectual property and proprietary rights can be difficult, costly and time consuming.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Furthermore, our competitors or other third parties may assert that our products infringe, misappropriate or otherwise violate their intellectual property rights. Successful claims of infringement, misappropriation or other violations by a third party could prevent us from offering certain products or features, require us to develop alternate, non-infringing technology, which could require significant time and expense, and at which time we could be unable to continue to offer our affected products or solutions, or require us to obtain a license, which may not be available on reasonable terms or at all, or force us to pay substantial damages, royalties or other fees.</w:t>
      </w:r>
    </w:p>
    <w:p>
      <w:pPr>
        <w:spacing w:after="0" w:line="14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protect our confidential information, including our trade secrets, we require our employees and contractors to sign confidentiality and invention assignment agreements. We also enter into non-disclosure agreements with our suppliers and appropriate customers to limit their access to and disclosure of our proprietary information.</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Although our ability to compete may be affected by our ability to protect our intellectual property rights and proprietary information, we believe that, because of the rapid pace of technological change in the wireless telecommunications industry, our innovative skills, technical expertise and ability to introduce new products on a timely basis is just as important in maintaining our competitive position as protecting our intellectual property. Trade secret, trademark, copyright and patent protections are important but must be supported by other factors such as the expanding knowledge, ability and experience of our personnel, new product introductions and product enhancements. Although we have and will continue to implement protective measures and intend to vigorously defend our intellectual property rights, there can be no assurance that these measures will be successful.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Other Regulations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facilities and operations, in common with those of our industry in general, are subject to numerous domestic and international laws and regulations designed to protect the environment, increase transparency or modify corporate behavior, particularly with regard to waste and emissions. We believe that we have substantially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especially as such laws are evolving quickly and obligations on companies like ours may become more burdensome over time.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substantially complied with such rules and regulations, where applicable, with respect to our existing products sold into such jurisdictions.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Radio communications are also subject to various governmental regulation. Equipment produced by us is subject to domestic and international requirements to avoid interference among users of radio frequencies and to permit interconnection of telecommunications equipment. We believe that we have substantially complied with such rules and regulations with respect to our existing products, and we intend to comply with such rules and regulations with respect to our future products. Reallocation of the frequency spectrum could impact our business, financial condition and results of operations.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a comprehensive policy and procedures in effect concerning conflict minerals compliance.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June 27, 2025, we had 923 employees, of whom 920 were full-time employees and 250 were located in the U.S. None of our employees in the U.S. are represented by a labor union. In certain international subsidiaries, our employees are represented by workers’ councils or statutory labor unions. In general, we believe that our employee relations are good. In the highly competitive technology market, we have been able to attract and retain diverse, well-qualified talent across our functions. Through our structured hiring process, we work to provide training for hiring managers in the selection process, detailed onboarding plans for new hires and surveys at regular intervals during the first months of employment to help measure engagement and support success. In fiscal year 2025, we conducted a global engagement survey of our existing employee population and to help identify action items at the functional level as well as establish company-wide initiatives to continually improve our culture and processes.</w:t>
      </w:r>
    </w:p>
    <w:p>
      <w:pPr>
        <w:spacing w:after="0" w:line="13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we offer a competitive compensation package, tailored to the job function and location of each employee and linked to internal and external benchmarking. We have a global team, and we offer competitive compensation and benefits programs that meet the needs of our employees, while also reflecting local market practices. Our U.S. benefits plan includes health benefits, life and disability insurance, various voluntary insurances, flexible time off and leave programs, and a retirement plan with employer match. Our international benefits plans are competitive locally and generally provide similar benefits. We grant equity-based compensation to many of our employees. In addition, we offer benefits to support our employees’ physical and mental health by providing tools and resources to help them improve or maintain their health and encourage healthy behaviors.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executive officers of Aviat as of September 10, 2025,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Age</w:t>
            </w:r>
          </w:p>
        </w:tc>
        <w:tc>
          <w:tcPr>
            <w:tcW w:w="22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 Currently Held and Past Business Experience</w:t>
            </w:r>
          </w:p>
        </w:tc>
      </w:tr>
      <w:tr>
        <w:trPr>
          <w:trHeight w:val="21"/>
        </w:trPr>
        <w:tc>
          <w:tcPr>
            <w:tcW w:w="114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6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8"/>
        </w:trPr>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Peter A. Smith, 59</w:t>
            </w:r>
          </w:p>
        </w:tc>
        <w:tc>
          <w:tcPr>
            <w:tcW w:w="8360" w:type="dxa"/>
            <w:vAlign w:val="bottom"/>
            <w:gridSpan w:val="3"/>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Mr. Smith was appointed President and Chief Executive Officer (“CEO”) in January 2020. Prior to joining</w:t>
            </w:r>
          </w:p>
        </w:tc>
      </w:tr>
      <w:tr>
        <w:trPr>
          <w:trHeight w:val="203"/>
        </w:trPr>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Aviat Networks, Mr. Smith served as Senior Vice President, US Windows and Canada for JELD-WEN from</w:t>
            </w:r>
          </w:p>
        </w:tc>
      </w:tr>
      <w:tr>
        <w:trPr>
          <w:trHeight w:val="189"/>
        </w:trPr>
        <w:tc>
          <w:tcPr>
            <w:tcW w:w="1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36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March 2017 to December 2019. Prior to JELD-WEN, he served as President of Polypore International’s</w:t>
            </w:r>
          </w:p>
        </w:tc>
      </w:tr>
      <w:tr>
        <w:trPr>
          <w:trHeight w:val="203"/>
        </w:trPr>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Transportation and Industrial segment from October 2013 to March 2017. Previously, he served as CEO and a</w:t>
            </w:r>
          </w:p>
        </w:tc>
      </w:tr>
      <w:tr>
        <w:trPr>
          <w:trHeight w:val="203"/>
        </w:trPr>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director of Voltaix Inc. from September 2011 to October 2013. Earlier in his career, Mr. Smith held various</w:t>
            </w:r>
          </w:p>
        </w:tc>
      </w:tr>
      <w:tr>
        <w:trPr>
          <w:trHeight w:val="203"/>
        </w:trPr>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executive leadership positions at Fortune 100 and Fortune 500 companies, including Cooper Industries, Dover</w:t>
            </w:r>
          </w:p>
        </w:tc>
      </w:tr>
      <w:tr>
        <w:trPr>
          <w:trHeight w:val="203"/>
        </w:trPr>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Knowles Electronics and Honeywell Specialty Materials. Mr. Smith also served on the board of Soleras</w:t>
            </w:r>
          </w:p>
        </w:tc>
      </w:tr>
      <w:tr>
        <w:trPr>
          <w:trHeight w:val="203"/>
        </w:trPr>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Advanced Coatings from August 2015 to October 2018 and Adaptive 3D Technologies from December 2020</w:t>
            </w:r>
          </w:p>
        </w:tc>
      </w:tr>
      <w:tr>
        <w:trPr>
          <w:trHeight w:val="203"/>
        </w:trPr>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through its sale in May 2021. Mr. Smith has both a Bachelor of Science degree in Material (Ceramics)</w:t>
            </w:r>
          </w:p>
        </w:tc>
      </w:tr>
      <w:tr>
        <w:trPr>
          <w:trHeight w:val="203"/>
        </w:trPr>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Engineering and PhD in Material Science and Engineering from Rutgers University, and holds a Master of</w:t>
            </w:r>
          </w:p>
        </w:tc>
      </w:tr>
      <w:tr>
        <w:trPr>
          <w:trHeight w:val="241"/>
        </w:trPr>
        <w:tc>
          <w:tcPr>
            <w:tcW w:w="1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3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Business Administration degree from Arizona State University.</w:t>
            </w:r>
          </w:p>
        </w:tc>
      </w:tr>
      <w:tr>
        <w:trPr>
          <w:trHeight w:val="176"/>
        </w:trPr>
        <w:tc>
          <w:tcPr>
            <w:tcW w:w="246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 xml:space="preserve">Michael C. Connaway, 44 </w:t>
            </w:r>
            <w:r>
              <w:rPr>
                <w:rFonts w:ascii="Times New Roman" w:cs="Times New Roman" w:eastAsia="Times New Roman" w:hAnsi="Times New Roman"/>
                <w:sz w:val="20"/>
                <w:szCs w:val="20"/>
                <w:color w:val="auto"/>
                <w:vertAlign w:val="superscript"/>
              </w:rPr>
              <w:t>(1)</w:t>
            </w:r>
          </w:p>
        </w:tc>
        <w:tc>
          <w:tcPr>
            <w:tcW w:w="8360" w:type="dxa"/>
            <w:vAlign w:val="bottom"/>
            <w:gridSpan w:val="3"/>
          </w:tcPr>
          <w:p>
            <w:pPr>
              <w:ind w:left="260"/>
              <w:spacing w:after="0" w:line="176" w:lineRule="exact"/>
              <w:rPr>
                <w:sz w:val="20"/>
                <w:szCs w:val="20"/>
                <w:color w:val="auto"/>
              </w:rPr>
            </w:pPr>
            <w:r>
              <w:rPr>
                <w:rFonts w:ascii="Times New Roman" w:cs="Times New Roman" w:eastAsia="Times New Roman" w:hAnsi="Times New Roman"/>
                <w:sz w:val="18"/>
                <w:szCs w:val="18"/>
                <w:color w:val="auto"/>
              </w:rPr>
              <w:t>As Chief Financial Officer (“CFO”), Mr. Connaway is responsible for worldwide finance, treasury, accounting,</w:t>
            </w:r>
          </w:p>
        </w:tc>
      </w:tr>
      <w:tr>
        <w:trPr>
          <w:trHeight w:val="176"/>
        </w:trPr>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360" w:type="dxa"/>
            <w:vAlign w:val="bottom"/>
            <w:gridSpan w:val="3"/>
          </w:tcPr>
          <w:p>
            <w:pPr>
              <w:ind w:left="260"/>
              <w:spacing w:after="0" w:line="176" w:lineRule="exact"/>
              <w:rPr>
                <w:sz w:val="20"/>
                <w:szCs w:val="20"/>
                <w:color w:val="auto"/>
              </w:rPr>
            </w:pPr>
            <w:r>
              <w:rPr>
                <w:rFonts w:ascii="Times New Roman" w:cs="Times New Roman" w:eastAsia="Times New Roman" w:hAnsi="Times New Roman"/>
                <w:sz w:val="18"/>
                <w:szCs w:val="18"/>
                <w:color w:val="auto"/>
              </w:rPr>
              <w:t>reporting, compliance and taxation. Prior to joining Aviat, Mr. Connaway was Vice President and CFO of</w:t>
            </w:r>
          </w:p>
        </w:tc>
      </w:tr>
      <w:tr>
        <w:trPr>
          <w:trHeight w:val="184"/>
        </w:trPr>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360" w:type="dxa"/>
            <w:vAlign w:val="bottom"/>
            <w:gridSpan w:val="3"/>
          </w:tcPr>
          <w:p>
            <w:pPr>
              <w:ind w:left="260"/>
              <w:spacing w:after="0" w:line="184" w:lineRule="exact"/>
              <w:rPr>
                <w:sz w:val="20"/>
                <w:szCs w:val="20"/>
                <w:color w:val="auto"/>
              </w:rPr>
            </w:pPr>
            <w:r>
              <w:rPr>
                <w:rFonts w:ascii="Times New Roman" w:cs="Times New Roman" w:eastAsia="Times New Roman" w:hAnsi="Times New Roman"/>
                <w:sz w:val="18"/>
                <w:szCs w:val="18"/>
                <w:color w:val="auto"/>
              </w:rPr>
              <w:t>Honeywell’s Energy &amp; Sustainability Solutions segment, and before that served in CFO capacities leading</w:t>
            </w:r>
          </w:p>
        </w:tc>
      </w:tr>
      <w:tr>
        <w:trPr>
          <w:trHeight w:val="180"/>
        </w:trPr>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360" w:type="dxa"/>
            <w:vAlign w:val="bottom"/>
            <w:gridSpan w:val="3"/>
          </w:tcPr>
          <w:p>
            <w:pPr>
              <w:ind w:left="260"/>
              <w:spacing w:after="0" w:line="181" w:lineRule="exact"/>
              <w:rPr>
                <w:sz w:val="20"/>
                <w:szCs w:val="20"/>
                <w:color w:val="auto"/>
              </w:rPr>
            </w:pPr>
            <w:r>
              <w:rPr>
                <w:rFonts w:ascii="Times New Roman" w:cs="Times New Roman" w:eastAsia="Times New Roman" w:hAnsi="Times New Roman"/>
                <w:sz w:val="18"/>
                <w:szCs w:val="18"/>
                <w:color w:val="auto"/>
              </w:rPr>
              <w:t>finance in its Safety &amp; Productivity Solutions segment, and Advanced Materials business. Mr. Connaway</w:t>
            </w:r>
          </w:p>
        </w:tc>
      </w:tr>
      <w:tr>
        <w:trPr>
          <w:trHeight w:val="176"/>
        </w:trPr>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360" w:type="dxa"/>
            <w:vAlign w:val="bottom"/>
            <w:gridSpan w:val="3"/>
          </w:tcPr>
          <w:p>
            <w:pPr>
              <w:ind w:left="260"/>
              <w:spacing w:after="0" w:line="176" w:lineRule="exact"/>
              <w:rPr>
                <w:sz w:val="20"/>
                <w:szCs w:val="20"/>
                <w:color w:val="auto"/>
              </w:rPr>
            </w:pPr>
            <w:r>
              <w:rPr>
                <w:rFonts w:ascii="Times New Roman" w:cs="Times New Roman" w:eastAsia="Times New Roman" w:hAnsi="Times New Roman"/>
                <w:sz w:val="18"/>
                <w:szCs w:val="18"/>
                <w:color w:val="auto"/>
              </w:rPr>
              <w:t>started his career with General Electric, beginning in its financial management program and corporate audit</w:t>
            </w:r>
          </w:p>
        </w:tc>
      </w:tr>
      <w:tr>
        <w:trPr>
          <w:trHeight w:val="184"/>
        </w:trPr>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360" w:type="dxa"/>
            <w:vAlign w:val="bottom"/>
            <w:gridSpan w:val="3"/>
          </w:tcPr>
          <w:p>
            <w:pPr>
              <w:ind w:left="260"/>
              <w:spacing w:after="0" w:line="184" w:lineRule="exact"/>
              <w:rPr>
                <w:sz w:val="20"/>
                <w:szCs w:val="20"/>
                <w:color w:val="auto"/>
              </w:rPr>
            </w:pPr>
            <w:r>
              <w:rPr>
                <w:rFonts w:ascii="Times New Roman" w:cs="Times New Roman" w:eastAsia="Times New Roman" w:hAnsi="Times New Roman"/>
                <w:sz w:val="18"/>
                <w:szCs w:val="18"/>
                <w:color w:val="auto"/>
              </w:rPr>
              <w:t>group, before progressing to executive finance leadership positions within its Healthcare business. Before</w:t>
            </w:r>
          </w:p>
        </w:tc>
      </w:tr>
      <w:tr>
        <w:trPr>
          <w:trHeight w:val="180"/>
        </w:trPr>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360" w:type="dxa"/>
            <w:vAlign w:val="bottom"/>
            <w:gridSpan w:val="3"/>
          </w:tcPr>
          <w:p>
            <w:pPr>
              <w:ind w:left="260"/>
              <w:spacing w:after="0" w:line="181" w:lineRule="exact"/>
              <w:rPr>
                <w:sz w:val="20"/>
                <w:szCs w:val="20"/>
                <w:color w:val="auto"/>
              </w:rPr>
            </w:pPr>
            <w:r>
              <w:rPr>
                <w:rFonts w:ascii="Times New Roman" w:cs="Times New Roman" w:eastAsia="Times New Roman" w:hAnsi="Times New Roman"/>
                <w:sz w:val="18"/>
                <w:szCs w:val="18"/>
                <w:color w:val="auto"/>
              </w:rPr>
              <w:t>Honeywell, Mr. Connaway served as CFO of ABB’s Industrial Solutions business, after it was acquired from</w:t>
            </w:r>
          </w:p>
        </w:tc>
      </w:tr>
      <w:tr>
        <w:trPr>
          <w:trHeight w:val="176"/>
        </w:trPr>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360" w:type="dxa"/>
            <w:vAlign w:val="bottom"/>
            <w:gridSpan w:val="3"/>
          </w:tcPr>
          <w:p>
            <w:pPr>
              <w:ind w:left="260"/>
              <w:spacing w:after="0" w:line="176" w:lineRule="exact"/>
              <w:rPr>
                <w:sz w:val="20"/>
                <w:szCs w:val="20"/>
                <w:color w:val="auto"/>
              </w:rPr>
            </w:pPr>
            <w:r>
              <w:rPr>
                <w:rFonts w:ascii="Times New Roman" w:cs="Times New Roman" w:eastAsia="Times New Roman" w:hAnsi="Times New Roman"/>
                <w:sz w:val="18"/>
                <w:szCs w:val="18"/>
                <w:color w:val="auto"/>
              </w:rPr>
              <w:t>GE Energy Connections. Mr. Connaway was instrumental in integrating Industrial Solutions into ABB’s</w:t>
            </w:r>
          </w:p>
        </w:tc>
      </w:tr>
      <w:tr>
        <w:trPr>
          <w:trHeight w:val="184"/>
        </w:trPr>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360" w:type="dxa"/>
            <w:vAlign w:val="bottom"/>
            <w:gridSpan w:val="3"/>
          </w:tcPr>
          <w:p>
            <w:pPr>
              <w:ind w:left="260"/>
              <w:spacing w:after="0" w:line="184" w:lineRule="exact"/>
              <w:rPr>
                <w:sz w:val="20"/>
                <w:szCs w:val="20"/>
                <w:color w:val="auto"/>
              </w:rPr>
            </w:pPr>
            <w:r>
              <w:rPr>
                <w:rFonts w:ascii="Times New Roman" w:cs="Times New Roman" w:eastAsia="Times New Roman" w:hAnsi="Times New Roman"/>
                <w:sz w:val="18"/>
                <w:szCs w:val="18"/>
                <w:color w:val="auto"/>
              </w:rPr>
              <w:t>Electrification segment, driving post transaction synergies, fostering a culture of performance excellence, and</w:t>
            </w:r>
          </w:p>
        </w:tc>
      </w:tr>
      <w:tr>
        <w:trPr>
          <w:trHeight w:val="180"/>
        </w:trPr>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360" w:type="dxa"/>
            <w:vAlign w:val="bottom"/>
            <w:gridSpan w:val="3"/>
          </w:tcPr>
          <w:p>
            <w:pPr>
              <w:ind w:left="260"/>
              <w:spacing w:after="0" w:line="181" w:lineRule="exact"/>
              <w:rPr>
                <w:sz w:val="20"/>
                <w:szCs w:val="20"/>
                <w:color w:val="auto"/>
              </w:rPr>
            </w:pPr>
            <w:r>
              <w:rPr>
                <w:rFonts w:ascii="Times New Roman" w:cs="Times New Roman" w:eastAsia="Times New Roman" w:hAnsi="Times New Roman"/>
                <w:sz w:val="18"/>
                <w:szCs w:val="18"/>
                <w:color w:val="auto"/>
              </w:rPr>
              <w:t>instilling greater financial and operational rigor across all business processes. Mr. Connaway holds a Bachelor</w:t>
            </w:r>
          </w:p>
        </w:tc>
      </w:tr>
      <w:tr>
        <w:trPr>
          <w:trHeight w:val="239"/>
        </w:trPr>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of Science degree in Finance from Boston College.</w:t>
            </w:r>
          </w:p>
        </w:tc>
      </w:tr>
      <w:tr>
        <w:trPr>
          <w:trHeight w:val="202"/>
        </w:trPr>
        <w:tc>
          <w:tcPr>
            <w:tcW w:w="24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xml:space="preserve">Andrew M. Fredrickson, 35 </w:t>
            </w:r>
            <w:r>
              <w:rPr>
                <w:rFonts w:ascii="Times New Roman" w:cs="Times New Roman" w:eastAsia="Times New Roman" w:hAnsi="Times New Roman"/>
                <w:sz w:val="23"/>
                <w:szCs w:val="23"/>
                <w:color w:val="auto"/>
                <w:vertAlign w:val="superscript"/>
              </w:rPr>
              <w:t>(1)</w:t>
            </w: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As Vice President of Corporate Finance, Mr. Fredrickson leads the corporate development, investor relations</w:t>
            </w:r>
          </w:p>
        </w:tc>
      </w:tr>
      <w:tr>
        <w:trPr>
          <w:trHeight w:val="203"/>
        </w:trPr>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and treasury functions globally. Before joining Aviat, Mr. Fredrickson held various strategy roles at JELD-</w:t>
            </w:r>
          </w:p>
        </w:tc>
      </w:tr>
      <w:tr>
        <w:trPr>
          <w:trHeight w:val="189"/>
        </w:trPr>
        <w:tc>
          <w:tcPr>
            <w:tcW w:w="1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360" w:type="dxa"/>
            <w:vAlign w:val="bottom"/>
            <w:gridSpan w:val="3"/>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WEN from 2019 to 2022 and worked as an investment analyst at the Motley Fool from 2014 to 2017. He began</w:t>
            </w:r>
          </w:p>
        </w:tc>
      </w:tr>
      <w:tr>
        <w:trPr>
          <w:trHeight w:val="203"/>
        </w:trPr>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360" w:type="dxa"/>
            <w:vAlign w:val="bottom"/>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his career in investment banking at William Blair in 2012. Mr. Fredrickson holds a Master of Business</w:t>
            </w:r>
          </w:p>
        </w:tc>
      </w:tr>
      <w:tr>
        <w:trPr>
          <w:trHeight w:val="255"/>
        </w:trPr>
        <w:tc>
          <w:tcPr>
            <w:tcW w:w="1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3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Administration from Duke University and a Bachelor of Science from the University of Virginia.</w:t>
            </w:r>
          </w:p>
        </w:tc>
      </w:tr>
      <w:tr>
        <w:trPr>
          <w:trHeight w:val="198"/>
        </w:trPr>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Erin R. Boase, 46</w:t>
            </w:r>
          </w:p>
        </w:tc>
        <w:tc>
          <w:tcPr>
            <w:tcW w:w="8360" w:type="dxa"/>
            <w:vAlign w:val="bottom"/>
            <w:gridSpan w:val="3"/>
          </w:tcPr>
          <w:p>
            <w:pPr>
              <w:ind w:left="260"/>
              <w:spacing w:after="0" w:line="198" w:lineRule="exact"/>
              <w:rPr>
                <w:sz w:val="20"/>
                <w:szCs w:val="20"/>
                <w:color w:val="auto"/>
              </w:rPr>
            </w:pPr>
            <w:r>
              <w:rPr>
                <w:rFonts w:ascii="Times New Roman" w:cs="Times New Roman" w:eastAsia="Times New Roman" w:hAnsi="Times New Roman"/>
                <w:sz w:val="18"/>
                <w:szCs w:val="18"/>
                <w:color w:val="auto"/>
              </w:rPr>
              <w:t>As General Counsel, Ms. Boase is responsible for all aspects of the Legal function. Ms. Boase brings a depth of</w:t>
            </w:r>
          </w:p>
        </w:tc>
      </w:tr>
      <w:tr>
        <w:trPr>
          <w:trHeight w:val="203"/>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360" w:type="dxa"/>
            <w:vAlign w:val="bottom"/>
            <w:gridSpan w:val="3"/>
          </w:tcPr>
          <w:p>
            <w:pPr>
              <w:ind w:left="260"/>
              <w:spacing w:after="0" w:line="202" w:lineRule="exact"/>
              <w:rPr>
                <w:sz w:val="20"/>
                <w:szCs w:val="20"/>
                <w:color w:val="auto"/>
              </w:rPr>
            </w:pPr>
            <w:r>
              <w:rPr>
                <w:rFonts w:ascii="Times New Roman" w:cs="Times New Roman" w:eastAsia="Times New Roman" w:hAnsi="Times New Roman"/>
                <w:sz w:val="18"/>
                <w:szCs w:val="18"/>
                <w:color w:val="auto"/>
              </w:rPr>
              <w:t>experience to the team in privacy, employment, compliance, real estate, M&amp;A, as well as, copyright, trademark</w:t>
            </w:r>
          </w:p>
        </w:tc>
      </w:tr>
      <w:tr>
        <w:trPr>
          <w:trHeight w:val="189"/>
        </w:trPr>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36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color w:val="auto"/>
              </w:rPr>
              <w:t>and other product, software, service and cloud-related legal matters. Ms. Boase was previously at Lifesize, Inc.</w:t>
            </w:r>
          </w:p>
        </w:tc>
      </w:tr>
      <w:tr>
        <w:trPr>
          <w:trHeight w:val="203"/>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360" w:type="dxa"/>
            <w:vAlign w:val="bottom"/>
            <w:gridSpan w:val="3"/>
          </w:tcPr>
          <w:p>
            <w:pPr>
              <w:ind w:left="260"/>
              <w:spacing w:after="0" w:line="202" w:lineRule="exact"/>
              <w:rPr>
                <w:sz w:val="20"/>
                <w:szCs w:val="20"/>
                <w:color w:val="auto"/>
              </w:rPr>
            </w:pPr>
            <w:r>
              <w:rPr>
                <w:rFonts w:ascii="Times New Roman" w:cs="Times New Roman" w:eastAsia="Times New Roman" w:hAnsi="Times New Roman"/>
                <w:sz w:val="18"/>
                <w:szCs w:val="18"/>
                <w:color w:val="auto"/>
              </w:rPr>
              <w:t>where she served as Head of Legal and Corporate Secretary. Prior to that she was the Senior Corporate Counsel</w:t>
            </w:r>
          </w:p>
        </w:tc>
      </w:tr>
      <w:tr>
        <w:trPr>
          <w:trHeight w:val="203"/>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360" w:type="dxa"/>
            <w:vAlign w:val="bottom"/>
            <w:gridSpan w:val="3"/>
          </w:tcPr>
          <w:p>
            <w:pPr>
              <w:ind w:left="260"/>
              <w:spacing w:after="0" w:line="202" w:lineRule="exact"/>
              <w:rPr>
                <w:sz w:val="20"/>
                <w:szCs w:val="20"/>
                <w:color w:val="auto"/>
              </w:rPr>
            </w:pPr>
            <w:r>
              <w:rPr>
                <w:rFonts w:ascii="Times New Roman" w:cs="Times New Roman" w:eastAsia="Times New Roman" w:hAnsi="Times New Roman"/>
                <w:sz w:val="18"/>
                <w:szCs w:val="18"/>
                <w:color w:val="auto"/>
              </w:rPr>
              <w:t>at Cisco (formerly Duo Security, Inc.) where she managed the adoption of GDPR privacy compliance,</w:t>
            </w:r>
          </w:p>
        </w:tc>
      </w:tr>
      <w:tr>
        <w:trPr>
          <w:trHeight w:val="203"/>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360" w:type="dxa"/>
            <w:vAlign w:val="bottom"/>
            <w:gridSpan w:val="3"/>
          </w:tcPr>
          <w:p>
            <w:pPr>
              <w:ind w:left="260"/>
              <w:spacing w:after="0" w:line="202" w:lineRule="exact"/>
              <w:rPr>
                <w:sz w:val="20"/>
                <w:szCs w:val="20"/>
                <w:color w:val="auto"/>
              </w:rPr>
            </w:pPr>
            <w:r>
              <w:rPr>
                <w:rFonts w:ascii="Times New Roman" w:cs="Times New Roman" w:eastAsia="Times New Roman" w:hAnsi="Times New Roman"/>
                <w:sz w:val="18"/>
                <w:szCs w:val="18"/>
                <w:color w:val="auto"/>
              </w:rPr>
              <w:t>development of company policies, copyright and trademark, technical compliance as well as other legal</w:t>
            </w:r>
          </w:p>
        </w:tc>
      </w:tr>
      <w:tr>
        <w:trPr>
          <w:trHeight w:val="203"/>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360" w:type="dxa"/>
            <w:vAlign w:val="bottom"/>
            <w:gridSpan w:val="3"/>
          </w:tcPr>
          <w:p>
            <w:pPr>
              <w:ind w:left="260"/>
              <w:spacing w:after="0" w:line="202" w:lineRule="exact"/>
              <w:rPr>
                <w:sz w:val="20"/>
                <w:szCs w:val="20"/>
                <w:color w:val="auto"/>
              </w:rPr>
            </w:pPr>
            <w:r>
              <w:rPr>
                <w:rFonts w:ascii="Times New Roman" w:cs="Times New Roman" w:eastAsia="Times New Roman" w:hAnsi="Times New Roman"/>
                <w:sz w:val="18"/>
                <w:szCs w:val="18"/>
                <w:color w:val="auto"/>
              </w:rPr>
              <w:t>matters. Earlier in her career she held legal positions of progressive responsibility with Dell’s Computer and</w:t>
            </w:r>
          </w:p>
        </w:tc>
      </w:tr>
      <w:tr>
        <w:trPr>
          <w:trHeight w:val="203"/>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360" w:type="dxa"/>
            <w:vAlign w:val="bottom"/>
            <w:gridSpan w:val="3"/>
          </w:tcPr>
          <w:p>
            <w:pPr>
              <w:ind w:left="260"/>
              <w:spacing w:after="0" w:line="202" w:lineRule="exact"/>
              <w:rPr>
                <w:sz w:val="20"/>
                <w:szCs w:val="20"/>
                <w:color w:val="auto"/>
              </w:rPr>
            </w:pPr>
            <w:r>
              <w:rPr>
                <w:rFonts w:ascii="Times New Roman" w:cs="Times New Roman" w:eastAsia="Times New Roman" w:hAnsi="Times New Roman"/>
                <w:sz w:val="18"/>
                <w:szCs w:val="18"/>
                <w:color w:val="auto"/>
              </w:rPr>
              <w:t>Security business and Thomson Reuters. Ms. Boase holds a Juris Doctorate, Technology and Communications</w:t>
            </w:r>
          </w:p>
        </w:tc>
      </w:tr>
      <w:tr>
        <w:trPr>
          <w:trHeight w:val="203"/>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360" w:type="dxa"/>
            <w:vAlign w:val="bottom"/>
            <w:gridSpan w:val="3"/>
          </w:tcPr>
          <w:p>
            <w:pPr>
              <w:ind w:left="260"/>
              <w:spacing w:after="0" w:line="202" w:lineRule="exact"/>
              <w:rPr>
                <w:sz w:val="20"/>
                <w:szCs w:val="20"/>
                <w:color w:val="auto"/>
              </w:rPr>
            </w:pPr>
            <w:r>
              <w:rPr>
                <w:rFonts w:ascii="Times New Roman" w:cs="Times New Roman" w:eastAsia="Times New Roman" w:hAnsi="Times New Roman"/>
                <w:sz w:val="18"/>
                <w:szCs w:val="18"/>
                <w:color w:val="auto"/>
              </w:rPr>
              <w:t>and graduated Cum Laude from Thomas Jefferson School of Law and a Bachelor of Arts from Midwestern</w:t>
            </w:r>
          </w:p>
        </w:tc>
      </w:tr>
      <w:tr>
        <w:trPr>
          <w:trHeight w:val="234"/>
        </w:trPr>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State University.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1440" w:right="539" w:bottom="1440" w:gutter="0" w:footer="0" w:header="0"/>
        </w:sectPr>
      </w:pPr>
    </w:p>
    <w:bookmarkStart w:id="14" w:name="page15"/>
    <w:bookmarkEnd w:id="14"/>
    <w:p>
      <w:pPr>
        <w:spacing w:after="0" w:line="4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Age</w:t>
            </w:r>
          </w:p>
        </w:tc>
        <w:tc>
          <w:tcPr>
            <w:tcW w:w="264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 Currently Held and Past Business Experience</w:t>
            </w:r>
          </w:p>
        </w:tc>
      </w:tr>
      <w:tr>
        <w:trPr>
          <w:trHeight w:val="21"/>
        </w:trPr>
        <w:tc>
          <w:tcPr>
            <w:tcW w:w="11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6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76"/>
        </w:trPr>
        <w:tc>
          <w:tcPr>
            <w:tcW w:w="2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Gary G. Croke, 53</w:t>
            </w:r>
          </w:p>
        </w:tc>
        <w:tc>
          <w:tcPr>
            <w:tcW w:w="8780" w:type="dxa"/>
            <w:vAlign w:val="bottom"/>
            <w:gridSpan w:val="3"/>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As Senior Vice President, Product and Innovation, Mr. Croke is responsible for Aviat’s global marketing and</w:t>
            </w:r>
          </w:p>
        </w:tc>
      </w:tr>
      <w:tr>
        <w:trPr>
          <w:trHeight w:val="175"/>
        </w:trPr>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780" w:type="dxa"/>
            <w:vAlign w:val="bottom"/>
            <w:gridSpan w:val="3"/>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product development. This includes oversight over corporate and strategic marketing functions, product line</w:t>
            </w:r>
          </w:p>
        </w:tc>
      </w:tr>
      <w:tr>
        <w:trPr>
          <w:trHeight w:val="184"/>
        </w:trPr>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780" w:type="dxa"/>
            <w:vAlign w:val="bottom"/>
            <w:gridSpan w:val="3"/>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management, and research and development of new product offerings. Mr. Croke charts Aviat’s global product</w:t>
            </w:r>
          </w:p>
        </w:tc>
      </w:tr>
      <w:tr>
        <w:trPr>
          <w:trHeight w:val="180"/>
        </w:trPr>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780" w:type="dxa"/>
            <w:vAlign w:val="bottom"/>
            <w:gridSpan w:val="3"/>
            <w:shd w:val="clear" w:color="auto" w:fill="CCEEFF"/>
          </w:tcPr>
          <w:p>
            <w:pPr>
              <w:ind w:left="680"/>
              <w:spacing w:after="0" w:line="181" w:lineRule="exact"/>
              <w:rPr>
                <w:sz w:val="20"/>
                <w:szCs w:val="20"/>
                <w:color w:val="auto"/>
              </w:rPr>
            </w:pPr>
            <w:r>
              <w:rPr>
                <w:rFonts w:ascii="Times New Roman" w:cs="Times New Roman" w:eastAsia="Times New Roman" w:hAnsi="Times New Roman"/>
                <w:sz w:val="18"/>
                <w:szCs w:val="18"/>
                <w:color w:val="auto"/>
              </w:rPr>
              <w:t>and marketing strategy, and research and development to ensure successful company-wide implementation. His</w:t>
            </w:r>
          </w:p>
        </w:tc>
      </w:tr>
      <w:tr>
        <w:trPr>
          <w:trHeight w:val="176"/>
        </w:trPr>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780" w:type="dxa"/>
            <w:vAlign w:val="bottom"/>
            <w:gridSpan w:val="3"/>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team's primary focus is on achieving business growth through the definition and launch of new solutions that</w:t>
            </w:r>
          </w:p>
        </w:tc>
      </w:tr>
      <w:tr>
        <w:trPr>
          <w:trHeight w:val="184"/>
        </w:trPr>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780" w:type="dxa"/>
            <w:vAlign w:val="bottom"/>
            <w:gridSpan w:val="3"/>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drive customer economic value. Mr. Croke has over 25 years of leadership experience in the data and mobile</w:t>
            </w:r>
          </w:p>
        </w:tc>
      </w:tr>
      <w:tr>
        <w:trPr>
          <w:trHeight w:val="180"/>
        </w:trPr>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780" w:type="dxa"/>
            <w:vAlign w:val="bottom"/>
            <w:gridSpan w:val="3"/>
            <w:shd w:val="clear" w:color="auto" w:fill="CCEEFF"/>
          </w:tcPr>
          <w:p>
            <w:pPr>
              <w:ind w:left="680"/>
              <w:spacing w:after="0" w:line="181" w:lineRule="exact"/>
              <w:rPr>
                <w:sz w:val="20"/>
                <w:szCs w:val="20"/>
                <w:color w:val="auto"/>
              </w:rPr>
            </w:pPr>
            <w:r>
              <w:rPr>
                <w:rFonts w:ascii="Times New Roman" w:cs="Times New Roman" w:eastAsia="Times New Roman" w:hAnsi="Times New Roman"/>
                <w:sz w:val="18"/>
                <w:szCs w:val="18"/>
                <w:color w:val="auto"/>
              </w:rPr>
              <w:t>communications sectors and he is highly skilled at delivering creative and compelling value propositions with</w:t>
            </w:r>
          </w:p>
        </w:tc>
      </w:tr>
      <w:tr>
        <w:trPr>
          <w:trHeight w:val="176"/>
        </w:trPr>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780" w:type="dxa"/>
            <w:vAlign w:val="bottom"/>
            <w:gridSpan w:val="3"/>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demand generation programs that produce business results. Mr. Croke has a bachelor’s degree in electrical</w:t>
            </w:r>
          </w:p>
        </w:tc>
      </w:tr>
      <w:tr>
        <w:trPr>
          <w:trHeight w:val="184"/>
        </w:trPr>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780" w:type="dxa"/>
            <w:vAlign w:val="bottom"/>
            <w:gridSpan w:val="3"/>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engineering from Memorial University of Newfoundland and has pursued postgraduate studies/research in</w:t>
            </w:r>
          </w:p>
        </w:tc>
      </w:tr>
      <w:tr>
        <w:trPr>
          <w:trHeight w:val="234"/>
        </w:trPr>
        <w:tc>
          <w:tcPr>
            <w:tcW w:w="1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7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business administration at the University of Ottawa.</w:t>
            </w:r>
          </w:p>
        </w:tc>
      </w:tr>
    </w:tbl>
    <w:p>
      <w:pPr>
        <w:spacing w:after="0" w:line="202" w:lineRule="exact"/>
        <w:rPr>
          <w:sz w:val="20"/>
          <w:szCs w:val="20"/>
          <w:color w:val="auto"/>
        </w:rPr>
      </w:pPr>
    </w:p>
    <w:p>
      <w:pPr>
        <w:ind w:left="540" w:right="280" w:hanging="370"/>
        <w:spacing w:after="0" w:line="232" w:lineRule="auto"/>
        <w:tabs>
          <w:tab w:leader="none" w:pos="5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25, 2025, Mr. Connaway notified the Company of his voluntary resignation from his position, effective after the Company files their fiscal 2025 Annual Report on Form 10-K. On August 27, 2025, Mr. Fredrickson was appointed as the Company’s Interim CFO, effective after the Company files their fiscal 2025 Annual Report on Form 10-K.</w:t>
      </w:r>
    </w:p>
    <w:p>
      <w:pPr>
        <w:spacing w:after="0" w:line="24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Aviat Networks’ Reports; Available Information</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a website at www.aviatnetworks.com. Our annual reports on Form 10-K, quarterly reports on Form 10-Q, current reports on Form 8-K and amendments to such reports are available free of charge on our website as soon as reasonably practicable after such material is electronically filed with, or furnished to, the Securities and Exchange Commission (“SEC”). In addition to our reports filed or furnished with the SEC, we publicly disclose material information in press releases, at annual meetings of shareholders, in publicly accessible conferences and investor presentations, and through our website. References to our website in this Form 10-K are provided as a convenience and should not be deemed an incorporation by reference or a part of this Form 10-K.</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nature of the business activities conducted by the Company subjects us to certain hazards and risks. The following is a summary of some of the material risks relating to the Company’s business activities. Other risks are described in “Item 1. Business,” “Item 7. Management’s Discussion and Analysis of Financial Condition and Results of Operations” and “Item 7A. Quantitative and Qualitative Disclosures About Market Risk.” Prospective and existing investors are strongly urged to carefully consider the various cautionary statements and risks set forth in this Annual Report on Form 10-K and in our other public filings.</w:t>
      </w:r>
    </w:p>
    <w:p>
      <w:pPr>
        <w:spacing w:after="0" w:line="1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face many business risks, including those related to our financial performance, investments in our common stock, operating our business and legal matters. If any of these risks occur, our financial condition and results of operations could be materially and adversely affected. In that case, the market price of the Company’s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Risk Factors</w:t>
      </w:r>
    </w:p>
    <w:p>
      <w:pPr>
        <w:spacing w:after="0" w:line="67"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may be lengthy, and the timing of sales, along with additional services such as network design, installation and implementation of our products within our customers’ networks, may extend over more than one period, which can make our operating results more volatile and difficult to predict and can complicate the proper recognition of revenue on more complex sales transactions.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new products introduced to the marketplace in a timely manner, successfully completing product transitioning and achieving customer acceptance.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service partners to help complement our global operations, and failure to adequately manage these relationships could adversely impact our financial results and relationships with customers.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continually evaluate the optimal mix and location of our manufacturing assets and our third-party contract manufacturer assets, and any movement or re-allocation of these manufacturing assets may not be successful, could disrupt our operations, cause us to incur increased costs, and adversely affect our business and our operating results.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respond to rapid technological change and comply with evolving industry standards and requirements for our products to be successful.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average sales prices may decline in the future.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commercial risks and exposures could increase if the financial condition of our customers declines.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restructuring actions could harm our relationships with our employees and impact our ability to recruit new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attract and retain key personnel.</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strong competition for maintaining and improving our position in the market, which can adversely affect our revenue growth and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problems, including undetected errors in our hardware or software, or deployment delays could harm our business and reputation.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accurately forecast our manufacturing requirements or customer demand, we could incur additional costs, which would adversely affect our business and results of operations.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sole or limited sources and geographies for some key components and failure to receive timely delivery of any of these components could result in deferred or lost sales.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significant amount of our revenue may come from a limited number of customers, the termination of any of these customer relationships may adversely affect our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continually evaluate strategic transaction opportunities which could involve merger, divestiture, sale and/or acquisition activities that could disrupt our operations and harm our operating results, and may require management to devote significant attention and resources to achieve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Macroeconomic Risk Factors</w:t>
      </w:r>
    </w:p>
    <w:p>
      <w:pPr>
        <w:spacing w:after="0" w:line="67"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volume of our international sales, we may be susceptible to a number of political, economic and geographic risks that could harm our business.</w:t>
      </w:r>
    </w:p>
    <w:p>
      <w:pPr>
        <w:spacing w:after="0" w:line="40"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are inherent limitations on the effectiveness of our controls and if we fail to implement and maintain effective internal control over financial reporting, it could adversely impact our business, results of operations, investor confidence and our stock price.</w:t>
      </w:r>
    </w:p>
    <w:p>
      <w:pPr>
        <w:spacing w:after="0" w:line="3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capital when desired on favorable terms, if at all, or without dilution to our stockholders.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financial and economic conditions in certain markets and of certain economies and sovereign states have had, and may continue to have, significant effects on our customers and suppliers, and has in the past, and may in the future have, a material adverse effect on our business, operating results, financial condition and stock price.</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37" w:lineRule="exact"/>
        <w:rPr>
          <w:rFonts w:ascii="Arial" w:cs="Arial" w:eastAsia="Arial" w:hAnsi="Arial"/>
          <w:sz w:val="22"/>
          <w:szCs w:val="22"/>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 carryforwards to offset future taxable income for U.S. federal income tax purposes and other tax benefits may be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 Factors</w:t>
      </w:r>
    </w:p>
    <w:p>
      <w:pPr>
        <w:spacing w:after="0" w:line="6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tension in global trade relations, including U.S.-China trade relations, may adversely impact our supply chain operations and business.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intellectual property rights, we may be deprived of legal recourse against those who misappropriate our intellectual property.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sufficient radio frequency spectrum is not allocated for use by our products, or we fail to obtain regulatory approval for our products, our ability to market our products may be restricted.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used in critical communications networks which may subject us to significant liability claims.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regarding our intellectual property. This litigation could be costly to defend and resolve and could prevent us from using or selling the challenged technology.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rules, regulations and policies regarding data privacy and cybersecurity. Many of these laws and regulations are subject to change and reinterpretation, and could result in claims, changes to our business practices, monetary penalties, increased cost of operations, reputational damage or other harm to our business.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complex federal, state, local and international laws and regulations related to protection of the environment that could materially and adversely affect the cost, manner or feasibility of conducting our operations, as well as those of our suppliers and contract manufacturers.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attention to Environmental, Social, and Governance (“ESG”) matters, conservation measures and climate change issues has contributed to an evolving state of environmental regulation, which could impact our results of operations, financial or competitive position and may adversely impact our business.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of Delaware law, Tax Benefit Preservation Plan (the “Plan”), and provisions in our Amended and Restated Certificate of Incorporation, as amended, and Amended and Restated Bylaws could make a third-party acquisition of us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6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catastrophic events such as terrorism and war could have an adverse effect on our business.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security risks, data protection breaches, and cyberattacks could compromise our proprietary information, disrupt our internal operations and harm public perception of our products, which could cause our business and reputation to suffer and adversely affect our stock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the material risks facing our business, see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Risk Factors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cycle may be lengthy, and the timing of sales, along with additional services such as network design, installation and implementation of our products within our customers’ networks, may extend over more than one period, which can make our operating results more volatile and difficult to predict and can complicate the proper recognition of revenue on more complex sales transactions.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experience difficulty in accurately predicting the timing of the sale of products and amounts of revenue generated from sales of our products, primarily in developing countries. The establishment of a business relationship with a potential customer is a lengthy process, usually taking several months or more. Following the establishment of the relationship, the negotiation of purchase terms can be time-consuming, and a potential customer may require an extended evaluation and testing period. Once a purchase agreement has been executed, the timing and amount of revenue, if applicable, may remain difficult to predict. Our typical product sales cycle, which results in our products being designed into our customers’ networks, can take 12 to 24 months. A number of factors contribute to the length of the sales cycle, including technical evaluations of our products and the design process required to integrate our products into our customers’ networks. The completion of services such as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14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the challenges from our lengthy sales cycle, our recognition of revenue from our selling efforts may be substantially delayed, our ability to forecast our future revenue may be more limited and our revenue may fluctuate significantly from quarter to quarter.</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operating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in pursuit of new market opportunities, or to mitigate supply chain disruptions. Accordingly, we cannot provide assurances that we will be able to achieve profitability in the future or that if profitability is attained, that we will be able to sustain profitability, particularly on a quarter-to-quarter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3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various third-party service partners to help complement our global operations, and failure to adequately manage these relationships could adversely impact our financial results and relationships with customers.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rely on a number of third-party service partners, to complement our global operations. We rely upon these partners for certain installation, maintenance, logistics and support functions. In addition, as our customers increasingly seek to rely on vendors to perform additional services relating to the design, construction and operation of their networks, the scope of work performed by our service partners is likely to increase and may include areas where we have less experience providing or managing such services. We must successfully identify, assess, train and certify qualified service partners to ensure the proper installation, deployment and maintenance of our products. The vetting and certification of these partners can be costly and time-consuming, and certain partners may not have the same operational history, financial resources and scale as we have. Moreover, certain service partners may provide similar services for other companies, including our competitors. We may not be able to manage our relationships with our service partners effectively, and we cannot be certain that they will be able to deliver services in the manner or time required, that we will be able to maintain the continuity of their services, or that they will adhere to our approach to ethical business practices.</w:t>
      </w:r>
    </w:p>
    <w:p>
      <w:pPr>
        <w:spacing w:after="0" w:line="1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do not effectively manage our relationships with third-party service partners, or if they fail to perform these services in the manner or time required, our financial results and relationships with our customers could be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continually evaluate the optimal mix and location of our manufacturing assets and our third-party contract manufacturer assets, and any movement or re-allocation of these manufacturing assets may not be successful, could disrupt our operations, cause us to incur increased costs, and adversely affect our business and our operating results.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global manufacturing strategy follows an outsourced manufacturing model using contract manufacturing partners in Asia and the United States. We continually evaluate the optimal mix and location of our manufacturing assets and our third-party contract manufacturer assets, to optimize our manufacturing footprint with our global customer base. Any of our decisions to move or re-allocate manufacturing assets to new locations or different third-party contract manufacturers may not be successful, could disrupt our operations, cause us to incur increased costs, and adversely affect our business and our operating results. The movement of manufacturing assets can be capital intensive, costly and time-consuming, and may cause disruptions in our ability to fulfill customer orders in a timely manner.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9" w:name="page20"/>
    <w:bookmarkEnd w:id="19"/>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are not successful in optimizing the mix and location of our manufacturing assets and our third-party contract manufacturer assets, our financial results and relationships with our customers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respond to rapid technological change and comply with evolving industry standards and requirements for our products to be successful.</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optical transport networking equipment market is characterized by rapid technological change, changes in customer requirements and evolving industry standards. We continually invest in research and development to sustain or enhance our existing products, but the introduction of new communications technologies and the emergence of new industry standards or requirements could render our products obsolete. Further, in developing our products, we have made, and will continue to make, assumptions with respect to which standards or requirements will be adopted by our customers and competitors. If the standards or requirements adopted by our prospective customers are different from those on which we have focused our efforts, market acceptance of our products would be reduced or delayed, and our business would be harmed.</w:t>
      </w:r>
    </w:p>
    <w:p>
      <w:pPr>
        <w:spacing w:after="0" w:line="13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continuing to invest a significant portion of our research and development efforts in the development of our next-generation products. We expect our competitors will continue to improve the performance of their existing products and introduce new products and technologies and to influence customers’ buying criteria so as to emphasize product capabilities that we do not, or may not, possess. To be competitive, we must anticipate future customer requirements and continue to invest significant resources in research and development, sales and marketing, and customer support. If we do not anticipate these future customer requirements and invest in the technologies necessary to enable us to have and to sell the appropriate solutions, it may limit our competitive position and future sales, which would have an adverse effect on our business and financial condition. We may not have sufficient resources to make these investments and we may not be able to make the technological advances necessary to be competitive.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average sales prices may decline in the future.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experienced, and could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to reduce the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commercial risks and exposures could increase if the financial condition of our customers declines.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substantial portion of our sales are to customers in the telecommunications industry. These customers may require their suppliers, including the Company, to provide extended payment terms, direct loans or other forms of financial support as a condition to obtaining commercial contracts. In addition, if local currencies cannot be hedged, we have an inherent exposure in our 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Our customers’ financial conditions face additional challenges in many emerging markets, where our customers are being affected not only by recession, but by deteriorating local currencies and a lack of credit. If customers fail to meet their obligations to us, we may experience reduced cash flows and losses in excess of reserves, which could materially adversely impact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in developing countries. We do not generally expect to obtain collateral for sales, although we require letters of credit or credit insurance as appropriate for international customers. Because a significant amount of our revenue may come from a limited number of customers, the termination of any of these customer relationships may adversely affect our business.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are unable to attract and retain key personnel.</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delays in hiring required personnel, particularly engineering and sales personnel, or the loss of key personnel to competitors could make it difficult for us to meet key objectives, such as timely and effective product introductions and financial goals.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strong competition for maintaining and improving our position in the market, which can adversely affect our revenue growth and operating results.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and Nokia, as well as a number of other public and private companies, such as Ceragon Networks.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we compete for acquisition and expansion opportunities with many entities that have substantially greater resources than we have. Our competitors may enter business combinations to accelerate product development or to compete more aggressively and we may lack the resources to meet such enhanced competition.</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Once our products are delivered, our customers depend on our service and support to resolve any issues relating to our products. Our support personnel includes employees in various geographic locations, who provide general technical support to our customers. A high level of support is important for the successful marketing and sale of our products. If we do not effectively help our customers quickly resolve issues or provide effective ongoing support, it could adversely affect our ability to sell our products to existing customers as well as demand for maintenance and renewal contracts and could harm our reputation with existing and potential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performance problems, including undetected errors in our hardware or software, or deployment delays could harm our business and reputation.</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development and production of products with high technology content is complicated and often involves problems with hardware, software, components and manufacturing methods. Complex hardware and software systems, such as our products, can often contain undetected errors or bugs when first introduced or as new versions are released. In addition, errors associated with components we purchase from third parties, including customized components, may be difficult to resolve. We have experienced issues in the past in connection with our products, including failures due to the receipt of faulty components from our suppliers and performance issues related to software updates. From time to time, we have had to replace certain components or provide software remedies or other remediation in response to errors or bugs, and we may have to do so again in the future. In addition, performance issues can be heightened during periods where we are developing and introducing multiple new products to the market, as any performance issues we encounter in one technology or product could impact the performance or timing of delivery of other products. Our products may also suffer degradation of performance and reliability over time.</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reliability, quality, security or network monitoring problems develop, a number of negative effects on our business could result, including:</w:t>
      </w:r>
    </w:p>
    <w:p>
      <w:pPr>
        <w:spacing w:after="0" w:line="306"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orders from existing customers;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interest from potential customers;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ability to recognize revenue or in collecting accounts receivables;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fixing hardware or software defects or replacing products;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service and warranty expenses;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shipments;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inventory excess and obsolescence expense;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product returns;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engineering personnel from our product development efforts;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liquidated damages, performance guarantees or similar penalties.</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Because we outsource the manufacturing of certain components of our products, we may also be subject to product performance problems as a result of the acts or omissions of third parties, and we may not have adequate compensating remedies against such third parties.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encounter interruptions or delays in the activation of our products at a customer’s site. These interruptions or delays may result from product performance problems or from issues with installation and activation, some of which are outside our control. If we experience significant interruptions or delays that we cannot promptly resolve, the associated revenue for these installations may be delayed or confidence in our products could be undermined, which could cause us to lose customers, fail to add new customers, and consequently harm our financial 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There can be no assurance that we will not encounter problems with our contract manufacturer related to these manufacturing services or that we will be able to replace a contract manufacturer that is not able to meet our demand.</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if we fail to effectively manage our relationships with our contract manufacturers or other service providers, or if they do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sole or limited sources and geographies for some key components and failure to receive timely delivery of any of these components could result in deferred or lost sales.</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Additionally, certain semiconductor supply is concentrated in Taiwan, with little to no availability in other geographies. As such, any military conflict between Taiwan and China could interrupt supply.</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supply chain strategy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Although we have a large customer base, during any given quarter or fiscal year a small number of customers may account for a significant portion of our revenue.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 is possible that a significant portion of our future product sales could become even more concentrated in a limited number of customers due to the factors described above. Product sales to major customers have varied widely from period to period. The loss of any existing customer, a significant reduction in the level of sales to any existing customer, the consolidation of existing customers, or our inability to gain additional customers could result in declines in our revenue or an inability to grow revenue.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3" w:name="page24"/>
    <w:bookmarkEnd w:id="23"/>
    <w:p>
      <w:pPr>
        <w:spacing w:after="0" w:line="2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continually evaluate strategic transaction opportunities which could involve merger, divestiture, sale and/or acquisition activities that could disrupt our operations and harm our operating results, and may require management to devote significant attention and resources to achieve strategic transactions.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product lines, technologies, and personnel. Strategic transactions involve numerous risks, including the following:</w:t>
      </w:r>
    </w:p>
    <w:p>
      <w:pPr>
        <w:spacing w:after="0" w:line="14" w:lineRule="exact"/>
        <w:rPr>
          <w:sz w:val="20"/>
          <w:szCs w:val="20"/>
          <w:color w:val="auto"/>
        </w:rPr>
      </w:pPr>
    </w:p>
    <w:p>
      <w:pPr>
        <w:ind w:left="820" w:hanging="326"/>
        <w:spacing w:after="0" w:line="281"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systems, technologies, products, and personnel of the combined companies, particularly companies with large and widespread operations and/or complex products;</w:t>
      </w:r>
    </w:p>
    <w:p>
      <w:pPr>
        <w:spacing w:after="0" w:line="1"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normal daily operations of the business and the challenges of managing larger and more widespread operations resulting from business combinations, sales, divestitures and/or restructurings;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completing projects associated with in-process research and development intangibles;</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markets in which we have no or limited direct prior experience and where competitors in each market have stronger market positions;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dependence on unfamiliar supply chains or relatively small supply partners;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revenue to offset increased expenses associated with acquisitions; and</w:t>
      </w:r>
    </w:p>
    <w:p>
      <w:pPr>
        <w:spacing w:after="0" w:line="6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resellers, vendors and other business partners of our Company or the companies with which we engage in strategic transactions following and continuing after announcement of an anticipated strategic transaction.</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transactions may also cause us to:</w:t>
      </w:r>
    </w:p>
    <w:p>
      <w:pPr>
        <w:spacing w:after="0" w:line="63"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common stock that would dilute our current stockholders or cause a change in control of the combined company;</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substantial portion of our cash resources, or incur debt;</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our interest expense, leverage and debt service requirements if we incur additional debt to pay for an acquisition;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material liabilities;</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goodwill and non-amortizable intangible assets that are subject to impairment testing on a regular basis and potential periodic impairment charges;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certain intangible assets;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tax expenses related to the effect of acquisitions on our intercompany R&amp;D cost sharing arrangement and legal structure;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and immediate write-offs and restructuring and other related expenses;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intellectual property or other litigation.</w:t>
      </w:r>
    </w:p>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Mergers, restructurings, sales and acquisitions of high-technology companies are inherently risky and subject to many factors outside of our control. No assurance can be given that any future strategic transactions will be successful and will not materially adversely affect our business, operating results or financial condition. Failure to manage and successfully complete a strategic transaction could materially harm our business and operating results. Even when an acquired or acquiring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8"/>
          <w:szCs w:val="18"/>
          <w:color w:val="auto"/>
        </w:rPr>
        <w:t>Strategic transactions may require our management to devote significant attention and resources to integrating acquired businesses within our business. Potential difficulties that may be encountered in the integration process include, among others:</w:t>
      </w:r>
    </w:p>
    <w:p>
      <w:pPr>
        <w:spacing w:after="0" w:line="1" w:lineRule="exact"/>
        <w:rPr>
          <w:sz w:val="20"/>
          <w:szCs w:val="20"/>
          <w:color w:val="auto"/>
        </w:rPr>
      </w:pPr>
    </w:p>
    <w:p>
      <w:pPr>
        <w:ind w:left="660" w:right="72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acquired business into the Aviat business in a manner that permits us to achieve the revenue and synergies we anticipated from the transaction;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expenses, delays or regulatory conditions associated with strategic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acquired businesses, while maintaining focus on providing consistent, high-quality products and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relationships with customers, vendors and business partners;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as a result of the diversion of management’s attention caused by completing strategic transactions and integrating acquired operations into Aviat;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or loss of momentum in, the ongoing business or inconsistencies in standards, controls, procedures and policies.</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Delays or difficulties in the integration process could adversely affect our business, financial results, financial condition and stock price. Even if we are able to integrate our business operations successfully, there can be no assurance that this integration will result in the realization of the full benefits of synergies, cost savings, innovation and operational efficiencies that we currently expect or have communicated from this integration or that these benefits will be achieved within the anticipated time frame.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Macroeconomic Risk Factors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Due to the volume of our international sales, we may be susceptible to a number of political, economic, financial and geographic risks that could harm our business.</w:t>
      </w:r>
    </w:p>
    <w:p>
      <w:pPr>
        <w:spacing w:after="0" w:line="11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highly dependent on sales to customers outside the U.S. In fiscal 2025, our sales to international customers accounted for 56%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(“FCPA”),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Some of the risks and challenges of doing business internationally include:</w:t>
      </w:r>
    </w:p>
    <w:p>
      <w:pPr>
        <w:spacing w:after="0" w:line="63"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international currency exchange rates including its impact on unhedgeable currencies and our forecast variations for hedgeable currencies;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tariffs and other barriers and restrictions;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operation of an enterprise spread over various countries;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a variety of laws and regulations in various countries;</w:t>
      </w:r>
    </w:p>
    <w:p>
      <w:pPr>
        <w:spacing w:after="0" w:line="63" w:lineRule="exact"/>
        <w:rPr>
          <w:rFonts w:ascii="Times New Roman" w:cs="Times New Roman" w:eastAsia="Times New Roman" w:hAnsi="Times New Roman"/>
          <w:sz w:val="18"/>
          <w:szCs w:val="18"/>
          <w:color w:val="auto"/>
        </w:rPr>
      </w:pPr>
    </w:p>
    <w:p>
      <w:pPr>
        <w:ind w:left="820" w:right="20" w:hanging="326"/>
        <w:spacing w:after="0" w:line="28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unethical business practices in developing countries;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including inflation and trade relationships;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 to locations where we conduct business;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 acts of terrorism;</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kidnapping and high crime rate;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U.S. dollars especially in countries with economies highly dependent on resource exports, particularly oil;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export regulations.</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material portion of our sales and expenses stem from countries outside of the United States, and are in currencies other than U.S. dollars, and therefore subject to foreign currency fluctuation. Accordingly, fluctuations in foreign currency rates could have a material impact on our financial results in future periods. From time to time, we enter into foreign currency exchange forward contracts to reduce the volatility of cash flows primarily related to forecasted foreign currency expenses. These forward contracts reduce the impact of currency exchange rate movements on certain transactions, but do not cover all foreign-denominated transactions and therefore do not entirely eliminate the impact of fluctuations in exchange rates on our results of operations and financial condition.</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inherent limitations on the effectiveness of our controls and if we fail to implement and maintain effective internal control over financial reporting, it could adversely impact our business, results of operations, investor confidence and our stock price.</w:t>
      </w:r>
    </w:p>
    <w:p>
      <w:pPr>
        <w:spacing w:after="0" w:line="10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errors or mistakes, including at times of personnel turnover. Controls can also be circumvented by individual acts of some persons, by collusion of two or more people, or by management’s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 We may not be successful implementing internal control procedures related to acquired businesses. Our evaluation and remediation of assessed deficiencies over internal controls, if any, could require us to incur significant expense and adversely affect our operating results, investor confidence and our stock price.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Under Section 404 of the Sarbanes-Oxley Act of 2002(“SOX”), we are required to evaluate and determine the effectiveness of our internal controls over financial reporting. Ineffective internal control over financial reporting could result in errors in our financial statements, reduce investor confidence, and adversely affect our stock price. As disclosed in Part II, Item 9A “Controls and Procedures” in this Form 10-K, we concluded that our internal control over financial reporting was not effective for the fiscal year ended June 27, 2025, due to certain material weaknesses identified related to an ineffective control environment and control activities. We implemented certain corrective measures in the fourth quarter of fiscal 2024, including hiring a new CFO and backfilling vacancies resulting from key finance and accounting personnel turnover. In fiscal 2025, we implemented several internal control enhancements and hired a new Global Controller and other key financial positions. However, due to the material weaknesses described above, there is a reasonable possibility that our existing controls would not have detected a material misstatement in a timely manner if it were to be material. These measures are part of a process of remediating the material weaknesses that is under way and that we believe will remediate the material weaknesses. However, if we are unable to remediate the material weaknesses in an appropriate and timely manner, or if we identify additional control deficiencies that individually or together constitute significant deficiencies or material weaknesses, our ability to accurately record, process, and report financial information and, consequently, our ability to prepare financial statements within required time periods, could be adversely affected. Our failure to maintain effective internal control over financial reporting could result in violations of applicable securities laws and stock exchange listing requirements; subject us to litigation and investigations; negatively affect investor confidence in our financial statements; and adversely impact our stock price and ability to access capital markets.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or without dilution to our stockholders.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longer-term capital needs. If this occurs, we may need to sell assets, reduce capital expenditures, or obtain additional equity or debt financing. We have no assurance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ownership of our existing stockholders could be significantly diluted, and these newly-issued securities may have rights, preferences or privileges senior to those of existing stockholders.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effects of global or market specific financial and economic conditions in certain markets and of certain economies and sovereign states have had, and may continue to have, significant effects on our customers and suppliers, and has in the past, and may in the future have, a material adverse effect on our business, operating results, financial condition and stock price.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effects of global financial and economic conditions in certain markets and of certain economies and sovereign states include, among other things, significant reductions in available capital and liquidity from credit markets, supply or demand driven inflationary pressures, and substantial fluctuations in currency values worldwide.</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Economic conditions in certain markets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economic conditions in certain markets could materially adversely affect our suppliers’ access to capital and liquidity with which to maintain their inventories, production levels, or product quality, could cause them to raise prices or lower production levels, or result in their ceasing operations. Supply or demand driven scarcity can lead to significant inflationary pressures on the cost of our products from our suppliers. Our ability to substantially offset inflationary impacts by raising prices may be limited by the competitive factors discussed above.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global financial markets decline for long periods, or if there is a downgrade of the U.S. government credit rating due to an actual or threatened default on government debt, or downgrades of credit ratings of other sovereign states, our ability and our customers and suppliers ability to access capital and maintain liquidity for continuing operations may be adversely affected.</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 with respect to our credit facility discussed under “Liquidity, Capital Resources and Financial Strategies” in Item 7 of this Annual Report on Form 10-K, our ability to access the funds available under our credit facility could be materially adversely affected.</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potential effects of these economic factors are difficult to forecast and mitigate. As a consequence, our operating results for a particular period are difficult to predict and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12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We operate in multiple jurisdictions and our profits are taxed pursuant to the tax laws of these jurisdictions. Our future effective tax rate may be adversely affected by a number of factors, many of which are outside of our control, including:</w:t>
      </w:r>
    </w:p>
    <w:p>
      <w:pPr>
        <w:spacing w:after="0" w:line="1"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jurisdictions in which profits are determined to be earned and taxed;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estimated taxes upon finalization of various tax returns;</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write-offs of acquired in-process research and development and impairment of goodwill in connection with acquisitions;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net operating losses;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share-based compensation expense;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or international tax laws, treaties, rulings, regulations or agreements or the interpretation of such tax laws, treaties, rulings, regulations or agreements, including the impact of the Tax Cuts and Jobs Act of 2017 and any new administrations;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with various tax authorities, including the loss of a major tax dispute;</w:t>
      </w:r>
    </w:p>
    <w:p>
      <w:pPr>
        <w:spacing w:after="0" w:line="63" w:lineRule="exact"/>
        <w:rPr>
          <w:rFonts w:ascii="Times New Roman" w:cs="Times New Roman" w:eastAsia="Times New Roman" w:hAnsi="Times New Roman"/>
          <w:sz w:val="18"/>
          <w:szCs w:val="18"/>
          <w:color w:val="auto"/>
        </w:rPr>
      </w:pPr>
    </w:p>
    <w:p>
      <w:pPr>
        <w:ind w:left="820" w:right="20" w:hanging="326"/>
        <w:spacing w:after="0" w:line="281"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tax authority challenging our operating structure, intercompany pricing policies or the taxable presence of our key subsidiaries in certain countries;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effects of purchase accounting for acquisitions and restructuring charges that may cause fluctuations between reporting periods;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may be incurred upon a repatriation of cash from foreign operations.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significant increase in our future effective tax rates could impact our results of operations for future periods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to offset future taxable income for U.S. federal income tax purposes and other tax benefits may be limited.</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382 of the Internal Revenue Code of 1986, as amended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(“NOL”) following an ownership change.</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experience an ownership change, our ability to use our NOLs, any loss or deduction attributable to a “net unrealized built-in loss” and other tax attributes (collectively, the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these Tax Benefits are a valuable asset for us. The Amended and Restated Tax Benefit Preservation Plan (the “Plan”), dated as of August 27, 2020, and amended as of February 28, 2023, is intended to protect our Tax Benefits during the effective period of the Plan. The amended Plan was approved at the Company’s November 2023 Annual Meeting of Stockholders, which extended the final expiration date of the Plan until March 3, 2026. Although the Plan is intended to reduce the likelihood of an “ownership change” that could adversely affect us, there is no assurance that the restrictions on transferability in the Plan will prevent all transfers that could result in such an “ownership change”.</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Plan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Plan through the issuance of common stock or common stock equivalents to all stockholders other than the acquiring person.</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tension in global trade relations, including U.S.-China trade relations, may adversely impact our supply chain operations and business.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U.S. government has taken, and continues to propose, certain actions that change U.S. trade policies, including tariffs that affect certain products manufactured in other countries, including China. Some components manufactured outside the U.S. are subject to tariffs if imported into the United States. Further, other countries are proposing and implementing increased tariffs in response, introducing uncertainty into the marketplace. The Chinese government has taken certain responsive actions, including increased tariffs affecting certain products manufactured in the United States. Certain of our products manufactured in our U.S. operations are subject to the tariffs imposed on imports into China from the United States. We plan to mitigate the impact of tariffs by optimizing sourcing and operations to minimize cost impacts. Although some of the products and components we import are affected by the tariffs, at this time, we do not expect these tariffs to have a material impact on our business, financial condition or results of operations.</w:t>
      </w:r>
    </w:p>
    <w:p>
      <w:pPr>
        <w:spacing w:after="0" w:line="13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It is unknown whether and to what extent additional new tariffs (or other new laws or regulations) will be adopted that increase the cost or feasibility of importing and/or exporting products and components from other countries to the United States and vice versa. Further, the effect of any such new tariffs or retaliatory actions on our industry and customers is unknown and difficult to predict. As additional new tariffs, legislation and/or regulations are implemented, or if existing trade agreements are renegotiated or if China or other affected countries take further responsive trade actions, and/or our mitigation strategies are not successful, such changes could have a material adverse effect on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compete will depend, in part, on our ability to obtain and enforce intellectual property protection for our technology in the U.S. and internationally. We rely upon a combination of trade secrets, trademarks, copyrights, patents, contractual rights and technological measures to protect our intellectual property rights from infringement, misappropriation or other violations to maintain our brand and competitive position. We also make business decisions about when to seek patent protection for a particular technology and when to rely upon trade secret protection, and the approach we select may ultimately prove to be inadequate. With respect to patents, we cannot be certain that patents will be issued as a result of any currently pending patent application or future patent applications, or that any of our patents, once issued, will provide us with adequate protection from competing products or intellectual property owned by others. For example, issued patents may be circumvented or challenged, declared invalid or unenforceable or narrowed in scope. Furthermore, we may not be able to prevent infringement, misappropriation and unauthorized, use of our owned and exclusively-licensed intellectual property. We also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in the U.S. or based on intellectual property rights and laws in other nations that are different from those established in the U.S.</w:t>
      </w:r>
    </w:p>
    <w:p>
      <w:pPr>
        <w:spacing w:after="0" w:line="136" w:lineRule="exact"/>
        <w:rPr>
          <w:sz w:val="20"/>
          <w:szCs w:val="20"/>
          <w:color w:val="auto"/>
        </w:rPr>
      </w:pPr>
    </w:p>
    <w:p>
      <w:pPr>
        <w:jc w:val="both"/>
        <w:ind w:firstLine="486"/>
        <w:spacing w:after="0" w:line="272" w:lineRule="auto"/>
        <w:rPr>
          <w:sz w:val="20"/>
          <w:szCs w:val="20"/>
          <w:color w:val="auto"/>
        </w:rPr>
      </w:pPr>
      <w:r>
        <w:rPr>
          <w:rFonts w:ascii="Times New Roman" w:cs="Times New Roman" w:eastAsia="Times New Roman" w:hAnsi="Times New Roman"/>
          <w:sz w:val="17"/>
          <w:szCs w:val="17"/>
          <w:color w:val="auto"/>
        </w:rPr>
        <w:t>In addition, we enter into confidentiality and invention assignment agreements with our employees and contractors and enter into non-disclosure agreements with our suppliers and appropriate customers so as to limit access to and disclosure of our proprietary information.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or misappropriated or violated intellectual property is difficult, expensive, and time-consuming, and the outcome is unpredictable.</w:t>
      </w:r>
    </w:p>
    <w:p>
      <w:pPr>
        <w:spacing w:after="0" w:line="11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give assurances that any steps taken by us will be adequate to deter infringement, misappropriation, violation, dilution or otherwise impede independent third-party development of similar technologies. Any of our intellectual property rights may be successfully challenged, opposed, diluted, misappropriated, violated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other intellectual property rights. In the event that such intellectual property arrangements are insufficient, our business, financial condition and results of operations could be materially harmed.</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be affected by the allocation and auction of the radio frequency spectrum by governmental authorities both in the U.S. and internationally. The unavailability of sufficient radio frequency spectrum may inhibit the future growth of wireless communications networks. In addition, to operate in a jurisdiction, we must obtain regulatory approval for our products and each jurisdiction in which we market our products has its own regulations governing radio communications.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have issued requirements, laws and regulations and continue to develop additional requirements, laws and regulations, most notably SOX, and recent laws and regulations regarding bribery and unfair competition, including the SEC’s recently-approved (though currently paused, pending litigation) rules relating to the disclosure of climate-related information.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used in critical communications networks which may subject us to significant liability claims.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wireless telecommunications industry is characterized by vigorous protection and pursuit of intellectual property rights, which has resulted in often protracted and expensive litigation. Any litigation regarding patents or other owned or exclusively licensed intellectual property, including claims that our use of intellectual property infringes or violates the rights of others,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rules, regulations and policies regarding data privacy and cybersecurity. Many of these laws and regulations are subject to change and reinterpretation, and could result in claims, changes to our business practices, monetary penalties, increased cost of operations, reputational damage or other harm to our business.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 variety of federal, state and local laws, directives, rules, standards, regulations, policies and contractual obligations relating to data privacy and security. The regulatory framework for data privacy and security worldwide is continuously evolving and developing and, as a result, interpretation and implementation standards and enforcement practices are likely to remain uncertain for the foreseeable future. It is also possible inquiries and enforcement actions from governmental authorities regarding cybersecurity breaches increase in frequency and scope. These data privacy and security laws also are not uniform, which may complicate and increase our costs for compliance. As a result, we anticipate needing to dedicate substantial resources to comply with such laws, regulations, and other obligations relating to privacy and cybersecurity. Furthermore, we cannot provide assurance that we will not face claims, allegations, or other proceedings related to our obligations under applicable data privacy and security laws. Any failure or perceived failure by us or our third-party service providers to comply with any applicable laws relating to data privacy and security, or any compromise of security that results in the unauthorized access, improper disclosure, or misappropriation of personal data or other customer data, could result in significant liabilities, and negative publicity and reputational harm, one or all of which could have an adverse effect on our reputation, business, financial condition and operations.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federal, state, local and international laws and regulations related to protection of the environment that could materially and adversely affect the cost, manner or feasibility of conducting our operations, as well as those of our suppliers and contract manufacturers.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Environmental, health and safety regulations govern the manufacture, assembly and testing of our products, including without limitation regulations governing the emission of pollutants and the use, remediation, and disposal of hazardous materials (including electronic wastes). Our failure or the failure of our suppliers or contract manufacturers to properly manage the use, transportation, emission, discharge, storage, recycling or disposal of waste generated from our operations could subject us to increased compliance costs or liabilities such as fines and penalties. We may also be subject to costs and liabilities for environmental clean-up costs on sites owned by us, sites previously owned by us, or treatment and disposal of wastes attributable to us from past operations, under the Comprehensive Environmental Response, Compensation and Liability Act or equivalent laws. Existing and future environmental regulations may additionally restrict our and our suppliers’ use of certain materials to manufacture, assemble and test products. New or more stringent environmental requirements applicable to our operations or the operations of our suppliers could adversely affect our costs of doing business and result in material costs to our operations.</w:t>
      </w:r>
    </w:p>
    <w:p>
      <w:pPr>
        <w:spacing w:after="0" w:line="2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attention to ESG matters, conservation measures and climate change issues has contributed to an evolving state of environmental regulation, which could impact our results of operations, financial or competitive position and may adversely impact our business.</w:t>
      </w:r>
    </w:p>
    <w:p>
      <w:pPr>
        <w:spacing w:after="0" w:line="10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attention to, and sometimes conflicting, societal expectations on companies to address, climate change and other environmental and social impacts, investor and societal expectations regarding voluntary ESG disclosures may result in increased costs to us and our suppliers, contract manufacturers, and customers. Moreover, while we create and publish voluntary disclosures regarding ESG matters from time to time, many of the statements in those voluntary disclosures are based on expectations and assumptions or hypothetical scenarios that may or may not be representative of current or actual risks or events or forecasts of expected risks or events, including the costs associated therewith. Such expectations and assumptions or hypothetical scenarios are necessarily uncertain and may be prone to error or subject to misinterpretation given the long timelines involved and the lack of an established approach to identifying, measuring and reporting on many ESG matters.</w:t>
      </w:r>
    </w:p>
    <w:p>
      <w:pPr>
        <w:spacing w:after="0" w:line="13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Additionally, in March 2024, the SEC approved final rules that necessitate the disclosure of climate-related information in registration statements and periodic reports. However, the future of the rule is uncertain at this time given that its implementation has been stayed pending the outcome of legal challenges. Moreover, on March 27, 2025, the SEC staff notified the U.S. Court of Appeals for the Eighth Circuit that the SEC would withdraw its defense of the final rules. While the SEC may seek to repeal or otherwise modify the final rules, and the Eighth Circuit could still issue a ruling on the legal challenges, we cannot predict whether or when such actions will occur. We are assessing the final rules, but at this time we cannot predict the costs of implementation or any potential adverse impacts resulting from the final rules. To the extent the final rules are upheld, we could incur increased costs relating to the assessment and disclosure of climate-related information in our periodic reports.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2" w:name="page33"/>
    <w:bookmarkEnd w:id="32"/>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public awareness and worldwide focus on climate change issues has led to legislative and regulatory efforts to limit greenhouse gas emissions, and may result in more international, federal or regional requirements or industry standards to reduce or mitigate risks related to climate change. As a result, we may become subject to new or more stringent regulations, legislation or other governmental requirements or industry standards, and we anticipate that we will see increased demand to meet voluntary criteria related to reduction or elimination of certain constituents from products, reducing emissions of greenhouse gases, and increasing energy efficiency. Increased regulation of climate change concerns could subject us to additional costs and restrictions and require us to make certain changes to our manufacturing practices and/or product designs, which could negatively impact our business, results of operations, financial condition and competitive position.</w:t>
      </w:r>
    </w:p>
    <w:p>
      <w:pPr>
        <w:spacing w:after="0" w:line="13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Certain public statements with respect to ESG-related matters, such as emissions reduction goals, other environmental targets, or other commitments addressing certain social issues, are becoming increasingly subject to heightened scrutiny from public and governmental authorities, as well as other parties, related to the risk of potential “greenwashing,” (i.e., misleading information or false claims overstating potential benefits). For example, the SEC has taken enforcement action against companies for ESG-related misconduct, including greenwashing. Certain regulators, such as the SEC and various state agencies, as well as non-governmental organizations and other private actors have also filed lawsuits under various securities and consumer protection laws alleging that certain ESG-statements, goals or standards were misleading, false or otherwise deceptive. In addition, any alleged claims of greenwashing against us or others in our industry may lead to further negative sentiments and diversion of investments.</w:t>
      </w:r>
    </w:p>
    <w:p>
      <w:pPr>
        <w:spacing w:after="0" w:line="13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Furthermore, certain employment practices and social initiatives are the subject of scrutiny by both those calling for the continued advancement of such policies, as well as those who believe they should be curbed, including government actors, and the complex regulatory and legal frameworks applicable to such initiatives continue to evolve. We cannot be certain of the impact of such regulatory, legal and other developments on our business. More recent political developments could mean that we face increasing criticism or litigation risks from certain “anti-ESG” parties, including various governmental agencies. Such sentiment may focus on our environmental commitments (such as reducing greenhouse gas emissions) or its pursuit of certain employment practices or social initiatives that are alleged to be political or polarizing in nature or are alleged to violate laws based, in part, on changing priorities of, or interpretations by, federal agencies or state governments. Consideration of ESG-related factors in our decision-making could be subject to increasing scrutiny and objection from such anti-ESG parties. As a result, we may face increased litigation risks from private parties and governmental authorities related to our ESG efforts.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 the Amended and Restated Tax Benefit Preservation Plan (the “Plan”), and provisions in our Amended and Restated Certificate of Incorporation, as amended, and Amended and Restated Bylaws could make a third-party acquisition of us difficult.</w:t>
      </w:r>
    </w:p>
    <w:p>
      <w:pPr>
        <w:spacing w:after="0" w:line="1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as amended, and Amended and Restated Bylaws also contain certain provisions that may make a third-party acquisition of us difficult, including the ability of the Board to issue preferred stock and the requirement that nominations for directors and other proposals by stockholders must be made in advance of the meeting at which directors are elected or the proposals are voted upon.</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the Plan and the amendments to our Amended and Restated Certificate of Incorporation, as amended (the “Charter Amendments”) could make an acquisition of us more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such as terrorism and war could have an adverse effect on our business.</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Natural disasters, such as hurricanes, earthquakes, fires, extreme weather conditions and floods, could adversely affect our operations and financial performance. In addition, climate change may contribute to the increased frequency or intensity of extreme weather events, including storms, wildfires, and other natural disasters. Further, acts of terrorism or war could significantly disrupt our supply chain and access to vital components. Such events have in the past and could in the future result in physical damage to one or more of our facilities, the temporary closure of one or more of our facilities or those of our suppliers, a temporary lack of an adequate work force in a market, a temporary or long-term disruption in the supply of products from local or overseas suppliers or contract manufacturers, a temporary disruption in the transport of goods from overseas, and delays in the delivery of goods. Accordingly, climate change and natural disasters may impact the availability and cost of materials and natural resources, sources and supply of energy necessary for our operations, and could also increase insurance and other operating costs. Many of our facilities around the world (and the operations of our suppliers) are in locations that may be impacted by the physical risks of climate change, and we face the risk of losses incurred as a result of physical damage to our facilities or those of our suppliers, such as loss or spoilage of inventory and business interruption caused by such events. In addition, if there is a natural disaster in any of the locations in which our significant customers are located, our customers may incur losses or sustained business interruption, or both, which may materially impair their ability to continue their purchase of products from us. Public health issues, whether occurring in the United States or abroad, could disrupt our operations, disrupt the operations of suppliers or customers, or have an adverse impact on customer demand. As a result of any of these events, we may be required to suspend operations in some or all of our locations, which could have an adverse effect on our business, financial condition, results of operations, and cash flows. These events could also reduce demand for our products or make it difficult or impossible to receive components from suppliers. Although we maintain business interruption insurance and other insurance intended to cover some or all of these risks, such insurance may be inadequate, whether because of coverage amount, policy limitations, the financial viability of the insurance companies issuing such policies, or other reasons.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risks, data protection breaches, and cyber-attacks could compromise our proprietary information, disrupt our internal operations and harm public perception of our products, which could cause our business and reputation to suffer and adversely affect our stock price.</w:t>
      </w:r>
    </w:p>
    <w:p>
      <w:pPr>
        <w:spacing w:after="0" w:line="10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ours, are subject to a wide variety of attacks on their networks on an ongoing basis. Despite our security measures, our information technology and infrastructure may be vulnerable to interruption, disruption, destruction, penetration or attacks due to natural disasters, power loss, telecommunications failure, terrorist attacks, domestic vandalism, Internet failures, computer malware, ransomware, cyberattacks, social engineering attacks, phishing attacks, data breaches and other events unforeseen or generally beyond our control. Additionally, advances in technology, an increased level of sophistication and expertise of hackers, widespread access to generative AI, and new discoveries in the field of cryptography can result in a compromise or breach of our information technology systems or security measures implemented to protect our systems. Any such breach could compromise our systems and networks, which could cause system disruptions or slowdowns and exploitation of security vulnerabilities in our products, and lead to the information stored on our networks being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 An increased number of our employees and service providers are working from home and connecting to our networks remotely on less secure systems, which we believe may further increase the risk of, and our vulnerability to, a cyber-attack or breach on our network. Any such actual or perceived security breach, incident or disruption could also divert the efforts of our technical and management personnel and could require us to incur significant costs and operational consequences in connection with investigating, remediating, eliminating and putting in place additional tools, devices, policies, and other measures designed to prevent such security breaches, incidents and system disruptions. Moreover, we could be required by applicable law in some jurisdictions, or otherwise find it appropriate to expend significant capital and other resources, to notify or respond to applicable third parties or regulatory authorities due to any actual or perceived security incidents or breaches to our systems and its root cause.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4" w:name="page35"/>
    <w:bookmarkEnd w:id="34"/>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an actual or perceived breach of network security occurs in our network or in the network of a customer of our security products, regardless of whether the breach is attributable to our products, the market perception of the effectiveness and safety of our products could be harmed. Because the techniques used by computer programmers and hackers, many of whom are highly sophisticated and well-funded, to access or sabotage networks or systems change frequently and generally are not recognized until after they are used, we may be unable to anticipate or immediately detect these cyber-attacks. This could impede our sales, manufacturing, distribution or other critical functions. In addition, our ability to defend against and mitigate cyberattacks depends in part on prioritization decisions that we and third parties upon whom we rely make to address vulnerabilities and security defects. While we endeavor to address all identified vulnerabilities in our products, we must make determinations as to how we prioritize developing and deploying the respective fixes, and we may be unable to do so prior to an attack.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 Furthermore, even once a vulnerability has been addressed, for certain of our products, the fix will only be effective once a customer has updated the impacted product with the latest release, and customers that do not install and run the latest supported versions of our products may remain vulnerable to attack.</w:t>
      </w:r>
    </w:p>
    <w:p>
      <w:pPr>
        <w:spacing w:after="0" w:line="13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cyber-attacks become more sophisticated, the need to develop, modify, upgrade or enhance our information technology infrastructure and measures to secure our business can lead to increased cybersecurity protection costs. Such costs may include making organizational changes, deploying additional personnel and protection technologies, training employees, and engaging third party experts and consultants. These efforts come at the potential cost of revenues and human resources that could be utilized to continue to enhance our product offerings, and such increased costs may adversely affect our operating margins.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certain of our suppliers have in the past and may in the future experience cybersecurity attacks that can constrain their capacity and ability to meet our product demands. If our contract manufacturers and suppliers suffer future cyberattacks, our ability to ship products or otherwise fulfill our contractual obligations to our customers could be delayed or impaired which would adversely affect our business, financial results and customer relationships.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Aviat, cybersecurity processes, controls and technologies have been implemented to help facilitate the Company’s efforts to identify, assess and manage material risks associated with cybersecurity threats.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sought to leverage the National Institute of Standards and Technology Cybersecurity Framework (the "NIST CSF") as a guideline for its cybersecurity framework and to help identify, assess and manage cybersecurity risks related to its business. The Company regularly engages third party experts, including cybersecurity assessors, consultants and auditors to evaluate and test our cybersecurity risk management systems and processes. The Company’s partnership with these third parties include regular audits and threat assessments. The Company requires all of its third-party information technology vendors to undergo evaluations by the Company’s internal data privacy and data security team as a part of efforts to assess, document and mitigate potential cybersecurity threats associated with the use of such vendors and the software, applications and services they provide.</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undertake ongoing cyber risk assessments as part of our efforts to detect, evaluate and respond to potential cybersecurity threats, including regular testing by our internal information security team. We require all employees and contractors to participate in cybersecurity training designed to enhance their understanding of cyber threats and their ability to identify and escalate potential incidents. Our vulnerability management program is designed to identify, assess, and remediate cybersecurity threats in our systems, such as through penetration testing.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2024, we achieved International Organization for Standardization (ISO) and International Electrotechnical Commission (IEC) 27001 certification. In 2025, we maintained our accreditation, reflecting our commitment to maintaining a robust information security management system. This internationally recognized standard demonstrates that we implemented risk-based controls to protect confidentiality, integrity and availability of critical data. The certification enhances our ability to manage cybersecurity threats, improve compliance posture and support customer trust in our information technology security practices.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Incident Reporting</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cybersecurity incidents occur, certain of the Company’s executive leadership team, legal counsel, and Audit Committee would be briefed and a determination would be made as to whether such incident or vulnerability is deemed material to the Company. The Company’s incident response plan is tested annually to assess its operational effectiveness. We conduct an annual “tabletop” exercise during which we simulate cybersecurity incidents to help us prepare to respond to a cybersecurity incident and to identify areas for potential improvement.</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on Form 10-K, the Company does not believe it has encountered, and has not identified any risks from cybersecurity incidents that have materially affected or are reasonably likely to materially affect the Company. However, we acknowledge that cybersecurity threats are continually evolving, and the possibility of future cybersecurity incidents remains. Despite the implementation of our cybersecurity processes, our security measures cannot guarantee that a significant cyberattack will not occur. A successful attack on our information technology systems could have significant consequences to the business. See “Item 1A, Risk Factors,” for additional information about the risks to our business associated with a breach or compromise to our information technology systems.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Aviat’s Board of Directors has oversight of the Company’s cybersecurity risk as a component of its risk management. This includes prioritization of cybersecurity risks and the allocation of resources. The Board of Directors receives regular updates on the Company’s cybersecurity program. The Board of Directors have delegated its responsibility for risk management oversight to the Audit Committee, which regularly reviews Aviat’s cybersecurity program with the Company’s management. The Company’s management, including its Senior Director of Information Technology, CFO, and General Counsel, provide the Board of Directors updates regarding current and emerging cybersecurity threats, status of ongoing cybersecurity initiatives, certain incident reports and events, remediation efforts, and compliance with regulatory and industry standards.</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Senior Director of Information Technology is primarily responsible for assessing and managing our material risks from cybersecurity threats, monitoring the effectiveness of our cybersecurity detection and response processes in countering current threats and providing updates to the executive team.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The Company leases office space, assembly facilities, repair and service centers, and warehouses in multiple locations in the United States and internationally. Aviat’s corporate headquarters is in Austin, Texas and most of its locations based in the United States are in Texas. Internationally, the Company leases facilities throughout Europe, North America, Africa and Asia. The Company owns one facility in Wellington, New Zealand. Refer to Note</w:t>
      </w:r>
    </w:p>
    <w:p>
      <w:pPr>
        <w:spacing w:after="0" w:line="1" w:lineRule="exact"/>
        <w:rPr>
          <w:sz w:val="20"/>
          <w:szCs w:val="20"/>
          <w:color w:val="auto"/>
        </w:rPr>
      </w:pPr>
    </w:p>
    <w:p>
      <w:pPr>
        <w:ind w:right="20" w:firstLine="8"/>
        <w:spacing w:after="0" w:line="260" w:lineRule="auto"/>
        <w:tabs>
          <w:tab w:leader="none" w:pos="1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and Note 5. Balance Sheet Components of the Notes to the consolidated financial statements in this Annual Report on Form 10-K for further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For a discussion of legal proceedings as of June 27, 2025, refer to “Legal Proceedings” and “Contingent Liabilities” under Note 13. Commitments and Contingencies of the Notes to the consolidated financial statements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300"/>
        <w:spacing w:after="0" w:line="471"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on Common Stock</w:t>
      </w:r>
    </w:p>
    <w:p>
      <w:pPr>
        <w:spacing w:after="0" w:line="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Aviat’s common stock is listed and primarily traded on the NASDAQ Global Select Market (“NASDAQ”), under the ticker symbol AVNW. According to the records of the Company’s transfer agent, as of September 9, 2025, there were approximately 1,530 holders of record of Aviat’s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not paid cash dividends on its common stock and does not intend to pay cash dividends at this time. The Company intends to retain any earnings for use in its business. In addition, the covenants of the Company’s credit facility may restrict it from paying dividends or making other distributions to its stockholders under certain circumstances. Refer to Note 7. Credit Facility and Debt of the Notes to the consolidated financial statements in this Annual Report on Form 10-K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fiscal 2025, the Company did not issue or sell any unregistered securities not previously reported on Form 10-Q or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approved a stock repurchase program to purchase up to $10.0 million of its common stock. As of June 27, 2025, $6.3 million remains available under the stock repurchase program, and the Company may choose to suspend or discontinue the repurchase program at any time. During the fourth quarter of fiscal 2025, the Company did not repurchase any shares of its common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graph and accompanying data compare the cumulative total return of Aviat’s common stock, the NASDAQ Composite Index and the NASDAQ Telecommunications Index for the five-year period ended June 27, 2025. The comparison assumes $100 was invested on July 3, 2020, in the Company’s common stock and each of the indices and assumes reinvestment of dividends. The historical stock price performance shown below is not indicative of future price performance. Note that this graph and accompanying data is “furnished,” not “filed,” with the SEC.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Among Aviat Networks, Inc., the NASDAQ Composite Index</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177165</wp:posOffset>
            </wp:positionV>
            <wp:extent cx="5452110" cy="3634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580" w:type="dxa"/>
        <w:tblCellMar>
          <w:top w:w="0" w:type="dxa"/>
          <w:left w:w="0" w:type="dxa"/>
          <w:bottom w:w="0" w:type="dxa"/>
          <w:right w:w="0" w:type="dxa"/>
        </w:tblCellMar>
      </w:tblPr>
      <w:tr>
        <w:trPr>
          <w:trHeight w:val="238"/>
        </w:trPr>
        <w:tc>
          <w:tcPr>
            <w:tcW w:w="1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07/03/20</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07/02/21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07/01/22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06/30/23</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06/28/24</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06/27/25</w:t>
            </w:r>
          </w:p>
        </w:tc>
        <w:tc>
          <w:tcPr>
            <w:tcW w:w="0" w:type="dxa"/>
            <w:vAlign w:val="bottom"/>
          </w:tcPr>
          <w:p>
            <w:pPr>
              <w:spacing w:after="0"/>
              <w:rPr>
                <w:sz w:val="1"/>
                <w:szCs w:val="1"/>
                <w:color w:val="auto"/>
              </w:rPr>
            </w:pPr>
          </w:p>
        </w:tc>
      </w:tr>
      <w:tr>
        <w:trPr>
          <w:trHeight w:val="25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Aviat Networks,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342.98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269.93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358.97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308.58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257.46</w:t>
            </w:r>
          </w:p>
        </w:tc>
        <w:tc>
          <w:tcPr>
            <w:tcW w:w="0" w:type="dxa"/>
            <w:vAlign w:val="bottom"/>
          </w:tcPr>
          <w:p>
            <w:pPr>
              <w:spacing w:after="0"/>
              <w:rPr>
                <w:sz w:val="1"/>
                <w:szCs w:val="1"/>
                <w:color w:val="auto"/>
              </w:rPr>
            </w:pPr>
          </w:p>
        </w:tc>
      </w:tr>
      <w:tr>
        <w:trPr>
          <w:trHeight w:val="270"/>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Composite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144.44</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110.56</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138.22</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179.14</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206.23</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NASDAQ</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133.36</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106.76</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103.68</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116.41</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150.86</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Telecommunications</w:t>
            </w: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Aviat Networks, Inc.’s (“Aviat”, the “Company”, “we”, “us”, or “our”) results of operations and financial condition during the two-year period ended June 27, 2025. MD&amp;A is provided as a supplement to, and should be read in conjunction with, the Company’s consolidated financial statements and accompanying notes. In the discussion herein, the fiscal years ended June 27, 2025, June 28, 2024, and June 30, 2023, are referred to as “fiscal 2025”, “fiscal 2024” and “fiscal 2023”, respectively. Aviat’s fiscal year ends on the Friday nearest to June 30. For a comparison of the results of operations for fiscal 2024 and 2023, refer to Aviat’s Annual Report on Form 10-K for the fiscal year ended June 28, 2024, filed with the SEC on October 4,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400 patents. Aviat competes on the basis of Total Cost of Ownership (“TCO”), microwave radio expertise and solutions for mission critical communications.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4RF Limited</w:t>
      </w:r>
    </w:p>
    <w:p>
      <w:pPr>
        <w:spacing w:after="0" w:line="2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2, 2024, the Company acquired 4RF Limited (“4RF”), a New Zealand company, Aviat purchased all of the issued and outstanding shares of 4RF in an all-cash transaction for $18.2 million, net of $1.2 million cash acquired. 4F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 See Note 12. Acquisitions of the Notes to the consolidated financial statements in this Annual Report on Form 10-K (the “Notes”) for further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Refer to Note 12. Acquisitions of the Notes to the consolidated financial statements in this Annual Report on Form 10-K for further information.</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Company common stock. Aggregate consideration transferred at closing was approximately $54.5 million, which is subject to certain post-closing adjustments. In fiscal 2025, the Company transferred consideration of $18.6 million to settle the post-closing working capital adjustment. The Company funded the cash portion of the NEC Transaction with Term Loan borrowings under its Credit Facility (as defined below). Refer to Note 7. Credit Facility and Debt of the Notes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Redline Communications Group Inc.</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2023, the Company acquired all of the issued and outstanding shares of Redline Communications Group Inc. (“Redline”), for a purchase price of $20.4 million. Redline is a leading provider of mission-critical data infrastructure. See Note 12. Acquisitions of the Notes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market for mobile backhaul continued to be the Company’s primary addressable market segment globally in fiscal 2025.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 services is a differentiating factor that wins business for the Company and enables it to expand its business with existing customers. Additionally, Aviat operates an e-commerce on-line platform, Aviat Store, that provides low-cost services, a simple experience, and fast delivery to mobile operators and private network customers. In 2025, new U.S. tariffs on foreign imports were proposed, and in certain cases implemented. In response, Aviat implemented mitigation strategies by optimizing its sourcing and operations to minimize the effects and took pricing actions to offset the impact of these tariffs. However, as disclosed in the “Risk Factors” section in Item 1A of this Annual Report on Form 10-K, a number of factors could prevent the Company from achieving its objectives, including ongoing pricing pressures attributable to competition and macroeconomic conditions in the geographic markets that it serves.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Compared to Fiscal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manages its sales activities primarily on a geographic basis in North America and three international geographic regions: (1) Africa and the Middle East, (2) Europe and (3) Latin America and Asia Pacific. Revenue by region for fiscal 2025 and 2024 and the related changes were as follows:</w:t>
      </w:r>
    </w:p>
    <w:p>
      <w:pPr>
        <w:spacing w:after="0" w:line="9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Africa and the Middle East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3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48"/>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26,523</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achieved revenue growth of 6.5% in fiscal 2025 primarily driven by contributions from the NEC Transaction and the 4RF acquisition, and 21% growth in managed services driven by increased demand on a larger install base. This was partially offset by lower demand for software offerings and equipment, which both decreased 3%. During fiscal 2025, contributions from the NEC Transaction and 4RF acquisition totaled $126.8 million and $25.3 million, respectively.</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in North America increased by $1.5 million in fiscal 2025 primarily due to contributions of the 4RF acquisition of $18.8 million, partially offset by lower mobile operator demand, which decreased $17 million.</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in Africa and the Middle East increased by $0.5 million in fiscal 2025 primarily due to increased demand of managed services and software offerings on a larger install base, which increased 36% and 42%, respectively, partially offset by a 12% decrease in equipment sales.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in Europe increased by $7.1 million in fiscal 2025 primarily due to increased equipment sales to mobile operators in the region.</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 Latin America and Asia Pacific increased by $17.3 million in fiscal 2025 primarily due to higher demand for Pasolink projects and services increasing 37%, higher demand for software which increased 13%, and contributions from the 4RF acquisition of $5.4 million, partially offset by lower equipment sales to mobile operators.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146,949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133,878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from product sales and services increased by 4.9% and 9.8%, respectively in fiscal 2025 primarily due to the same overall factors of revenue growth discussed previously.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408,083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26,523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295,170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263,351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31,819</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(5,296)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3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32.1 %</w:t>
            </w:r>
          </w:p>
        </w:tc>
        <w:tc>
          <w:tcPr>
            <w:tcW w:w="428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35.5 %</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margin %</w:t>
            </w:r>
          </w:p>
        </w:tc>
        <w:tc>
          <w:tcPr>
            <w:tcW w:w="3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27.7 %</w:t>
            </w:r>
          </w:p>
        </w:tc>
        <w:tc>
          <w:tcPr>
            <w:tcW w:w="4280" w:type="dxa"/>
            <w:vAlign w:val="bottom"/>
            <w:shd w:val="clear" w:color="auto" w:fill="CCEEFF"/>
          </w:tcPr>
          <w:p>
            <w:pPr>
              <w:jc w:val="right"/>
              <w:ind w:right="3090"/>
              <w:spacing w:after="0"/>
              <w:rPr>
                <w:sz w:val="20"/>
                <w:szCs w:val="20"/>
                <w:color w:val="auto"/>
              </w:rPr>
            </w:pPr>
            <w:r>
              <w:rPr>
                <w:rFonts w:ascii="Times New Roman" w:cs="Times New Roman" w:eastAsia="Times New Roman" w:hAnsi="Times New Roman"/>
                <w:sz w:val="18"/>
                <w:szCs w:val="18"/>
                <w:color w:val="auto"/>
              </w:rPr>
              <w:t>37.4 %</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margin %</w:t>
            </w:r>
          </w:p>
        </w:tc>
        <w:tc>
          <w:tcPr>
            <w:tcW w:w="3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40.7 %</w:t>
            </w:r>
          </w:p>
        </w:tc>
        <w:tc>
          <w:tcPr>
            <w:tcW w:w="428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31.6 %</w:t>
            </w: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Gross margin for fiscal 2025 decreased by $(5.3) million, while gross margin as a percentage of revenue reduced by 3.4 percentage points due to higher volumes on lower margin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35,768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2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$(0.7) million in fiscal 2025 primarily due to synergies achieved leading to cost optimization from the NEC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4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89,482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85,038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3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increased by $4.4 million in fiscal 2025 primarily due to merger and acquisition expenses and additional costs resulting from the NEC Transaction and 4RF acquisition.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32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2025 restructuring charges were $3.6 million, a decrease of $(0.3) million compared to fiscal 2024. Fiscal 2025 restructuring activities were primarily associated with reductions in workforce in certain of the Company’s operations to optimize skill sets and align cost structure. The prior year comparison period includes restructuring charges primarily associated with the NEC Transaction.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1" w:name="page42"/>
    <w:bookmarkEnd w:id="41"/>
    <w:p>
      <w:pPr>
        <w:spacing w:after="0" w:line="8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success in restructuring initiatives has enabled it to restructure specific groups to optimize skill sets and align its organizational structure to execute on strategic deliverables, in addition to aligning cost structure with the core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4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159.2 %</w:t>
            </w:r>
          </w:p>
        </w:tc>
      </w:tr>
    </w:tbl>
    <w:p>
      <w:pPr>
        <w:spacing w:after="0" w:line="225" w:lineRule="exact"/>
        <w:rPr>
          <w:sz w:val="20"/>
          <w:szCs w:val="20"/>
          <w:color w:val="auto"/>
        </w:rPr>
      </w:pPr>
    </w:p>
    <w:p>
      <w:pPr>
        <w:ind w:right="460" w:firstLine="486"/>
        <w:spacing w:after="0" w:line="420" w:lineRule="auto"/>
        <w:rPr>
          <w:sz w:val="20"/>
          <w:szCs w:val="20"/>
          <w:color w:val="auto"/>
        </w:rPr>
      </w:pPr>
      <w:r>
        <w:rPr>
          <w:rFonts w:ascii="Times New Roman" w:cs="Times New Roman" w:eastAsia="Times New Roman" w:hAnsi="Times New Roman"/>
          <w:sz w:val="18"/>
          <w:szCs w:val="18"/>
          <w:color w:val="auto"/>
        </w:rPr>
        <w:t xml:space="preserve">Interest expense, net increased by $3.7 million in fiscal 2025 primarily due to interest expense incurred on incremental Term Loan borrowings. </w:t>
      </w:r>
      <w:r>
        <w:rPr>
          <w:rFonts w:ascii="Times New Roman" w:cs="Times New Roman" w:eastAsia="Times New Roman" w:hAnsi="Times New Roman"/>
          <w:sz w:val="18"/>
          <w:szCs w:val="18"/>
          <w:b w:val="1"/>
          <w:bCs w:val="1"/>
          <w:i w:val="1"/>
          <w:iCs w:val="1"/>
          <w:color w:val="auto"/>
        </w:rPr>
        <w:t>Other Expense, Net</w:t>
      </w:r>
    </w:p>
    <w:p>
      <w:pPr>
        <w:spacing w:after="0" w:line="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0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495.6 %</w:t>
            </w: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expense, net increased by $0.8 million in fiscal 2025 primarily as a result of foreign exchange rate movement.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16,906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 of income before income taxes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estimates its annual effective tax rate at the end of each reporting period, and records the tax effect of certain discrete items in the interim period in which they occur, including changes in judgment about uncertain tax positions and deferred tax valuation allowances.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Tax expense was $2.2 million in fiscal 2025 and $6.1 million in fiscal 2024. Tax expense in fiscal 2025 was primarily attributable to tax expense for the U.S. entity, profitable foreign subsidiaries, and withholding taxes, partially offset by a Canada valuation allowance release. Tax expense in fiscal 2024 was primarily attributable to tax expense related to U.S. and profitable foreign subsidiaries, partially offset by Canada valuation allowance release.</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We continue to analyze the OBBBA and at this time do not expect a material effect on our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comparison of the results of operations for fiscal 2024 and 2023, refer to “Item 7. Management’s Discussion and Analysis of Financial Condition and Results of Operations” of Aviat’s Annual Report on Form 10-K for the fiscal year ended June 28, 2024, filed with the SEC on October 4,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27, 2025, the Company’s total cash and cash equivalents were $59.7 million. Approximately $22.2 million, or 37% was held in the United States. The remaining balance of $37.5 million, or 63% was held outside the United States. Of the amount of cash and cash equivalents held by the Company’s foreign subsidiaries on June 27, 2025, $37.1 million was held in jurisdictions where its undistributed earnings are indefinitely reinvested, and if repatriated, would be subject to foreign withholding taxes.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Operating cash flows is presented as net income adjusted for certain non-cash items and changes in operating assets and liabilities. Net cash provided by operating activities was $5.7 million for fiscal 2025, compared with $30.5 million in the prior year. The $(24.8) million decrease is primarily attributable to decreased net income prior to non-cash adjustments and overall decreases in the net changes in operating assets and liabilities compared to the prior year. Net changes in operating assets and liabilities resulted in $(16.8) million of cash used in operating activities for fiscal 2025, compared to $(2.5) million in fiscal 2024. The $(14.3) million increase compared to the prior year is primarily attributable to increases in inventory as well as an increase in accounts receivable which is primarily driven by increased sales in the year and timing of receiving payments. These impacts were partially offset by an increase in accounts payable due to purchasing of increased inventory as well as the timing of payments as compared to the prior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$28.5 million for fiscal 2025, compared to $35.2 million in the prior year. The $6.7 million decrease is driven by prior year cash paid for the NEC Transaction of $32.2 million compared to current year net cash paid for the 4RF acquisition of $18.2 million. This is partially offset by an increase in purchases of property, plant, and equipment of $10.3 million compared to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Financing cash flows consist primarily of borrowings and repayments under the Company’s Credit Facility and proceeds from the exercise of employee stock options. Net cash provided by financing activities was $18.7 million for fiscal 2025, compared with $48.7 million in the prior year. The $(30.0) million decrease is primarily due to payment of deferred consideration of $18.6 million related to the NEC acquisition and repayment of $50.6 million in the current year on Term Loan borrowings compared to $1.3 million in the prior year. The decrease is partially offset by increased net borrowings of $15.0 million on the Revolver (as defined below) in the current year.</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June 27, 2025, the Company’s sources of liquidity consisted of $59.7 million in cash and cash equivalents, $51.3 million of available credit under its Credit Facility, and future collections of receivables from customers. The Company regularly requires letters of credit from certain customers, and, from time to time, these letters of credit are discounted without recourse shortly after shipment occurs in order to meet immediate liquidity requirements and to reduce its credit and sovereign risk. Historically, the Company’s primary sources of liquidity have been cash flows from operations and credit facilities.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the available borrowings under its Credit Facility, the availability under its effective shelf registration statement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Credit Facility, Borrowings and Repayment of Debt</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entered into a Secured Credit Facility Agreement (the “Credit Facility”), dated May 9, 2023, amended as of November 22, 2023 and October 18, 2024, with Wells Fargo Bank, National Association, as administrative agent, swingline lender and issuing lender and Wells Fargo Securities LLC, Citigroup Global Markets Inc., and Regions Capital Markets as lenders. The Credit Facility provides for a $75.0 million revolving credit facility (the “Revolver”) and a $75.0 million Term Loan Facility (the “Term Loan”) with a maturity date of October 18, 2029. The $75.0 million Revolver can be borrowed with a $10.0 million sub-limit for letters of credit, and a $10.0 million swingline loan sub-limit. On August 28, 2025, the Company entered into an amendment under the Credit Facility to increase the Term Loan and Revolver commitments by $20 million for each instrument. Refer to Note 7. Credit Facility and Debt and Note 16. Subsequent Events of the Notes for further information.</w:t>
      </w:r>
    </w:p>
    <w:p>
      <w:pPr>
        <w:spacing w:after="0" w:line="13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2023, the Company borrowed $50.0 million against the Term Loan to primarily settle the cash portion of the consideration associated with the NEC Transaction. Refer to Note 12. Acquisitions of the Notes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27, 2025, the available credit under the Revolver was $51.3 million, reflecting the available limit of $60.0 million less outstanding letters of credit of $8.7 million. The Company borrowed $95.0 million and repaid $80.0 million against the Revolver in fiscal 2025. The Company borrowed $75.0 million and repaid $50.6 million against the Term Loan in fiscal 2025. As of June 27, 2025, the Company had $73.1 million outstanding under its Term Loan and $15.0 million borrowings under its Revolver.</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June 27, 2025, the applicable margin on Adjusted Term SOFR and Base Rate borrowings was 2.8% and 1.8%, respectively. The effective rate of interest on the outstanding Term Loan borrowings as of June 27, 2025, was 6.9%.</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Earnings Before Interest, Taxes, Depreciation and Amortization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June 27, 2025, the Company was in compliance with all financial covenants contained in the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Payments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liabilities for restructuring activities totaling $1.8 million as of June 27, 2025, which was classified as current and are expected to be paid in cash within the next 12 months. The Company expects to fund the future payments with available cash and cash provided by operations. Refer to Note 8. Restructuring Activities of the Notes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normal course of doing business, the Company is exposed to the risks associated with foreign currency exchange rates and changes in interest rates. The Company employs established policies and procedures governing the use of financial instruments to manage its exposure to such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in numerous currencies and is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June 27, 2025, or June 28, 2024.</w:t>
      </w:r>
    </w:p>
    <w:p>
      <w:pPr>
        <w:spacing w:after="0" w:line="12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foreign exchange (gains) losses recorded in the consolidated statements of operations during fiscal 2025, 2024 and 2023 were $(0.8) million, $(0.3) million and $1.0 million, respectively.</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 equity. As of June 27, 2025, and June 28, 2024, the cumulative translation adjustment decreased stockholders’ equity by $18.8 million and $19.3 million,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exposure to market risk for changes in interest rates relates primarily to its cash equivalents and borrowings under its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had $59.7 million in total cash and cash equivalents as of June 27, 2025. Cash equivalents totaled $6.4 million as of June 27, 2025, and were comprised of money market funds and bank certificates of deposit. Cash equivalents have been recorded at fair value. Fair value is measured using inputs that fall into a three-level hierarchy that prioritizes the inputs used to measure fair value based on observability of such inputs. Refer to Note 6. Fair Value Measurements of Assets and Liabilities of the Notes for further information.</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cash equivalents earn interest at fixed rates; therefore, changes in interest rates will not generate a gain or loss on these investments unless they are sold prior to maturity. The weighted-average days to maturity for cash equivalents held as of June 27, 2025, was approximately 27 days, and these investments had an average yield of approximately 5.0% per annum. A 10% change in interest rates on the Company’s cash equivalents is not expected to have a material impact on its financial position,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June 27, 2025, the Company had $73.1 million outstanding under its Term Loan and $15.0 million outstanding under its Revolver. Refer to Note 7 Credit Facility and Debt of the Notes for further information.</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June 27, 2025, the applicable margin on Adjusted Term SOFR and Base Rate borrowings was 2.8% and 1.8%, respectively. The effective rate of interest on the Company’s outstanding Term Loan borrowings as of June 27, 2025, was 6.9%.</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is estimated to have a $0.5 million impact on annual interest expense on the Company’s outstanding long-term debt as of June 27,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Generally Accepted Accounting Principles ("GAAP"). These accounting principles require us to make certain estimates, judgments and assumptions. We believe that the estimates, judgments and assumptions upon which we rely are reasonable based upon information available to us.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2"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1"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for estimated costs to complete over-time services;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 and provision for excess and obsolete inventory losses;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valuation;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17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is not intended to be a comprehensive list of all of our accounting policies or estimates. Our significant accounting policies are more fully described in Note 1. The Company and Summary of Significant Accounting Policies of the Notes.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Revenue from services includes certain network planning and design, engineering, installation and commissioning, extended warranty,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 Certain judgment is required when estimating total contract costs and progress to completion on the over-time arrangements, as well as whether a loss is expected to be incurred on the contract.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 If circumstances arise that change the original estimates of revenues, costs, or extent of progress toward completion, revisions to the estimates are made in a timely manner. These revisions may result in increases or decreases in estimated revenues or costs, and such revisions are reflected in income in the period in which the circumstances that gave rise to the revision become known to us. As of June 27, 2025, favorable and unfavorable changes in contract estimates are not considered material for each period presented. We perform ongoing profitability analysis of our service contracts accounted for under this method to determine whether the latest estimates of revenues, costs, and profits require updating. In rare circumstances if these estimates indicate that the contract will be unprofitable, the entire estimated loss for the remainder of the contract is recorded immediately. As of June 27, 2025, contract losses recognized are not considered material during each period presented and there are no material loss contracts for each period presented.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and Provisions for Excess and Obsolete Losses</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inventories have been valued at the lower of cost or net realizable value. Net realizable value is defined as the estimated selling price in the ordinary course of business, less reasonably predictable costs of completion, disposal and transportation. We balance the need to maintain prudent inventory levels to ensure competitive delivery performance with the risk of excess or obsolete inventory due to changing technology and customer requirements, and new product introductions. The manufacturing of our products is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consolidated statements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4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customer service inventories are stated at the lower of cost or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Valuation</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record the estimated future tax effects of temporary differences between the tax basis of assets and liabilities of amounts reported in our consolidated balance sheets, as well as operating loss and tax credit carryforwards. Certain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3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record deferred taxes by applying enacted statutory tax rates to the respective jurisdictions and follow specific and detailed guidelines in each tax jurisdiction regarding the recoverability of any tax assets recorded on the consolidated balance sheets and provide necessary valuation allowances as required. Future realization of deferred tax assets ultimately depends on meeting certain criteria in Financial Accounting Standards Board (“FASB”) Accounting Standards Codification (“ASC”) Topic 740, Income Taxes (“ASC 740”).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the same as these estimates. These estimates are updated quarterly based on factors such as changes in facts or circumstances, changes in tax law, new audit activity, and effectively settled issues.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as required by FASB ASC Topic 805, Business Combinations (“ASC 805”). Under the acquisition method of accounting, the assets and liabilities of acquired businesses are recorded at their estimated fair values at the date of acquisition. The excess of the purchase price over the estimated fair values of the assets acquired and liabilities assumed is recorded as goodwill. Determining the fair value of assets acquired and liabilities assumed requires management’s judgment and involves the use of significant estimates and assumptions to properly allocate purchase price consideration between the fair value of the assets acquired and liabilities assumed. The Company leverages independent third-party valuations in determining the estimated fair values of acquired tangible assets, identifiable intangible assets, and assumed liabilities. If assumptions or estimates used in determining fair values change based on information that becomes available during the one-year period from the acquisition date, we record measurement period adjustments to the assets acquired and liabilities assumed with a corresponding offset to goodwill. Upon the conclusion of the measurement period, any subsequent adjustments are recorded to earnings.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Refer to Note 1. The Company and Summary of Significant Accounting Policies of the Notes for a full description of recently issued accounting pronouncements, including the respective expected dates of adoption and effects on the consolidated financial position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normal course of doing business, the Company is exposed to the risks associated with foreign currency exchange rates and changes in interest rates. The Company has established policies and procedures governing the use of financial instruments to manage its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140" w:type="dxa"/>
            <w:vAlign w:val="bottom"/>
            <w:gridSpan w:val="3"/>
          </w:tcPr>
          <w:p>
            <w:pPr>
              <w:ind w:left="240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Firms </w:t>
            </w:r>
            <w:r>
              <w:rPr>
                <w:rFonts w:ascii="Times New Roman" w:cs="Times New Roman" w:eastAsia="Times New Roman" w:hAnsi="Times New Roman"/>
                <w:sz w:val="18"/>
                <w:szCs w:val="18"/>
                <w:color w:val="000000"/>
              </w:rPr>
              <w:t>(PCAOB ID: 34)</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3740" w:type="dxa"/>
            <w:vAlign w:val="bottom"/>
            <w:gridSpan w:val="3"/>
          </w:tcPr>
          <w:p>
            <w:pPr>
              <w:spacing w:after="0"/>
              <w:rPr>
                <w:sz w:val="16"/>
                <w:szCs w:val="16"/>
                <w:color w:val="auto"/>
              </w:rPr>
            </w:pP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4280" w:type="dxa"/>
            <w:vAlign w:val="bottom"/>
            <w:gridSpan w:val="6"/>
            <w:shd w:val="clear" w:color="auto" w:fill="CCEEFF"/>
          </w:tcPr>
          <w:p>
            <w:pPr>
              <w:spacing w:after="0"/>
              <w:rPr>
                <w:sz w:val="16"/>
                <w:szCs w:val="16"/>
                <w:color w:val="auto"/>
              </w:rPr>
            </w:pP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4280" w:type="dxa"/>
            <w:vAlign w:val="bottom"/>
            <w:gridSpan w:val="6"/>
          </w:tcPr>
          <w:p>
            <w:pPr>
              <w:spacing w:after="0"/>
              <w:rPr>
                <w:sz w:val="16"/>
                <w:szCs w:val="16"/>
                <w:color w:val="auto"/>
              </w:rPr>
            </w:pP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5160" w:type="dxa"/>
            <w:vAlign w:val="bottom"/>
            <w:gridSpan w:val="12"/>
          </w:tcPr>
          <w:p>
            <w:pPr>
              <w:spacing w:after="0"/>
              <w:rPr>
                <w:sz w:val="16"/>
                <w:szCs w:val="16"/>
                <w:color w:val="auto"/>
              </w:rPr>
            </w:pP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20" w:type="dxa"/>
            <w:vAlign w:val="bottom"/>
            <w:gridSpan w:val="25"/>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1. The Company and Summary of Significant Accounting Policies</w:t>
            </w: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2. Net Income per Share of Common Stock</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20" w:type="dxa"/>
            <w:vAlign w:val="bottom"/>
            <w:gridSpan w:val="25"/>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3. Revenue Recognition</w:t>
            </w: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4. Leases</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20" w:type="dxa"/>
            <w:vAlign w:val="bottom"/>
            <w:gridSpan w:val="25"/>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5. Balance Sheet Components</w:t>
            </w: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6. Fair Value Measurements of Assets and Liabilities</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20" w:type="dxa"/>
            <w:vAlign w:val="bottom"/>
            <w:gridSpan w:val="25"/>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7. Credit Facility and Debt</w:t>
            </w: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8. Restructuring Activities</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20" w:type="dxa"/>
            <w:vAlign w:val="bottom"/>
            <w:gridSpan w:val="25"/>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9. Stockholders’ Equity</w:t>
            </w: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10. Segment and Geographic Information</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20" w:type="dxa"/>
            <w:vAlign w:val="bottom"/>
            <w:gridSpan w:val="25"/>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11. Income Taxes</w:t>
            </w: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12. Acquisitions</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20" w:type="dxa"/>
            <w:vAlign w:val="bottom"/>
            <w:gridSpan w:val="25"/>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13. Commitments and Contingencies</w:t>
            </w: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14. Goodwill and Intangibles</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20" w:type="dxa"/>
            <w:vAlign w:val="bottom"/>
            <w:gridSpan w:val="25"/>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15. Related Party Transactions</w:t>
            </w:r>
          </w:p>
        </w:tc>
        <w:tc>
          <w:tcPr>
            <w:tcW w:w="3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20" w:type="dxa"/>
            <w:vAlign w:val="bottom"/>
            <w:gridSpan w:val="25"/>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0000FF"/>
              </w:rPr>
              <w:t>Note 16. Subsequent Events</w:t>
            </w:r>
          </w:p>
        </w:tc>
        <w:tc>
          <w:tcPr>
            <w:tcW w:w="3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Aviat Networks,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Aviat Networks, Inc. and subsidiaries (the "Company") as of June 27, 2025 and June 28, 2024, the related consolidated statements of operations, comprehensive income, cash flows, and equity, for each of the three fiscal years in the period ended June 27, 2025, and the related notes (collectively referred to as the "financial statements"). In our opinion, the financial statements present fairly, in all material respects, the financial position of the Company as of June 27, 2025 and June 28, 2024, and the results of its operations and its cash flows for each of the three fiscal years in the period ended June 27, 2025, in conformity with accounting principles generally accepted in the United States of America.</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June 27,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September 10, 2025, expressed an adverse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25" w:lineRule="exact"/>
        <w:rPr>
          <w:sz w:val="20"/>
          <w:szCs w:val="20"/>
          <w:color w:val="auto"/>
        </w:rPr>
      </w:pPr>
    </w:p>
    <w:p>
      <w:pPr>
        <w:ind w:right="254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Service Revenues - Estimated Costs to Complete - Refer to Note 3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two primary sources: products and services. Revenues from services include revenues from network planning and design, engineering and installation-related services. Long term contracts for these services are recognized based on an over-time recognition model using the cost-input method. Judgment is required when estimating total contract costs.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estimated costs to complete for open over-time revenue contracts at year end as a critical audit matter. The determination of the total estimated cost and progress toward completion requires management to make significant estimates and assumptions. Changes in these estimates can have a significant impact on the revenue recognized each period. Auditing these elements involved especially challenging and subjective auditor judgment in evaluating the reasonableness of management’s assumptions and estimates over the duration of these contracts.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estimates of costs to complete for open over-time revenue contracts used to recognize service revenues included the following, among others:</w:t>
      </w:r>
    </w:p>
    <w:p>
      <w:pPr>
        <w:spacing w:after="0" w:line="10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revenue contracts and performed the following: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costs incurred to date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estimates of cost to complete for a sample of open over-time contracts by:</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costs incurred to date to the costs management estimated to be incurred to date</w:t>
      </w:r>
    </w:p>
    <w:p>
      <w:pPr>
        <w:spacing w:after="0" w:line="171"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56"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progress to completion by performing inquiries of project managers and assessing the nature of activities required to complete</w:t>
      </w:r>
    </w:p>
    <w:p>
      <w:pPr>
        <w:spacing w:after="0" w:line="107"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7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management’s estimates of gross margin for the selected contracts to the gross margin of similar contracts, when applicable</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revenue for the contract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expectation of service revenue by creating an independent estimate of gross margin based on historical margin rates and compared it to the recorded service revenue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lookback to evaluate management’s ability to estimate costs accurately by making a selection of changes in estimates during the year and testing whether the change in estimate was properly supported and recorded within the correct period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fiscal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7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2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120" w:type="dxa"/>
            <w:vAlign w:val="bottom"/>
          </w:tcPr>
          <w:p>
            <w:pPr>
              <w:spacing w:after="0"/>
              <w:rPr>
                <w:sz w:val="19"/>
                <w:szCs w:val="19"/>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0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238,579</w:t>
            </w:r>
          </w:p>
        </w:tc>
      </w:tr>
      <w:tr>
        <w:trPr>
          <w:trHeight w:val="22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105,854</w:t>
            </w:r>
          </w:p>
        </w:tc>
      </w:tr>
      <w:tr>
        <w:trPr>
          <w:trHeight w:val="223"/>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344,433</w:t>
            </w: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150,637</w:t>
            </w: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71,414</w:t>
            </w:r>
          </w:p>
        </w:tc>
      </w:tr>
      <w:tr>
        <w:trPr>
          <w:trHeight w:val="223"/>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222,051</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139,436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122,382</w:t>
            </w:r>
          </w:p>
        </w:tc>
      </w:tr>
      <w:tr>
        <w:trPr>
          <w:trHeight w:val="20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24,908</w:t>
            </w:r>
          </w:p>
        </w:tc>
      </w:tr>
      <w:tr>
        <w:trPr>
          <w:trHeight w:val="229"/>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69,842</w:t>
            </w:r>
          </w:p>
        </w:tc>
      </w:tr>
      <w:tr>
        <w:trPr>
          <w:trHeight w:val="22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23"/>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97,762</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24,620</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21,314</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w:t>
            </w:r>
          </w:p>
        </w:tc>
      </w:tr>
      <w:tr>
        <w:trPr>
          <w:trHeight w:val="196"/>
        </w:trPr>
        <w:tc>
          <w:tcPr>
            <w:tcW w:w="5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10,760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Aviat Networks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 outstanding:</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r>
      <w:tr>
        <w:trPr>
          <w:trHeight w:val="234"/>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w:t>
            </w: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2" w:name="page53"/>
    <w:bookmarkEnd w:id="5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4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AVIAT NETWORKS, INC.</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78"/>
        </w:trPr>
        <w:tc>
          <w:tcPr>
            <w:tcW w:w="9420" w:type="dxa"/>
            <w:vAlign w:val="bottom"/>
            <w:gridSpan w:val="8"/>
          </w:tcPr>
          <w:p>
            <w:pPr>
              <w:jc w:val="center"/>
              <w:ind w:left="1693"/>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1"/>
        </w:trPr>
        <w:tc>
          <w:tcPr>
            <w:tcW w:w="4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160" w:type="dxa"/>
            <w:vAlign w:val="bottom"/>
          </w:tcPr>
          <w:p>
            <w:pPr>
              <w:spacing w:after="0"/>
              <w:rPr>
                <w:sz w:val="19"/>
                <w:szCs w:val="19"/>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240" w:type="dxa"/>
            <w:vAlign w:val="bottom"/>
          </w:tcPr>
          <w:p>
            <w:pPr>
              <w:spacing w:after="0"/>
              <w:rPr>
                <w:sz w:val="19"/>
                <w:szCs w:val="19"/>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change in cumulative translation adjustment</w:t>
            </w:r>
          </w:p>
        </w:tc>
        <w:tc>
          <w:tcPr>
            <w:tcW w:w="1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par value amounts)</w:t>
            </w:r>
          </w:p>
        </w:tc>
        <w:tc>
          <w:tcPr>
            <w:tcW w:w="2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4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0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64,622</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158,013</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90,525</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62,267</w:t>
            </w: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30"/>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27,076</w:t>
            </w:r>
          </w:p>
        </w:tc>
      </w:tr>
      <w:tr>
        <w:trPr>
          <w:trHeight w:val="223"/>
        </w:trPr>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405,223</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83,112</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535,223</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7"/>
        </w:trPr>
        <w:tc>
          <w:tcPr>
            <w:tcW w:w="7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92,854</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42,148</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58,839</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w:t>
            </w:r>
          </w:p>
        </w:tc>
      </w:tr>
      <w:tr>
        <w:trPr>
          <w:trHeight w:val="229"/>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23"/>
        </w:trPr>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218,857</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45,954</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279,338</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50.0 million shares authorized; none issued</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5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 million shares authorized; 12.7 million and 12.6 million</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as of June 27, 2025 and June 28, 2024, respectively</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0.2 million and 0.2 million shares as of June 27, 2025 and June 28, 2024, respectively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860,071</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(578,513)</w:t>
            </w:r>
          </w:p>
        </w:tc>
      </w:tr>
      <w:tr>
        <w:trPr>
          <w:trHeight w:val="230"/>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(19,320)</w:t>
            </w:r>
          </w:p>
        </w:tc>
      </w:tr>
      <w:tr>
        <w:trPr>
          <w:trHeight w:val="223"/>
        </w:trPr>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255,885</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535,223</w:t>
            </w:r>
          </w:p>
        </w:tc>
      </w:tr>
      <w:tr>
        <w:trPr>
          <w:trHeight w:val="21"/>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40" w:top="142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7" w:right="359" w:bottom="1440" w:gutter="0" w:footer="0" w:header="0"/>
          <w:type w:val="continuous"/>
        </w:sectPr>
      </w:pPr>
    </w:p>
    <w:bookmarkStart w:id="54" w:name="page55"/>
    <w:bookmarkEnd w:id="5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AVIAT NETWORKS, INC.</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78"/>
        </w:trPr>
        <w:tc>
          <w:tcPr>
            <w:tcW w:w="7920" w:type="dxa"/>
            <w:vAlign w:val="bottom"/>
            <w:gridSpan w:val="2"/>
          </w:tcPr>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7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60" w:type="dxa"/>
            <w:vAlign w:val="bottom"/>
            <w:tcBorders>
              <w:bottom w:val="single" w:sz="8" w:color="auto"/>
            </w:tcBorders>
          </w:tcPr>
          <w:p>
            <w:pPr>
              <w:spacing w:after="0"/>
              <w:rPr>
                <w:sz w:val="22"/>
                <w:szCs w:val="22"/>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w:t>
            </w:r>
          </w:p>
        </w:tc>
      </w:tr>
      <w:tr>
        <w:trPr>
          <w:trHeight w:val="229"/>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uncollectible receivables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write-downs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 loss on marketable securities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(24,754)</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(15,423)</w:t>
            </w:r>
          </w:p>
        </w:tc>
      </w:tr>
      <w:tr>
        <w:trPr>
          <w:trHeight w:val="223"/>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assets held for sale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(15,769)</w:t>
            </w:r>
          </w:p>
        </w:tc>
      </w:tr>
      <w:tr>
        <w:trPr>
          <w:trHeight w:val="223"/>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revolver</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102,200</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revolver</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(102,200)</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term loan</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term loan</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deferred consideration for acquisitions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 — treasury shares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5" w:name="page56"/>
    <w:bookmarkEnd w:id="55"/>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7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22,521</w:t>
            </w:r>
          </w:p>
        </w:tc>
      </w:tr>
      <w:tr>
        <w:trPr>
          <w:trHeight w:val="21"/>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0"/>
        </w:trPr>
        <w:tc>
          <w:tcPr>
            <w:tcW w:w="7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940" w:type="dxa"/>
            <w:vAlign w:val="bottom"/>
            <w:tcBorders>
              <w:bottom w:val="single" w:sz="8" w:color="auto"/>
            </w:tcBorders>
          </w:tcPr>
          <w:p>
            <w:pPr>
              <w:spacing w:after="0"/>
              <w:rPr>
                <w:sz w:val="24"/>
                <w:szCs w:val="24"/>
                <w:color w:val="auto"/>
              </w:rPr>
            </w:pPr>
          </w:p>
        </w:tc>
      </w:tr>
      <w:tr>
        <w:trPr>
          <w:trHeight w:val="169"/>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June 27,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28,</w:t>
            </w:r>
          </w:p>
        </w:tc>
        <w:tc>
          <w:tcPr>
            <w:tcW w:w="180" w:type="dxa"/>
            <w:vAlign w:val="bottom"/>
          </w:tcPr>
          <w:p>
            <w:pPr>
              <w:spacing w:after="0"/>
              <w:rPr>
                <w:sz w:val="14"/>
                <w:szCs w:val="14"/>
                <w:color w:val="auto"/>
              </w:rPr>
            </w:pPr>
          </w:p>
        </w:tc>
        <w:tc>
          <w:tcPr>
            <w:tcW w:w="9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r>
      <w:tr>
        <w:trPr>
          <w:trHeight w:val="241"/>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property, plant and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issued in connection with acquisition</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34"/>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bl>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345440</wp:posOffset>
            </wp:positionV>
            <wp:extent cx="5263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8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2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3"/>
                <w:szCs w:val="13"/>
                <w:color w:val="auto"/>
              </w:rPr>
            </w:pPr>
          </w:p>
        </w:tc>
        <w:tc>
          <w:tcPr>
            <w:tcW w:w="7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280"/>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3"/>
                <w:szCs w:val="13"/>
                <w:color w:val="auto"/>
              </w:rPr>
            </w:pPr>
          </w:p>
        </w:tc>
        <w:tc>
          <w:tcPr>
            <w:tcW w:w="11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3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3"/>
                <w:szCs w:val="13"/>
                <w:color w:val="auto"/>
              </w:rPr>
            </w:pPr>
          </w:p>
        </w:tc>
        <w:tc>
          <w:tcPr>
            <w:tcW w:w="720" w:type="dxa"/>
            <w:vAlign w:val="bottom"/>
          </w:tcPr>
          <w:p>
            <w:pPr>
              <w:jc w:val="right"/>
              <w:ind w:right="179"/>
              <w:spacing w:after="0" w:line="155"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July 1,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823,259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(599,442)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201,753</w:t>
            </w:r>
          </w:p>
        </w:tc>
        <w:tc>
          <w:tcPr>
            <w:tcW w:w="0" w:type="dxa"/>
            <w:vAlign w:val="bottom"/>
          </w:tcPr>
          <w:p>
            <w:pPr>
              <w:spacing w:after="0"/>
              <w:rPr>
                <w:sz w:val="1"/>
                <w:szCs w:val="1"/>
                <w:color w:val="auto"/>
              </w:rPr>
            </w:pPr>
          </w:p>
        </w:tc>
      </w:tr>
      <w:tr>
        <w:trPr>
          <w:trHeight w:val="213"/>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10,169</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62"/>
        </w:trPr>
        <w:tc>
          <w:tcPr>
            <w:tcW w:w="29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stock plans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vesting of equity awards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0" w:type="dxa"/>
            <w:vAlign w:val="bottom"/>
          </w:tcPr>
          <w:p>
            <w:pPr>
              <w:spacing w:after="0"/>
              <w:rPr>
                <w:sz w:val="1"/>
                <w:szCs w:val="1"/>
                <w:color w:val="auto"/>
              </w:rPr>
            </w:pPr>
          </w:p>
        </w:tc>
      </w:tr>
      <w:tr>
        <w:trPr>
          <w:trHeight w:val="208"/>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11,518</w:t>
            </w:r>
          </w:p>
        </w:tc>
        <w:tc>
          <w:tcPr>
            <w:tcW w:w="8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w:t>
            </w:r>
          </w:p>
        </w:tc>
        <w:tc>
          <w:tcPr>
            <w:tcW w:w="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830,048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(589,273)</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(16,004)</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218,739</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stock plans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Shares withheld for taxes related to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vesting of equity awards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7,341</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Common stock issued in connection with</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28, 2024</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12,622</w:t>
            </w:r>
          </w:p>
        </w:tc>
        <w:tc>
          <w:tcPr>
            <w:tcW w:w="8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206</w:t>
            </w:r>
          </w:p>
        </w:tc>
        <w:tc>
          <w:tcPr>
            <w:tcW w:w="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(6,479)</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860,071</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(578,513)</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(19,320)</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255,885</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stock plans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Shares withheld for taxes related to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vesting of equity awards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213"/>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0" w:type="dxa"/>
            <w:vAlign w:val="bottom"/>
          </w:tcPr>
          <w:p>
            <w:pPr>
              <w:spacing w:after="0"/>
              <w:rPr>
                <w:sz w:val="1"/>
                <w:szCs w:val="1"/>
                <w:color w:val="auto"/>
              </w:rPr>
            </w:pPr>
          </w:p>
        </w:tc>
      </w:tr>
      <w:tr>
        <w:trPr>
          <w:trHeight w:val="237"/>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27, 2025</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2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866,119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(577,172)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263,183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57" w:name="page58"/>
    <w:bookmarkEnd w:id="57"/>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and majority owned subsidiaries. All intercompany transactions and accounts have been eliminated. Certain amounts in the consolidated financial statements have been reclassified for comparative purposes to conform to the current period consolidated financial statement presentation.</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Aviat’s fiscal year includes 52 or 53 weeks and ends on the Friday nearest to June 30. This was June 27, 2025, for fiscal 2025, June 28, 2024, for fiscal 2024 and June 30, 2023, for fiscal 2023. Fiscal 2025, 2024 and 2023 includes 52 weeks. In the notes to consolidated financial statements, we refer to our fiscal years as “fiscal 2025”, “fiscal 2024” and “fiscal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accounting principles generally accepted in the United States (“U.S. GAAP”) requires the Company to make estimates, assumptions and judgments affecting the amounts reported and related disclosures. Estimates are based upon historical factors, current circumstances and the experience and judgment of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and uncertainties in income taxes. Actual results may differ materially from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highly liquid investments with an original maturity of three months or less at the date of purchase are considered to be cash equivalents. Cash equivalents are carried at amortized cost, which approximates fair value due to the short-term nature of these investments. Investments with an original maturity of greater than three months are accounted for as short-term investments and are classified as such at the time of purchase.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held at several major financial institutions, which often significantly exceed Federal Deposit Insurance Corporation insured limits. However, a substantial portion of the cash equivalents is invested in prime money market funds which are backed by the securities in the fund.</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and cash equivalents that are restricted as to withdrawal or usage under the terms of contractual agreements are recorded as restricted cash. The Company’s restricted cash is included in long-term other assets on the consolidated balance sheets and represents the cash balance on its disability insurance voluntary plan account that cannot be used for any operating purposes other than to pay benefits to the insured employees.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Concentrations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typically invoices customers for the sales order (or contract) value of the related products delivered at various milestones, including order receipt, shipment, installation and acceptance and for services when rendered. The Company’s trade receivables are derived from sales to customers located in North America, Latin America, Europe, Africa, the Middle East, and Asia-Pacific.</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Accounts receivable is presented net of allowance for expected credit losses to reflect any loss anticipated on the collection of the Company’s trade receivable balances. The allowance for expected credit losses is based on historical loss information, customer financial condition, and economic and geopolitical conditions for the locations where the Company’s customers operate. Accounts receivable amounts are written off when attempts to collect outstanding amounts have been exhausted or there are other indicators that the amounts are no longer collectible.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regularly requires letters of credit from certain customers and, from time to time, discounts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Financing charges on discounting the letters of credit are recorded as interest expense.</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fiscal 2025, 2024 and 2023, no customer accounted for more than 10% of total revenue. As of June 27, 2025, and June 28, 2024, no customer accounted for more than 10% of accounts receivable.</w:t>
      </w:r>
    </w:p>
    <w:p>
      <w:pPr>
        <w:spacing w:after="0" w:line="108"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principally of cash equivalents, trade accounts receivable and from time to time, financial instruments used in foreign currency hedging activities. The Company invests excess cash primarily in prime money market funds and certificates of deposit. The Company is exposed to credit risks related to such instruments in the event of default or decrease in credit-worthiness of the issuers of the investments. Risks associated with the Company’s cash and cash equivalents are mitigated by banking with creditworthy institutions.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generally does not require collateral on accounts receivable, as the majority of customers are large, well-established companies. However, in certain circumstances, the Company may require letters of credit, additional guarantees or advance payments. The Company maintains allowances for expected credit losses, but historically has not experienced any significant losses related to any particular geographic area. The Company’s customers are primarily in the telecommunications industry, and its accounts receivable is exposed to similar credit risk characteristics as that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engages third parties to manufacture its products and procures its raw materials from third-party suppliers. In addition, certain strategic component inventory is consigned to third-party manufacturers. Other components included in the Company’s products are sourced from various suppliers and are principally industry standard parts and components that are available from multiple vendors. The inability of a contract manufacturer or supplier to fulfill the Company’s supply requirements or changes in their financial or business condition could disrupt the Company’s ability to supply quality products to its customers, and thereby may have a material adverse effect on the Company’s business and operating results.</w:t>
      </w:r>
    </w:p>
    <w:p>
      <w:pPr>
        <w:spacing w:after="0" w:line="1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Net realizable value is defined as the estimated selling price in the ordinary course of business, less reasonably predictable costs of completion, disposal and transportation. Cost is determined using standard cost, which approximates actual cost on a weighted-average first-in-first-out basis, or in certain circumstances actual cost. The Company regularly reviews inventory quantities on hand and records adjustments to reduce the cost of inventory for excess and obsolete inventory based primarily on estimated forecast of product demand and production requirements. Inventory adjustments are measured as the difference between the cost of the inventory and net realizable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stocks customer service related inventories such as service parts because the Company provides product warranties for 12 to 36 months and earns revenue by providing enhanced and extended warranty and repair service during and beyond this warranty period. Customer service related inventories consist of both component parts, which are primarily used to repair defective units, and finished units, which are provided for customer use permanently or on a temporary basis while the defective unit is being repaired. The Company records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estimates. Refer to Note 5. Balance Sheet Components for further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on the basis of cost less accumulated depreciation. The Company capitalizes costs of software, consulting services, hardware and other related costs incurred to purchase or develop internal-use software. Costs incurred during preliminary project assessment, re-engineering, training and application maintenance are charged to expense.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is charged to expense on a straight-line basis over the estimated useful lives of the respective assets. Leasehold improvements are depreciated on a straight-line basis over the shorter of the remaining lease term or the estimated useful life of the improvements. The useful lives of the assets are generally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56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40 years</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6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2 to 10 years</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equipment</w:t>
            </w:r>
          </w:p>
        </w:tc>
        <w:tc>
          <w:tcPr>
            <w:tcW w:w="556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2 to 5 years</w:t>
            </w: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 and are included in cost of revenues and selling and administrative expenses on the consolidated statements of operations. Cost and accumulated depreciation of assets sold or retired are removed from the respective property accounts, and any gain or loss is reflected on the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as required by Financial Accounting Standards Board (“FASB”) Accounting Standards Codification (“ASC”) Topic 805, Business Combinations (“ASC 805”). Under the acquisition method of accounting, the assets and liabilities of acquired businesses are recorded at their estimated fair values at the date of acquisition. The excess of the purchase price over the estimated fair values of the assets acquired and liabilities assumed is recorded as goodwill. Determining the fair value of assets acquired and liabilities assumed requires management’s judgment and involves the use of significant estimates and assumptions to properly allocate purchase price consideration between the fair value of the assets acquired and liabilities assumed. The Company leverages independent third-party valuations in determining the estimated fair values of acquired tangible assets, identifiable intangible assets, and assumed liabilities. If assumptions or estimates used in determining fair values change based on information that becomes available during the one-year period from the acquisition date, we record measurement period adjustments to the assets acquired and liabilities assumed with a corresponding offset to goodwill. Upon the conclusion of the measurement period, any subsequent adjustments are recorded to earnings.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accounts for goodwill as required by FASB ASC Topic 350, Intangibles - Goodwill and Other (“ASC 350”). The Company tests goodwill for impairment on an annual basis and when events occur that may suggest that the fair value of such assets cannot support the carrying value. ASC 350 gives an entity the option to first assess qualitative factors to determine whether it is more likely than not that the fair value of a reporting unit is less than its carrying amount. If an entity determines it is not more likely than not that the fair value of a reporting unit is less than its carrying amount, then performing the quantitative impairment test is unnecessary. However, if an entity concludes otherwise, then the quantitative impairment test shall be used to identify the impairment and measure the amount of an impairment loss to be recognized (if applicable).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tests goodwill for impairment on an annual basis on the first day of its fourth fiscal quarter. The Company has one reporting unit. A qualitative assessment was performed for fiscal 2025. This assessment considered changes in the Company’s projected future cash flows and discount rates, recent market transactions and overall macroeconomic conditions. Based on this assessment, the Company concluded that it was more likely than not that the estimated fair value of its reporting unit was higher than its carrying value and that the performance of a quantitative impairment test was not required. Refer to Note 10. Segment and Geographic Information, Note 12. Acquisitions, and Note 14. Goodwill and Intangible Assets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periodically reviews the carrying value of its long-lived assets, including finite-lived intangibles, and property, plant and equipment, whenever events or changes in circumstances indicate that the carrying value may not be recoverable or that the assigned useful lives may no longer be appropriate.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 The Company’s estimate of future cash flows is based upon, among other things, certain assumptions about expected future operating performance, growth rates and other factors. The actual cash flows realized from these assets may vary significantly from estimates. There were no impairment losses recorded for fiscal 2025, 2024 and 2023.</w:t>
      </w:r>
    </w:p>
    <w:p>
      <w:pPr>
        <w:spacing w:after="0" w:line="1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amortizes the cost of finite-lived intangible assets on a straight-line basis over their estimated useful lives, which approximates the pattern of economic benefit. Refer to Note 14. Goodwill and Intangible Assets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product sales, the Company provides for future warranty costs upon product delivery. The specific terms and conditions of those warranties vary depending upon the type of product sold and country of delivery. In the case of products sold by the Company, product warranties generally start from the delivery date and continue for one to three years, depending on the terms.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Many of the Company’s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 Refer to Note 5. Balance Sheet Components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leases office space, assembly facilities, repair and service centers, and warehouses globally under non-cancelable operating lease agreements. The Company determines if an arrangement contains a lease at inception. Operating lease right-of-use assets and lease liabilities are recognized based on the present value of the future minimum lease payments over the lease term at commencement date. As most of the Company’s leases do not provide an implicit rate, the Company’s incremental borrowing rate based on the remaining lease term at commencement date is used in determining the present value of future payments. The operating lease right-of-use assets also include any lease payments made and exclude lease incentives and initial direct costs incurred. Variable lease payments are expensed as incurred and are not included within the right-of-use asset and lease liability calculation. Lease expense for minimum lease payments is recognized on a straight-line basis over the lease term. Certain of the Company’s lease arrangements include non-lease components and the Company accounts for non-lease components together with lease components for all such lease arrangements.</w:t>
      </w:r>
    </w:p>
    <w:p>
      <w:pPr>
        <w:spacing w:after="0" w:line="1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our consolidated balance sheets. Lease expense for these leases is recognized on a straight-line basis over the lease term. Refer to Note 4. Leases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functional currency of certain of the Company’s international subsidiaries is the United States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non-functional currency denominated monetary assets and liabilities of these subsidiaries are re-measured into U.S. dollars at the current exchange rate as of the applicable balance sheet date. Non-monetary assets and liabilities are measured at historical rates.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other international subsidiaries use their respective local currency as their functional currency. Assets and liabilities of these subsidiaries are translated at the current exchange rates in effect at the balance sheet date, and income and expense accounts are translated at average exchange rates during the period. The resulting translation adjustments are included in accumulated other comprehensive loss.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Gains and losses resulting from foreign exchange transactions and re-measurement of monetary assets and liabilities in non-functional currencies are included in other expense (income), net in the accompanying consolidated statements of operations, based on the nature of the transactions. Net foreign exchange (gains) losses recorded in the consolidated statements of operations during fiscal 2025, 2024 and 2023 were $(0.8) million, $(0.3) million and $1.0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provides retirement benefits to substantially all employees primarily through its defined contribution retirement plans. These plans have matching and savings elements. Contributions by the Company to these retirement plans are based on profits and employees’ savings with no other funding requirements. Contributions to retirement plans are expensed as incurred. Retirement plan expense incurred in fiscal 2025, 2024 and 2023 was $3.3 million, $2.8 million, and $2.1 million, respectively. Retirement plan expenses are included in cost of revenues, research and development, and selling and administrative expenses on the consolidated statements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revenue by applying the five-step approach in accordance with FASB ASC Topic 606, Revenue from Contracts with Customers (“ASC 606”): (1) identification of the contract with a customer; (2) identification of the performance obligations in the contract;</w:t>
      </w:r>
    </w:p>
    <w:p>
      <w:pPr>
        <w:ind w:firstLine="8"/>
        <w:spacing w:after="0" w:line="260" w:lineRule="auto"/>
        <w:tabs>
          <w:tab w:leader="none" w:pos="2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(4) allocation of the transaction price to the performance obligations in the contract; and (5) recognition of revenue when, or as, we satisfy a performance obligation. Refer to Note 3. Revenue Recognition for further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 and Services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sales consists primarily of materials, labor and overhead costs incurred internally and amounts incurred for contract manufacturers to produce the Company’s products, personnel and other implementation costs incurred to install the Company’s products and train customer personnel, and customer service and third party original equipment manufacturer costs to provide continuing support to customers.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as a component of costs of product sales in the consolidated statements of operations because they are also included as a component of revenue billed to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Advertising costs are expensed as incurred. Advertising costs were not material during fiscal 2025, 2024 and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Transactional Taxes Collected from Customers and Remitted to Government Authorities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Transactional taxes such as sales and use tax collected from customers and remitted to governmental authorities are presented on a net basis.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research and development costs, which include costs in connection with new product development, improvement of existing products, process improvement, and product use technologies, are generally charged to operations in the period in which they are incurred. For certain software projects under development, development costs are capitalized during the period between determining technological feasibility of the product and commercial release and are included in long-term other assets on the consolidated balance sheets. The amortization of capitalized development costs begins upon commercial release, generally over three years. To date, the amount of development costs capitalized and amortized have not been material.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one stock incentive plan for its employees and non-employee directors. The stock incentive plan permits the Company to grant share-based awards in the form of options, restricted stock awards and units and performance share awards and units.</w:t>
      </w:r>
    </w:p>
    <w:p>
      <w:pPr>
        <w:spacing w:after="0" w:line="10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estimated grant date fair value of share-based awards is amortized over the requisite service period or vesting term. For non-qualified stock options, the Black-Scholes option pricing model is used to estimate the fair value as of the grant date. The determination of the fair value of stock option awards is affected by the Company’s stock price and assumptions regarding a number of variables. These variables include the Company’s expected stock price volatility over the expected term of the awards, actual and projected employee stock option exercise behaviors, the risk-free interest rate and expected dividend yield. Due to the inherent limitations of option valuation models, including consideration of future events that are unpredictable and the estimation process utilized in determining the valuation of the share-based awards, the ultimate value realized by the Company’s employees may vary significantly from the amounts expensed in its financial statements. For restricted stock awards and units and performance share awards and units with performance conditions, the market price of the Company’s common stock on the date of the grant is used to estimate the fair value. For performance share awards and units with market conditions, the fair value is estimated using a Monte-Carlo simulation model as of the grant date. The Company recognizes forfeitures of share-based awards as they occur.</w:t>
      </w:r>
    </w:p>
    <w:p>
      <w:pPr>
        <w:spacing w:after="0" w:line="14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cost for share-based payment awards on a straight-line basis over the requisite service period. For an award that has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awards with a performance condition vesting feature, share-based compensation costs are recognized when achievement of the performance conditions is considered probable. Any previously recognized compensation cost is reversed if the performance condition is not satisfied or if it is not probable that the performance conditions will be achieved. For awards with a market condition vesting feature, share-based compensation costs are recognized over the period the requisite service is rendered, regardless of when, and if ever, the market condition is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Restructuring charges represent expenses incurred in connection with certain cost reduction programs that the Company has implemented, and consists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the employee is notified, unless the employee must provide future service, in which case the benefits are expensed ratably over the future service period. The Company recognizes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All other costs related to an exit or disposal activity are expensed as incurred. Refer to Note 8. Restructuring Activities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Related Uncertainties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is required to compute its income taxes in each federal, state, and foreign jurisdiction the Company operates. This process requires that the Company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identified are classified as long-term deferred tax assets and liabilities on the consolidated balance sheets. The Company’s judgments, assumptions, and estimates relative to the current provision for income taxes take into account current tax laws, the Company’s interpretation of current tax laws, and possible outcomes of current and future audits conducted by foreign and domestic tax authorities. Changes in tax laws or the Company’s interpretation of tax laws and the resolution of current and future tax audits could significantly impact the amounts provided for income taxes in the consolidated balance sheets and consolidated statements of operations. The Company must also assess the likelihood that deferred tax assets will be realized from future taxable income and, based on this assessment, establish a valuation allowance, if required. The Company’s determination of its valuation allowance is based upon a number of assumptions, judgments, and estimates, including forecasted earnings, future taxable income, and the relative proportions of revenue and income before taxes in the various domestic and international jurisdictions in which the Company operates. To the extent the Company establishes a valuation allowance or change the valuation allowance in a period, the change is reflected with a corresponding increase or decrease to the Company’s tax provision on the consolidated statements of operations.</w:t>
      </w:r>
    </w:p>
    <w:p>
      <w:pPr>
        <w:spacing w:after="0" w:line="13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uses a two-step process to determine the amount of tax benefit to be recognized for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the Company to estimate and measure the tax benefit as the largest amount that is more than 50% likely of being realized upon ultimate settlement. It is inherently difficult and subjective to estimate such amounts, as this requires the Company to determine the probability of various possible outcomes. Uncertain tax positions are re-evaluated by the Company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 Refer to Note 11. Income Taxes for further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ASU expands reportable segment disclosure requirements, primarily through enhanced disclosures about significant segment expenses that are regularly presented to the chief operating decision maker. The disclosures required under ASU 2023-07 are also required for public entities with a single reportable segment. ASU 2023-07 is effective for the Company’s annual reporting beginning in fiscal 2025 and for interim periods beginning in fiscal 2026. The Company adopted ASU 2023-07 for the year ended June 27, 2025. The adoption of this standard does not have a material impact on the Company’s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The ASU enhances the transparency and usefulness of income tax information through improvements to disclosures primarily related to the rate reconciliation and income taxes paid information. ASU 2023-09 is effective for the Company’s annual reporting beginning in fiscal 2026. The Company is currently evaluating the impact of this ASU on its consolidated financial statements.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Income per Share of Common Stock</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income per share is computed by dividing net income attributable to the Company by the weighted average number of shares of its outstanding common stock.</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per share: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6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r>
      <w:tr>
        <w:trPr>
          <w:trHeight w:val="229"/>
        </w:trPr>
        <w:tc>
          <w:tcPr>
            <w:tcW w:w="67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48"/>
        </w:trPr>
        <w:tc>
          <w:tcPr>
            <w:tcW w:w="6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29"/>
        </w:trPr>
        <w:tc>
          <w:tcPr>
            <w:tcW w:w="6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income per share calculations since they were anti-dilutive:</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0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shares of common stock excluded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Contracts and customer purchase orders are used to determine the existence of an arrangement.</w:t>
      </w:r>
    </w:p>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of the Company’s arrangements with customers contain multiple performance obligations and therefore promises to provide multiple goods and services. The Company evaluates each promised good and service in a contract to determine whether it represents a distinct performance obligation or should be accounted for as a combined performance obligation. For goods and services determined to be distinct we have concluded that they provide a benefit to the customer either on their own or together with other resources that are readily available to the customer, without having the need for significant integration or customization.</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from product sales, recognized at a point-in-time,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Revenue from services includes certain network planning and design, engineering, installation and commissioning (“field services”), extended warranty, hosted software-as-a-service (“SaaS”),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 Certain judgment is required when estimating total contract costs and progress to completion on the over-time arrangements, as well as whether a loss is expected to be incurred on the contract.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 If circumstances arise that change the original estimates of revenues, costs, or extent of progress toward completion, revisions to the estimates are made in a timely manner.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to determine whether the latest estimates of revenues, costs, and profits require updating. In rare circumstances if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and if invoicing is ahead of revenue recognized it is classified as an unearned liability on the consolidated balance sheets.</w:t>
      </w:r>
    </w:p>
    <w:p>
      <w:pPr>
        <w:spacing w:after="0" w:line="14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Revenue recognition does not necessarily follow payment terms as there are a number of scenarios where they would be different. Recognition follows contractual terms and those vary depending on the nature of the performance obligation being satisfied. These timing differences result in contract assets and liabilities as discussed below. We assess our ability to collect from our customers based primarily on the creditworthiness and past payment history of the customer.</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22" w:lineRule="exact"/>
        <w:rPr>
          <w:sz w:val="20"/>
          <w:szCs w:val="20"/>
          <w:color w:val="auto"/>
        </w:rPr>
      </w:pPr>
    </w:p>
    <w:p>
      <w:pPr>
        <w:ind w:right="980" w:firstLine="486"/>
        <w:spacing w:after="0" w:line="438" w:lineRule="auto"/>
        <w:rPr>
          <w:sz w:val="20"/>
          <w:szCs w:val="20"/>
          <w:color w:val="auto"/>
        </w:rPr>
      </w:pPr>
      <w:r>
        <w:rPr>
          <w:rFonts w:ascii="Times New Roman" w:cs="Times New Roman" w:eastAsia="Times New Roman" w:hAnsi="Times New Roman"/>
          <w:sz w:val="18"/>
          <w:szCs w:val="18"/>
          <w:color w:val="auto"/>
        </w:rPr>
        <w:t xml:space="preserve">We present transactional taxes such as sales and use tax collected from customers and remitted to government authorities on a net basis. </w:t>
      </w:r>
      <w:r>
        <w:rPr>
          <w:rFonts w:ascii="Times New Roman" w:cs="Times New Roman" w:eastAsia="Times New Roman" w:hAnsi="Times New Roman"/>
          <w:sz w:val="18"/>
          <w:szCs w:val="18"/>
          <w:b w:val="1"/>
          <w:bCs w:val="1"/>
          <w:i w:val="1"/>
          <w:iCs w:val="1"/>
          <w:color w:val="auto"/>
        </w:rPr>
        <w:t>Bill-and-Hold Sales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customer arrangements consist of bill-and-hold characteristics under which control has been transferred to the customer, while we retain physical possession of the product. We evaluate bill-and-hold arrangement criteria to determine when the customer has obtained control. Once control has been obtained by the customer, they can direct or determine the use of the bill-and-hold inventory while we retain physical possession of the product until it is installed at a customer site at a point in time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Rights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Variable consideration estimates are re-assessed at each reporting period until a final outcome is determined. The changes to the original transaction price due to a change in estimated variable consideration are applied on a retrospective basis, with the adjustment recorded in the period in which the change occurs. Changes to variable consideration are tracked and material changes disclosed.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Stand-alone Selling Price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When allocating on a relative stand-alone selling price basis, any discount provided in the contract is allocated proportionately to all of the performance obligations in the contract.</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assessed the treatment of costs to obtain or fulfill a contract with a customer.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 The capitalized sales commissions are included in other current assets and other assets on the consolidated balance sheets. We have not identified any impairments during the periods presented.</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elected the practical expedient to expense sales commissions as incurred when the amortization period of the related asset is one year or less. These costs are recorded as selling and administrative expense and included in the consolidated balance sheet as accrued expenses until paid. Amortization expense was not material for fiscal 2025, 2024 and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Performance Obligations, and Backlog</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liabilities from contracts with customers: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4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158,013</w:t>
            </w: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90,525</w:t>
            </w:r>
          </w:p>
        </w:tc>
      </w:tr>
      <w:tr>
        <w:trPr>
          <w:trHeight w:val="23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commissions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58,839</w:t>
            </w:r>
          </w:p>
        </w:tc>
      </w:tr>
      <w:tr>
        <w:trPr>
          <w:trHeight w:val="234"/>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 long-term</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r>
    </w:tbl>
    <w:p>
      <w:pPr>
        <w:spacing w:after="0" w:line="23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Significant changes in contract balances may arise as a result of recognition over time for services, transfer of control for equipment, and periodic payments (both in arrears and in advance).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27, 2025, the Company reported $81.8 million in advance payments and unearned revenue and long-term unearned revenue, of which approximately 90% is expected to be recognized as revenue in the next twelve months and the remainder thereafter. Approximately $49.3 million and $34.1 million respectively, of revenue was recognized during fiscal 2025 and 2024 that was included in advance payments and unearned revenue at the beginning of each reporting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elect the practical consideration to exclude performance obligations that relate to contracts with original expected durations of one year or less. As our product purchase orders are generally delivered within one year or less and our maintenance and support service contracts can be terminated without substantive termination penalties resulting in contracts with less than one year of duration, these performance obligations have been excluded from the remaining performance obligation amounts. The aggregate amount of transaction price allocated to the remaining unsatisfied performance obligations (or partially unsatisfied) was approximately $153.5 million at June 27, 2025, relating to our long-term field service projects. Of this amount, we expect to recognize approximately 50% as revenue during fiscal 2026, with the remaining amount to be recognized as revenue beyond 12 months.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office space, assembly facilities, repair and service centers, and warehouses globally. Operating lease right-of-use assets and lease liabilities are recognized with initial lease terms greater than one year. Leases with an initial term of 12 months or less are not recognized on the consolidated balance sheets. Lease expense is recognized on a straight-line basis over the lease term.</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lease information is as follows: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340" w:type="dxa"/>
            <w:vAlign w:val="bottom"/>
            <w:tcBorders>
              <w:bottom w:val="single" w:sz="8" w:color="auto"/>
            </w:tcBorders>
          </w:tcPr>
          <w:p>
            <w:pPr>
              <w:spacing w:after="0"/>
              <w:rPr>
                <w:sz w:val="20"/>
                <w:szCs w:val="20"/>
                <w:color w:val="auto"/>
              </w:rPr>
            </w:pPr>
          </w:p>
        </w:tc>
      </w:tr>
      <w:tr>
        <w:trPr>
          <w:trHeight w:val="22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r>
      <w:tr>
        <w:trPr>
          <w:trHeight w:val="20"/>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420" w:type="dxa"/>
            <w:vAlign w:val="bottom"/>
            <w:tcBorders>
              <w:bottom w:val="single" w:sz="8" w:color="auto"/>
            </w:tcBorders>
          </w:tcPr>
          <w:p>
            <w:pPr>
              <w:spacing w:after="0"/>
              <w:rPr>
                <w:sz w:val="20"/>
                <w:szCs w:val="20"/>
                <w:color w:val="auto"/>
              </w:rPr>
            </w:pPr>
          </w:p>
        </w:tc>
      </w:tr>
      <w:tr>
        <w:trPr>
          <w:trHeight w:val="22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for weighted-average)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years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r>
      <w:tr>
        <w:trPr>
          <w:trHeight w:val="23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2,105</w:t>
            </w: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June 27, 2025, future minimum lease payments under all non-cancelable operating leases with an initial term greater than one year are as follows (in thousands):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23"/>
        </w:trPr>
        <w:tc>
          <w:tcPr>
            <w:tcW w:w="9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8"/>
        </w:trPr>
        <w:tc>
          <w:tcPr>
            <w:tcW w:w="9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cash, cash equivalents, and restricted cash reported within the consolidated balance sheets that reconciles to the corresponding amount in the consolidated statements of cash flows: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2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long-term other assets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2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0" w:type="dxa"/>
            <w:vAlign w:val="bottom"/>
          </w:tcPr>
          <w:p>
            <w:pPr>
              <w:spacing w:after="0"/>
              <w:rPr>
                <w:sz w:val="1"/>
                <w:szCs w:val="1"/>
                <w:color w:val="auto"/>
              </w:rPr>
            </w:pPr>
          </w:p>
        </w:tc>
      </w:tr>
      <w:tr>
        <w:trPr>
          <w:trHeight w:val="223"/>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159,867</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allowances for credit losses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Changes to the Company’s allowance for expected credit losses was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934</w:t>
            </w: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to (credits from) cost and expense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6"/>
              </w:rPr>
              <w:t>467</w:t>
            </w: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6"/>
              </w:rPr>
              <w:t>719</w:t>
            </w:r>
          </w:p>
        </w:tc>
      </w:tr>
      <w:tr>
        <w:trPr>
          <w:trHeight w:val="21"/>
        </w:trPr>
        <w:tc>
          <w:tcPr>
            <w:tcW w:w="5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27"/>
        </w:trPr>
        <w:tc>
          <w:tcPr>
            <w:tcW w:w="20" w:type="dxa"/>
            <w:vAlign w:val="bottom"/>
          </w:tcPr>
          <w:p>
            <w:pPr>
              <w:spacing w:after="0"/>
              <w:rPr>
                <w:sz w:val="24"/>
                <w:szCs w:val="24"/>
                <w:color w:val="auto"/>
              </w:rPr>
            </w:pPr>
          </w:p>
        </w:tc>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4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23"/>
        </w:trPr>
        <w:tc>
          <w:tcPr>
            <w:tcW w:w="20" w:type="dxa"/>
            <w:vAlign w:val="bottom"/>
          </w:tcPr>
          <w:p>
            <w:pPr>
              <w:spacing w:after="0"/>
              <w:rPr>
                <w:sz w:val="19"/>
                <w:szCs w:val="19"/>
                <w:color w:val="auto"/>
              </w:rPr>
            </w:pPr>
          </w:p>
        </w:tc>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44,890</w:t>
            </w:r>
          </w:p>
        </w:tc>
      </w:tr>
      <w:tr>
        <w:trPr>
          <w:trHeight w:val="230"/>
        </w:trPr>
        <w:tc>
          <w:tcPr>
            <w:tcW w:w="2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w:t>
            </w:r>
          </w:p>
        </w:tc>
      </w:tr>
      <w:tr>
        <w:trPr>
          <w:trHeight w:val="229"/>
        </w:trPr>
        <w:tc>
          <w:tcPr>
            <w:tcW w:w="20" w:type="dxa"/>
            <w:vAlign w:val="bottom"/>
          </w:tcPr>
          <w:p>
            <w:pPr>
              <w:spacing w:after="0"/>
              <w:rPr>
                <w:sz w:val="19"/>
                <w:szCs w:val="19"/>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3"/>
        </w:trPr>
        <w:tc>
          <w:tcPr>
            <w:tcW w:w="20" w:type="dxa"/>
            <w:vAlign w:val="bottom"/>
          </w:tcPr>
          <w:p>
            <w:pPr>
              <w:spacing w:after="0"/>
              <w:rPr>
                <w:sz w:val="19"/>
                <w:szCs w:val="19"/>
                <w:color w:val="auto"/>
              </w:rPr>
            </w:pP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62,267</w:t>
            </w:r>
          </w:p>
        </w:tc>
      </w:tr>
      <w:tr>
        <w:trPr>
          <w:trHeight w:val="20"/>
        </w:trPr>
        <w:tc>
          <w:tcPr>
            <w:tcW w:w="20" w:type="dxa"/>
            <w:vAlign w:val="bottom"/>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Consigned inventories included within 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records charges to adjust inventories due to excess and obsolete inventory resulting from lower sales forecasts, product transitioning or discontinuance. The charges incurred during fiscal 2025, 2024 and 2023 were classified in cost of product sales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charges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2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23"/>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manufacturing assets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r>
      <w:tr>
        <w:trPr>
          <w:trHeight w:val="223"/>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27,076</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fiscal 2024, management initiated the sale of the Company’s property located in New Zealand. The Company completed the sale of the property in August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4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 and equipment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69,898</w:t>
            </w:r>
          </w:p>
        </w:tc>
      </w:tr>
      <w:tr>
        <w:trPr>
          <w:trHeight w:val="223"/>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71,200</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(61,720)</w:t>
            </w:r>
          </w:p>
        </w:tc>
      </w:tr>
      <w:tr>
        <w:trPr>
          <w:trHeight w:val="248"/>
        </w:trPr>
        <w:tc>
          <w:tcPr>
            <w:tcW w:w="7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Included in the total plant, property and equipment above were $10.3 million and $4.1 million of assets in progress which have not been placed in service as of June 27, 2025, and June 28, 2024, respectively.</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plant and equipment was $5.3 million, $4.0 million and $5.5 million in fiscal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27"/>
        </w:trPr>
        <w:tc>
          <w:tcPr>
            <w:tcW w:w="20" w:type="dxa"/>
            <w:vAlign w:val="bottom"/>
          </w:tcPr>
          <w:p>
            <w:pPr>
              <w:spacing w:after="0"/>
              <w:rPr>
                <w:sz w:val="24"/>
                <w:szCs w:val="24"/>
                <w:color w:val="auto"/>
              </w:rPr>
            </w:pPr>
          </w:p>
        </w:tc>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4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23"/>
        </w:trPr>
        <w:tc>
          <w:tcPr>
            <w:tcW w:w="20" w:type="dxa"/>
            <w:vAlign w:val="bottom"/>
          </w:tcPr>
          <w:p>
            <w:pPr>
              <w:spacing w:after="0"/>
              <w:rPr>
                <w:sz w:val="19"/>
                <w:szCs w:val="19"/>
                <w:color w:val="auto"/>
              </w:rPr>
            </w:pPr>
          </w:p>
        </w:tc>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costs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w:t>
            </w:r>
          </w:p>
        </w:tc>
      </w:tr>
      <w:tr>
        <w:trPr>
          <w:trHeight w:val="230"/>
        </w:trPr>
        <w:tc>
          <w:tcPr>
            <w:tcW w:w="2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r>
      <w:tr>
        <w:trPr>
          <w:trHeight w:val="229"/>
        </w:trPr>
        <w:tc>
          <w:tcPr>
            <w:tcW w:w="20" w:type="dxa"/>
            <w:vAlign w:val="bottom"/>
          </w:tcPr>
          <w:p>
            <w:pPr>
              <w:spacing w:after="0"/>
              <w:rPr>
                <w:sz w:val="19"/>
                <w:szCs w:val="19"/>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r>
      <w:tr>
        <w:trPr>
          <w:trHeight w:val="230"/>
        </w:trPr>
        <w:tc>
          <w:tcPr>
            <w:tcW w:w="2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29"/>
        </w:trPr>
        <w:tc>
          <w:tcPr>
            <w:tcW w:w="20" w:type="dxa"/>
            <w:vAlign w:val="bottom"/>
          </w:tcPr>
          <w:p>
            <w:pPr>
              <w:spacing w:after="0"/>
              <w:rPr>
                <w:sz w:val="19"/>
                <w:szCs w:val="19"/>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9"/>
        </w:trPr>
        <w:tc>
          <w:tcPr>
            <w:tcW w:w="2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23"/>
        </w:trPr>
        <w:tc>
          <w:tcPr>
            <w:tcW w:w="20" w:type="dxa"/>
            <w:vAlign w:val="bottom"/>
          </w:tcPr>
          <w:p>
            <w:pPr>
              <w:spacing w:after="0"/>
              <w:rPr>
                <w:sz w:val="19"/>
                <w:szCs w:val="19"/>
                <w:color w:val="auto"/>
              </w:rPr>
            </w:pP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42,148</w:t>
            </w:r>
          </w:p>
        </w:tc>
      </w:tr>
      <w:tr>
        <w:trPr>
          <w:trHeight w:val="21"/>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accrues for the estimated cost to repair or replace products under warranty. Changes in the accrued warranty liability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Warranty provision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Consumption</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payments and unearned revenue</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6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27, 2025</w:t>
            </w:r>
          </w:p>
        </w:tc>
        <w:tc>
          <w:tcPr>
            <w:tcW w:w="24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4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4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advanced payments and unearned revenue</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Excluded from the balances above are $8.1 million and $7.4 million in long-term unearned revenue as of June 27, 2025, and June 28,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 of Assets and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spacing w:after="0" w:line="18"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fair values and valuation input levels of financial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2025, and June 28, 2024, were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44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28, 2024</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2,782</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34"/>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3,660</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20"/>
                <w:szCs w:val="20"/>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Items are classified within Level 1 if quoted prices are available in active markets. The Company’s Level 1 items are primarily money market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27, 2025, and June 28, 2024, the money market funds were valued at $1.00 net asset value per share.</w:t>
      </w:r>
    </w:p>
    <w:p>
      <w:pPr>
        <w:spacing w:after="0" w:line="15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as Level 2. The carrying value of bank certificates of deposit approximates their fair value. The Company did not have any recurring assets or liabilities that were valued using significant unobservable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Credit Facility and Debt</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entered into a Secured Credit Facility Agreement (the “Credit Facility”), dated May 9, 2023, amended as of November 22, 2023 and October 18, 2024, with Wells Fargo Bank, National Association, as administrative agent, swingline lender and issuing lender and Wells Fargo Securities LLC, Citigroup Global Markets Inc., and Regions Capital Markets as lenders. The Credit Facility provides for a $75.0 million revolving credit facility (the “Revolver”) and a $75.0 million Term Loan Facility (the “Term Loan”) with a maturity date of October 18, 2029. The $75.0 million Revolver can be borrowed with a $10.0 million sub-limit for letters of credit, and a $10.0 million swingline loan sub-limit. On August 28, 2025, the Company entered into an amendment under the Credit Facility to increase the Term Loan and Revolver commitments by $20 million for each instrument. Refer to Note 16. Subsequent Events for further information.</w:t>
      </w:r>
    </w:p>
    <w:p>
      <w:pPr>
        <w:spacing w:after="0" w:line="13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2023, the Company borrowed $50.0 million against the Term Loan to primarily settle the cash portion of the consideration associated with the NEC Transaction. Refer to Note 12. Acquisitions for further information.</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27, 2025, the available credit under the Revolver was $51.3 million, reflecting the available limit of $60.0 million less outstanding letters of credit of $8.7 million. The Company borrowed $95.0 million and repaid $80.0 million against the Revolver in fiscal 2025. The Company borrowed $75.0 million and repaid $50.6 million against the Term Loan in fiscal 2025. As of June 27, 2025, the Company had $73.1 million outstanding under its Term Loan and $15.0 million borrowings under its Revolver.</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the Company’s outstanding long-term debt as of June 27, 2025:</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9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73,125</w:t>
            </w:r>
          </w:p>
        </w:tc>
      </w:tr>
      <w:tr>
        <w:trPr>
          <w:trHeight w:val="229"/>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Revolver</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3"/>
        </w:trPr>
        <w:tc>
          <w:tcPr>
            <w:tcW w:w="9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87,590</w:t>
            </w:r>
          </w:p>
        </w:tc>
      </w:tr>
      <w:tr>
        <w:trPr>
          <w:trHeight w:val="23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w:t>
            </w:r>
          </w:p>
        </w:tc>
      </w:tr>
      <w:tr>
        <w:trPr>
          <w:trHeight w:val="223"/>
        </w:trPr>
        <w:tc>
          <w:tcPr>
            <w:tcW w:w="9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68,966</w:t>
            </w:r>
          </w:p>
        </w:tc>
      </w:tr>
      <w:tr>
        <w:trPr>
          <w:trHeight w:val="20"/>
        </w:trPr>
        <w:tc>
          <w:tcPr>
            <w:tcW w:w="9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June 27, 2025, the applicable margin on Adjusted Term SOFR and Base Rate borrowings was 2.75% and 1.75%, respectively. The effective rate of interest on the outstanding Term Loan borrowings as of June 27, 2025, was 6.9%.</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June 27, 2025, the Company was in compliance with all financial covenants contained in the Credit Facility.</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scheduled maturities of outstanding long-term debt are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vMerge w:val="restart"/>
          </w:tcPr>
          <w:p>
            <w:pPr>
              <w:spacing w:after="0"/>
              <w:rPr>
                <w:sz w:val="2"/>
                <w:szCs w:val="2"/>
                <w:color w:val="auto"/>
              </w:rPr>
            </w:pPr>
          </w:p>
        </w:tc>
        <w:tc>
          <w:tcPr>
            <w:tcW w:w="9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vMerge w:val="continue"/>
          </w:tcPr>
          <w:p>
            <w:pPr>
              <w:spacing w:after="0"/>
              <w:rPr>
                <w:sz w:val="19"/>
                <w:szCs w:val="19"/>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Restructuring Activities</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94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9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restructuring related activities during fiscal 2025, 2024 and 2023: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Employee Severance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and Benefits</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1, 2022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9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9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Charges, net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9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9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27, 2025, the accrued restructuring balance of $1.8 million was included in other current liabilities on the consolidated balance sheets. Included in the above were positions identified for termination that have not been executed from a restructuring perspective. The other activities primarily represent the impact of foreign currency movement.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Plans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2025, the Company’s Board of Directors approved restructuring plans, primarily associated with reductions in workforce in certain of the Company’s operations to optimize skill sets and align cost structure and reductions associated with the NEC Transaction and 4RF acquisition. The fiscal 2025 plans are expected to be completed through the end of fiscal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Fiscal Years’ Plans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Activities under the prior fiscal years’ plans primarily included reductions in workforce across the Company associated with the NEC Transaction and reductions in workforce in certain of the Company’s operations to optimize skill sets and align cost structure. Payments related to the accrued restructuring balance for the prior fiscal years’ plans are complete.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3" w:name="page74"/>
    <w:bookmarkEnd w:id="7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authorized a stock repurchase program to purchase up to $10.0 million of the Company’s common stock. As of June 27, 2025, $6.3 million remained available for repurchase under the November 2021 stock repurchase program. Repurchased shares are recorded as treasury stock and are not formally retired.</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 in fiscal 2025, 2024 and 2023:</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40" w:type="dxa"/>
            <w:vAlign w:val="bottom"/>
          </w:tcPr>
          <w:p>
            <w:pPr>
              <w:spacing w:after="0"/>
              <w:rPr>
                <w:sz w:val="16"/>
                <w:szCs w:val="16"/>
                <w:color w:val="auto"/>
              </w:rPr>
            </w:pPr>
          </w:p>
        </w:tc>
        <w:tc>
          <w:tcPr>
            <w:tcW w:w="164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Aggregate Purchase</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0" w:type="dxa"/>
            <w:vAlign w:val="bottom"/>
          </w:tcPr>
          <w:p>
            <w:pPr>
              <w:spacing w:after="0"/>
              <w:rPr>
                <w:sz w:val="18"/>
                <w:szCs w:val="18"/>
                <w:color w:val="auto"/>
              </w:rPr>
            </w:pPr>
          </w:p>
        </w:tc>
        <w:tc>
          <w:tcPr>
            <w:tcW w:w="164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8"/>
        </w:trPr>
        <w:tc>
          <w:tcPr>
            <w:tcW w:w="564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ind w:right="61"/>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2025</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2023</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March 2018, the Company’s stockholders approved the 2018 Incentive Plan (the “2018 Plan”). The 2018 Plan permits the Company to grant share-based awards in the form of options, stock appreciation rights, restricted stock awards and units (“restricted stock”) and performance share awards and units (“performance shares”) to the Company’s employees and non-employee directors. The 2018 Plan replaced the 2007 Plan as the Company’s primary long-term incentive program. The 2007 Plan was discontinued following stockholder approval of the 2018 Plan, but the outstanding awards under the 2007 Plan will continue to remain in effect in accordance with their terms; provided that, as shares are returned under the 2007 Plan upon cancellation, termination or otherwise of awards outstanding under the 2007 Plan, such shares will be available for grant under the 2018 Plan.</w:t>
      </w:r>
    </w:p>
    <w:p>
      <w:pPr>
        <w:spacing w:after="0" w:line="13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2018 Plan, option exercise prices are equal to the closing market value of the Company’s common stock on the date of grant. Options granted to employees vest annually over three years and expire seven years from the date of grant. Restricted stock granted to employees vest annually over three years from the date of grant. Restricted stock granted to non-employee directors vest annually on the day before the annual stockholders’ meeting. Performance shares granted to employees are subject to a three-year cliff vesting period from the date of grant, subject to the achievement of predetermined financial performance and market condition criteria. The vesting of share-based awards granted to the Company’s employees and non-employee directors are generally subject to continued service through the vesting date.</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New shares of the Company’s common stock are issued to employees upon the exercise of options, vesting of restricted stock, or vesting of performance shares. All awards that are canceled prior to vesting or expire unexercised are returned to the approved pool of reserved shares and made available for future grants under the 2018 Plan. As of June 27, 2025, 414,366 shares remain available for grant under the 2018 Plan.</w:t>
      </w:r>
    </w:p>
    <w:p>
      <w:pPr>
        <w:spacing w:after="0" w:line="12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2020, the Company’s Board of Directors authorized and declared a dividend distribution of one right (a “Right”) for each outstanding share of common stock, par value $0.01 per share, to the Company’s stockholders of record as of the close of business on March 3, 2020 (the “Record Date”). Each Right entitles the registered holder to purchase from the Company one one-thousandth of a share of Series A Participating Preferred Stock, par value $0.01 per share (the “Preferred Shares”), of the Company at an exercise price of $35.00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the Amended and Restated Tax Benefit Preservation Plan (the “Plan”), dated as of August 27, 2020, and amended as of February 28, 2023, between the Company and Computershare Inc., as rights agent. By adopting the Plan, the Company is helping to preserve the value of certain deferred tax benefits, including those generated by net operating losses (collectively, the “Tax Benefits”), which could be lost in the event of an “ownership change” as defined under Section 382 of the U.S. tax code. The amended Plan was approved at the Company’s Annual Meeting of Stockholders held in November 2023, which extended the final expiration date of the Plan until March 3, 2026.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2023, the Company’s Board of Directors adopted certain amendments to Aviat’s Amended and Restated Certificate of Incorporation, as amended (the “Charter Amendments”) The Charter Amendments are designed to preserve the Tax Benefits by restricting certain transfers of the Company’s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compensation expense for share-based awards included in the consolidated statements of operations for fiscal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By Expense Category:</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sales and services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By Type of Award: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23"/>
        </w:trPr>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unamortized compensation expense and the remaining years over which such expense would be expected to be recognized, on a weighted-average basis, by type of award: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Unamortized Expense</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35"/>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0" w:type="dxa"/>
            <w:vAlign w:val="bottom"/>
            <w:tcBorders>
              <w:bottom w:val="single" w:sz="8" w:color="auto"/>
            </w:tcBorders>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Recognition Period</w:t>
            </w: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515"/>
              <w:spacing w:after="0"/>
              <w:rPr>
                <w:sz w:val="20"/>
                <w:szCs w:val="20"/>
                <w:color w:val="auto"/>
              </w:rPr>
            </w:pPr>
            <w:r>
              <w:rPr>
                <w:rFonts w:ascii="Times New Roman" w:cs="Times New Roman" w:eastAsia="Times New Roman" w:hAnsi="Times New Roman"/>
                <w:sz w:val="14"/>
                <w:szCs w:val="14"/>
                <w:color w:val="auto"/>
                <w:w w:val="99"/>
              </w:rPr>
              <w:t>(Years)</w:t>
            </w: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3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summary of the option activity during fiscal 2025 is as follows: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00" w:type="dxa"/>
            <w:vAlign w:val="bottom"/>
          </w:tcPr>
          <w:p>
            <w:pPr>
              <w:spacing w:after="0"/>
              <w:rPr>
                <w:sz w:val="24"/>
                <w:szCs w:val="24"/>
                <w:color w:val="auto"/>
              </w:rPr>
            </w:pPr>
          </w:p>
        </w:tc>
        <w:tc>
          <w:tcPr>
            <w:tcW w:w="11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48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48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00" w:type="dxa"/>
            <w:vAlign w:val="bottom"/>
          </w:tcPr>
          <w:p>
            <w:pPr>
              <w:spacing w:after="0"/>
              <w:rPr>
                <w:sz w:val="14"/>
                <w:szCs w:val="14"/>
                <w:color w:val="auto"/>
              </w:rPr>
            </w:pPr>
          </w:p>
        </w:tc>
        <w:tc>
          <w:tcPr>
            <w:tcW w:w="1180" w:type="dxa"/>
            <w:vAlign w:val="bottom"/>
          </w:tcPr>
          <w:p>
            <w:pPr>
              <w:jc w:val="center"/>
              <w:ind w:right="11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960" w:type="dxa"/>
            <w:vAlign w:val="bottom"/>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13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tcBorders>
          </w:tcPr>
          <w:p>
            <w:pPr>
              <w:jc w:val="center"/>
              <w:ind w:left="315"/>
              <w:spacing w:after="0"/>
              <w:rPr>
                <w:sz w:val="20"/>
                <w:szCs w:val="20"/>
                <w:color w:val="auto"/>
              </w:rPr>
            </w:pPr>
            <w:r>
              <w:rPr>
                <w:rFonts w:ascii="Times New Roman" w:cs="Times New Roman" w:eastAsia="Times New Roman" w:hAnsi="Times New Roman"/>
                <w:sz w:val="14"/>
                <w:szCs w:val="14"/>
                <w:color w:val="auto"/>
                <w:w w:val="95"/>
              </w:rPr>
              <w:t>(Years)</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June 28, 2024</w:t>
            </w:r>
          </w:p>
        </w:tc>
        <w:tc>
          <w:tcPr>
            <w:tcW w:w="13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437</w:t>
            </w:r>
          </w:p>
        </w:tc>
        <w:tc>
          <w:tcPr>
            <w:tcW w:w="78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30"/>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(22)</w:t>
            </w:r>
          </w:p>
        </w:tc>
        <w:tc>
          <w:tcPr>
            <w:tcW w:w="7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(23)</w:t>
            </w:r>
          </w:p>
        </w:tc>
        <w:tc>
          <w:tcPr>
            <w:tcW w:w="78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99"/>
              </w:rPr>
              <w:t>(24)</w:t>
            </w:r>
          </w:p>
        </w:tc>
        <w:tc>
          <w:tcPr>
            <w:tcW w:w="780" w:type="dxa"/>
            <w:vAlign w:val="bottom"/>
            <w:tcBorders>
              <w:bottom w:val="single" w:sz="8" w:color="CCEEFF"/>
            </w:tcBorders>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June 27, 2025</w:t>
            </w:r>
          </w:p>
        </w:tc>
        <w:tc>
          <w:tcPr>
            <w:tcW w:w="13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368</w:t>
            </w:r>
          </w:p>
        </w:tc>
        <w:tc>
          <w:tcPr>
            <w:tcW w:w="7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as of June 27, 2025</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CCEEFF"/>
            </w:tcBorders>
            <w:gridSpan w:val="2"/>
            <w:vMerge w:val="restart"/>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line="20" w:lineRule="exact"/>
              <w:rPr>
                <w:sz w:val="1"/>
                <w:szCs w:val="1"/>
                <w:color w:val="auto"/>
              </w:rPr>
            </w:pPr>
          </w:p>
        </w:tc>
      </w:tr>
      <w:tr>
        <w:trPr>
          <w:trHeight w:val="204"/>
        </w:trPr>
        <w:tc>
          <w:tcPr>
            <w:tcW w:w="5340" w:type="dxa"/>
            <w:vAlign w:val="bottom"/>
            <w:vMerge w:val="continue"/>
          </w:tcPr>
          <w:p>
            <w:pPr>
              <w:spacing w:after="0"/>
              <w:rPr>
                <w:sz w:val="17"/>
                <w:szCs w:val="17"/>
                <w:color w:val="auto"/>
              </w:rPr>
            </w:pPr>
          </w:p>
        </w:tc>
        <w:tc>
          <w:tcPr>
            <w:tcW w:w="1380" w:type="dxa"/>
            <w:vAlign w:val="bottom"/>
          </w:tcPr>
          <w:p>
            <w:pPr>
              <w:ind w:left="1040"/>
              <w:spacing w:after="0" w:line="203" w:lineRule="exact"/>
              <w:rPr>
                <w:sz w:val="20"/>
                <w:szCs w:val="20"/>
                <w:color w:val="auto"/>
              </w:rPr>
            </w:pPr>
            <w:r>
              <w:rPr>
                <w:rFonts w:ascii="Times New Roman" w:cs="Times New Roman" w:eastAsia="Times New Roman" w:hAnsi="Times New Roman"/>
                <w:sz w:val="18"/>
                <w:szCs w:val="18"/>
                <w:color w:val="auto"/>
              </w:rPr>
              <w:t>368</w:t>
            </w: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June 27, 2025</w:t>
            </w:r>
          </w:p>
        </w:tc>
        <w:tc>
          <w:tcPr>
            <w:tcW w:w="13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267</w:t>
            </w:r>
          </w:p>
        </w:tc>
        <w:tc>
          <w:tcPr>
            <w:tcW w:w="78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aggregate intrinsic value represents the total pre-tax intrinsic value or the aggregate difference between the closing price of the Company’s common stock on June 27, 2025 of $23.94, and the exercise price for in-the-money options that would have been received by the optionees if all options had been exercised on June 27,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5" w:name="page76"/>
    <w:bookmarkEnd w:id="75"/>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information related to stock options is summarized below:</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r>
    </w:tbl>
    <w:p>
      <w:pPr>
        <w:spacing w:after="0" w:line="220"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each option grant was estimated using the Black-Scholes option pricing model on the date of grant for option grants during fiscal 2024 and 2023. No option grants were issued during fiscal 2025. A summary of the weighted-average significant assumptions used in the Black-Scholes valuation model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7"/>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560" w:type="dxa"/>
            <w:vAlign w:val="bottom"/>
            <w:gridSpan w:val="9"/>
          </w:tcPr>
          <w:p>
            <w:pPr>
              <w:ind w:left="480"/>
              <w:spacing w:after="0"/>
              <w:rPr>
                <w:sz w:val="20"/>
                <w:szCs w:val="20"/>
                <w:color w:val="auto"/>
              </w:rPr>
            </w:pPr>
            <w:r>
              <w:rPr>
                <w:rFonts w:ascii="Times New Roman" w:cs="Times New Roman" w:eastAsia="Times New Roman" w:hAnsi="Times New Roman"/>
                <w:sz w:val="18"/>
                <w:szCs w:val="18"/>
                <w:color w:val="auto"/>
              </w:rPr>
              <w:t>The following summarizes options outstanding and exercisable as of June 27, 2025:</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bottom w:val="single" w:sz="8" w:color="auto"/>
            </w:tcBorders>
            <w:gridSpan w:val="8"/>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5"/>
                <w:szCs w:val="15"/>
                <w:color w:val="auto"/>
              </w:rPr>
            </w:pPr>
          </w:p>
        </w:tc>
        <w:tc>
          <w:tcPr>
            <w:tcW w:w="1280" w:type="dxa"/>
            <w:vAlign w:val="bottom"/>
            <w:gridSpan w:val="2"/>
            <w:vMerge w:val="restart"/>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Actual Range of Exercise Prices</w:t>
            </w: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5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4"/>
            <w:vMerge w:val="continue"/>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80" w:type="dxa"/>
            <w:vAlign w:val="bottom"/>
          </w:tcPr>
          <w:p>
            <w:pPr>
              <w:spacing w:after="0"/>
              <w:rPr>
                <w:sz w:val="21"/>
                <w:szCs w:val="21"/>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1"/>
                <w:szCs w:val="21"/>
                <w:color w:val="auto"/>
              </w:rPr>
            </w:pPr>
          </w:p>
        </w:tc>
        <w:tc>
          <w:tcPr>
            <w:tcW w:w="12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$7.23</w:t>
            </w:r>
          </w:p>
        </w:tc>
        <w:tc>
          <w:tcPr>
            <w:tcW w:w="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9"/>
                <w:szCs w:val="19"/>
                <w:color w:val="auto"/>
              </w:rPr>
            </w:pPr>
          </w:p>
        </w:tc>
        <w:tc>
          <w:tcPr>
            <w:tcW w:w="15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380" w:type="dxa"/>
            <w:vAlign w:val="bottom"/>
            <w:gridSpan w:val="8"/>
          </w:tcPr>
          <w:p>
            <w:pPr>
              <w:ind w:left="480"/>
              <w:spacing w:after="0"/>
              <w:rPr>
                <w:sz w:val="20"/>
                <w:szCs w:val="20"/>
                <w:color w:val="auto"/>
              </w:rPr>
            </w:pPr>
            <w:r>
              <w:rPr>
                <w:rFonts w:ascii="Times New Roman" w:cs="Times New Roman" w:eastAsia="Times New Roman" w:hAnsi="Times New Roman"/>
                <w:sz w:val="18"/>
                <w:szCs w:val="18"/>
                <w:color w:val="auto"/>
              </w:rPr>
              <w:t>A summary of the restricted stock activity during fiscal 2025 is as follows: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31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Restricted stock outstanding as of June 28, 2024</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Vested and released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Restricted stock outstanding as of June 27, 2025</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each restricted stock grant is based on the closing price of the Company’s common stock on the date of grant. The total grant date fair value of restricted stock that vested during fiscal 2025, 2024 and 2023 was $4.2 million, $4.1 million and $3.4 million,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 summary of the performance shares activity during fiscal 2025 is as follows: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80"/>
        </w:trPr>
        <w:tc>
          <w:tcPr>
            <w:tcW w:w="7540" w:type="dxa"/>
            <w:vAlign w:val="bottom"/>
          </w:tcPr>
          <w:p>
            <w:pPr>
              <w:spacing w:after="0"/>
              <w:rPr>
                <w:sz w:val="15"/>
                <w:szCs w:val="15"/>
                <w:color w:val="auto"/>
              </w:rPr>
            </w:pPr>
          </w:p>
        </w:tc>
        <w:tc>
          <w:tcPr>
            <w:tcW w:w="1380" w:type="dxa"/>
            <w:vAlign w:val="bottom"/>
            <w:vMerge w:val="restart"/>
          </w:tcPr>
          <w:p>
            <w:pPr>
              <w:jc w:val="center"/>
              <w:ind w:left="339"/>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754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spacing w:after="0"/>
              <w:rPr>
                <w:sz w:val="17"/>
                <w:szCs w:val="17"/>
                <w:color w:val="auto"/>
              </w:rPr>
            </w:pPr>
          </w:p>
        </w:tc>
        <w:tc>
          <w:tcPr>
            <w:tcW w:w="138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shares outstanding as of June 28, 2024</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29"/>
        </w:trPr>
        <w:tc>
          <w:tcPr>
            <w:tcW w:w="8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Vested and released</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2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shares outstanding as of June 27, 2025</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performance shares with market condition terms was estimated using the Monte-Carlo simulation model. A summary of the significant assumptions is as follows:</w:t>
      </w:r>
    </w:p>
    <w:p>
      <w:pPr>
        <w:spacing w:after="0" w:line="6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36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r>
      <w:tr>
        <w:trPr>
          <w:trHeight w:val="229"/>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performance shares that vested during fiscal 2025, 2024 and 2023 was $1.9 million, $1.8 million and $1.0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and Geographic Information</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Aviat operates in one reportable business segment: the design, manufacturing and sale of a range of wireless networking and access networking products, solutions and services. Aviat conducts business globally and its sales and support activities are managed on a geographic basis. The Company’s Chief Executive Officer (“CEO”) is the Chief Operating Decision Maker (the “CODM”). The CODM manages the business primarily by function globally and reviews financial information on a consolidated basis, accompanied by disaggregated information about revenues by geographic region, for purposes of allocating resources and evaluating financial performance. The profitability of geographic regions is not a determining factor in allocating resources and the CODM does not evaluate profitability below the level of the consolidated company. Significant segment expenses are presented in Aviat’s consolidated statement of operations.</w:t>
      </w:r>
    </w:p>
    <w:p>
      <w:pPr>
        <w:spacing w:after="0" w:line="13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reports revenue by region and country based on the location where customers accept delivery of products and services. Revenue by region for fiscal 2025, 2024 and 2023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200,678</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 and Middle East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59,674</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65,309</w:t>
            </w: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country comprising more than 10% of total revenue for fiscal 2025, 2024 and 2023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4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1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197,052</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197,018</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Long-lived assets, consisting primarily of net property, plant and equipment and operating lease right-of-use assets, by geographic areas based on physical location as of June 27, 2025, and June 28, 2024,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4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Slovenia</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23"/>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13,190</w:t>
            </w:r>
          </w:p>
        </w:tc>
      </w:tr>
      <w:tr>
        <w:trPr>
          <w:trHeight w:val="21"/>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before provision for income taxes during fiscal 2025, 2024 and 2023 consisted of the following:</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(benefit from) income taxes for fiscal 2025, 2024 and 2023 were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3"/>
        </w:trPr>
        <w:tc>
          <w:tcPr>
            <w:tcW w:w="56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23"/>
        </w:trPr>
        <w:tc>
          <w:tcPr>
            <w:tcW w:w="56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w:t>
            </w: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differed from the amount computed by applying the federal statutory rate of 21% to the Company’s income before provision for income taxes as follows: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at statutory rate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inclusions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flow-through entities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4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taxes, net of U.S. federal tax benefit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taxed at rates different than the U.S. statutory rate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5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5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 generated and expired</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Foreign withholding taxes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Return-to-provision/Deferred true-up adjustments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restructuring and integration</w:t>
            </w:r>
          </w:p>
        </w:tc>
        <w:tc>
          <w:tcPr>
            <w:tcW w:w="4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r>
      <w:tr>
        <w:trPr>
          <w:trHeight w:val="229"/>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provision for income taxes was $2.2 million for fiscal 2025, $6.1 million for fiscal 2024 and $11.1 million for fiscal 2023. The Company’s tax expense for fiscal 2025 was primarily due to tax expense related to U.S. and profitable foreign subsidiaries, partially offset by Canada valuation allowance release. The Company’s tax expense for fiscal 2024 was primarily due to tax expense related to U.S. and profitable foreign subsidiaries, partially offset by Canada valuation allowance release. The Company’s tax expense for fiscal 2023 was primarily due to tax expense related to U.S. and profitable foreign subsidiaries, including deferred tax expense associated with the acquisition of Redline (as defined below) in July 2022 and the subsequent restructuring and integration impact. Refer to Note 12. Acquisitions for further information.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 as follows: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5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4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0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exchange gain/loss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loss carryforwards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93,516</w:t>
            </w:r>
          </w:p>
        </w:tc>
      </w:tr>
      <w:tr>
        <w:trPr>
          <w:trHeight w:val="223"/>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118,805</w:t>
            </w:r>
          </w:p>
        </w:tc>
      </w:tr>
      <w:tr>
        <w:trPr>
          <w:trHeight w:val="229"/>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(34,543)</w:t>
            </w:r>
          </w:p>
        </w:tc>
      </w:tr>
      <w:tr>
        <w:trPr>
          <w:trHeight w:val="22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84,262</w:t>
            </w: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Branch undistributed earnings reserve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3"/>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48"/>
        </w:trPr>
        <w:tc>
          <w:tcPr>
            <w:tcW w:w="7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 on the consolidated balance sheets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83,112</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deferred income tax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82,700</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valuation allowance related to deferred income taxes, as reflected on the consolidated balance sheets, was $32.5 million as of June 27, 2025 and $34.5 million as of June 28, 2024. The change in valuation allowance for the fiscal years ended June 27, 2025, and June 28, 2024, was a decrease of $2.0 million and a decrease of $2.6 million, respectively.</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decrease in the valuation allowance in fiscal 2025 was primarily due to the release of certain foreign valuation allowances. Similarly the decrease in the valuation allowance in fiscal 2024 was primarily due to the release of certain foreign valuation allowances. As of June 27, 2025, the Company maintains a valuation allowance of $1.0 million on certain U.S. federal and state deferred tax assets that the Company believes is not more likely than not to be realized in future periods.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Tax loss and credit carryforwards as of June 27, 2025, have expiration dates ranging between one year and no expiration in certain instances. The amounts of U.S. federal tax loss carryforwards as of June 27, 2025, was $256.7 million and begin to expire in fiscal 2028. The amount of U.S. federal and state tax credit carryforwards as of June 27, 2025, was $5.5 million, and certain credits begin to expire in fiscal 2026. The amount of foreign tax loss carryforwards as of June 27, 2025, was $205.0 million and certain losses begin to expire in fiscal 2026. The amount of foreign tax credit carryforwards as of June 27, 2025, was $3.1 million, and certain credits will begin to expire in fiscal 2026.</w:t>
      </w:r>
    </w:p>
    <w:p>
      <w:pPr>
        <w:spacing w:after="0" w:line="1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uses the flow-through method to account for investment tax credits generated on eligible scientific research and development expenditures. Under this method, the investment tax credits are recognized as a benefit to income tax in the year they are generated.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United States income taxes have not been provided on basis differences in foreign subsidiaries of $25.5 million as of June 27, 2025, because of the Company’s intention to reinvest these earnings indefinitely. Additionally, no foreign withholding taxes, federal or state taxes have been provided if these unremitted earnings of the Company’s foreign subsidiaries were distributed, as such amounts are considered permanently reinvested. It is not practicable to estimate the additional income taxes, including applicable foreign withholding taxes, that would be due upon the repatriation of these earnings.</w:t>
      </w:r>
    </w:p>
    <w:p>
      <w:pPr>
        <w:sectPr>
          <w:pgSz w:w="11900" w:h="16838" w:orient="portrait"/>
          <w:cols w:equalWidth="0" w:num="1">
            <w:col w:w="11240"/>
          </w:cols>
          <w:pgMar w:left="320" w:top="1440" w:right="339" w:bottom="1440" w:gutter="0" w:footer="0" w:header="0"/>
        </w:sectPr>
      </w:pP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unrecognized tax benefit activity for fiscal 2025, 2024 and 2023 was as follows: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expiration of the statute of limitations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change of foreign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June 30, 2023</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related to expiration of the statute of limitations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change of foreign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June 28, 2024</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settlements with tax authorities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related to expiration of the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Increases related to change of foreign exchange rate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June 27,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20" w:hanging="1218"/>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17,707</w:t>
      </w:r>
    </w:p>
    <w:p>
      <w:pPr>
        <w:spacing w:after="0" w:line="27"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770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(457)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(1,953)</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16,086</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971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(880)</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16,075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723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(819)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11398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1" w:lineRule="exact"/>
        <w:rPr>
          <w:sz w:val="20"/>
          <w:szCs w:val="20"/>
          <w:color w:val="auto"/>
        </w:rPr>
      </w:pPr>
    </w:p>
    <w:p>
      <w:pPr>
        <w:ind w:left="1220" w:hanging="1218"/>
        <w:spacing w:after="0"/>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11398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43180</wp:posOffset>
            </wp:positionV>
            <wp:extent cx="11398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740" w:space="720"/>
            <w:col w:w="1780"/>
          </w:cols>
          <w:pgMar w:left="320" w:top="1440" w:right="339" w:bottom="1440" w:gutter="0" w:footer="0" w:header="0"/>
          <w:type w:val="continuous"/>
        </w:sectPr>
      </w:pPr>
    </w:p>
    <w:p>
      <w:pPr>
        <w:spacing w:after="0" w:line="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27, 2025, the Company had unrecognized tax benefits of $16.0 million for various federal, foreign, and state income tax matters, compared to $16.1 million as of June 28, 2024. The Company’s total unrecognized tax benefits that, if recognized, would affect its effective tax rate was $7.5 million as of June 27, 2025. These unrecognized tax benefits are presented on the accompanying consolidated balance sheets net of the tax effects of net operating loss carryforwards.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accounts for interest and penalties related to unrecognized tax benefits as part of its provision for income taxes. The interest accrued was $0.5 million as of June 27, 2025. An immaterial amount of penalties have been accrued as of June 27, 2025.</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Singapore, and various state and foreign jurisdictions. We are currently under examination in Singapore for fiscal years 2015-2021 and in various other foreign jurisdictions. We remain subject to potential audits in the U.S. for fiscal years after 2021, and in Singapore for fiscal years after 2014. Additionally, all net operating losses and tax credits generated to date in these two jurisdictions are subject to adjustment.</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(“IRA”) which includes a new corporate alternative minimum tax of 15% on adjusted financial statement income of corporations with profits greater than $1 billion, effective for taxable years beginning after December 31, 2022, and a 1% excise tax on stock repurchases by public corporations after December 31, 2022. The Company will continue to evaluate the applicability and effect of the IRA as more guidance is issued.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4RF Limited</w:t>
      </w:r>
    </w:p>
    <w:p>
      <w:pPr>
        <w:spacing w:after="0" w:line="2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w:t>
      </w:r>
    </w:p>
    <w:p>
      <w:pPr>
        <w:spacing w:after="0" w:line="234"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4RF acquisition was accounted for as a business combination using the acquisition method of accounting. During the fourth quarter of fiscal 2025, the Company finalized purchase accounting adjustments for the valuation of intangible and tangible assets acquired. The fair value of the acquired intangible assets are based on estimates and assumptions that are considered reasonable to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finalized purchase price allocation is as follows: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27"/>
        </w:trPr>
        <w:tc>
          <w:tcPr>
            <w:tcW w:w="75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Useful Life in Years</w:t>
            </w:r>
          </w:p>
        </w:tc>
      </w:tr>
      <w:tr>
        <w:trPr>
          <w:trHeight w:val="196"/>
        </w:trPr>
        <w:tc>
          <w:tcPr>
            <w:tcW w:w="7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finite-lived intangible assets: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9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3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final purchase price allocation was updated during the fourth quarter of fiscal 2025 for certain measurement period adjustments based on revised estimates of fair value, which primarily resulted in a $1.7 million decrease in inventories, a $1.1 million increase in other assets, a $0.4 million increase in identifiable intangible assets and a $0.3 million increase in goodwill. The goodwill from this acquisition is non-deductible for tax purposes.</w:t>
      </w:r>
    </w:p>
    <w:p>
      <w:pPr>
        <w:spacing w:after="0" w:line="23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Revenue and operating income associated with the 4RF acquisition included in the consolidated financial statements of operations from the acquisition date to the period ended June 27, 2025, were $25.3 million and $4.3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The results of operations of the NEC Transaction have been included in the consolidated financial statements since the date of acquisition.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common stock of the Company. The fair value of the shares issued was determined based on the closing market price of the Company’s common stock on the acquisition date. Aggregate consideration transferred at closing was approximately $54.5 million, which was subject to certain post-closing adjustments. The Company funded the cash portion of the consideration with Term Loan borrowings under its Credit Facility. Refer to Note 7. Credit Facility and Debt for further information.</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second and fourth quarters of fiscal 2025, the Company transferred consideration of $5.8 million and $12.7 million, respectively, to settle the post-closing working capital adjustment.</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NEC Transaction was accounted for as a business combination using the acquisition method of accounting. The Company is in the process of obtaining final independent third-party valuations of certain intangible and tangible assets acquired. The fair values of the acquired intangible assets are based on estimates and assumptions that are considered reasonable by the Company. As of the acquisition date, the Company has recorded the assets acquired and the liabilities assumed at their respective estimated fair values. The recognized goodwill is attributable to the workforce of the acquired business and expected synergies. The goodwill from this acquisition is expected to be fully deductible for tax purposes.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Acquisition-related costs were expensed as incurred and are included in selling and administrative expenses in the consolidated statements of operations. The Company incurred acquisition-related costs of $8.2 million related to the NEC Transaction during fiscal 2024.</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finalized purchase price allocation is as follows: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Useful Life in Years</w:t>
            </w:r>
          </w:p>
        </w:tc>
      </w:tr>
      <w:tr>
        <w:trPr>
          <w:trHeight w:val="196"/>
        </w:trPr>
        <w:tc>
          <w:tcPr>
            <w:tcW w:w="7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42,487</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finite-lived intangible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9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9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final purchase price allocation was updated during the second quarter of fiscal 2025 for certain measurement period adjustments based on revised estimates of fair value. Purchase price allocation adjustments during the measurement period primarily resulted in a $9.4 million decrease in accounts receivable, $6.3 million decrease in inventories, $5.3 million increase in identifiable intangible assets, and $10.0 million increase in goodwill.</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and operating loss associated with the NEC Transaction included in the consolidated statements of operations from the acquisition date to the period ended June 28, 2024, were $54.9 million and $(1.0) million, respectively.</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unaudited supplemental pro forma information has been presented as if the NEC Transaction had occurred at the beginning of fiscal 2023 and includes certain pro forma adjustments for interest expense, depreciation and amortization expense, the fair value of acquired inventory, and acquisition-related costs, net of income tax.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254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300" w:type="dxa"/>
            <w:vAlign w:val="bottom"/>
            <w:tcBorders>
              <w:bottom w:val="single" w:sz="8" w:color="auto"/>
            </w:tcBorders>
          </w:tcPr>
          <w:p>
            <w:pPr>
              <w:spacing w:after="0"/>
              <w:rPr>
                <w:sz w:val="20"/>
                <w:szCs w:val="20"/>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$530,891</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Redline Communications Group Inc.</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2023, the Company acquired all of the issued and outstanding shares of Redline Communications Group Inc. (“Redline”), a leading provider of mission-critical data infrastructure, for a purchase price of $20.4 million. Cash acquired as part of the all-cash acquisition was $4.6 million for total net consideration of $15.8 million. The acquisition was accounted for as a business combination using the acquisition method of accounting. The assets acquired and the liabilities assumed have been recorded at their respective fair values as of the acquisition date. The recognized goodwill is attributable to the workforce of the acquired business and expected synergies. The goodwill from this acquisition is expected to be deductible for tax purposes. Acquisition-related costs were expensed as incurred and are included in selling and administrative expenses in the consolidated statements of operations.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final purchase price allocation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 in Years</w:t>
            </w:r>
          </w:p>
        </w:tc>
      </w:tr>
      <w:tr>
        <w:trPr>
          <w:trHeight w:val="196"/>
        </w:trPr>
        <w:tc>
          <w:tcPr>
            <w:tcW w:w="7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finite-lived intangible assets: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14</w:t>
            </w: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enter into purchasing agreements with its suppliers that require the Company to accept delivery of and remit full payment for (i) finished products that it has ordered, (ii) finished products that it requested be held as safety stock, and</w:t>
      </w:r>
    </w:p>
    <w:p>
      <w:pPr>
        <w:jc w:val="both"/>
        <w:ind w:firstLine="8"/>
        <w:spacing w:after="0" w:line="253"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the Company had outstanding purchase obligations with its suppliers or contract manufacturers of approximately $48.1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had purchase obligations of approximately $4.9 million associated with software as a service and software maintenance support.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84" w:name="page85"/>
    <w:bookmarkEnd w:id="8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June 27, 2025, the Company had no guarantees applicable to its debt arrangements.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June 27, 2025, the Company had commercial commitments outstanding of $31.0 million, that were not recorded on the consolidated balance sheets. The Company does not believe, based on historical experience and information currently available, that it is probable that any significant amounts will be required to be paid on these performance guarantees in the future.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Company’s commercial commitments: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June 27, 2025</w:t>
            </w:r>
          </w:p>
        </w:tc>
      </w:tr>
      <w:tr>
        <w:trPr>
          <w:trHeight w:val="22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r>
      <w:tr>
        <w:trPr>
          <w:trHeight w:val="229"/>
        </w:trPr>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Bonds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22,325</w:t>
            </w:r>
          </w:p>
        </w:tc>
      </w:tr>
      <w:tr>
        <w:trPr>
          <w:trHeight w:val="248"/>
        </w:trPr>
        <w:tc>
          <w:tcPr>
            <w:tcW w:w="9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commercial commitments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31,018</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June 27, 2025,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indemnification provisions. As of June 27, 2025, the Company had not recorded any liabilities related to these indemnifications.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 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 substantial settlement charges. As a result, the Company’s business, financial condition, results of operations, and cash flows could be adversely affected. The actual liability in any such matters may be materially different from the Company’s estimates, if any.</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the directors of Aviat India appeared before the Ministry of Finance Enforcement Directorate. In March 2024, the Company appeared before the Joint Director of Enforcement to review the transactions at issue. The Company appeared with their attorneys at a hearing on May 22, 2025, to once again provide information. No subsequent hearing date has been scheduled as of September 10, 2025. The Company has accrued an immaterial amount representing the estimated probable loss for which it would settle the matter. The Company currently cannot form an estimate of the range of loss in excess of its amounts already accrued. If the outcome of this matter is greater than the current immaterial amount accrued, the Company intends to dispute it vigorously.</w:t>
      </w:r>
    </w:p>
    <w:p>
      <w:pPr>
        <w:spacing w:after="0" w:line="1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Periodically, the Company reviews the status of each significant matter to assess the potential financial exposure. If a potential loss is considered probable and the amount can be reasonably estimated, the estimated loss is reflected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Goodwill and Intangible Assets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presents details of goodwill and intangible assets: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2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24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48"/>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$11.4 million increase in goodwill during fiscal 2025 is associated with the purchase price allocations for the 4RF acquisition and the NEC Transaction as described in Note 12. Acquisitions. The Company performs its annual goodwill impairment test on the first day of its fourth fiscal quarter. The fiscal 2025 annual goodwill impairment test did not result in an impairment.</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Useful life in Years</w:t>
            </w:r>
          </w:p>
        </w:tc>
        <w:tc>
          <w:tcPr>
            <w:tcW w:w="19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23"/>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gridSpan w:val="3"/>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30"/>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10 - 15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24,022</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r>
      <w:tr>
        <w:trPr>
          <w:trHeight w:val="23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3 - 16</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gross intangible assets</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31,340</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w:t>
            </w:r>
          </w:p>
        </w:tc>
      </w:tr>
      <w:tr>
        <w:trPr>
          <w:trHeight w:val="23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w:t>
            </w:r>
          </w:p>
        </w:tc>
      </w:tr>
      <w:tr>
        <w:trPr>
          <w:trHeight w:val="20"/>
        </w:trPr>
        <w:tc>
          <w:tcPr>
            <w:tcW w:w="5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$16.0 million increase in finite-lived intangible assets during fiscal 2025 is associated with the purchase price allocations for the 4RF acquisition and the NEC Transaction as described in Note 12. Acquisitions. Amortization of finite-lived intangibles for fiscal 2025, 2024 and 2023 was $2.7 million, $1.0 million and $0.7 million, respectively, and is included in selling and administrative expenses. There were no impairment charges recorded for fiscal 2025, 2024 and 2023.</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27, 2025, the estimated future amortization expense of finite-lived intangible assets is as follows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9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12,737</w:t>
            </w:r>
          </w:p>
        </w:tc>
      </w:tr>
      <w:tr>
        <w:trPr>
          <w:trHeight w:val="248"/>
        </w:trPr>
        <w:tc>
          <w:tcPr>
            <w:tcW w:w="9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 Corporation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November 30, 2023 (the “Closing Date”), the Company completed the NEC Transaction. Refer to Note 12. Acquisitions for further information. A portion of the total consideration in the NEC Transaction included the issuance of 736,750 shares in Company common stock to NEC. The Company and NEC entered into a Registration Rights and Lock-Up Agreement, restricting NEC’s ability to transfer shares (the “Lock-Up”), except for certain limited exceptions as provided in the Registration Rights and Lock-Up Agreement, until one day after the one-year anniversary of the Closing Date (the “Initial Lock-Up Expiration Date”). Starting one day after the Initial Lock-Up Expiration Date, one-twelfth of the issued shares shall be released from the Lock-Up each month, such that all issued shares shall be released from Lock-Up by the two-year anniversary of the Closing Date. Pursuant to the Purchase Agreement, NEC will have the right to nominate a director to the Company’s Board of Directors from the Closing Date and for a period of two years thereafter. As of June 27, 2025, NEC held approximately 5.8% of the Company’s outstanding common stock.</w:t>
      </w:r>
    </w:p>
    <w:p>
      <w:pPr>
        <w:spacing w:after="0" w:line="1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NEC Transaction and as of the Closing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(“IP”).</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Manufacturing and Supply Agreement includes arrangements for NEC to manufacture and supply Pasolink products on behalf of and to the Company and its customers. The transition services agreements include arrangements for the Company and NEC to provide and receive certain transition services, primarily associated with administrative functions. The distribution services agreements include arrangements where NEC will provide distribution services on behalf of and to the Company and its customers in certain international markets and territories. The Research and Development Cooperating Agreement for Existing Products includes arrangements for NEC to provide the Company certain services relating to development work to maintain existing products of the NEC business.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related party activity between the Company and NEC is as follows: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Transition services received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services received</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inventories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outstanding related party balances with NEC included in the consolidated balance sheets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27, 2025</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28, 2024</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17,182</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19,896</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August 13, 2025, NEC issued a letter of arbitration to the Company demanding $19 million of additional component purchases, which the Company believes is unfounded and not required under the Manufacturing Supply Agreement (“MSA”). The NEC arbitration also included a demand for payment of the outstanding accounts payable balances which are reflected in Accounts payable of the Company’s consolidated balance sheets and disclosed in Note. 15 Related Party Transactions. As of June 27, 2025, the Company cannot predict the outcome of these matters. As such, no loss accrual is deemed necessary as of June 27, 2025. The Company will continue to evaluate the proceedings and the expected outcome of this matter.</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28, 2025, the Company entered into an amendment for the Credit Facility. The amendment provided for changes and modifications to the Credit Facility, which include an increase in the Term Loan commitments by $20 million in the aggregate and an increase in the Revolver commitment by $20 million in the aggregate.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disclosure controls and procedures as defined in Rules 13a-15(e) and 15d-15(e) under the Exchange Act, to provide reasonable assurance that the information required to be disclosed in reports that the Company files or submits under the Exchange Act is recorded, processed, summarized and reported within the time periods specified in the SEC’s rules and forms, and is accumulated and communicated to management, including the Company’s principal executive officer and principal financial officer, as appropriate to allow timely decisions regarding required disclosures. As of June 27, 2025, an evaluation was performed, under the supervision and with the participation of management, including our Chief Executive Officer (“CEO”) and Chief Financial Officer (“CFO”), of the effectiveness of the design and operation of our disclosure controls and procedures. Based on that evaluation, the Company’s CEO and CFO concluded that as of June 27, 2025, our disclosure controls and procedures were not effective due to the material weaknesses in internal control over financial reporting described below.</w:t>
      </w:r>
    </w:p>
    <w:p>
      <w:pPr>
        <w:spacing w:after="0" w:line="1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weaknesses described, management concluded the consolidated financial statements included in this Annual Report on Form 10-K present fairly, in all material respects, our financial condition, results of operations and cash flows in accordance with U.S.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Report on Internal Control Over Financial Reporting</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to provide reasonable assurance regarding the reliability of the Company’s financial reporting and the preparation of consolidated financial statements for external purposes in accordance with U.S. GAAP.</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including the Company’s CEO and CFO, assessed the effectiveness of its internal control over financial reporting as of June 27, 2025. Management based its assessment on criteria established in Internal Control-Integrated Framework issued by the Committee of Sponsoring Organizations of the Treadway Commission (2013 COSO framework).</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completed the acquisition of 4RF Limited in July 2024, and management has excluded the acquired business’s internal control over financial reporting from its assessment of the effectiveness of internal controls as of the fiscal year ended June 27, 2025. The acquired business represents approximately 6% of consolidated total revenues for the fiscal year ended June 27, 2025.</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its assessment, management concluded that the Company’s internal control over financial reporting was not effective as of June 27, 2025, due to the material weaknesses detailed below.</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a reasonable possibility exists that a material misstatement of the Company’s annual or interim financial statements would not be prevented or detected on a timely basis.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 determined that the Company had the following material weaknesses in its internal control over financial reporting as of June 27, 2025:</w:t>
      </w:r>
    </w:p>
    <w:p>
      <w:pPr>
        <w:spacing w:after="0" w:line="16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Ineffective control environment and control activities</w:t>
      </w:r>
      <w:r>
        <w:rPr>
          <w:rFonts w:ascii="Times New Roman" w:cs="Times New Roman" w:eastAsia="Times New Roman" w:hAnsi="Times New Roman"/>
          <w:sz w:val="18"/>
          <w:szCs w:val="18"/>
          <w:color w:val="auto"/>
        </w:rPr>
        <w:t>: the Company did not maintain an effective control environment and control activities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criteria established in the COSO framework. The Company did not have sufficient resources with the appropriate levels of knowledge, experience, and training in accounting and internal control over financial reporting. Control activities were either not designed effectively or operating effectively for a sufficient period of time to support the operating effectiveness of the controls to prevent and detect potential material errors. As a result, the following control deficiencies constitute material weaknesses: ineffective controls over (a) the review of reconciliations for revenue related account balances, (b) certain arrangements where revenue is recognized over time, and (c) the determination of the appropriate period for revenue recognition.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Beginning in the fourth quarter of fiscal 2024 we initiated and will continue to implement measures designed to improve our internal control over financial reporting to remediate these material weaknesses with oversight from the Audit Committee of the Board of Directors, including the following:</w:t>
      </w:r>
    </w:p>
    <w:p>
      <w:pPr>
        <w:spacing w:after="0" w:line="54"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hired, and will continue to hire, qualified professionals to strengthen the design, implementation and execution of internal controls, across all functions and personnel departments.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provide enhanced training to relevant control owners emphasizing the importance of timely and proper execution of their assigned control activities.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strengthen controls over more complex revenue arrangements, including those recognized over time and associated account reconciliations.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augment &amp; extend our use of system and process improvements to reduce reliance on manual controls.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committed to continuing our efforts to build and maintain a strong control environment and believe that these remediation efforts represent an incremental evolution of and improvements to our control environment. Though we made significant progress during fiscal 2025, the material weaknesses won't be considered fully remediated until the associated controls operate effectively for a sufficient period of time.</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effectiveness of internal control over financial reporting as of June 27, 2025, has been audited by the Company’s independent registered public accounting firm, as stated in their attestation report included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 in the process of implementing internal control procedures related to the acquired business and expects this to be completed during fiscal 2026.</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Except as noted in the foregoing sentence and as set forth above in connection with our material weaknesses, there were no other changes to internal controls over financial reporting as defined in Rules 13a-15(f) or 15d-15(f) that occurred during the Company’s fourth fiscal quarter ended June 27, 2025 that has materially affected, or is reasonably likely to materially affect, the Company’s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Aviat Networks,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Aviat Networks, Inc. and subsidiaries (the “Company”) as of June 27, 2025, based on criteria established in Internal Control — Integrated Framework (2013) issued by the Committee of Sponsoring Organizations of the Treadway Commission (COSO). In our opinion, because of the effect of the material weaknesses identified below on the achievement of objectives of the control criteria, the Company has not maintained effective internal control over financial reporting as of June 27, 2025, based on criteria established in Internal Control — Integrated Framework (2013) issued by COSO.</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fiscal year ended June 27, 2025, of the Company and our report dated September 10, 2025, expressed an unqualified opinion on those financial statements.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of the 4RF acquisition, which was acquired on July 2, 2024, and whose financial statements constitute approximately 6% of total revenue of the consolidated financial statements for the fiscal year ended June 27, 2025. Accordingly, our audit did not include the internal control over financial reporting for the 4RF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did not maintain an effective control environment and control activities based on the criteria established in the COSO framework. The Company did not have sufficient resources with the appropriate levels of knowledge, experience, and training in accounting and internal control over financial reporting. Control activities were either not designed effectively or operating effectively for a sufficient period of time to support the operating effectiveness of the controls to prevent and detect potential material errors. As a result, the following control deficiencies constitute material weaknesses: ineffective controls over (a) the review of reconciliations for revenue related account balances, (b) certain arrangements where revenue is recognized over time, and (c) the determination of the appropriate period for revenue recognition.</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material weaknesses were considered in determining the nature, timing, and extent of audit tests applied in our audit of the consolidated financial statements as of and for the fiscal year ended June 27, 2025, of the Company, and this report does not affect our report on such financial statements.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27, 2025, none of the Company’s Directors or Officers adopted, modified or terminated a “Rule 10b5-1 trading arrangement” or a “non-Rule 10b5-1 trading arrangement,” as defined in Item 408 of Regulation 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because the Company will file a definitive Proxy Statement with the SEC within 120 days after the end of its fiscal year ended June 27,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adopted a Code of Conduct that is available at www.aviatnetworks.com. The Company’s Code of Conduct was most recently amended and restated in February 2025. If, in the future, the Company amends its Code of Conduct or grants waivers from its Code of Conduct with respect to any of its executive officers or directors, the Company will make information regarding such amendments or waivers available on its website for a period of at least 12 months.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information with respect to Executive Officers, see Part I, Item 1 of this Annual Report on Form 10-K, under “Information about our Executive Officers,” which is incorporated herein by reference.</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All information required to be disclosed in this Item 10 that is not otherwise contained herein will appear in the Company’s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the Company’s executive and director compensation will appear in its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will appear in the Company’s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appear in the Company’s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will appear in the Company’s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7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Financial Statements and Schedules</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financial statements of Aviat Networks, Inc. are set forth in Item 8 of this Annual Report on Form 10-K. The financial statement schedules have been omitted because the required information is not required, not applicable or because the information is included elsewhere in the consolidated financial statements or notes thereto.</w:t>
      </w:r>
    </w:p>
    <w:p>
      <w:pPr>
        <w:spacing w:after="0" w:line="122"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on the Exhibit Index (following the Signatures section of this report) and is included, or incorporated by reference, in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65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AVIAT NETWORKS, INC.</w:t>
            </w:r>
          </w:p>
        </w:tc>
      </w:tr>
      <w:tr>
        <w:trPr>
          <w:trHeight w:val="234"/>
        </w:trPr>
        <w:tc>
          <w:tcPr>
            <w:tcW w:w="4260" w:type="dxa"/>
            <w:vAlign w:val="bottom"/>
          </w:tcPr>
          <w:p>
            <w:pPr>
              <w:spacing w:after="0"/>
              <w:rPr>
                <w:sz w:val="20"/>
                <w:szCs w:val="20"/>
                <w:color w:val="auto"/>
              </w:rPr>
            </w:pPr>
          </w:p>
        </w:tc>
        <w:tc>
          <w:tcPr>
            <w:tcW w:w="65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2025</w:t>
            </w:r>
          </w:p>
        </w:tc>
        <w:tc>
          <w:tcPr>
            <w:tcW w:w="27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Connaway</w:t>
            </w:r>
          </w:p>
        </w:tc>
      </w:tr>
      <w:tr>
        <w:trPr>
          <w:trHeight w:val="218"/>
        </w:trPr>
        <w:tc>
          <w:tcPr>
            <w:tcW w:w="4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Connaway</w:t>
            </w:r>
          </w:p>
        </w:tc>
      </w:tr>
      <w:tr>
        <w:trPr>
          <w:trHeight w:val="234"/>
        </w:trPr>
        <w:tc>
          <w:tcPr>
            <w:tcW w:w="42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337"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/s/ Peter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23228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Peter A. Smith</w:t>
      </w:r>
    </w:p>
    <w:p>
      <w:pPr>
        <w:spacing w:after="0" w:line="360"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7"/>
          <w:szCs w:val="17"/>
          <w:color w:val="auto"/>
        </w:rPr>
        <w:t>/s/ Michael Connaway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24765</wp:posOffset>
            </wp:positionV>
            <wp:extent cx="23228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28"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Michael Connaway</w:t>
      </w:r>
    </w:p>
    <w:p>
      <w:pPr>
        <w:spacing w:after="0" w:line="374"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/s/ John Mutch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23228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John Mutch</w:t>
      </w:r>
    </w:p>
    <w:p>
      <w:pPr>
        <w:spacing w:after="0" w:line="29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/s/ Laxmi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23228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Laxmi Akkaraju</w:t>
      </w:r>
    </w:p>
    <w:p>
      <w:pPr>
        <w:spacing w:after="0" w:line="29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/s/ Bryan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23228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Bryan Ingram</w:t>
      </w:r>
    </w:p>
    <w:p>
      <w:pPr>
        <w:spacing w:after="0" w:line="29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/s/ Michele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23228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Michele Klein</w:t>
      </w:r>
    </w:p>
    <w:p>
      <w:pPr>
        <w:spacing w:after="0" w:line="29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/s/ Bruce Taten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23228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Bruce Taten</w:t>
      </w:r>
    </w:p>
    <w:p>
      <w:pPr>
        <w:spacing w:after="0" w:line="29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/s/ Scott Halliday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23228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6"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Scott Halliday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360" w:type="dxa"/>
            <w:vAlign w:val="bottom"/>
          </w:tcPr>
          <w:p>
            <w:pPr>
              <w:spacing w:after="0"/>
              <w:rPr>
                <w:sz w:val="17"/>
                <w:szCs w:val="17"/>
                <w:color w:val="auto"/>
              </w:rPr>
            </w:pPr>
          </w:p>
        </w:tc>
        <w:tc>
          <w:tcPr>
            <w:tcW w:w="1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20"/>
        </w:trPr>
        <w:tc>
          <w:tcPr>
            <w:tcW w:w="2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48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September 10, 2025</w:t>
            </w:r>
          </w:p>
        </w:tc>
      </w:tr>
      <w:tr>
        <w:trPr>
          <w:trHeight w:val="234"/>
        </w:trPr>
        <w:tc>
          <w:tcPr>
            <w:tcW w:w="48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576"/>
        </w:trPr>
        <w:tc>
          <w:tcPr>
            <w:tcW w:w="48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1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September 10, 2025</w:t>
            </w:r>
          </w:p>
        </w:tc>
      </w:tr>
      <w:tr>
        <w:trPr>
          <w:trHeight w:val="234"/>
        </w:trPr>
        <w:tc>
          <w:tcPr>
            <w:tcW w:w="48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84"/>
        </w:trPr>
        <w:tc>
          <w:tcPr>
            <w:tcW w:w="48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Chairman of the Board</w:t>
            </w:r>
          </w:p>
        </w:tc>
        <w:tc>
          <w:tcPr>
            <w:tcW w:w="1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September 10, 2025</w:t>
            </w:r>
          </w:p>
        </w:tc>
      </w:tr>
      <w:tr>
        <w:trPr>
          <w:trHeight w:val="743"/>
        </w:trPr>
        <w:tc>
          <w:tcPr>
            <w:tcW w:w="48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September 10, 2025</w:t>
            </w:r>
          </w:p>
        </w:tc>
      </w:tr>
      <w:tr>
        <w:trPr>
          <w:trHeight w:val="743"/>
        </w:trPr>
        <w:tc>
          <w:tcPr>
            <w:tcW w:w="48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September 10, 2025</w:t>
            </w:r>
          </w:p>
        </w:tc>
      </w:tr>
      <w:tr>
        <w:trPr>
          <w:trHeight w:val="743"/>
        </w:trPr>
        <w:tc>
          <w:tcPr>
            <w:tcW w:w="48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September 10, 2025</w:t>
            </w:r>
          </w:p>
        </w:tc>
      </w:tr>
      <w:tr>
        <w:trPr>
          <w:trHeight w:val="743"/>
        </w:trPr>
        <w:tc>
          <w:tcPr>
            <w:tcW w:w="48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September 10, 2025</w:t>
            </w:r>
          </w:p>
        </w:tc>
      </w:tr>
      <w:tr>
        <w:trPr>
          <w:trHeight w:val="742"/>
        </w:trPr>
        <w:tc>
          <w:tcPr>
            <w:tcW w:w="48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September 10, 2025</w:t>
            </w:r>
          </w:p>
        </w:tc>
      </w:tr>
    </w:tbl>
    <w:p>
      <w:pPr>
        <w:spacing w:after="0" w:line="415" w:lineRule="exact"/>
        <w:rPr>
          <w:sz w:val="20"/>
          <w:szCs w:val="20"/>
          <w:color w:val="auto"/>
        </w:rPr>
      </w:pPr>
    </w:p>
    <w:p>
      <w:pPr>
        <w:sectPr>
          <w:pgSz w:w="11900" w:h="16838" w:orient="portrait"/>
          <w:cols w:equalWidth="0" w:num="2">
            <w:col w:w="3340" w:space="720"/>
            <w:col w:w="716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96" w:name="page97"/>
    <w:bookmarkEnd w:id="96"/>
    <w:p>
      <w:pPr>
        <w:spacing w:after="0" w:line="2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or furnished herewith or are incorporated herein by reference to exhibits previously filed with the SEC:</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 #</w:t>
            </w:r>
          </w:p>
        </w:tc>
        <w:tc>
          <w:tcPr>
            <w:tcW w:w="1020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0200" w:type="dxa"/>
            <w:vAlign w:val="bottom"/>
          </w:tcPr>
          <w:p>
            <w:pPr>
              <w:spacing w:after="0"/>
              <w:rPr>
                <w:sz w:val="15"/>
                <w:szCs w:val="15"/>
                <w:color w:val="auto"/>
              </w:rPr>
            </w:pPr>
          </w:p>
        </w:tc>
      </w:tr>
      <w:tr>
        <w:trPr>
          <w:trHeight w:val="176"/>
        </w:trPr>
        <w:tc>
          <w:tcPr>
            <w:tcW w:w="10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200" w:type="dxa"/>
            <w:vAlign w:val="bottom"/>
            <w:shd w:val="clear" w:color="auto" w:fill="CCEEFF"/>
          </w:tcPr>
          <w:p>
            <w:pPr>
              <w:ind w:left="540"/>
              <w:spacing w:after="0" w:line="17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Master Sale of Business Agreement, dated May 9, 2023, by and among the Company and NEC (incorporated by reference to Exhibit</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2.1 to the Current Report on Form 8-K filed May 9, 2023, File No. 001-33278).</w:t>
              </w:r>
            </w:hyperlink>
          </w:p>
        </w:tc>
      </w:tr>
      <w:tr>
        <w:trPr>
          <w:trHeight w:val="175"/>
        </w:trPr>
        <w:tc>
          <w:tcPr>
            <w:tcW w:w="10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to the Master Sale of Business Agreement, dated November 30, 2023, by and between the Company and NEC</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by reference to Exhibit 2.2 to the Current Report on Form 8-K filed December 1, 2023, File No. 001-33279).</w:t>
              </w:r>
            </w:hyperlink>
          </w:p>
        </w:tc>
      </w:tr>
      <w:tr>
        <w:trPr>
          <w:trHeight w:val="180"/>
        </w:trPr>
        <w:tc>
          <w:tcPr>
            <w:tcW w:w="4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3.1</w:t>
            </w:r>
          </w:p>
        </w:tc>
        <w:tc>
          <w:tcPr>
            <w:tcW w:w="620" w:type="dxa"/>
            <w:vAlign w:val="bottom"/>
            <w:shd w:val="clear" w:color="auto" w:fill="CCEEFF"/>
          </w:tcPr>
          <w:p>
            <w:pPr>
              <w:spacing w:after="0"/>
              <w:rPr>
                <w:sz w:val="15"/>
                <w:szCs w:val="15"/>
                <w:color w:val="auto"/>
              </w:rPr>
            </w:pP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Amended and Restated Certificate of Incorporation of Aviat Networks, Inc., as amended (incorporated by reference to Exhibit 3.1 to</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the Current Report on Form 8-K filed with the SEC on November 13, 2023, File No. 001-33278).</w:t>
              </w:r>
            </w:hyperlink>
          </w:p>
        </w:tc>
      </w:tr>
      <w:tr>
        <w:trPr>
          <w:trHeight w:val="176"/>
        </w:trPr>
        <w:tc>
          <w:tcPr>
            <w:tcW w:w="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15"/>
                <w:szCs w:val="15"/>
                <w:color w:val="auto"/>
              </w:rPr>
            </w:pP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Amended and Restated Bylaws of Aviat Networks, Inc. (incorporated by reference to Exhibit 3.1 to the Current Report on Form 8-K</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filed with the SEC on August 24, 2023, File No. 001-33278).</w:t>
              </w:r>
            </w:hyperlink>
          </w:p>
        </w:tc>
      </w:tr>
      <w:tr>
        <w:trPr>
          <w:trHeight w:val="180"/>
        </w:trPr>
        <w:tc>
          <w:tcPr>
            <w:tcW w:w="4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4.1</w:t>
            </w:r>
          </w:p>
        </w:tc>
        <w:tc>
          <w:tcPr>
            <w:tcW w:w="620" w:type="dxa"/>
            <w:vAlign w:val="bottom"/>
            <w:shd w:val="clear" w:color="auto" w:fill="CCEEFF"/>
          </w:tcPr>
          <w:p>
            <w:pPr>
              <w:spacing w:after="0"/>
              <w:rPr>
                <w:sz w:val="15"/>
                <w:szCs w:val="15"/>
                <w:color w:val="auto"/>
              </w:rPr>
            </w:pP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Certificate of Designation of Rights, Preferences and Privileges of Series A Participating Preferred Stock (incorporated by reference</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to Exhibit 3.2 to the Current Report on Form 8-K filed with the SEC on September 7, 2016. File No. 001-33278)</w:t>
              </w:r>
              <w:r>
                <w:rPr>
                  <w:rFonts w:ascii="Times New Roman" w:cs="Times New Roman" w:eastAsia="Times New Roman" w:hAnsi="Times New Roman"/>
                  <w:sz w:val="18"/>
                  <w:szCs w:val="18"/>
                  <w:color w:val="000000"/>
                </w:rPr>
                <w:t>.</w:t>
              </w:r>
            </w:hyperlink>
          </w:p>
        </w:tc>
      </w:tr>
      <w:tr>
        <w:trPr>
          <w:trHeight w:val="176"/>
        </w:trPr>
        <w:tc>
          <w:tcPr>
            <w:tcW w:w="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15"/>
                <w:szCs w:val="15"/>
                <w:color w:val="auto"/>
              </w:rPr>
            </w:pP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Specimen common stock certificate, adopted as of January 29, 2010 (incorporated by reference to Exhibit 4.1.1 to the Annual Report</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on Form 10-K for fiscal year end July 2, 2010 filed with the SEC on September 9, 2010, File No. 001-33278)</w:t>
              </w:r>
              <w:r>
                <w:rPr>
                  <w:rFonts w:ascii="Times New Roman" w:cs="Times New Roman" w:eastAsia="Times New Roman" w:hAnsi="Times New Roman"/>
                  <w:sz w:val="18"/>
                  <w:szCs w:val="18"/>
                  <w:color w:val="000000"/>
                </w:rPr>
                <w:t>.</w:t>
              </w:r>
            </w:hyperlink>
          </w:p>
        </w:tc>
      </w:tr>
      <w:tr>
        <w:trPr>
          <w:trHeight w:val="215"/>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shd w:val="clear" w:color="auto" w:fill="CCEEFF"/>
          </w:tcPr>
          <w:p>
            <w:pPr>
              <w:spacing w:after="0"/>
              <w:rPr>
                <w:sz w:val="18"/>
                <w:szCs w:val="18"/>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Tax Benefit Preservation Plan, dated as of August 27, 2020, by and between Aviat Networks, Inc. and</w:t>
              </w:r>
            </w:hyperlink>
          </w:p>
        </w:tc>
      </w:tr>
      <w:tr>
        <w:trPr>
          <w:trHeight w:val="203"/>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0" w:type="dxa"/>
            <w:vAlign w:val="bottom"/>
            <w:shd w:val="clear" w:color="auto" w:fill="CCEEFF"/>
          </w:tcPr>
          <w:p>
            <w:pPr>
              <w:ind w:left="540"/>
              <w:spacing w:after="0" w:line="202"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Computershare Inc., as Rights Agent (incorporated by reference to Exhibit 4.1 to the Current Report on Form 8-K filed with the SEC</w:t>
              </w:r>
            </w:hyperlink>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00" w:type="dxa"/>
            <w:vAlign w:val="bottom"/>
            <w:tcBorders>
              <w:bottom w:val="single" w:sz="8" w:color="CCEEFF"/>
            </w:tcBorders>
            <w:shd w:val="clear" w:color="auto" w:fill="CCEEFF"/>
          </w:tcPr>
          <w:p>
            <w:pPr>
              <w:ind w:left="54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on August 31, 2020, File No. 011-33278)</w:t>
              </w:r>
              <w:r>
                <w:rPr>
                  <w:rFonts w:ascii="Times New Roman" w:cs="Times New Roman" w:eastAsia="Times New Roman" w:hAnsi="Times New Roman"/>
                  <w:sz w:val="18"/>
                  <w:szCs w:val="18"/>
                  <w:color w:val="000000"/>
                </w:rPr>
                <w:t>.</w:t>
              </w:r>
            </w:hyperlink>
          </w:p>
        </w:tc>
      </w:tr>
      <w:tr>
        <w:trPr>
          <w:trHeight w:val="211"/>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Pr>
          <w:p>
            <w:pPr>
              <w:spacing w:after="0"/>
              <w:rPr>
                <w:sz w:val="18"/>
                <w:szCs w:val="18"/>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No. 1 to the Amended and Restated Tax Benefit Preservation Plan, dated as of February 28, 2023, by and between Aviat</w:t>
              </w:r>
            </w:hyperlink>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0" w:type="dxa"/>
            <w:vAlign w:val="bottom"/>
          </w:tcPr>
          <w:p>
            <w:pPr>
              <w:ind w:left="540"/>
              <w:spacing w:after="0" w:line="202"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Networks, Inc. and Computershare Inc., as Rights Agent (incorporated by reference to Exhibit 4.1 to the Current Report on Form 8-K</w:t>
              </w:r>
            </w:hyperlink>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filed with the SEC on February 28, 2023, File No. 001-33278)</w:t>
              </w:r>
              <w:r>
                <w:rPr>
                  <w:rFonts w:ascii="Times New Roman" w:cs="Times New Roman" w:eastAsia="Times New Roman" w:hAnsi="Times New Roman"/>
                  <w:sz w:val="18"/>
                  <w:szCs w:val="18"/>
                  <w:color w:val="000000"/>
                </w:rPr>
                <w:t>.</w:t>
              </w:r>
            </w:hyperlink>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0" w:type="dxa"/>
            <w:vAlign w:val="bottom"/>
          </w:tcPr>
          <w:p>
            <w:pPr>
              <w:spacing w:after="0"/>
              <w:rPr>
                <w:sz w:val="2"/>
                <w:szCs w:val="2"/>
                <w:color w:val="auto"/>
              </w:rPr>
            </w:pPr>
          </w:p>
        </w:tc>
      </w:tr>
      <w:tr>
        <w:trPr>
          <w:trHeight w:val="211"/>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shd w:val="clear" w:color="auto" w:fill="CCEEFF"/>
          </w:tcPr>
          <w:p>
            <w:pPr>
              <w:spacing w:after="0"/>
              <w:rPr>
                <w:sz w:val="18"/>
                <w:szCs w:val="18"/>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Description of Registered Securities (incorporated by reference to Exhibit 4.5 to the Annual Report on Form 10-K for fiscal year end</w:t>
              </w:r>
            </w:hyperlink>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200" w:type="dxa"/>
            <w:vAlign w:val="bottom"/>
            <w:tcBorders>
              <w:bottom w:val="single" w:sz="8" w:color="CCEEFF"/>
            </w:tcBorders>
            <w:shd w:val="clear" w:color="auto" w:fill="CCEEFF"/>
          </w:tcPr>
          <w:p>
            <w:pPr>
              <w:ind w:left="54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June 30, 2023 filed with the SEC on August 30, 2023, File No. 001-33278).</w:t>
              </w:r>
            </w:hyperlink>
          </w:p>
        </w:tc>
      </w:tr>
      <w:tr>
        <w:trPr>
          <w:trHeight w:val="176"/>
        </w:trPr>
        <w:tc>
          <w:tcPr>
            <w:tcW w:w="2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Registration Rights and Lock-Up Agreement, dated November 30, 2023, by and between the Company and NEC (incorporated by</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reference to Exhibit 10.1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10.2#◊</w:t>
            </w: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Manufacturing and Supply Agreement, dated November 30, 2023, by and among the Company, NECPF and NEC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reference to Exhibit 10.2 to the Current Report on Form 8-K filed with the SEC on December 1, 2023, File No. 001-33278).</w:t>
              </w:r>
            </w:hyperlink>
          </w:p>
        </w:tc>
      </w:tr>
      <w:tr>
        <w:trPr>
          <w:trHeight w:val="175"/>
        </w:trPr>
        <w:tc>
          <w:tcPr>
            <w:tcW w:w="2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Global Transition Services Agreement, dated November 30, 2023, by and between the Company and NEC (incorporated by reference</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to Exhibit 10.3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10.4#◊</w:t>
            </w: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Global Seller Transition Services Agreement, dated November 30, 2023, by and between the Company and NEC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reference to Exhibit 10.4 to the Current Report on Form 8-K filed with the SEC on December 1, 2023, File No. 001-33278).</w:t>
              </w:r>
            </w:hyperlink>
          </w:p>
        </w:tc>
      </w:tr>
      <w:tr>
        <w:trPr>
          <w:trHeight w:val="175"/>
        </w:trPr>
        <w:tc>
          <w:tcPr>
            <w:tcW w:w="2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Distribution Agreement, dated November 30, 2023, by and between Aviat Singapore and NEC South Africa (incorporated by</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reference to Exhibit 10.5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10.6#◊</w:t>
            </w: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Framework Agreement, dated November 30, 2023, by and between Aviat Singapore and NEC Saudi Arabia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reference to Exhibit 10.6 to the Current Report on Form 8-K filed with the SEC on December 1, 2023, File No. 001-33278).</w:t>
              </w:r>
            </w:hyperlink>
          </w:p>
        </w:tc>
      </w:tr>
      <w:tr>
        <w:trPr>
          <w:trHeight w:val="176"/>
        </w:trPr>
        <w:tc>
          <w:tcPr>
            <w:tcW w:w="2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200" w:type="dxa"/>
            <w:vAlign w:val="bottom"/>
          </w:tcPr>
          <w:p>
            <w:pPr>
              <w:ind w:left="540"/>
              <w:spacing w:after="0" w:line="17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Distribution Agreement, dated November 30, 2023, by and between Aviat Singapore and NEC New Zealand (incorporated by</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0" w:type="dxa"/>
            <w:vAlign w:val="bottom"/>
          </w:tcPr>
          <w:p>
            <w:pPr>
              <w:ind w:left="540"/>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reference to exhibit 10.7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10.8#◊</w:t>
            </w:r>
          </w:p>
        </w:tc>
        <w:tc>
          <w:tcPr>
            <w:tcW w:w="10200" w:type="dxa"/>
            <w:vAlign w:val="bottom"/>
            <w:shd w:val="clear" w:color="auto" w:fill="CCEEFF"/>
          </w:tcPr>
          <w:p>
            <w:pPr>
              <w:ind w:left="540"/>
              <w:spacing w:after="0" w:line="180"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Distribution Agreement, dated November 30, 2023, by and between Aviat Singapore and NEC Malaysia (incorporated by reference</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0" w:type="dxa"/>
            <w:vAlign w:val="bottom"/>
            <w:shd w:val="clear" w:color="auto" w:fill="CCEEFF"/>
          </w:tcPr>
          <w:p>
            <w:pPr>
              <w:ind w:left="54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to Exhibit 10.8 to the Current Report on Form 8-K filed with the SEC on December 1, 2023, File No. 001-33278).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 #</w:t>
            </w:r>
          </w:p>
        </w:tc>
        <w:tc>
          <w:tcPr>
            <w:tcW w:w="700" w:type="dxa"/>
            <w:vAlign w:val="bottom"/>
          </w:tcPr>
          <w:p>
            <w:pPr>
              <w:spacing w:after="0"/>
              <w:rPr>
                <w:sz w:val="17"/>
                <w:szCs w:val="17"/>
                <w:color w:val="auto"/>
              </w:rPr>
            </w:pPr>
          </w:p>
        </w:tc>
        <w:tc>
          <w:tcPr>
            <w:tcW w:w="10120" w:type="dxa"/>
            <w:vAlign w:val="bottom"/>
          </w:tcPr>
          <w:p>
            <w:pPr>
              <w:ind w:left="4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0120" w:type="dxa"/>
            <w:vAlign w:val="bottom"/>
          </w:tcPr>
          <w:p>
            <w:pPr>
              <w:ind w:left="460"/>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Trademark License Agreement, dated November 30, 2023, by and between the Company and NEC (incorporated by reference to</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20" w:type="dxa"/>
            <w:vAlign w:val="bottom"/>
          </w:tcPr>
          <w:p>
            <w:pPr>
              <w:ind w:left="460"/>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Exhibit 10.9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10.10#◊</w:t>
            </w:r>
          </w:p>
        </w:tc>
        <w:tc>
          <w:tcPr>
            <w:tcW w:w="10120" w:type="dxa"/>
            <w:vAlign w:val="bottom"/>
            <w:shd w:val="clear" w:color="auto" w:fill="CCEEFF"/>
          </w:tcPr>
          <w:p>
            <w:pPr>
              <w:ind w:left="460"/>
              <w:spacing w:after="0" w:line="180"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Intellectual Property License Agreement, dated November 30, 2023, by and between the Company and NEC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120" w:type="dxa"/>
            <w:vAlign w:val="bottom"/>
            <w:shd w:val="clear" w:color="auto" w:fill="CCEEFF"/>
          </w:tcPr>
          <w:p>
            <w:pPr>
              <w:ind w:left="460"/>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reference to Exhibit 10.10 to the Current Report on Form 8-K filed with the SEC on December 1, 2023, File No. 001-33278).</w:t>
              </w:r>
            </w:hyperlink>
          </w:p>
        </w:tc>
      </w:tr>
      <w:tr>
        <w:trPr>
          <w:trHeight w:val="176"/>
        </w:trPr>
        <w:tc>
          <w:tcPr>
            <w:tcW w:w="20" w:type="dxa"/>
            <w:vAlign w:val="bottom"/>
          </w:tcPr>
          <w:p>
            <w:pPr>
              <w:spacing w:after="0"/>
              <w:rPr>
                <w:sz w:val="15"/>
                <w:szCs w:val="15"/>
                <w:color w:val="auto"/>
              </w:rPr>
            </w:pPr>
          </w:p>
        </w:tc>
        <w:tc>
          <w:tcPr>
            <w:tcW w:w="1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20" w:type="dxa"/>
            <w:vAlign w:val="bottom"/>
          </w:tcPr>
          <w:p>
            <w:pPr>
              <w:ind w:left="460"/>
              <w:spacing w:after="0" w:line="17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Trademark Assignment Agreement, dated November 30, 2023, by and between the Company and NEC (incorporated by reference to</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20" w:type="dxa"/>
            <w:vAlign w:val="bottom"/>
          </w:tcPr>
          <w:p>
            <w:pPr>
              <w:ind w:left="46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Exhibit 10.11 to the Current Report on Form 8-K filed with the SEC on December 1,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10.12#◊</w:t>
            </w:r>
          </w:p>
        </w:tc>
        <w:tc>
          <w:tcPr>
            <w:tcW w:w="10120" w:type="dxa"/>
            <w:vAlign w:val="bottom"/>
            <w:shd w:val="clear" w:color="auto" w:fill="CCEEFF"/>
          </w:tcPr>
          <w:p>
            <w:pPr>
              <w:ind w:left="460"/>
              <w:spacing w:after="0" w:line="180"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Development Services Agreement, dated November 30, 2023, by and between Opco and NEC (incorporated by reference to Exhibit</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120" w:type="dxa"/>
            <w:vAlign w:val="bottom"/>
            <w:shd w:val="clear" w:color="auto" w:fill="CCEEFF"/>
          </w:tcPr>
          <w:p>
            <w:pPr>
              <w:ind w:left="460"/>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10.12 to the Current Report on Form 8-K filed with the SEC on December 1, 2023, File No. 001-33278).</w:t>
              </w:r>
            </w:hyperlink>
          </w:p>
        </w:tc>
      </w:tr>
      <w:tr>
        <w:trPr>
          <w:trHeight w:val="175"/>
        </w:trPr>
        <w:tc>
          <w:tcPr>
            <w:tcW w:w="20" w:type="dxa"/>
            <w:vAlign w:val="bottom"/>
          </w:tcPr>
          <w:p>
            <w:pPr>
              <w:spacing w:after="0"/>
              <w:rPr>
                <w:sz w:val="15"/>
                <w:szCs w:val="15"/>
                <w:color w:val="auto"/>
              </w:rPr>
            </w:pPr>
          </w:p>
        </w:tc>
        <w:tc>
          <w:tcPr>
            <w:tcW w:w="1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20" w:type="dxa"/>
            <w:vAlign w:val="bottom"/>
          </w:tcPr>
          <w:p>
            <w:pPr>
              <w:ind w:left="460"/>
              <w:spacing w:after="0" w:line="17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Credit Agreement dated May 9, 2023, by and among the Company, the Opco, the Singapore Borrower and the Lenders (incorporated</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20" w:type="dxa"/>
            <w:vAlign w:val="bottom"/>
          </w:tcPr>
          <w:p>
            <w:pPr>
              <w:ind w:left="460"/>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by reference to Exhibit 10.1 to the Current Report on Form 8-K filed with the SEC on May 9, 2023, File No. 001-33278).</w:t>
              </w:r>
            </w:hyperlink>
          </w:p>
        </w:tc>
      </w:tr>
      <w:tr>
        <w:trPr>
          <w:trHeight w:val="180"/>
        </w:trPr>
        <w:tc>
          <w:tcPr>
            <w:tcW w:w="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10.14#◊</w:t>
            </w:r>
          </w:p>
        </w:tc>
        <w:tc>
          <w:tcPr>
            <w:tcW w:w="10120" w:type="dxa"/>
            <w:vAlign w:val="bottom"/>
            <w:shd w:val="clear" w:color="auto" w:fill="CCEEFF"/>
          </w:tcPr>
          <w:p>
            <w:pPr>
              <w:ind w:left="460"/>
              <w:spacing w:after="0" w:line="180"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First Amendment to Credit Agreement, dated November 22, 2023, by and among the Borrowers and the Lender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120" w:type="dxa"/>
            <w:vAlign w:val="bottom"/>
            <w:shd w:val="clear" w:color="auto" w:fill="CCEEFF"/>
          </w:tcPr>
          <w:p>
            <w:pPr>
              <w:ind w:left="46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reference to Exhibit 10.1 to the Current Report on Form 8-K filed with the SEC on November 29, 2023, File No. 001-33278).</w:t>
              </w:r>
            </w:hyperlink>
          </w:p>
        </w:tc>
      </w:tr>
      <w:tr>
        <w:trPr>
          <w:trHeight w:val="176"/>
        </w:trPr>
        <w:tc>
          <w:tcPr>
            <w:tcW w:w="20" w:type="dxa"/>
            <w:vAlign w:val="bottom"/>
          </w:tcPr>
          <w:p>
            <w:pPr>
              <w:spacing w:after="0"/>
              <w:rPr>
                <w:sz w:val="15"/>
                <w:szCs w:val="15"/>
                <w:color w:val="auto"/>
              </w:rPr>
            </w:pPr>
          </w:p>
        </w:tc>
        <w:tc>
          <w:tcPr>
            <w:tcW w:w="1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20" w:type="dxa"/>
            <w:vAlign w:val="bottom"/>
          </w:tcPr>
          <w:p>
            <w:pPr>
              <w:ind w:left="460"/>
              <w:spacing w:after="0" w:line="17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Second Amendment to Credit Agreement, dated October 18, 2024, by and amount the Borrowers and the Lender (incorporated by</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20" w:type="dxa"/>
            <w:vAlign w:val="bottom"/>
          </w:tcPr>
          <w:p>
            <w:pPr>
              <w:ind w:left="46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reference to Exhibit 10.1 to the Current Report on Form 8-K filed with the SEC on October 22, 2024, File No. 001-33278).</w:t>
              </w:r>
            </w:hyperlink>
          </w:p>
        </w:tc>
      </w:tr>
      <w:tr>
        <w:trPr>
          <w:trHeight w:val="180"/>
        </w:trPr>
        <w:tc>
          <w:tcPr>
            <w:tcW w:w="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10.16#◊</w:t>
            </w:r>
          </w:p>
        </w:tc>
        <w:tc>
          <w:tcPr>
            <w:tcW w:w="10120" w:type="dxa"/>
            <w:vAlign w:val="bottom"/>
            <w:shd w:val="clear" w:color="auto" w:fill="CCEEFF"/>
          </w:tcPr>
          <w:p>
            <w:pPr>
              <w:ind w:left="460"/>
              <w:spacing w:after="0" w:line="180"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Third Amendment to Credit Agreement, dated August 28 2025, by and among the Borrowers and the Lender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120" w:type="dxa"/>
            <w:vAlign w:val="bottom"/>
            <w:shd w:val="clear" w:color="auto" w:fill="CCEEFF"/>
          </w:tcPr>
          <w:p>
            <w:pPr>
              <w:ind w:left="460"/>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reference to Exhibit 10.1 to the Current Report on Form 8-K filed with the SEC on September 2, 2025, File No. 001-33278).</w:t>
              </w:r>
            </w:hyperlink>
          </w:p>
        </w:tc>
      </w:tr>
      <w:tr>
        <w:trPr>
          <w:trHeight w:val="176"/>
        </w:trPr>
        <w:tc>
          <w:tcPr>
            <w:tcW w:w="11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20" w:type="dxa"/>
            <w:vAlign w:val="bottom"/>
          </w:tcPr>
          <w:p>
            <w:pPr>
              <w:ind w:left="460"/>
              <w:spacing w:after="0" w:line="17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Intellectual Property Agreement between Harris Stratex Networks, Inc. and Harris Corporation dated January 26, 2007 (incorporated</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20" w:type="dxa"/>
            <w:vAlign w:val="bottom"/>
          </w:tcPr>
          <w:p>
            <w:pPr>
              <w:ind w:left="46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by reference to Exhibit 10.4 to the Current Report on Form 8-K filed with the SEC on February 1, 2007, File No. 001-33278)</w:t>
              </w:r>
              <w:r>
                <w:rPr>
                  <w:rFonts w:ascii="Times New Roman" w:cs="Times New Roman" w:eastAsia="Times New Roman" w:hAnsi="Times New Roman"/>
                  <w:sz w:val="18"/>
                  <w:szCs w:val="18"/>
                  <w:color w:val="000000"/>
                </w:rPr>
                <w:t>.</w:t>
              </w:r>
            </w:hyperlink>
          </w:p>
        </w:tc>
      </w:tr>
      <w:tr>
        <w:trPr>
          <w:trHeight w:val="180"/>
        </w:trPr>
        <w:tc>
          <w:tcPr>
            <w:tcW w:w="1120" w:type="dxa"/>
            <w:vAlign w:val="bottom"/>
            <w:gridSpan w:val="3"/>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10.18</w:t>
            </w:r>
          </w:p>
        </w:tc>
        <w:tc>
          <w:tcPr>
            <w:tcW w:w="10120" w:type="dxa"/>
            <w:vAlign w:val="bottom"/>
            <w:shd w:val="clear" w:color="auto" w:fill="CCEEFF"/>
          </w:tcPr>
          <w:p>
            <w:pPr>
              <w:ind w:left="460"/>
              <w:spacing w:after="0" w:line="180"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Tax Sharing Agreement between Harris Stratex Networks, Inc. and Harris Corporation dated January 26, 2007 (incorporated by</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120" w:type="dxa"/>
            <w:vAlign w:val="bottom"/>
            <w:shd w:val="clear" w:color="auto" w:fill="CCEEFF"/>
          </w:tcPr>
          <w:p>
            <w:pPr>
              <w:ind w:left="460"/>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reference to Exhibit 10.11 to the Current Report on Form 8-K filed with the SEC on February 1, 2007, File No. 001-33278)</w:t>
              </w:r>
              <w:r>
                <w:rPr>
                  <w:rFonts w:ascii="Times New Roman" w:cs="Times New Roman" w:eastAsia="Times New Roman" w:hAnsi="Times New Roman"/>
                  <w:sz w:val="18"/>
                  <w:szCs w:val="18"/>
                  <w:color w:val="000000"/>
                </w:rPr>
                <w:t>.</w:t>
              </w:r>
            </w:hyperlink>
          </w:p>
        </w:tc>
      </w:tr>
      <w:tr>
        <w:trPr>
          <w:trHeight w:val="175"/>
        </w:trPr>
        <w:tc>
          <w:tcPr>
            <w:tcW w:w="11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20" w:type="dxa"/>
            <w:vAlign w:val="bottom"/>
          </w:tcPr>
          <w:p>
            <w:pPr>
              <w:ind w:left="460"/>
              <w:spacing w:after="0" w:line="17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Letter Agreement, dated as of January 11, 2015, among Aviat Networks, Inc., Steel Partners Holdings L.P., Lone Star Value</w:t>
              </w:r>
            </w:hyperlink>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120" w:type="dxa"/>
            <w:vAlign w:val="bottom"/>
          </w:tcPr>
          <w:p>
            <w:pPr>
              <w:ind w:left="460"/>
              <w:spacing w:after="0" w:line="17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Management, LLC and certain other parties (incorporated by reference to Exhibit 10.1 to the Current Report on Form 8-K filed with</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20" w:type="dxa"/>
            <w:vAlign w:val="bottom"/>
          </w:tcPr>
          <w:p>
            <w:pPr>
              <w:ind w:left="46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the SEC on January 12, 2015, File No. 001-33278)</w:t>
              </w:r>
              <w:r>
                <w:rPr>
                  <w:rFonts w:ascii="Times New Roman" w:cs="Times New Roman" w:eastAsia="Times New Roman" w:hAnsi="Times New Roman"/>
                  <w:sz w:val="18"/>
                  <w:szCs w:val="18"/>
                  <w:color w:val="000000"/>
                </w:rPr>
                <w:t>.</w:t>
              </w:r>
            </w:hyperlink>
          </w:p>
        </w:tc>
      </w:tr>
      <w:tr>
        <w:trPr>
          <w:trHeight w:val="180"/>
        </w:trPr>
        <w:tc>
          <w:tcPr>
            <w:tcW w:w="1120" w:type="dxa"/>
            <w:vAlign w:val="bottom"/>
            <w:gridSpan w:val="3"/>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10.20</w:t>
            </w:r>
          </w:p>
        </w:tc>
        <w:tc>
          <w:tcPr>
            <w:tcW w:w="10120" w:type="dxa"/>
            <w:vAlign w:val="bottom"/>
            <w:shd w:val="clear" w:color="auto" w:fill="CCEEFF"/>
          </w:tcPr>
          <w:p>
            <w:pPr>
              <w:ind w:left="460"/>
              <w:spacing w:after="0" w:line="180"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Lease Agreement, dated June 8, 2016, between Aviat Networks, Inc., through its wholly owned subsidiary Aviat U.S., Inc., and The</w:t>
              </w:r>
            </w:hyperlink>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120" w:type="dxa"/>
            <w:vAlign w:val="bottom"/>
            <w:shd w:val="clear" w:color="auto" w:fill="CCEEFF"/>
          </w:tcPr>
          <w:p>
            <w:pPr>
              <w:ind w:left="460"/>
              <w:spacing w:after="0" w:line="17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Irvine Company LLC (incorporated by reference to Exhibit 10.34 to the Annual Report on Form 10-K for fiscal year end July 1, 2016</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120" w:type="dxa"/>
            <w:vAlign w:val="bottom"/>
            <w:shd w:val="clear" w:color="auto" w:fill="CCEEFF"/>
          </w:tcPr>
          <w:p>
            <w:pPr>
              <w:ind w:left="460"/>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filed with the SEC on September 9, 2016, File No. 001-33278)</w:t>
              </w:r>
              <w:r>
                <w:rPr>
                  <w:rFonts w:ascii="Times New Roman" w:cs="Times New Roman" w:eastAsia="Times New Roman" w:hAnsi="Times New Roman"/>
                  <w:sz w:val="18"/>
                  <w:szCs w:val="18"/>
                  <w:color w:val="000000"/>
                </w:rPr>
                <w:t>.</w:t>
              </w:r>
            </w:hyperlink>
          </w:p>
        </w:tc>
      </w:tr>
      <w:tr>
        <w:trPr>
          <w:trHeight w:val="162"/>
        </w:trPr>
        <w:tc>
          <w:tcPr>
            <w:tcW w:w="11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8"/>
                <w:szCs w:val="18"/>
                <w:color w:val="auto"/>
              </w:rPr>
              <w:t>10.21</w:t>
            </w:r>
          </w:p>
        </w:tc>
        <w:tc>
          <w:tcPr>
            <w:tcW w:w="10120" w:type="dxa"/>
            <w:vAlign w:val="bottom"/>
          </w:tcPr>
          <w:p>
            <w:pPr>
              <w:ind w:left="460"/>
              <w:spacing w:after="0" w:line="162"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Employment Agreement, dated January 2, 2020, between Aviat Networks, Inc. and Peter Smith (incorporated by reference to Exhibit</w:t>
              </w:r>
            </w:hyperlink>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120" w:type="dxa"/>
            <w:vAlign w:val="bottom"/>
          </w:tcPr>
          <w:p>
            <w:pPr>
              <w:ind w:left="460"/>
              <w:spacing w:after="0" w:line="202"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10.1 to the Current Report on Form 8-K filed with the SEC on January 2, 2020, File No. 001-33278)</w:t>
              </w:r>
              <w:r>
                <w:rPr>
                  <w:rFonts w:ascii="Times New Roman" w:cs="Times New Roman" w:eastAsia="Times New Roman" w:hAnsi="Times New Roman"/>
                  <w:sz w:val="18"/>
                  <w:szCs w:val="18"/>
                  <w:color w:val="000000"/>
                </w:rPr>
                <w:t>.</w:t>
              </w:r>
            </w:hyperlink>
          </w:p>
        </w:tc>
      </w:tr>
      <w:tr>
        <w:trPr>
          <w:trHeight w:val="175"/>
        </w:trPr>
        <w:tc>
          <w:tcPr>
            <w:tcW w:w="112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10.21.1+</w:t>
            </w:r>
          </w:p>
        </w:tc>
        <w:tc>
          <w:tcPr>
            <w:tcW w:w="10120" w:type="dxa"/>
            <w:vAlign w:val="bottom"/>
            <w:shd w:val="clear" w:color="auto" w:fill="CCEEFF"/>
          </w:tcPr>
          <w:p>
            <w:pPr>
              <w:ind w:left="460"/>
              <w:spacing w:after="0" w:line="17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First Amendment to the Employment Agreement between Aviat Networks, Inc. and Peter Smith, dated May 17, 2021 (incorporated</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120" w:type="dxa"/>
            <w:vAlign w:val="bottom"/>
            <w:shd w:val="clear" w:color="auto" w:fill="CCEEFF"/>
          </w:tcPr>
          <w:p>
            <w:pPr>
              <w:ind w:left="46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by reference to Exhibit 10.1 to the Current Report on Form 8-K filed with the SEC on May 18, 2021, File No. 001-33278)</w:t>
              </w:r>
              <w:r>
                <w:rPr>
                  <w:rFonts w:ascii="Times New Roman" w:cs="Times New Roman" w:eastAsia="Times New Roman" w:hAnsi="Times New Roman"/>
                  <w:sz w:val="18"/>
                  <w:szCs w:val="18"/>
                  <w:color w:val="000000"/>
                </w:rPr>
                <w:t>.</w:t>
              </w:r>
            </w:hyperlink>
          </w:p>
        </w:tc>
      </w:tr>
      <w:tr>
        <w:trPr>
          <w:trHeight w:val="198"/>
        </w:trPr>
        <w:tc>
          <w:tcPr>
            <w:tcW w:w="11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10.21.2+</w:t>
            </w:r>
          </w:p>
        </w:tc>
        <w:tc>
          <w:tcPr>
            <w:tcW w:w="10120" w:type="dxa"/>
            <w:vAlign w:val="bottom"/>
          </w:tcPr>
          <w:p>
            <w:pPr>
              <w:ind w:left="460"/>
              <w:spacing w:after="0" w:line="198"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Second Amendment to Employment Agreement, dated July 4, 2021, between the Company and Peter Smith (incorporated by</w:t>
              </w:r>
            </w:hyperlink>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20" w:type="dxa"/>
            <w:vAlign w:val="bottom"/>
          </w:tcPr>
          <w:p>
            <w:pPr>
              <w:ind w:left="46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reference to Exhibit 10.1 to the Current Report on Form 8-K filed with the SEC on July 7, 2021, File No. 001-33278)</w:t>
              </w:r>
              <w:r>
                <w:rPr>
                  <w:rFonts w:ascii="Times New Roman" w:cs="Times New Roman" w:eastAsia="Times New Roman" w:hAnsi="Times New Roman"/>
                  <w:sz w:val="18"/>
                  <w:szCs w:val="18"/>
                  <w:color w:val="000000"/>
                </w:rPr>
                <w:t>.</w:t>
              </w:r>
            </w:hyperlink>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211"/>
        </w:trPr>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10.21.3+</w:t>
            </w:r>
          </w:p>
        </w:tc>
        <w:tc>
          <w:tcPr>
            <w:tcW w:w="10120" w:type="dxa"/>
            <w:vAlign w:val="bottom"/>
            <w:shd w:val="clear" w:color="auto" w:fill="CCEEFF"/>
          </w:tcPr>
          <w:p>
            <w:pPr>
              <w:ind w:left="460"/>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Employment Agreement, dated April 15, 2024, between the Company and Peter Smith (incorporated by reference to Exhibit 10.20.3</w:t>
              </w:r>
            </w:hyperlink>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120" w:type="dxa"/>
            <w:vAlign w:val="bottom"/>
            <w:tcBorders>
              <w:bottom w:val="single" w:sz="8" w:color="CCEEFF"/>
            </w:tcBorders>
            <w:shd w:val="clear" w:color="auto" w:fill="CCEEFF"/>
          </w:tcPr>
          <w:p>
            <w:pPr>
              <w:ind w:left="460"/>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to the Annual Report for fiscal year end June 28, 2024, filed with the SEC on October 4, 2024, File No. 001-33278).</w:t>
              </w:r>
            </w:hyperlink>
          </w:p>
        </w:tc>
      </w:tr>
      <w:tr>
        <w:trPr>
          <w:trHeight w:val="21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120" w:type="dxa"/>
            <w:vAlign w:val="bottom"/>
          </w:tcPr>
          <w:p>
            <w:pPr>
              <w:ind w:left="46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Aviat Networks, Inc. Second Amended and Restated 2018 Incentive Plan (incorporated by reference to Annex A to the Registrant’s</w:t>
              </w:r>
            </w:hyperlink>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120" w:type="dxa"/>
            <w:vAlign w:val="bottom"/>
          </w:tcPr>
          <w:p>
            <w:pPr>
              <w:ind w:left="46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Proxy Statement on Schedule 14A filed with the SEC on October 7, 2024, File No. 001-33278)</w:t>
              </w:r>
              <w:r>
                <w:rPr>
                  <w:rFonts w:ascii="Times New Roman" w:cs="Times New Roman" w:eastAsia="Times New Roman" w:hAnsi="Times New Roman"/>
                  <w:sz w:val="18"/>
                  <w:szCs w:val="18"/>
                  <w:color w:val="000000"/>
                </w:rPr>
                <w:t>.</w:t>
              </w:r>
            </w:hyperlink>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120" w:type="dxa"/>
            <w:vAlign w:val="bottom"/>
          </w:tcPr>
          <w:p>
            <w:pPr>
              <w:spacing w:after="0"/>
              <w:rPr>
                <w:sz w:val="2"/>
                <w:szCs w:val="2"/>
                <w:color w:val="auto"/>
              </w:rPr>
            </w:pPr>
          </w:p>
        </w:tc>
      </w:tr>
      <w:tr>
        <w:trPr>
          <w:trHeight w:val="175"/>
        </w:trPr>
        <w:tc>
          <w:tcPr>
            <w:tcW w:w="112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20" w:type="dxa"/>
            <w:vAlign w:val="bottom"/>
            <w:shd w:val="clear" w:color="auto" w:fill="CCEEFF"/>
          </w:tcPr>
          <w:p>
            <w:pPr>
              <w:ind w:left="460"/>
              <w:spacing w:after="0" w:line="17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Employment Agreement, dated April 15, 2024, between the Company and Erin Boase (incorporated by reference to Exhibit 10.26 to</w:t>
              </w:r>
            </w:hyperlink>
          </w:p>
        </w:tc>
      </w:tr>
      <w:tr>
        <w:trPr>
          <w:trHeight w:val="243"/>
        </w:trPr>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120" w:type="dxa"/>
            <w:vAlign w:val="bottom"/>
            <w:shd w:val="clear" w:color="auto" w:fill="CCEEFF"/>
          </w:tcPr>
          <w:p>
            <w:pPr>
              <w:ind w:left="46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the Annual Report for fiscal year end June 28, 2024, filed with the SEC on October 4, 2024, File No. 001-33278).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 #</w:t>
            </w:r>
          </w:p>
        </w:tc>
        <w:tc>
          <w:tcPr>
            <w:tcW w:w="740" w:type="dxa"/>
            <w:vAlign w:val="bottom"/>
          </w:tcPr>
          <w:p>
            <w:pPr>
              <w:spacing w:after="0"/>
              <w:rPr>
                <w:sz w:val="17"/>
                <w:szCs w:val="17"/>
                <w:color w:val="auto"/>
              </w:rPr>
            </w:pPr>
          </w:p>
        </w:tc>
        <w:tc>
          <w:tcPr>
            <w:tcW w:w="10080" w:type="dxa"/>
            <w:vAlign w:val="bottom"/>
          </w:tcPr>
          <w:p>
            <w:pPr>
              <w:ind w:left="4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80" w:type="dxa"/>
            <w:vAlign w:val="bottom"/>
          </w:tcPr>
          <w:p>
            <w:pPr>
              <w:ind w:left="420"/>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Employment Agreement, dated April 15, 2024, between the Company and Gary Croke (incorporated by reference to Exhibit 10.27 to</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the Annual Report for fiscal year end June 28, 2024, filed with the SEC on October 4, 2024, File No. 001-33278).</w:t>
              </w:r>
            </w:hyperlink>
          </w:p>
        </w:tc>
      </w:tr>
      <w:tr>
        <w:trPr>
          <w:trHeight w:val="234"/>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10.24.1*+</w:t>
            </w:r>
          </w:p>
        </w:tc>
        <w:tc>
          <w:tcPr>
            <w:tcW w:w="10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0000FF"/>
              </w:rPr>
              <w:t>First Amendment to Employment Agreement, dated July 1, 2025, between the Company and Gary Croke</w:t>
            </w:r>
          </w:p>
        </w:tc>
      </w:tr>
      <w:tr>
        <w:trPr>
          <w:trHeight w:val="175"/>
        </w:trPr>
        <w:tc>
          <w:tcPr>
            <w:tcW w:w="11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080" w:type="dxa"/>
            <w:vAlign w:val="bottom"/>
          </w:tcPr>
          <w:p>
            <w:pPr>
              <w:ind w:left="420"/>
              <w:spacing w:after="0" w:line="17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Employment Agreement, dated May 28, 2024, between the Company and Michael Connaway (incorporated by reference to Exhibit</w:t>
              </w:r>
            </w:hyperlink>
          </w:p>
        </w:tc>
      </w:tr>
      <w:tr>
        <w:trPr>
          <w:trHeight w:val="239"/>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80" w:type="dxa"/>
            <w:vAlign w:val="bottom"/>
          </w:tcPr>
          <w:p>
            <w:pPr>
              <w:ind w:left="420"/>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10.28 to the Annual Report for fiscal year end June 28, 2024, filed with the SEC on October 4, 2024, File No. 001-33278).</w:t>
              </w:r>
            </w:hyperlink>
          </w:p>
        </w:tc>
      </w:tr>
      <w:tr>
        <w:trPr>
          <w:trHeight w:val="234"/>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0000FF"/>
              </w:rPr>
              <w:t>Insider Trading Compliance Program and Policy Statement, dated June 20, 2024.</w:t>
            </w:r>
          </w:p>
        </w:tc>
      </w:tr>
      <w:tr>
        <w:trPr>
          <w:trHeight w:val="229"/>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tcPr>
          <w:p>
            <w:pPr>
              <w:spacing w:after="0"/>
              <w:rPr>
                <w:sz w:val="19"/>
                <w:szCs w:val="19"/>
                <w:color w:val="auto"/>
              </w:rPr>
            </w:pPr>
          </w:p>
        </w:tc>
        <w:tc>
          <w:tcPr>
            <w:tcW w:w="10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List of Subsidiaries of Aviat Networks, Inc.</w:t>
            </w:r>
          </w:p>
        </w:tc>
      </w:tr>
      <w:tr>
        <w:trPr>
          <w:trHeight w:val="230"/>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shd w:val="clear" w:color="auto" w:fill="CCEEFF"/>
          </w:tcPr>
          <w:p>
            <w:pPr>
              <w:spacing w:after="0"/>
              <w:rPr>
                <w:sz w:val="19"/>
                <w:szCs w:val="19"/>
                <w:color w:val="auto"/>
              </w:rPr>
            </w:pPr>
          </w:p>
        </w:tc>
        <w:tc>
          <w:tcPr>
            <w:tcW w:w="10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2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Rule 13a-14(a)/15d-14(a) Certification of President and Chief Executive Officer</w:t>
            </w:r>
          </w:p>
        </w:tc>
      </w:tr>
      <w:tr>
        <w:trPr>
          <w:trHeight w:val="230"/>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r>
      <w:tr>
        <w:trPr>
          <w:trHeight w:val="22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Section 1350 Certification of Chief Executive Officer and Chief Financial Officer</w:t>
            </w:r>
          </w:p>
        </w:tc>
      </w:tr>
      <w:tr>
        <w:trPr>
          <w:trHeight w:val="229"/>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0000FF"/>
              </w:rPr>
              <w:t>Incentive-Based Compensation Recoupment Policy, dated August 21, 2023.</w:t>
            </w:r>
          </w:p>
        </w:tc>
      </w:tr>
      <w:tr>
        <w:trPr>
          <w:trHeight w:val="230"/>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44" w:lineRule="exact"/>
        <w:rPr>
          <w:sz w:val="20"/>
          <w:szCs w:val="20"/>
          <w:color w:val="auto"/>
        </w:rPr>
      </w:pPr>
    </w:p>
    <w:p>
      <w:pPr>
        <w:ind w:left="480" w:hanging="454"/>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contract, arrangement or plan required to be filed as an exhibit pursuant to Item 15(b) of this report.</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3" w:lineRule="exact"/>
        <w:rPr>
          <w:sz w:val="20"/>
          <w:szCs w:val="20"/>
          <w:color w:val="auto"/>
        </w:rPr>
      </w:pPr>
    </w:p>
    <w:p>
      <w:pPr>
        <w:ind w:left="480" w:right="440" w:hanging="454"/>
        <w:spacing w:after="0" w:line="204"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in accordance with Item 601(a)(5) of Regulation S-K. A copy of any omitted schedule and/or exhibit will be furnished to the SEC on request.</w:t>
      </w:r>
    </w:p>
    <w:p>
      <w:pPr>
        <w:spacing w:after="0" w:line="1" w:lineRule="exact"/>
        <w:rPr>
          <w:sz w:val="20"/>
          <w:szCs w:val="20"/>
          <w:color w:val="auto"/>
        </w:rPr>
      </w:pPr>
    </w:p>
    <w:p>
      <w:pPr>
        <w:ind w:left="480" w:hanging="454"/>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were redacted pursuant to Item 601(b)(2)(ii) of Regulation S-K.</w:t>
      </w:r>
    </w:p>
    <w:p>
      <w:pPr>
        <w:spacing w:after="0" w:line="20"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Certain portions of this exhibit were redacted pursuant to Item 601(b)(10)(iv)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 OF GARY CROKE</w:t>
      </w:r>
    </w:p>
    <w:p>
      <w:pPr>
        <w:spacing w:after="0" w:line="223" w:lineRule="exact"/>
        <w:rPr>
          <w:sz w:val="20"/>
          <w:szCs w:val="20"/>
          <w:color w:val="auto"/>
        </w:rPr>
      </w:pPr>
    </w:p>
    <w:p>
      <w:pPr>
        <w:jc w:val="both"/>
        <w:ind w:firstLine="216"/>
        <w:spacing w:after="0" w:line="263" w:lineRule="auto"/>
        <w:rPr>
          <w:sz w:val="20"/>
          <w:szCs w:val="20"/>
          <w:color w:val="auto"/>
        </w:rPr>
      </w:pPr>
      <w:r>
        <w:rPr>
          <w:rFonts w:ascii="Times New Roman" w:cs="Times New Roman" w:eastAsia="Times New Roman" w:hAnsi="Times New Roman"/>
          <w:sz w:val="22"/>
          <w:szCs w:val="22"/>
          <w:color w:val="auto"/>
        </w:rPr>
        <w:t>This AMENDMENT TO EMPLOYMENT AGREEMENT OF GARY G. CROKE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entered into as of July 1, 2025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by and between Aviat U.S.,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Gary G. Croke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firstLine="442"/>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Employee and the Company entered into that certain Employment Agreement of Gary G. Croke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dated April 15, 2024; and</w:t>
      </w:r>
    </w:p>
    <w:p>
      <w:pPr>
        <w:spacing w:after="0" w:line="176" w:lineRule="exact"/>
        <w:rPr>
          <w:sz w:val="20"/>
          <w:szCs w:val="20"/>
          <w:color w:val="auto"/>
        </w:rPr>
      </w:pPr>
    </w:p>
    <w:p>
      <w:pPr>
        <w:jc w:val="both"/>
        <w:ind w:firstLine="283"/>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accordance with Section 16 of the Employment Agreement, Employee and the Company desire to amend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Agreement in order to memorialize a change in Employee’s title and certain other matters relating thereto.</w:t>
      </w:r>
    </w:p>
    <w:p>
      <w:pPr>
        <w:spacing w:after="0" w:line="16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promises and the mutual covenants and agreements contained herein,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hereby acknowledged, the parties agree that the Employment Agreement is hereby amended as follows, effective as of the Amendment Effective Date:</w:t>
      </w:r>
    </w:p>
    <w:p>
      <w:pPr>
        <w:spacing w:after="0" w:line="200" w:lineRule="exact"/>
        <w:rPr>
          <w:sz w:val="20"/>
          <w:szCs w:val="20"/>
          <w:color w:val="auto"/>
        </w:rPr>
      </w:pPr>
    </w:p>
    <w:p>
      <w:pPr>
        <w:spacing w:after="0" w:line="254" w:lineRule="exact"/>
        <w:rPr>
          <w:sz w:val="20"/>
          <w:szCs w:val="20"/>
          <w:color w:val="auto"/>
        </w:rPr>
      </w:pPr>
    </w:p>
    <w:p>
      <w:pPr>
        <w:ind w:left="660" w:right="20" w:hanging="328"/>
        <w:spacing w:after="0" w:line="284" w:lineRule="auto"/>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of the Employment of Agreement is hereby deleted in its integrity, with the following substituted therefore:</w:t>
      </w:r>
    </w:p>
    <w:p>
      <w:pPr>
        <w:spacing w:after="0" w:line="171" w:lineRule="exact"/>
        <w:rPr>
          <w:sz w:val="20"/>
          <w:szCs w:val="20"/>
          <w:color w:val="auto"/>
        </w:rPr>
      </w:pPr>
    </w:p>
    <w:p>
      <w:pPr>
        <w:jc w:val="both"/>
        <w:ind w:left="1300" w:right="1300"/>
        <w:spacing w:after="0" w:line="257" w:lineRule="auto"/>
        <w:rPr>
          <w:sz w:val="20"/>
          <w:szCs w:val="20"/>
          <w:color w:val="auto"/>
        </w:rPr>
      </w:pPr>
      <w:r>
        <w:rPr>
          <w:rFonts w:ascii="Times New Roman" w:cs="Times New Roman" w:eastAsia="Times New Roman" w:hAnsi="Times New Roman"/>
          <w:sz w:val="22"/>
          <w:szCs w:val="22"/>
          <w:color w:val="auto"/>
        </w:rPr>
        <w:t>“During the period commencing on the Effective Date and for the duration of the Employment Period (as defined in Section 4 below), the Company shall employ Executive, and Executive shall serve as Senior Vice President, Product and Innovation of the Company.”</w:t>
      </w:r>
    </w:p>
    <w:p>
      <w:pPr>
        <w:spacing w:after="0" w:line="173" w:lineRule="exact"/>
        <w:rPr>
          <w:sz w:val="20"/>
          <w:szCs w:val="20"/>
          <w:color w:val="auto"/>
        </w:rPr>
      </w:pPr>
    </w:p>
    <w:p>
      <w:pPr>
        <w:ind w:left="660" w:hanging="328"/>
        <w:spacing w:after="0" w:line="284" w:lineRule="auto"/>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sentence under Section 3(a)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of the Employment Agreement is hereby deleted, with the following substituted therefor:</w:t>
      </w:r>
    </w:p>
    <w:p>
      <w:pPr>
        <w:spacing w:after="0" w:line="171" w:lineRule="exact"/>
        <w:rPr>
          <w:sz w:val="20"/>
          <w:szCs w:val="20"/>
          <w:color w:val="auto"/>
        </w:rPr>
      </w:pPr>
    </w:p>
    <w:p>
      <w:pPr>
        <w:ind w:left="1300" w:right="1300"/>
        <w:spacing w:after="0" w:line="271" w:lineRule="auto"/>
        <w:rPr>
          <w:sz w:val="20"/>
          <w:szCs w:val="20"/>
          <w:color w:val="auto"/>
        </w:rPr>
      </w:pPr>
      <w:r>
        <w:rPr>
          <w:rFonts w:ascii="Times New Roman" w:cs="Times New Roman" w:eastAsia="Times New Roman" w:hAnsi="Times New Roman"/>
          <w:sz w:val="22"/>
          <w:szCs w:val="22"/>
          <w:color w:val="auto"/>
        </w:rPr>
        <w:t>“As of the Effective Date, Executive’s annualized base salary shall be $350,000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right="20" w:hanging="328"/>
        <w:spacing w:after="0" w:line="271" w:lineRule="auto"/>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sentence under Section 3(c) “</w:t>
      </w:r>
      <w:r>
        <w:rPr>
          <w:rFonts w:ascii="Times New Roman" w:cs="Times New Roman" w:eastAsia="Times New Roman" w:hAnsi="Times New Roman"/>
          <w:sz w:val="22"/>
          <w:szCs w:val="22"/>
          <w:u w:val="single" w:color="auto"/>
          <w:color w:val="auto"/>
        </w:rPr>
        <w:t>Long-Term Incentive Plan</w:t>
      </w:r>
      <w:r>
        <w:rPr>
          <w:rFonts w:ascii="Times New Roman" w:cs="Times New Roman" w:eastAsia="Times New Roman" w:hAnsi="Times New Roman"/>
          <w:sz w:val="22"/>
          <w:szCs w:val="22"/>
          <w:color w:val="auto"/>
        </w:rPr>
        <w:t>” of the Employment Agreement is hereby deleted, with the following substituted therefor:</w:t>
      </w:r>
    </w:p>
    <w:p>
      <w:pPr>
        <w:spacing w:after="0" w:line="198" w:lineRule="exact"/>
        <w:rPr>
          <w:sz w:val="20"/>
          <w:szCs w:val="20"/>
          <w:color w:val="auto"/>
        </w:rPr>
      </w:pPr>
    </w:p>
    <w:p>
      <w:pPr>
        <w:jc w:val="both"/>
        <w:ind w:left="1300" w:right="1300"/>
        <w:spacing w:after="0" w:line="250" w:lineRule="auto"/>
        <w:rPr>
          <w:sz w:val="20"/>
          <w:szCs w:val="20"/>
          <w:color w:val="auto"/>
        </w:rPr>
      </w:pPr>
      <w:r>
        <w:rPr>
          <w:rFonts w:ascii="Times New Roman" w:cs="Times New Roman" w:eastAsia="Times New Roman" w:hAnsi="Times New Roman"/>
          <w:sz w:val="22"/>
          <w:szCs w:val="22"/>
          <w:color w:val="auto"/>
        </w:rPr>
        <w:t>“With respect to the 2026 fiscal year and each subsequent fiscal year during the Employment Period, Executive shall be eligible to receive annual awards under the Company’s equity compensation plan as in effect from time to time (the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with a target value equal to 50% of Executive’s Base Salary as in effect on the first day of such fiscal year (the “</w:t>
      </w:r>
      <w:r>
        <w:rPr>
          <w:rFonts w:ascii="Times New Roman" w:cs="Times New Roman" w:eastAsia="Times New Roman" w:hAnsi="Times New Roman"/>
          <w:sz w:val="22"/>
          <w:szCs w:val="22"/>
          <w:u w:val="single" w:color="auto"/>
          <w:color w:val="auto"/>
        </w:rPr>
        <w:t>Target Annual LTIP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25" w:lineRule="exact"/>
        <w:rPr>
          <w:sz w:val="20"/>
          <w:szCs w:val="20"/>
          <w:color w:val="auto"/>
        </w:rPr>
      </w:pPr>
    </w:p>
    <w:p>
      <w:pPr>
        <w:jc w:val="both"/>
        <w:ind w:left="328" w:hanging="328"/>
        <w:spacing w:after="0" w:line="257" w:lineRule="auto"/>
        <w:tabs>
          <w:tab w:leader="none" w:pos="32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amended hereby, the Employment Agreement is specifically ratified and reaffirmed. This Amendment is made a part of, and is incorporated into, the Employment Agreement and is subject to all provisions therein (as amended hereby), including the notice, modification and entire agreement provisions thereof.</w:t>
      </w:r>
    </w:p>
    <w:p>
      <w:pPr>
        <w:spacing w:after="0" w:line="209"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w:t>
      </w:r>
    </w:p>
    <w:p>
      <w:pPr>
        <w:spacing w:after="0" w:line="3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88"/>
          </w:cols>
          <w:pgMar w:left="652" w:top="1440" w:right="359" w:bottom="1440" w:gutter="0" w:footer="0" w:header="0"/>
        </w:sectPr>
      </w:pPr>
    </w:p>
    <w:bookmarkStart w:id="101" w:name="page102"/>
    <w:bookmarkEnd w:id="101"/>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and Employee have executed this Amendment to be effective for all purposes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provided above on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AVIAT U.S.,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u w:val="single" w:color="auto"/>
          <w:color w:val="auto"/>
        </w:rPr>
        <w:t>/s/ Peter A. Smith</w:t>
      </w:r>
    </w:p>
    <w:p>
      <w:pPr>
        <w:spacing w:after="0" w:line="23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tab/>
        <w:t>President, CEO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GARY G. CROKE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Amendment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Croke Employment Agreement</w:t>
      </w:r>
    </w:p>
    <w:p>
      <w:pPr>
        <w:sectPr>
          <w:pgSz w:w="11900" w:h="16838" w:orient="portrait"/>
          <w:cols w:equalWidth="0" w:num="1">
            <w:col w:w="11240"/>
          </w:cols>
          <w:pgMar w:left="320" w:top="1418" w:right="339" w:bottom="1440" w:gutter="0" w:footer="0" w:header="0"/>
        </w:sectPr>
      </w:pPr>
    </w:p>
    <w:bookmarkStart w:id="102" w:name="page103"/>
    <w:bookmarkEnd w:id="102"/>
    <w:p>
      <w:pPr>
        <w:spacing w:after="0"/>
        <w:rPr>
          <w:sz w:val="20"/>
          <w:szCs w:val="20"/>
          <w:color w:val="auto"/>
        </w:rPr>
      </w:pPr>
      <w:r>
        <w:rPr>
          <w:rFonts w:ascii="Arial" w:cs="Arial" w:eastAsia="Arial" w:hAnsi="Arial"/>
          <w:sz w:val="35"/>
          <w:szCs w:val="35"/>
          <w:color w:val="auto"/>
        </w:rPr>
        <w:t>INSIDER TRADING POLICY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Issue date August 2023; updated June 20, 2024</w:t>
      </w:r>
    </w:p>
    <w:p>
      <w:pPr>
        <w:sectPr>
          <w:pgSz w:w="11900" w:h="16838" w:orient="portrait"/>
          <w:cols w:equalWidth="0" w:num="1">
            <w:col w:w="10139"/>
          </w:cols>
          <w:pgMar w:left="320" w:top="1087" w:right="1440" w:bottom="1440" w:gutter="0" w:footer="0" w:header="0"/>
        </w:sectPr>
      </w:pPr>
    </w:p>
    <w:bookmarkStart w:id="103" w:name="page104"/>
    <w:bookmarkEnd w:id="103"/>
    <w:p>
      <w:pPr>
        <w:ind w:left="640" w:hanging="632"/>
        <w:spacing w:after="0"/>
        <w:tabs>
          <w:tab w:leader="none" w:pos="640" w:val="left"/>
        </w:tabs>
        <w:numPr>
          <w:ilvl w:val="0"/>
          <w:numId w:val="37"/>
        </w:numPr>
        <w:rPr>
          <w:rFonts w:ascii="Arial" w:cs="Arial" w:eastAsia="Arial" w:hAnsi="Arial"/>
          <w:sz w:val="25"/>
          <w:szCs w:val="25"/>
          <w:b w:val="1"/>
          <w:bCs w:val="1"/>
          <w:color w:val="auto"/>
        </w:rPr>
      </w:pPr>
      <w:r>
        <w:rPr>
          <w:rFonts w:ascii="Arial" w:cs="Arial" w:eastAsia="Arial" w:hAnsi="Arial"/>
          <w:sz w:val="25"/>
          <w:szCs w:val="25"/>
          <w:b w:val="1"/>
          <w:bCs w:val="1"/>
          <w:color w:val="auto"/>
        </w:rPr>
        <w:t>PURPOSE</w:t>
      </w:r>
    </w:p>
    <w:p>
      <w:pPr>
        <w:spacing w:after="0" w:line="30" w:lineRule="exact"/>
        <w:rPr>
          <w:sz w:val="20"/>
          <w:szCs w:val="20"/>
          <w:color w:val="auto"/>
        </w:rPr>
      </w:pPr>
    </w:p>
    <w:p>
      <w:pPr>
        <w:jc w:val="both"/>
        <w:ind w:left="780"/>
        <w:spacing w:after="0" w:line="252" w:lineRule="auto"/>
        <w:rPr>
          <w:sz w:val="20"/>
          <w:szCs w:val="20"/>
          <w:color w:val="auto"/>
        </w:rPr>
      </w:pPr>
      <w:r>
        <w:rPr>
          <w:rFonts w:ascii="Arial" w:cs="Arial" w:eastAsia="Arial" w:hAnsi="Arial"/>
          <w:sz w:val="20"/>
          <w:szCs w:val="20"/>
          <w:color w:val="auto"/>
        </w:rPr>
        <w:t>Aviat Networks, Inc. (the “</w:t>
      </w:r>
      <w:r>
        <w:rPr>
          <w:rFonts w:ascii="Arial" w:cs="Arial" w:eastAsia="Arial" w:hAnsi="Arial"/>
          <w:sz w:val="20"/>
          <w:szCs w:val="20"/>
          <w:b w:val="1"/>
          <w:bCs w:val="1"/>
          <w:color w:val="auto"/>
        </w:rPr>
        <w:t>Company</w:t>
      </w:r>
      <w:r>
        <w:rPr>
          <w:rFonts w:ascii="Arial" w:cs="Arial" w:eastAsia="Arial" w:hAnsi="Arial"/>
          <w:sz w:val="20"/>
          <w:szCs w:val="20"/>
          <w:color w:val="auto"/>
        </w:rPr>
        <w:t>”) has adopted the policies and procedures described in this Insider Trading Policy Statement (this “</w:t>
      </w:r>
      <w:r>
        <w:rPr>
          <w:rFonts w:ascii="Arial" w:cs="Arial" w:eastAsia="Arial" w:hAnsi="Arial"/>
          <w:sz w:val="20"/>
          <w:szCs w:val="20"/>
          <w:b w:val="1"/>
          <w:bCs w:val="1"/>
          <w:color w:val="auto"/>
        </w:rPr>
        <w:t>policy statement</w:t>
      </w:r>
      <w:r>
        <w:rPr>
          <w:rFonts w:ascii="Arial" w:cs="Arial" w:eastAsia="Arial" w:hAnsi="Arial"/>
          <w:sz w:val="20"/>
          <w:szCs w:val="20"/>
          <w:color w:val="auto"/>
        </w:rPr>
        <w:t xml:space="preserve">”) to provide guidance to the Company’s officers, directors, employees, consultants and other related individuals with respect to transactions in the Company’s securities (such as common stock, options to buy or sell common stock, warrants, convertible securities and debt securities) and derivative securities relating to the Company’s common stock, whether or not issued by the Company (such as exchange-traded options) for the purpose of promoting compliance with applicable securities laws. </w:t>
      </w:r>
      <w:r>
        <w:rPr>
          <w:rFonts w:ascii="Arial" w:cs="Arial" w:eastAsia="Arial" w:hAnsi="Arial"/>
          <w:sz w:val="20"/>
          <w:szCs w:val="20"/>
          <w:b w:val="1"/>
          <w:bCs w:val="1"/>
          <w:color w:val="auto"/>
        </w:rPr>
        <w:t>This document states a policy of the Company</w:t>
      </w:r>
      <w:r>
        <w:rPr>
          <w:rFonts w:ascii="Arial" w:cs="Arial" w:eastAsia="Arial" w:hAnsi="Arial"/>
          <w:sz w:val="20"/>
          <w:szCs w:val="20"/>
          <w:color w:val="auto"/>
        </w:rPr>
        <w:t xml:space="preserve"> </w:t>
      </w:r>
      <w:r>
        <w:rPr>
          <w:rFonts w:ascii="Arial" w:cs="Arial" w:eastAsia="Arial" w:hAnsi="Arial"/>
          <w:sz w:val="20"/>
          <w:szCs w:val="20"/>
          <w:b w:val="1"/>
          <w:bCs w:val="1"/>
          <w:color w:val="auto"/>
        </w:rPr>
        <w:t>and is not intended to be regarded as legal advice.</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Adoption of Insider Trading Policy Statement</w:t>
      </w:r>
      <w:r>
        <w:rPr>
          <w:rFonts w:ascii="Arial" w:cs="Arial" w:eastAsia="Arial" w:hAnsi="Arial"/>
          <w:sz w:val="20"/>
          <w:szCs w:val="20"/>
          <w:color w:val="auto"/>
        </w:rPr>
        <w:t>.</w:t>
      </w:r>
    </w:p>
    <w:p>
      <w:pPr>
        <w:spacing w:after="0" w:line="216" w:lineRule="exact"/>
        <w:rPr>
          <w:sz w:val="20"/>
          <w:szCs w:val="20"/>
          <w:color w:val="auto"/>
        </w:rPr>
      </w:pPr>
    </w:p>
    <w:p>
      <w:pPr>
        <w:jc w:val="both"/>
        <w:ind w:left="780"/>
        <w:spacing w:after="0" w:line="252" w:lineRule="auto"/>
        <w:rPr>
          <w:sz w:val="20"/>
          <w:szCs w:val="20"/>
          <w:color w:val="auto"/>
        </w:rPr>
      </w:pPr>
      <w:r>
        <w:rPr>
          <w:rFonts w:ascii="Arial" w:cs="Arial" w:eastAsia="Arial" w:hAnsi="Arial"/>
          <w:sz w:val="20"/>
          <w:szCs w:val="20"/>
          <w:color w:val="auto"/>
        </w:rPr>
        <w:t>The Company has adopted this policy statement, which prohibits transacting in Company securities based on material, nonpublic information regarding the Company. The policy statement covers all officers, directors and employees of the Company. Any restrictions that apply to an officer, director, employee or other person covered by this policy statement will also apply to (1) family members who reside with such individual, (2) any other persons who live in such individual’s household, (3) family members who do not live in such individual’s household but whose transactions in Company securities are directed by the individual or are subject to the individual’s control or influence (such as parents or children who consult with the individual prior to transacting in Company securities) and (4) partnerships, trusts, estates and other legal entities controlled by such individual (collectively, “</w:t>
      </w:r>
      <w:r>
        <w:rPr>
          <w:rFonts w:ascii="Arial" w:cs="Arial" w:eastAsia="Arial" w:hAnsi="Arial"/>
          <w:sz w:val="20"/>
          <w:szCs w:val="20"/>
          <w:b w:val="1"/>
          <w:bCs w:val="1"/>
          <w:color w:val="auto"/>
        </w:rPr>
        <w:t>family members and affiliated entities</w:t>
      </w:r>
      <w:r>
        <w:rPr>
          <w:rFonts w:ascii="Arial" w:cs="Arial" w:eastAsia="Arial" w:hAnsi="Arial"/>
          <w:sz w:val="20"/>
          <w:szCs w:val="20"/>
          <w:color w:val="auto"/>
        </w:rPr>
        <w:t>”). The policy statement also covers other persons such as contractors or consultants who have or may have access to material, nonpublic information regarding the Company from time to time. The people to whom this policy statement applies are referred to in this policy statement as “</w:t>
      </w:r>
      <w:r>
        <w:rPr>
          <w:rFonts w:ascii="Arial" w:cs="Arial" w:eastAsia="Arial" w:hAnsi="Arial"/>
          <w:sz w:val="20"/>
          <w:szCs w:val="20"/>
          <w:b w:val="1"/>
          <w:bCs w:val="1"/>
          <w:color w:val="auto"/>
        </w:rPr>
        <w:t>insiders.</w:t>
      </w:r>
      <w:r>
        <w:rPr>
          <w:rFonts w:ascii="Arial" w:cs="Arial" w:eastAsia="Arial" w:hAnsi="Arial"/>
          <w:sz w:val="20"/>
          <w:szCs w:val="20"/>
          <w:color w:val="auto"/>
        </w:rPr>
        <w:t>”</w:t>
      </w:r>
    </w:p>
    <w:p>
      <w:pPr>
        <w:spacing w:after="0" w:line="179" w:lineRule="exact"/>
        <w:rPr>
          <w:sz w:val="20"/>
          <w:szCs w:val="20"/>
          <w:color w:val="auto"/>
        </w:rPr>
      </w:pPr>
    </w:p>
    <w:p>
      <w:pPr>
        <w:jc w:val="both"/>
        <w:ind w:left="780"/>
        <w:spacing w:after="0" w:line="271" w:lineRule="auto"/>
        <w:rPr>
          <w:sz w:val="20"/>
          <w:szCs w:val="20"/>
          <w:color w:val="auto"/>
        </w:rPr>
      </w:pPr>
      <w:r>
        <w:rPr>
          <w:rFonts w:ascii="Arial" w:cs="Arial" w:eastAsia="Arial" w:hAnsi="Arial"/>
          <w:sz w:val="20"/>
          <w:szCs w:val="20"/>
          <w:color w:val="auto"/>
        </w:rPr>
        <w:t>The policy statement is to be circulated to all officers, directors and employees at the time of its adoption and shall be delivered to all new officers, directors and employees on the commencement of their relationships with the Company.</w:t>
      </w:r>
    </w:p>
    <w:p>
      <w:pPr>
        <w:spacing w:after="0" w:line="200" w:lineRule="exact"/>
        <w:rPr>
          <w:sz w:val="20"/>
          <w:szCs w:val="20"/>
          <w:color w:val="auto"/>
        </w:rPr>
      </w:pPr>
    </w:p>
    <w:p>
      <w:pPr>
        <w:spacing w:after="0" w:line="209"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25"/>
          <w:szCs w:val="25"/>
          <w:b w:val="1"/>
          <w:bCs w:val="1"/>
          <w:color w:val="auto"/>
        </w:rPr>
      </w:pPr>
      <w:r>
        <w:rPr>
          <w:rFonts w:ascii="Arial" w:cs="Arial" w:eastAsia="Arial" w:hAnsi="Arial"/>
          <w:sz w:val="25"/>
          <w:szCs w:val="25"/>
          <w:b w:val="1"/>
          <w:bCs w:val="1"/>
          <w:color w:val="auto"/>
        </w:rPr>
        <w:t>SCOPE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Designation of Certain Persons</w:t>
      </w:r>
    </w:p>
    <w:p>
      <w:pPr>
        <w:spacing w:after="0" w:line="220"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0"/>
          <w:szCs w:val="20"/>
          <w:u w:val="single" w:color="auto"/>
          <w:color w:val="auto"/>
        </w:rPr>
        <w:t>Section 16 Individuals</w:t>
      </w:r>
      <w:r>
        <w:rPr>
          <w:rFonts w:ascii="Arial" w:cs="Arial" w:eastAsia="Arial" w:hAnsi="Arial"/>
          <w:sz w:val="20"/>
          <w:szCs w:val="20"/>
          <w:color w:val="auto"/>
        </w:rPr>
        <w:t>. The Company has determined that certain of its directors and executive officers are subject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reporting and penalty provisions of Section 16 of the Securities Exchange Act of 1934, as amended (the “</w:t>
      </w:r>
      <w:r>
        <w:rPr>
          <w:rFonts w:ascii="Arial" w:cs="Arial" w:eastAsia="Arial" w:hAnsi="Arial"/>
          <w:sz w:val="20"/>
          <w:szCs w:val="20"/>
          <w:b w:val="1"/>
          <w:bCs w:val="1"/>
          <w:color w:val="auto"/>
        </w:rPr>
        <w:t>Exchange</w:t>
      </w:r>
      <w:r>
        <w:rPr>
          <w:rFonts w:ascii="Arial" w:cs="Arial" w:eastAsia="Arial" w:hAnsi="Arial"/>
          <w:sz w:val="20"/>
          <w:szCs w:val="20"/>
          <w:color w:val="auto"/>
        </w:rPr>
        <w:t xml:space="preserve"> </w:t>
      </w:r>
      <w:r>
        <w:rPr>
          <w:rFonts w:ascii="Arial" w:cs="Arial" w:eastAsia="Arial" w:hAnsi="Arial"/>
          <w:sz w:val="20"/>
          <w:szCs w:val="20"/>
          <w:b w:val="1"/>
          <w:bCs w:val="1"/>
          <w:color w:val="auto"/>
        </w:rPr>
        <w:t>Act</w:t>
      </w:r>
      <w:r>
        <w:rPr>
          <w:rFonts w:ascii="Arial" w:cs="Arial" w:eastAsia="Arial" w:hAnsi="Arial"/>
          <w:sz w:val="20"/>
          <w:szCs w:val="20"/>
          <w:color w:val="auto"/>
        </w:rPr>
        <w:t>”), and the rules and regulations promulgated thereunder (the “</w:t>
      </w:r>
      <w:r>
        <w:rPr>
          <w:rFonts w:ascii="Arial" w:cs="Arial" w:eastAsia="Arial" w:hAnsi="Arial"/>
          <w:sz w:val="20"/>
          <w:szCs w:val="20"/>
          <w:b w:val="1"/>
          <w:bCs w:val="1"/>
          <w:color w:val="auto"/>
        </w:rPr>
        <w:t>Section 16 Individuals</w:t>
      </w:r>
      <w:r>
        <w:rPr>
          <w:rFonts w:ascii="Arial" w:cs="Arial" w:eastAsia="Arial" w:hAnsi="Arial"/>
          <w:sz w:val="20"/>
          <w:szCs w:val="20"/>
          <w:color w:val="auto"/>
        </w:rPr>
        <w:t>”). The list of Section 16</w:t>
      </w:r>
      <w:r>
        <w:rPr>
          <w:rFonts w:ascii="Arial" w:cs="Arial" w:eastAsia="Arial" w:hAnsi="Arial"/>
          <w:sz w:val="20"/>
          <w:szCs w:val="20"/>
          <w:b w:val="1"/>
          <w:bCs w:val="1"/>
          <w:color w:val="auto"/>
        </w:rPr>
        <w:t xml:space="preserve"> </w:t>
      </w:r>
      <w:r>
        <w:rPr>
          <w:rFonts w:ascii="Arial" w:cs="Arial" w:eastAsia="Arial" w:hAnsi="Arial"/>
          <w:sz w:val="20"/>
          <w:szCs w:val="20"/>
          <w:color w:val="auto"/>
        </w:rPr>
        <w:t>Individuals will be modified by the Company from time to time to reflect the election of new executive officers or directors, any change in function of current executive officers and the resignation or departure of current executive officers and directors. Section 16 Individuals are subject to special restrictions and procedures under the policy statement, including the mandatory pre-clearance requirement described in Section 4, subsection 3.2.</w:t>
      </w:r>
    </w:p>
    <w:p>
      <w:pPr>
        <w:spacing w:after="0" w:line="22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0"/>
          <w:szCs w:val="20"/>
          <w:u w:val="single" w:color="auto"/>
          <w:color w:val="auto"/>
        </w:rPr>
        <w:t>Other Restricted Persons</w:t>
      </w:r>
      <w:r>
        <w:rPr>
          <w:rFonts w:ascii="Arial" w:cs="Arial" w:eastAsia="Arial" w:hAnsi="Arial"/>
          <w:sz w:val="20"/>
          <w:szCs w:val="20"/>
          <w:color w:val="auto"/>
        </w:rPr>
        <w:t>. The Company may determine from time to time that other persons (in addition to the Section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16 Individuals) are subject to the mandatory pre-clearance requirement described in Section 4, subsection 3.2, if the Company believes that, in the normal course of their duties, such persons have, or are likely to have, regular access to material, nonpublic</w:t>
      </w:r>
    </w:p>
    <w:p>
      <w:pPr>
        <w:sectPr>
          <w:pgSz w:w="11900" w:h="16838" w:orient="portrait"/>
          <w:cols w:equalWidth="0" w:num="1">
            <w:col w:w="11240"/>
          </w:cols>
          <w:pgMar w:left="320" w:top="1168" w:right="339" w:bottom="1440" w:gutter="0" w:footer="0" w:header="0"/>
        </w:sectPr>
      </w:pPr>
    </w:p>
    <w:bookmarkStart w:id="104" w:name="page105"/>
    <w:bookmarkEnd w:id="104"/>
    <w:p>
      <w:pPr>
        <w:jc w:val="both"/>
        <w:ind w:left="660"/>
        <w:spacing w:after="0" w:line="262" w:lineRule="auto"/>
        <w:rPr>
          <w:sz w:val="20"/>
          <w:szCs w:val="20"/>
          <w:color w:val="auto"/>
        </w:rPr>
      </w:pPr>
      <w:r>
        <w:rPr>
          <w:rFonts w:ascii="Arial" w:cs="Arial" w:eastAsia="Arial" w:hAnsi="Arial"/>
          <w:sz w:val="20"/>
          <w:szCs w:val="20"/>
          <w:color w:val="auto"/>
        </w:rPr>
        <w:t>information regarding the Company. In addition, under special circumstances, other persons may come to have access to material, nonpublic information regarding the Company for a limited period of time. During such period, such persons shall also be subject to the mandatory pre-clearance procedure described in Section 4, subsection 3.2.</w:t>
      </w:r>
    </w:p>
    <w:p>
      <w:pPr>
        <w:spacing w:after="0" w:line="200" w:lineRule="exact"/>
        <w:rPr>
          <w:sz w:val="20"/>
          <w:szCs w:val="20"/>
          <w:color w:val="auto"/>
        </w:rPr>
      </w:pPr>
    </w:p>
    <w:p>
      <w:pPr>
        <w:spacing w:after="0" w:line="218"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25"/>
          <w:szCs w:val="25"/>
          <w:b w:val="1"/>
          <w:bCs w:val="1"/>
          <w:color w:val="auto"/>
        </w:rPr>
      </w:pPr>
      <w:r>
        <w:rPr>
          <w:rFonts w:ascii="Arial" w:cs="Arial" w:eastAsia="Arial" w:hAnsi="Arial"/>
          <w:sz w:val="25"/>
          <w:szCs w:val="25"/>
          <w:b w:val="1"/>
          <w:bCs w:val="1"/>
          <w:color w:val="auto"/>
        </w:rPr>
        <w:t>APPOINTMENT OF INSIDER TRADING COMPLIANCE OFFICER</w:t>
      </w: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CEO is responsible for appointing the Company’s Insider Trading Compliance Officer, who is authorized to perform all of the duties of the Insider Trading Compliance Officer as set forth herein.</w:t>
      </w:r>
    </w:p>
    <w:p>
      <w:pPr>
        <w:spacing w:after="0" w:line="200" w:lineRule="exact"/>
        <w:rPr>
          <w:sz w:val="20"/>
          <w:szCs w:val="20"/>
          <w:color w:val="auto"/>
        </w:rPr>
      </w:pPr>
    </w:p>
    <w:p>
      <w:pPr>
        <w:spacing w:after="0" w:line="217"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25"/>
          <w:szCs w:val="25"/>
          <w:b w:val="1"/>
          <w:bCs w:val="1"/>
          <w:color w:val="auto"/>
        </w:rPr>
      </w:pPr>
      <w:r>
        <w:rPr>
          <w:rFonts w:ascii="Arial" w:cs="Arial" w:eastAsia="Arial" w:hAnsi="Arial"/>
          <w:sz w:val="22"/>
          <w:szCs w:val="22"/>
          <w:b w:val="1"/>
          <w:bCs w:val="1"/>
          <w:color w:val="auto"/>
        </w:rPr>
        <w:t>INSIDER TRADING AND CONFIDENTIALITY POLICY STATEMENT</w:t>
      </w:r>
    </w:p>
    <w:p>
      <w:pPr>
        <w:spacing w:after="0" w:line="232"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22"/>
          <w:szCs w:val="22"/>
          <w:color w:val="auto"/>
        </w:rPr>
      </w:pPr>
      <w:r>
        <w:rPr>
          <w:rFonts w:ascii="Arial" w:cs="Arial" w:eastAsia="Arial" w:hAnsi="Arial"/>
          <w:sz w:val="20"/>
          <w:szCs w:val="20"/>
          <w:u w:val="single" w:color="auto"/>
          <w:color w:val="auto"/>
        </w:rPr>
        <w:t>Prohibition Against Transacting on Material Nonpublic Information – “Insider Trading”</w:t>
      </w:r>
    </w:p>
    <w:p>
      <w:pPr>
        <w:spacing w:after="0" w:line="192" w:lineRule="exact"/>
        <w:rPr>
          <w:rFonts w:ascii="Arial" w:cs="Arial" w:eastAsia="Arial" w:hAnsi="Arial"/>
          <w:sz w:val="22"/>
          <w:szCs w:val="22"/>
          <w:color w:val="auto"/>
        </w:rPr>
      </w:pPr>
    </w:p>
    <w:p>
      <w:pPr>
        <w:jc w:val="both"/>
        <w:ind w:left="660"/>
        <w:spacing w:after="0" w:line="275" w:lineRule="auto"/>
        <w:rPr>
          <w:rFonts w:ascii="Arial" w:cs="Arial" w:eastAsia="Arial" w:hAnsi="Arial"/>
          <w:sz w:val="22"/>
          <w:szCs w:val="22"/>
          <w:color w:val="auto"/>
        </w:rPr>
      </w:pPr>
      <w:r>
        <w:rPr>
          <w:rFonts w:ascii="Arial" w:cs="Arial" w:eastAsia="Arial" w:hAnsi="Arial"/>
          <w:sz w:val="20"/>
          <w:szCs w:val="20"/>
          <w:color w:val="auto"/>
        </w:rPr>
        <w:t>Except as indicated in this policy statement, an insider should not buy, sell, give gifts of or otherwise transact in securities of the Company while in possession of material, nonpublic information about the Company (see below for definition of “</w:t>
      </w:r>
      <w:r>
        <w:rPr>
          <w:rFonts w:ascii="Arial" w:cs="Arial" w:eastAsia="Arial" w:hAnsi="Arial"/>
          <w:sz w:val="20"/>
          <w:szCs w:val="20"/>
          <w:b w:val="1"/>
          <w:bCs w:val="1"/>
          <w:color w:val="auto"/>
        </w:rPr>
        <w:t>material, nonpublic information</w:t>
      </w:r>
      <w:r>
        <w:rPr>
          <w:rFonts w:ascii="Arial" w:cs="Arial" w:eastAsia="Arial" w:hAnsi="Arial"/>
          <w:sz w:val="20"/>
          <w:szCs w:val="20"/>
          <w:color w:val="auto"/>
        </w:rPr>
        <w:t>”).</w:t>
      </w:r>
    </w:p>
    <w:p>
      <w:pPr>
        <w:spacing w:after="0" w:line="140" w:lineRule="exact"/>
        <w:rPr>
          <w:rFonts w:ascii="Arial" w:cs="Arial" w:eastAsia="Arial" w:hAnsi="Arial"/>
          <w:sz w:val="22"/>
          <w:szCs w:val="22"/>
          <w:color w:val="auto"/>
        </w:rPr>
      </w:pPr>
    </w:p>
    <w:p>
      <w:pPr>
        <w:jc w:val="both"/>
        <w:ind w:left="660"/>
        <w:spacing w:after="0" w:line="254" w:lineRule="auto"/>
        <w:rPr>
          <w:rFonts w:ascii="Arial" w:cs="Arial" w:eastAsia="Arial" w:hAnsi="Arial"/>
          <w:sz w:val="22"/>
          <w:szCs w:val="22"/>
          <w:color w:val="auto"/>
        </w:rPr>
      </w:pPr>
      <w:r>
        <w:rPr>
          <w:rFonts w:ascii="Arial" w:cs="Arial" w:eastAsia="Arial" w:hAnsi="Arial"/>
          <w:sz w:val="20"/>
          <w:szCs w:val="20"/>
          <w:color w:val="auto"/>
        </w:rPr>
        <w:t>No insider shall disclose or tip, either directly or indirectly, material, nonpublic information about the Company with others who may then use such information to transact in the Company’s securities. No insider shall make recommendations, either directly or indirectly, or express opinions on the basis of material, nonpublic information about the Company as to transacting in the Company’s securities. Insiders are not authorized to recommend transactions in the Company’s securities to any other person regardless of whether the insider is aware of material, nonpublic information about the Company.</w:t>
      </w:r>
    </w:p>
    <w:p>
      <w:pPr>
        <w:spacing w:after="0" w:line="186" w:lineRule="exact"/>
        <w:rPr>
          <w:rFonts w:ascii="Arial" w:cs="Arial" w:eastAsia="Arial" w:hAnsi="Arial"/>
          <w:sz w:val="22"/>
          <w:szCs w:val="22"/>
          <w:color w:val="auto"/>
        </w:rPr>
      </w:pPr>
    </w:p>
    <w:p>
      <w:pPr>
        <w:jc w:val="both"/>
        <w:ind w:left="660"/>
        <w:spacing w:after="0" w:line="254" w:lineRule="auto"/>
        <w:rPr>
          <w:rFonts w:ascii="Arial" w:cs="Arial" w:eastAsia="Arial" w:hAnsi="Arial"/>
          <w:sz w:val="22"/>
          <w:szCs w:val="22"/>
          <w:color w:val="auto"/>
        </w:rPr>
      </w:pPr>
      <w:r>
        <w:rPr>
          <w:rFonts w:ascii="Arial" w:cs="Arial" w:eastAsia="Arial" w:hAnsi="Arial"/>
          <w:sz w:val="20"/>
          <w:szCs w:val="20"/>
          <w:color w:val="auto"/>
        </w:rPr>
        <w:t>Insiders may be subject to criminal prosecution and/or civil liability for transacting (which includes purchasing, selling, and giving gifts) in the Company’s securities when they know material information concerning the Company that has not been fully disclosed to the public. Employees of the Company who violate this policy statement may also be subject to disciplinary action by the Company, which may include ineligibility for future participation in the Company’s equity incentive plans or termination of employment.</w:t>
      </w:r>
    </w:p>
    <w:p>
      <w:pPr>
        <w:spacing w:after="0" w:line="187" w:lineRule="exact"/>
        <w:rPr>
          <w:rFonts w:ascii="Arial" w:cs="Arial" w:eastAsia="Arial" w:hAnsi="Arial"/>
          <w:sz w:val="22"/>
          <w:szCs w:val="22"/>
          <w:color w:val="auto"/>
        </w:rPr>
      </w:pPr>
    </w:p>
    <w:p>
      <w:pPr>
        <w:jc w:val="both"/>
        <w:ind w:left="660"/>
        <w:spacing w:after="0" w:line="262" w:lineRule="auto"/>
        <w:rPr>
          <w:rFonts w:ascii="Arial" w:cs="Arial" w:eastAsia="Arial" w:hAnsi="Arial"/>
          <w:sz w:val="22"/>
          <w:szCs w:val="22"/>
          <w:color w:val="auto"/>
        </w:rPr>
      </w:pPr>
      <w:r>
        <w:rPr>
          <w:rFonts w:ascii="Arial" w:cs="Arial" w:eastAsia="Arial" w:hAnsi="Arial"/>
          <w:sz w:val="20"/>
          <w:szCs w:val="20"/>
          <w:color w:val="auto"/>
        </w:rPr>
        <w:t>It is also the policy of the Company that the Company will not engage in transactions in the Company’s equity securities (as defined in the Exchange Act) while aware of material, nonpublic information relating to the Company or its securities, except for:</w:t>
      </w:r>
    </w:p>
    <w:p>
      <w:pPr>
        <w:spacing w:after="0" w:line="164" w:lineRule="exact"/>
        <w:rPr>
          <w:rFonts w:ascii="Arial" w:cs="Arial" w:eastAsia="Arial" w:hAnsi="Arial"/>
          <w:sz w:val="22"/>
          <w:szCs w:val="22"/>
          <w:color w:val="auto"/>
        </w:rPr>
      </w:pPr>
    </w:p>
    <w:p>
      <w:pPr>
        <w:ind w:left="1300" w:hanging="644"/>
        <w:spacing w:after="0" w:line="285" w:lineRule="auto"/>
        <w:tabs>
          <w:tab w:leader="none" w:pos="1288" w:val="left"/>
        </w:tabs>
        <w:numPr>
          <w:ilvl w:val="1"/>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transactions with plan participants (or their permitted assignees) pursuant to an equity-based compensation plan of the Company;</w:t>
      </w:r>
    </w:p>
    <w:p>
      <w:pPr>
        <w:spacing w:after="0" w:line="154"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88" w:val="left"/>
        </w:tabs>
        <w:numPr>
          <w:ilvl w:val="1"/>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transactions with holders of outstanding options, warrants, rights, convertible securities or other derivative securities that are issued by the Company and that result from the holder’s exercise, conversion or other election pursuant to the terms of the security or result from the Company’s exercise, notice of redemption or conversion, or other election made pursuant to the terms of the security;</w:t>
      </w:r>
    </w:p>
    <w:p>
      <w:pPr>
        <w:spacing w:after="0" w:line="186" w:lineRule="exact"/>
        <w:rPr>
          <w:rFonts w:ascii="Times New Roman" w:cs="Times New Roman" w:eastAsia="Times New Roman" w:hAnsi="Times New Roman"/>
          <w:sz w:val="20"/>
          <w:szCs w:val="20"/>
          <w:color w:val="auto"/>
        </w:rPr>
      </w:pPr>
    </w:p>
    <w:p>
      <w:pPr>
        <w:ind w:left="1300" w:hanging="644"/>
        <w:spacing w:after="0" w:line="285" w:lineRule="auto"/>
        <w:tabs>
          <w:tab w:leader="none" w:pos="1288" w:val="left"/>
        </w:tabs>
        <w:numPr>
          <w:ilvl w:val="1"/>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transactions made pursuant to written plans for transacting in the Company’s securities that, at the time adopted, conform to all of the requirements of Rule 10b5-1 of the Exchange Act as then in effect;</w:t>
      </w:r>
    </w:p>
    <w:p>
      <w:pPr>
        <w:sectPr>
          <w:pgSz w:w="11900" w:h="16838" w:orient="portrait"/>
          <w:cols w:equalWidth="0" w:num="1">
            <w:col w:w="11240"/>
          </w:cols>
          <w:pgMar w:left="320" w:top="1090" w:right="339" w:bottom="1440" w:gutter="0" w:footer="0" w:header="0"/>
        </w:sectPr>
      </w:pPr>
    </w:p>
    <w:bookmarkStart w:id="105" w:name="page106"/>
    <w:bookmarkEnd w:id="105"/>
    <w:p>
      <w:pPr>
        <w:jc w:val="both"/>
        <w:ind w:left="1292" w:hanging="644"/>
        <w:spacing w:after="0" w:line="262" w:lineRule="auto"/>
        <w:tabs>
          <w:tab w:leader="none" w:pos="1280" w:val="left"/>
        </w:tabs>
        <w:numPr>
          <w:ilvl w:val="1"/>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transactions with counterparties who are at the time also aware of the material, nonpublic information or who acknowledge, agree or represent that they are aware that the Company may possess material, nonpublic information but are not relying on the disclosure or omission to disclose to them of any such information; or</w:t>
      </w:r>
    </w:p>
    <w:p>
      <w:pPr>
        <w:spacing w:after="0" w:line="177" w:lineRule="exact"/>
        <w:rPr>
          <w:rFonts w:ascii="Times New Roman" w:cs="Times New Roman" w:eastAsia="Times New Roman" w:hAnsi="Times New Roman"/>
          <w:sz w:val="20"/>
          <w:szCs w:val="20"/>
          <w:color w:val="auto"/>
        </w:rPr>
      </w:pPr>
    </w:p>
    <w:p>
      <w:pPr>
        <w:ind w:left="1292" w:hanging="644"/>
        <w:spacing w:after="0" w:line="271" w:lineRule="auto"/>
        <w:tabs>
          <w:tab w:leader="none" w:pos="1280" w:val="left"/>
        </w:tabs>
        <w:numPr>
          <w:ilvl w:val="1"/>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any other transaction expressly authorized by the board of directors or any committee thereof, or by senior management in consultation with the Insider Trading Compliance Officer.</w:t>
      </w:r>
    </w:p>
    <w:p>
      <w:pPr>
        <w:spacing w:after="0" w:line="195" w:lineRule="exact"/>
        <w:rPr>
          <w:rFonts w:ascii="Times New Roman" w:cs="Times New Roman" w:eastAsia="Times New Roman" w:hAnsi="Times New Roman"/>
          <w:sz w:val="20"/>
          <w:szCs w:val="20"/>
          <w:color w:val="auto"/>
        </w:rPr>
      </w:pPr>
    </w:p>
    <w:p>
      <w:pPr>
        <w:ind w:left="632" w:hanging="632"/>
        <w:spacing w:after="0"/>
        <w:tabs>
          <w:tab w:leader="none" w:pos="632" w:val="left"/>
        </w:tabs>
        <w:numPr>
          <w:ilvl w:val="0"/>
          <w:numId w:val="42"/>
        </w:numPr>
        <w:rPr>
          <w:rFonts w:ascii="Arial" w:cs="Arial" w:eastAsia="Arial" w:hAnsi="Arial"/>
          <w:sz w:val="22"/>
          <w:szCs w:val="22"/>
          <w:color w:val="auto"/>
        </w:rPr>
      </w:pPr>
      <w:r>
        <w:rPr>
          <w:rFonts w:ascii="Arial" w:cs="Arial" w:eastAsia="Arial" w:hAnsi="Arial"/>
          <w:sz w:val="20"/>
          <w:szCs w:val="20"/>
          <w:u w:val="single" w:color="auto"/>
          <w:color w:val="auto"/>
        </w:rPr>
        <w:t>Definition of Material, Nonpublic Information</w:t>
      </w:r>
      <w:r>
        <w:rPr>
          <w:rFonts w:ascii="Arial" w:cs="Arial" w:eastAsia="Arial" w:hAnsi="Arial"/>
          <w:sz w:val="20"/>
          <w:szCs w:val="20"/>
          <w:color w:val="auto"/>
        </w:rPr>
        <w:t>.</w:t>
      </w:r>
    </w:p>
    <w:p>
      <w:pPr>
        <w:spacing w:after="0" w:line="206" w:lineRule="exact"/>
        <w:rPr>
          <w:rFonts w:ascii="Arial" w:cs="Arial" w:eastAsia="Arial" w:hAnsi="Arial"/>
          <w:sz w:val="22"/>
          <w:szCs w:val="22"/>
          <w:color w:val="auto"/>
        </w:rPr>
      </w:pPr>
    </w:p>
    <w:p>
      <w:pPr>
        <w:jc w:val="both"/>
        <w:ind w:left="652"/>
        <w:spacing w:after="0" w:line="254" w:lineRule="auto"/>
        <w:rPr>
          <w:rFonts w:ascii="Arial" w:cs="Arial" w:eastAsia="Arial" w:hAnsi="Arial"/>
          <w:sz w:val="22"/>
          <w:szCs w:val="22"/>
          <w:color w:val="auto"/>
        </w:rPr>
      </w:pPr>
      <w:r>
        <w:rPr>
          <w:rFonts w:ascii="Arial" w:cs="Arial" w:eastAsia="Arial" w:hAnsi="Arial"/>
          <w:sz w:val="20"/>
          <w:szCs w:val="20"/>
          <w:color w:val="auto"/>
        </w:rPr>
        <w:t>Information is material if there is a substantial likelihood that a reasonable investor would consider the information as significantly altering the total mix of information available. Information may therefore be material if it is likely that a reasonable investor would consider it important in making an investment decision regarding the purchase, holding or sale of a company’s securities. Both positive and negative information can be material. Common examples of information that could be, but are not necessarily, material include:</w:t>
      </w:r>
    </w:p>
    <w:p>
      <w:pPr>
        <w:spacing w:after="0" w:line="187" w:lineRule="exact"/>
        <w:rPr>
          <w:rFonts w:ascii="Arial" w:cs="Arial" w:eastAsia="Arial" w:hAnsi="Arial"/>
          <w:sz w:val="22"/>
          <w:szCs w:val="22"/>
          <w:color w:val="auto"/>
        </w:rPr>
      </w:pPr>
    </w:p>
    <w:p>
      <w:pPr>
        <w:ind w:left="1292" w:hanging="644"/>
        <w:spacing w:after="0"/>
        <w:tabs>
          <w:tab w:leader="none" w:pos="1292" w:val="left"/>
        </w:tabs>
        <w:numPr>
          <w:ilvl w:val="1"/>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revenues, expenses and other earnings information;</w:t>
      </w:r>
    </w:p>
    <w:p>
      <w:pPr>
        <w:spacing w:after="0" w:line="214"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new or cancelled significant bookings;</w:t>
      </w:r>
    </w:p>
    <w:p>
      <w:pPr>
        <w:spacing w:after="0" w:line="228"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execution or termination of material contracts;</w:t>
      </w:r>
    </w:p>
    <w:p>
      <w:pPr>
        <w:spacing w:after="0" w:line="214" w:lineRule="exact"/>
        <w:rPr>
          <w:rFonts w:ascii="Times New Roman" w:cs="Times New Roman" w:eastAsia="Times New Roman" w:hAnsi="Times New Roman"/>
          <w:sz w:val="20"/>
          <w:szCs w:val="20"/>
          <w:color w:val="auto"/>
        </w:rPr>
      </w:pPr>
    </w:p>
    <w:p>
      <w:pPr>
        <w:ind w:left="1292" w:right="20" w:hanging="644"/>
        <w:spacing w:after="0" w:line="285" w:lineRule="auto"/>
        <w:tabs>
          <w:tab w:leader="none" w:pos="1280" w:val="left"/>
        </w:tabs>
        <w:numPr>
          <w:ilvl w:val="1"/>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pending or prospective mergers, significant acquisitions, tender offers, joint ventures, or significant changes in assets;</w:t>
      </w:r>
    </w:p>
    <w:p>
      <w:pPr>
        <w:spacing w:after="0" w:line="154"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new products or discoveries, or developments regarding customers or suppliers;</w:t>
      </w:r>
    </w:p>
    <w:p>
      <w:pPr>
        <w:spacing w:after="0" w:line="214"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corporate events, including material cybersecurity, data, or personnel matters; and</w:t>
      </w:r>
    </w:p>
    <w:p>
      <w:pPr>
        <w:spacing w:after="0" w:line="228" w:lineRule="exact"/>
        <w:rPr>
          <w:rFonts w:ascii="Times New Roman" w:cs="Times New Roman" w:eastAsia="Times New Roman" w:hAnsi="Times New Roman"/>
          <w:sz w:val="20"/>
          <w:szCs w:val="20"/>
          <w:color w:val="auto"/>
        </w:rPr>
      </w:pPr>
    </w:p>
    <w:p>
      <w:pPr>
        <w:ind w:left="1292" w:hanging="644"/>
        <w:spacing w:after="0" w:line="271" w:lineRule="auto"/>
        <w:tabs>
          <w:tab w:leader="none" w:pos="1280" w:val="left"/>
        </w:tabs>
        <w:numPr>
          <w:ilvl w:val="1"/>
          <w:numId w:val="42"/>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control or major personnel changes, particularly departures or elections of directors or executive officers.</w:t>
      </w:r>
    </w:p>
    <w:p>
      <w:pPr>
        <w:spacing w:after="0" w:line="168" w:lineRule="exact"/>
        <w:rPr>
          <w:sz w:val="20"/>
          <w:szCs w:val="20"/>
          <w:color w:val="auto"/>
        </w:rPr>
      </w:pPr>
    </w:p>
    <w:p>
      <w:pPr>
        <w:jc w:val="both"/>
        <w:ind w:left="652"/>
        <w:spacing w:after="0" w:line="251" w:lineRule="auto"/>
        <w:rPr>
          <w:sz w:val="20"/>
          <w:szCs w:val="20"/>
          <w:color w:val="auto"/>
        </w:rPr>
      </w:pPr>
      <w:r>
        <w:rPr>
          <w:rFonts w:ascii="Arial" w:cs="Arial" w:eastAsia="Arial" w:hAnsi="Arial"/>
          <w:sz w:val="20"/>
          <w:szCs w:val="20"/>
          <w:color w:val="auto"/>
        </w:rPr>
        <w:t>Nonpublic information is information that has not been previously disclosed to the general public (for example, through press releases and public filings with the SEC) and is otherwise not available to the general public. Although timing may vary depending on the circumstances, generally, the Company expects that insiders should allow two full business days after release of the information by the Company as a reasonable waiting period before information is deemed public. Depending on the particular circumstances, the Company may determine that a longer or shorter period should apply to the release of material, nonpublic information. If you have any question as to whether it is appropriate to transact in a given circumstance, contact the Insider Trading Compliance Officer prior to transacting in Company securities.</w:t>
      </w:r>
    </w:p>
    <w:p>
      <w:pPr>
        <w:spacing w:after="0" w:line="220" w:lineRule="exact"/>
        <w:rPr>
          <w:sz w:val="20"/>
          <w:szCs w:val="20"/>
          <w:color w:val="auto"/>
        </w:rPr>
      </w:pPr>
    </w:p>
    <w:p>
      <w:pPr>
        <w:ind w:left="632" w:hanging="632"/>
        <w:spacing w:after="0"/>
        <w:tabs>
          <w:tab w:leader="none" w:pos="632" w:val="left"/>
        </w:tabs>
        <w:numPr>
          <w:ilvl w:val="0"/>
          <w:numId w:val="43"/>
        </w:numPr>
        <w:rPr>
          <w:rFonts w:ascii="Arial" w:cs="Arial" w:eastAsia="Arial" w:hAnsi="Arial"/>
          <w:sz w:val="22"/>
          <w:szCs w:val="22"/>
          <w:color w:val="auto"/>
        </w:rPr>
      </w:pPr>
      <w:r>
        <w:rPr>
          <w:rFonts w:ascii="Arial" w:cs="Arial" w:eastAsia="Arial" w:hAnsi="Arial"/>
          <w:sz w:val="20"/>
          <w:szCs w:val="20"/>
          <w:u w:val="single" w:color="auto"/>
          <w:color w:val="auto"/>
        </w:rPr>
        <w:t>Additional Transaction Policies</w:t>
      </w:r>
      <w:r>
        <w:rPr>
          <w:rFonts w:ascii="Arial" w:cs="Arial" w:eastAsia="Arial" w:hAnsi="Arial"/>
          <w:sz w:val="20"/>
          <w:szCs w:val="20"/>
          <w:color w:val="auto"/>
        </w:rPr>
        <w:t>. The Company has established the following additional insider trading policies.</w:t>
      </w:r>
    </w:p>
    <w:p>
      <w:pPr>
        <w:spacing w:after="0" w:line="214" w:lineRule="exact"/>
        <w:rPr>
          <w:rFonts w:ascii="Arial" w:cs="Arial" w:eastAsia="Arial" w:hAnsi="Arial"/>
          <w:sz w:val="22"/>
          <w:szCs w:val="22"/>
          <w:color w:val="auto"/>
        </w:rPr>
      </w:pPr>
    </w:p>
    <w:p>
      <w:pPr>
        <w:ind w:left="1292" w:hanging="648"/>
        <w:spacing w:after="0" w:line="254" w:lineRule="auto"/>
        <w:rPr>
          <w:rFonts w:ascii="Arial" w:cs="Arial" w:eastAsia="Arial" w:hAnsi="Arial"/>
          <w:sz w:val="22"/>
          <w:szCs w:val="22"/>
          <w:color w:val="auto"/>
        </w:rPr>
      </w:pPr>
      <w:r>
        <w:rPr>
          <w:rFonts w:ascii="Arial" w:cs="Arial" w:eastAsia="Arial" w:hAnsi="Arial"/>
          <w:sz w:val="22"/>
          <w:szCs w:val="22"/>
          <w:color w:val="auto"/>
        </w:rPr>
        <w:t xml:space="preserve">3.1. </w:t>
      </w:r>
      <w:r>
        <w:rPr>
          <w:rFonts w:ascii="Arial" w:cs="Arial" w:eastAsia="Arial" w:hAnsi="Arial"/>
          <w:sz w:val="19"/>
          <w:szCs w:val="19"/>
          <w:u w:val="single" w:color="auto"/>
          <w:color w:val="auto"/>
        </w:rPr>
        <w:t>Transaction Windows</w:t>
      </w:r>
      <w:r>
        <w:rPr>
          <w:rFonts w:ascii="Arial" w:cs="Arial" w:eastAsia="Arial" w:hAnsi="Arial"/>
          <w:sz w:val="19"/>
          <w:szCs w:val="19"/>
          <w:color w:val="auto"/>
        </w:rPr>
        <w:t>. The Company establishes “</w:t>
      </w:r>
      <w:r>
        <w:rPr>
          <w:rFonts w:ascii="Arial" w:cs="Arial" w:eastAsia="Arial" w:hAnsi="Arial"/>
          <w:sz w:val="19"/>
          <w:szCs w:val="19"/>
          <w:b w:val="1"/>
          <w:bCs w:val="1"/>
          <w:color w:val="auto"/>
        </w:rPr>
        <w:t>transaction windows</w:t>
      </w:r>
      <w:r>
        <w:rPr>
          <w:rFonts w:ascii="Arial" w:cs="Arial" w:eastAsia="Arial" w:hAnsi="Arial"/>
          <w:sz w:val="19"/>
          <w:szCs w:val="19"/>
          <w:color w:val="auto"/>
        </w:rPr>
        <w:t>” for when transacting in the Company’s</w:t>
      </w:r>
      <w:r>
        <w:rPr>
          <w:rFonts w:ascii="Arial" w:cs="Arial" w:eastAsia="Arial" w:hAnsi="Arial"/>
          <w:sz w:val="22"/>
          <w:szCs w:val="22"/>
          <w:color w:val="auto"/>
        </w:rPr>
        <w:t xml:space="preserve"> </w:t>
      </w:r>
      <w:r>
        <w:rPr>
          <w:rFonts w:ascii="Arial" w:cs="Arial" w:eastAsia="Arial" w:hAnsi="Arial"/>
          <w:sz w:val="19"/>
          <w:szCs w:val="19"/>
          <w:color w:val="auto"/>
        </w:rPr>
        <w:t>securities is not generally prohibited. Subject to the general restrictions on insider trading under this policy statement and Section 5,</w:t>
      </w:r>
    </w:p>
    <w:p>
      <w:pPr>
        <w:sectPr>
          <w:pgSz w:w="11900" w:h="16838" w:orient="portrait"/>
          <w:cols w:equalWidth="0" w:num="1">
            <w:col w:w="11232"/>
          </w:cols>
          <w:pgMar w:left="328" w:top="1090" w:right="339" w:bottom="1440" w:gutter="0" w:footer="0" w:header="0"/>
        </w:sectPr>
      </w:pPr>
    </w:p>
    <w:bookmarkStart w:id="106" w:name="page107"/>
    <w:bookmarkEnd w:id="106"/>
    <w:p>
      <w:pPr>
        <w:jc w:val="both"/>
        <w:ind w:left="180"/>
        <w:spacing w:after="0" w:line="270" w:lineRule="auto"/>
        <w:rPr>
          <w:sz w:val="20"/>
          <w:szCs w:val="20"/>
          <w:color w:val="auto"/>
        </w:rPr>
      </w:pPr>
      <w:r>
        <w:rPr>
          <w:rFonts w:ascii="Arial" w:cs="Arial" w:eastAsia="Arial" w:hAnsi="Arial"/>
          <w:sz w:val="19"/>
          <w:szCs w:val="19"/>
          <w:color w:val="auto"/>
        </w:rPr>
        <w:t>subsection 3.2 below, Designated Insiders (as defined below) generally may transact in the Company’s securities during transaction windows. Note that “</w:t>
      </w:r>
      <w:r>
        <w:rPr>
          <w:rFonts w:ascii="Arial" w:cs="Arial" w:eastAsia="Arial" w:hAnsi="Arial"/>
          <w:sz w:val="19"/>
          <w:szCs w:val="19"/>
          <w:b w:val="1"/>
          <w:bCs w:val="1"/>
          <w:color w:val="auto"/>
        </w:rPr>
        <w:t>transacting</w:t>
      </w:r>
      <w:r>
        <w:rPr>
          <w:rFonts w:ascii="Arial" w:cs="Arial" w:eastAsia="Arial" w:hAnsi="Arial"/>
          <w:sz w:val="19"/>
          <w:szCs w:val="19"/>
          <w:color w:val="auto"/>
        </w:rPr>
        <w:t>” includes not only open market purchases and sales but also sales of securities purchased upon the exercise of options granted under the Company’s equity incentive, other plans and so-called “</w:t>
      </w:r>
      <w:r>
        <w:rPr>
          <w:rFonts w:ascii="Arial" w:cs="Arial" w:eastAsia="Arial" w:hAnsi="Arial"/>
          <w:sz w:val="19"/>
          <w:szCs w:val="19"/>
          <w:b w:val="1"/>
          <w:bCs w:val="1"/>
          <w:color w:val="auto"/>
        </w:rPr>
        <w:t>derivatives transactions</w:t>
      </w:r>
      <w:r>
        <w:rPr>
          <w:rFonts w:ascii="Arial" w:cs="Arial" w:eastAsia="Arial" w:hAnsi="Arial"/>
          <w:sz w:val="19"/>
          <w:szCs w:val="19"/>
          <w:color w:val="auto"/>
        </w:rPr>
        <w:t>,” as detailed below, and giving gifts of the Company’s securities. Caution must still be exercised, however. Transacting in the Company’s securities during the transaction windows should not be considered a “safe harbor,” and insiders should use good judgment at all times.</w:t>
      </w:r>
    </w:p>
    <w:p>
      <w:pPr>
        <w:spacing w:after="0" w:line="181" w:lineRule="exact"/>
        <w:rPr>
          <w:sz w:val="20"/>
          <w:szCs w:val="20"/>
          <w:color w:val="auto"/>
        </w:rPr>
      </w:pPr>
    </w:p>
    <w:p>
      <w:pPr>
        <w:jc w:val="both"/>
        <w:ind w:left="840" w:hanging="647"/>
        <w:spacing w:after="0" w:line="258"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19"/>
          <w:szCs w:val="19"/>
          <w:u w:val="single" w:color="auto"/>
          <w:color w:val="auto"/>
        </w:rPr>
        <w:t>Scheduled Black-out Periods</w:t>
      </w:r>
      <w:r>
        <w:rPr>
          <w:rFonts w:ascii="Arial" w:cs="Arial" w:eastAsia="Arial" w:hAnsi="Arial"/>
          <w:sz w:val="19"/>
          <w:szCs w:val="19"/>
          <w:color w:val="auto"/>
        </w:rPr>
        <w:t>. The Company has determined that directors, executive officers and other</w:t>
      </w:r>
      <w:r>
        <w:rPr>
          <w:rFonts w:ascii="Arial" w:cs="Arial" w:eastAsia="Arial" w:hAnsi="Arial"/>
          <w:sz w:val="22"/>
          <w:szCs w:val="22"/>
          <w:color w:val="auto"/>
        </w:rPr>
        <w:t xml:space="preserve"> </w:t>
      </w:r>
      <w:r>
        <w:rPr>
          <w:rFonts w:ascii="Arial" w:cs="Arial" w:eastAsia="Arial" w:hAnsi="Arial"/>
          <w:sz w:val="19"/>
          <w:szCs w:val="19"/>
          <w:color w:val="auto"/>
        </w:rPr>
        <w:t>individuals designated from time to time by the Company (collectively, “</w:t>
      </w:r>
      <w:r>
        <w:rPr>
          <w:rFonts w:ascii="Arial" w:cs="Arial" w:eastAsia="Arial" w:hAnsi="Arial"/>
          <w:sz w:val="19"/>
          <w:szCs w:val="19"/>
          <w:b w:val="1"/>
          <w:bCs w:val="1"/>
          <w:color w:val="auto"/>
        </w:rPr>
        <w:t>Designated Insiders</w:t>
      </w:r>
      <w:r>
        <w:rPr>
          <w:rFonts w:ascii="Arial" w:cs="Arial" w:eastAsia="Arial" w:hAnsi="Arial"/>
          <w:sz w:val="19"/>
          <w:szCs w:val="19"/>
          <w:color w:val="auto"/>
        </w:rPr>
        <w:t>”), as well as their respective family members and affiliated entities, will not be permitted to transact in the Company’s securities at any time during the periods designated by the Insider Trading Compliance Officer from time to time (the “</w:t>
      </w:r>
      <w:r>
        <w:rPr>
          <w:rFonts w:ascii="Arial" w:cs="Arial" w:eastAsia="Arial" w:hAnsi="Arial"/>
          <w:sz w:val="19"/>
          <w:szCs w:val="19"/>
          <w:b w:val="1"/>
          <w:bCs w:val="1"/>
          <w:color w:val="auto"/>
        </w:rPr>
        <w:t>Scheduled Black-out Periods</w:t>
      </w:r>
      <w:r>
        <w:rPr>
          <w:rFonts w:ascii="Arial" w:cs="Arial" w:eastAsia="Arial" w:hAnsi="Arial"/>
          <w:sz w:val="19"/>
          <w:szCs w:val="19"/>
          <w:color w:val="auto"/>
        </w:rPr>
        <w:t>”).</w:t>
      </w:r>
    </w:p>
    <w:p>
      <w:pPr>
        <w:spacing w:after="0" w:line="174" w:lineRule="exact"/>
        <w:rPr>
          <w:sz w:val="20"/>
          <w:szCs w:val="20"/>
          <w:color w:val="auto"/>
        </w:rPr>
      </w:pPr>
    </w:p>
    <w:p>
      <w:pPr>
        <w:ind w:left="840"/>
        <w:spacing w:after="0" w:line="271" w:lineRule="auto"/>
        <w:rPr>
          <w:sz w:val="20"/>
          <w:szCs w:val="20"/>
          <w:color w:val="auto"/>
        </w:rPr>
      </w:pPr>
      <w:r>
        <w:rPr>
          <w:rFonts w:ascii="Arial" w:cs="Arial" w:eastAsia="Arial" w:hAnsi="Arial"/>
          <w:sz w:val="20"/>
          <w:szCs w:val="20"/>
          <w:color w:val="auto"/>
        </w:rPr>
        <w:t>Again, you may not transact in Company securities at any time if you have knowledge of material, nonpublic information about the Company.</w:t>
      </w:r>
    </w:p>
    <w:p>
      <w:pPr>
        <w:spacing w:after="0" w:line="178" w:lineRule="exact"/>
        <w:rPr>
          <w:sz w:val="20"/>
          <w:szCs w:val="20"/>
          <w:color w:val="auto"/>
        </w:rPr>
      </w:pPr>
    </w:p>
    <w:p>
      <w:pPr>
        <w:jc w:val="both"/>
        <w:ind w:left="840" w:hanging="647"/>
        <w:spacing w:after="0" w:line="258"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19"/>
          <w:szCs w:val="19"/>
          <w:u w:val="single" w:color="auto"/>
          <w:color w:val="auto"/>
        </w:rPr>
        <w:t>Unscheduled Black-out Periods</w:t>
      </w:r>
      <w:r>
        <w:rPr>
          <w:rFonts w:ascii="Arial" w:cs="Arial" w:eastAsia="Arial" w:hAnsi="Arial"/>
          <w:sz w:val="19"/>
          <w:szCs w:val="19"/>
          <w:color w:val="auto"/>
        </w:rPr>
        <w:t>. From time to time, the Company may prohibit some or all of its directors,</w:t>
      </w:r>
      <w:r>
        <w:rPr>
          <w:rFonts w:ascii="Arial" w:cs="Arial" w:eastAsia="Arial" w:hAnsi="Arial"/>
          <w:sz w:val="22"/>
          <w:szCs w:val="22"/>
          <w:color w:val="auto"/>
        </w:rPr>
        <w:t xml:space="preserve"> </w:t>
      </w:r>
      <w:r>
        <w:rPr>
          <w:rFonts w:ascii="Arial" w:cs="Arial" w:eastAsia="Arial" w:hAnsi="Arial"/>
          <w:sz w:val="19"/>
          <w:szCs w:val="19"/>
          <w:color w:val="auto"/>
        </w:rPr>
        <w:t>executive officers, or employees, as well as their family members and affiliated entities, from transacting in the securities of the Company or the securities of another company because of developments known to the Company and not yet disclosed to the public, an “</w:t>
      </w:r>
      <w:r>
        <w:rPr>
          <w:rFonts w:ascii="Arial" w:cs="Arial" w:eastAsia="Arial" w:hAnsi="Arial"/>
          <w:sz w:val="19"/>
          <w:szCs w:val="19"/>
          <w:b w:val="1"/>
          <w:bCs w:val="1"/>
          <w:color w:val="auto"/>
        </w:rPr>
        <w:t>Unscheduled</w:t>
      </w:r>
      <w:r>
        <w:rPr>
          <w:rFonts w:ascii="Arial" w:cs="Arial" w:eastAsia="Arial" w:hAnsi="Arial"/>
          <w:sz w:val="19"/>
          <w:szCs w:val="19"/>
          <w:color w:val="auto"/>
        </w:rPr>
        <w:t xml:space="preserve"> B</w:t>
      </w:r>
      <w:r>
        <w:rPr>
          <w:rFonts w:ascii="Arial" w:cs="Arial" w:eastAsia="Arial" w:hAnsi="Arial"/>
          <w:sz w:val="19"/>
          <w:szCs w:val="19"/>
          <w:b w:val="1"/>
          <w:bCs w:val="1"/>
          <w:color w:val="auto"/>
        </w:rPr>
        <w:t>lack-out Period</w:t>
      </w:r>
      <w:r>
        <w:rPr>
          <w:rFonts w:ascii="Arial" w:cs="Arial" w:eastAsia="Arial" w:hAnsi="Arial"/>
          <w:sz w:val="19"/>
          <w:szCs w:val="19"/>
          <w:color w:val="auto"/>
        </w:rPr>
        <w:t>.” In this event, the Insider Trading Compliance Officer will notify affected persons, and those persons, except as set forth in Section 4, subsection 3.4 below, may not engage in any transaction involving the securities of the Company or the other specified company, as applicable, until the Insider Trading Compliance Officer notifies them that the Unscheduled Black-out Period is over. In addition, any person made aware of the existence of an Unscheduled Black-out Period should not disclose to the existence of the Unscheduled Black-out Period to any other person (outside of those subject to the Unscheduled Black-out Period).</w:t>
      </w:r>
    </w:p>
    <w:p>
      <w:pPr>
        <w:spacing w:after="0" w:line="196" w:lineRule="exact"/>
        <w:rPr>
          <w:sz w:val="20"/>
          <w:szCs w:val="20"/>
          <w:color w:val="auto"/>
        </w:rPr>
      </w:pPr>
    </w:p>
    <w:p>
      <w:pPr>
        <w:jc w:val="both"/>
        <w:ind w:left="180" w:hanging="647"/>
        <w:spacing w:after="0" w:line="265" w:lineRule="auto"/>
        <w:tabs>
          <w:tab w:leader="none" w:pos="1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Mandatory Pre-clearance</w:t>
      </w:r>
      <w:r>
        <w:rPr>
          <w:rFonts w:ascii="Arial" w:cs="Arial" w:eastAsia="Arial" w:hAnsi="Arial"/>
          <w:sz w:val="19"/>
          <w:szCs w:val="19"/>
          <w:color w:val="auto"/>
        </w:rPr>
        <w:t>. The Company has determined that the Designated Insiders must comply with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Company’s mandatory “</w:t>
      </w:r>
      <w:r>
        <w:rPr>
          <w:rFonts w:ascii="Arial" w:cs="Arial" w:eastAsia="Arial" w:hAnsi="Arial"/>
          <w:sz w:val="19"/>
          <w:szCs w:val="19"/>
          <w:b w:val="1"/>
          <w:bCs w:val="1"/>
          <w:color w:val="auto"/>
        </w:rPr>
        <w:t>pre-clearance</w:t>
      </w:r>
      <w:r>
        <w:rPr>
          <w:rFonts w:ascii="Arial" w:cs="Arial" w:eastAsia="Arial" w:hAnsi="Arial"/>
          <w:sz w:val="19"/>
          <w:szCs w:val="19"/>
          <w:color w:val="auto"/>
        </w:rPr>
        <w:t>” process as set forth in this 3.2 before transacting in the Company’s securities at any time, even during the transaction windows. A Designated Insider must submit a pre-clearance request to the Insider Trading Compliance Officer in writing before executing the desired transaction in the Company’s securities. At the same time, the Designated Insider should notify the person designated by the Chief Financial Officer as Stock Administrator (the “</w:t>
      </w:r>
      <w:r>
        <w:rPr>
          <w:rFonts w:ascii="Arial" w:cs="Arial" w:eastAsia="Arial" w:hAnsi="Arial"/>
          <w:sz w:val="19"/>
          <w:szCs w:val="19"/>
          <w:b w:val="1"/>
          <w:bCs w:val="1"/>
          <w:color w:val="auto"/>
        </w:rPr>
        <w:t>Aviat Networks Stock Administrator</w:t>
      </w:r>
      <w:r>
        <w:rPr>
          <w:rFonts w:ascii="Arial" w:cs="Arial" w:eastAsia="Arial" w:hAnsi="Arial"/>
          <w:sz w:val="19"/>
          <w:szCs w:val="19"/>
          <w:color w:val="auto"/>
        </w:rPr>
        <w:t>”) of the pending transaction. The Designated Insider may not execute the transaction before he or she has received written approval from the Insider Trading Compliance Officer; oral approval is not sufficient. The Insider Trading Compliance Officer may consult as necessary with senior management of and/or counsel to the Company before clearing any proposed transaction. After the Designated Insider receives clearance to engage in the desired transaction, the Designated Insider must complete the transaction within (1) three trading days or (2) such shorter period as</w:t>
      </w:r>
    </w:p>
    <w:p>
      <w:pPr>
        <w:sectPr>
          <w:pgSz w:w="11900" w:h="16838" w:orient="portrait"/>
          <w:cols w:equalWidth="0" w:num="1">
            <w:col w:w="10120"/>
          </w:cols>
          <w:pgMar w:left="1440" w:top="1090" w:right="339" w:bottom="1440" w:gutter="0" w:footer="0" w:header="0"/>
        </w:sectPr>
      </w:pPr>
    </w:p>
    <w:bookmarkStart w:id="107" w:name="page108"/>
    <w:bookmarkEnd w:id="107"/>
    <w:p>
      <w:pPr>
        <w:jc w:val="both"/>
        <w:ind w:left="180"/>
        <w:spacing w:after="0" w:line="255" w:lineRule="auto"/>
        <w:rPr>
          <w:sz w:val="20"/>
          <w:szCs w:val="20"/>
          <w:color w:val="auto"/>
        </w:rPr>
      </w:pPr>
      <w:r>
        <w:rPr>
          <w:rFonts w:ascii="Arial" w:cs="Arial" w:eastAsia="Arial" w:hAnsi="Arial"/>
          <w:sz w:val="20"/>
          <w:szCs w:val="20"/>
          <w:color w:val="auto"/>
        </w:rPr>
        <w:t>is designated by the Insider Trading Compliance Officer, or make a new request for clearance. The Insider Trading Compliance Officer is under no obligation to approve a transaction submitted for pre-clearance. If permission to execute the transaction is denied, the Designated Insider should not initiate any transaction</w:t>
      </w:r>
    </w:p>
    <w:p>
      <w:pPr>
        <w:jc w:val="both"/>
        <w:ind w:left="180"/>
        <w:spacing w:after="0" w:line="252" w:lineRule="auto"/>
        <w:rPr>
          <w:sz w:val="20"/>
          <w:szCs w:val="20"/>
          <w:color w:val="auto"/>
        </w:rPr>
      </w:pPr>
      <w:r>
        <w:rPr>
          <w:rFonts w:ascii="Arial" w:cs="Arial" w:eastAsia="Arial" w:hAnsi="Arial"/>
          <w:sz w:val="20"/>
          <w:szCs w:val="20"/>
          <w:color w:val="auto"/>
        </w:rPr>
        <w:t xml:space="preserve">involving Company securities and should not inform any other person of the restriction. </w:t>
      </w:r>
      <w:r>
        <w:rPr>
          <w:rFonts w:ascii="Arial" w:cs="Arial" w:eastAsia="Arial" w:hAnsi="Arial"/>
          <w:sz w:val="20"/>
          <w:szCs w:val="20"/>
          <w:b w:val="1"/>
          <w:bCs w:val="1"/>
          <w:color w:val="auto"/>
        </w:rPr>
        <w:t>Clearance of a</w:t>
      </w:r>
      <w:r>
        <w:rPr>
          <w:rFonts w:ascii="Arial" w:cs="Arial" w:eastAsia="Arial" w:hAnsi="Arial"/>
          <w:sz w:val="20"/>
          <w:szCs w:val="20"/>
          <w:color w:val="auto"/>
        </w:rPr>
        <w:t xml:space="preserve"> </w:t>
      </w:r>
      <w:r>
        <w:rPr>
          <w:rFonts w:ascii="Arial" w:cs="Arial" w:eastAsia="Arial" w:hAnsi="Arial"/>
          <w:sz w:val="20"/>
          <w:szCs w:val="20"/>
          <w:b w:val="1"/>
          <w:bCs w:val="1"/>
          <w:color w:val="auto"/>
        </w:rPr>
        <w:t>proposed transaction by the Insider Trading Compliance Officer does not constitute legal advice or otherwise acknowledge that a Designated Insider does not possess material, nonpublic information. Designated Insiders must ultimately make their own judgments regarding, and are personally responsible for determining, whether they are in possession of material, nonpublic information.</w:t>
      </w:r>
    </w:p>
    <w:p>
      <w:pPr>
        <w:spacing w:after="0" w:line="177" w:lineRule="exact"/>
        <w:rPr>
          <w:sz w:val="20"/>
          <w:szCs w:val="20"/>
          <w:color w:val="auto"/>
        </w:rPr>
      </w:pPr>
    </w:p>
    <w:p>
      <w:pPr>
        <w:jc w:val="both"/>
        <w:ind w:left="180"/>
        <w:spacing w:after="0" w:line="255" w:lineRule="auto"/>
        <w:rPr>
          <w:sz w:val="20"/>
          <w:szCs w:val="20"/>
          <w:color w:val="auto"/>
        </w:rPr>
      </w:pPr>
      <w:r>
        <w:rPr>
          <w:rFonts w:ascii="Arial" w:cs="Arial" w:eastAsia="Arial" w:hAnsi="Arial"/>
          <w:sz w:val="20"/>
          <w:szCs w:val="20"/>
          <w:b w:val="1"/>
          <w:bCs w:val="1"/>
          <w:color w:val="auto"/>
        </w:rPr>
        <w:t xml:space="preserve">The procedures and restrictions in Sections 3.1 and 3.2 above apply to all Designated Insiders and their respective family members and affiliated entities. </w:t>
      </w:r>
      <w:r>
        <w:rPr>
          <w:rFonts w:ascii="Arial" w:cs="Arial" w:eastAsia="Arial" w:hAnsi="Arial"/>
          <w:sz w:val="20"/>
          <w:szCs w:val="20"/>
          <w:color w:val="auto"/>
        </w:rPr>
        <w:t>The Insider Trading Compliance Officer shall be responsible</w:t>
      </w:r>
      <w:r>
        <w:rPr>
          <w:rFonts w:ascii="Arial" w:cs="Arial" w:eastAsia="Arial" w:hAnsi="Arial"/>
          <w:sz w:val="20"/>
          <w:szCs w:val="20"/>
          <w:b w:val="1"/>
          <w:bCs w:val="1"/>
          <w:color w:val="auto"/>
        </w:rPr>
        <w:t xml:space="preserve"> </w:t>
      </w:r>
      <w:r>
        <w:rPr>
          <w:rFonts w:ascii="Arial" w:cs="Arial" w:eastAsia="Arial" w:hAnsi="Arial"/>
          <w:sz w:val="20"/>
          <w:szCs w:val="20"/>
          <w:color w:val="auto"/>
        </w:rPr>
        <w:t>for notifying relevant individuals that they are Designated Insiders subject to the special restrictions in Sections 3.1 and 3.2. If you have any doubt as to whether these restrictions apply to you, you should contact the Insider Trading Compliance Officer.</w:t>
      </w:r>
    </w:p>
    <w:p>
      <w:pPr>
        <w:spacing w:after="0" w:line="193" w:lineRule="exact"/>
        <w:rPr>
          <w:sz w:val="20"/>
          <w:szCs w:val="20"/>
          <w:color w:val="auto"/>
        </w:rPr>
      </w:pPr>
    </w:p>
    <w:p>
      <w:pPr>
        <w:ind w:left="180" w:right="20" w:hanging="647"/>
        <w:spacing w:after="0" w:line="271" w:lineRule="auto"/>
        <w:tabs>
          <w:tab w:leader="none" w:pos="1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0"/>
          <w:szCs w:val="20"/>
          <w:u w:val="single" w:color="auto"/>
          <w:color w:val="auto"/>
        </w:rPr>
        <w:t>Additional Trading Restrictions</w:t>
      </w:r>
      <w:r>
        <w:rPr>
          <w:rFonts w:ascii="Arial" w:cs="Arial" w:eastAsia="Arial" w:hAnsi="Arial"/>
          <w:sz w:val="20"/>
          <w:szCs w:val="20"/>
          <w:color w:val="auto"/>
        </w:rPr>
        <w:t>. It is the Company’s policy that directors, officers and other employees may not</w:t>
      </w:r>
      <w:r>
        <w:rPr>
          <w:rFonts w:ascii="Arial" w:cs="Arial" w:eastAsia="Arial" w:hAnsi="Arial"/>
          <w:sz w:val="20"/>
          <w:szCs w:val="20"/>
          <w:u w:val="single" w:color="auto"/>
          <w:color w:val="auto"/>
        </w:rPr>
        <w:t xml:space="preserve"> </w:t>
      </w:r>
      <w:r>
        <w:rPr>
          <w:rFonts w:ascii="Arial" w:cs="Arial" w:eastAsia="Arial" w:hAnsi="Arial"/>
          <w:sz w:val="20"/>
          <w:szCs w:val="20"/>
          <w:color w:val="auto"/>
        </w:rPr>
        <w:t>engage in any of the following transactions subject to the exceptions in Section 3.4:</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3.3.1. </w:t>
      </w:r>
      <w:r>
        <w:rPr>
          <w:rFonts w:ascii="Arial" w:cs="Arial" w:eastAsia="Arial" w:hAnsi="Arial"/>
          <w:sz w:val="19"/>
          <w:szCs w:val="19"/>
          <w:u w:val="single" w:color="auto"/>
          <w:color w:val="auto"/>
        </w:rPr>
        <w:t>Short Sales</w:t>
      </w:r>
      <w:r>
        <w:rPr>
          <w:rFonts w:ascii="Arial" w:cs="Arial" w:eastAsia="Arial" w:hAnsi="Arial"/>
          <w:sz w:val="19"/>
          <w:szCs w:val="19"/>
          <w:color w:val="auto"/>
        </w:rPr>
        <w:t>. Short sales of the Company’s securities are prohibited.</w:t>
      </w:r>
    </w:p>
    <w:p>
      <w:pPr>
        <w:spacing w:after="0" w:line="233" w:lineRule="exact"/>
        <w:rPr>
          <w:sz w:val="20"/>
          <w:szCs w:val="20"/>
          <w:color w:val="auto"/>
        </w:rPr>
      </w:pPr>
    </w:p>
    <w:p>
      <w:pPr>
        <w:jc w:val="both"/>
        <w:ind w:left="840" w:hanging="647"/>
        <w:spacing w:after="0" w:line="271" w:lineRule="auto"/>
        <w:rPr>
          <w:sz w:val="20"/>
          <w:szCs w:val="20"/>
          <w:color w:val="auto"/>
        </w:rPr>
      </w:pPr>
      <w:r>
        <w:rPr>
          <w:rFonts w:ascii="Arial" w:cs="Arial" w:eastAsia="Arial" w:hAnsi="Arial"/>
          <w:sz w:val="22"/>
          <w:szCs w:val="22"/>
          <w:color w:val="auto"/>
        </w:rPr>
        <w:t xml:space="preserve">3.3.2. </w:t>
      </w:r>
      <w:r>
        <w:rPr>
          <w:rFonts w:ascii="Arial" w:cs="Arial" w:eastAsia="Arial" w:hAnsi="Arial"/>
          <w:sz w:val="19"/>
          <w:szCs w:val="19"/>
          <w:u w:val="single" w:color="auto"/>
          <w:color w:val="auto"/>
        </w:rPr>
        <w:t>Publicly Traded Options</w:t>
      </w:r>
      <w:r>
        <w:rPr>
          <w:rFonts w:ascii="Arial" w:cs="Arial" w:eastAsia="Arial" w:hAnsi="Arial"/>
          <w:sz w:val="19"/>
          <w:szCs w:val="19"/>
          <w:color w:val="auto"/>
        </w:rPr>
        <w:t>. Transactions in puts, calls or other derivative securities, on an exchange or in</w:t>
      </w:r>
      <w:r>
        <w:rPr>
          <w:rFonts w:ascii="Arial" w:cs="Arial" w:eastAsia="Arial" w:hAnsi="Arial"/>
          <w:sz w:val="22"/>
          <w:szCs w:val="22"/>
          <w:color w:val="auto"/>
        </w:rPr>
        <w:t xml:space="preserve"> </w:t>
      </w:r>
      <w:r>
        <w:rPr>
          <w:rFonts w:ascii="Arial" w:cs="Arial" w:eastAsia="Arial" w:hAnsi="Arial"/>
          <w:sz w:val="19"/>
          <w:szCs w:val="19"/>
          <w:color w:val="auto"/>
        </w:rPr>
        <w:t>any other organized market, are prohibited. (Option positions arising from certain types of hedging transactions are governed by subparagraph 3.3.3 below.)</w:t>
      </w:r>
    </w:p>
    <w:p>
      <w:pPr>
        <w:spacing w:after="0" w:line="166" w:lineRule="exact"/>
        <w:rPr>
          <w:sz w:val="20"/>
          <w:szCs w:val="20"/>
          <w:color w:val="auto"/>
        </w:rPr>
      </w:pPr>
    </w:p>
    <w:p>
      <w:pPr>
        <w:jc w:val="both"/>
        <w:ind w:left="840" w:hanging="647"/>
        <w:spacing w:after="0" w:line="296" w:lineRule="auto"/>
        <w:rPr>
          <w:sz w:val="20"/>
          <w:szCs w:val="20"/>
          <w:color w:val="auto"/>
        </w:rPr>
      </w:pPr>
      <w:r>
        <w:rPr>
          <w:rFonts w:ascii="Arial" w:cs="Arial" w:eastAsia="Arial" w:hAnsi="Arial"/>
          <w:sz w:val="22"/>
          <w:szCs w:val="22"/>
          <w:color w:val="auto"/>
        </w:rPr>
        <w:t xml:space="preserve">3.3.3. </w:t>
      </w:r>
      <w:r>
        <w:rPr>
          <w:rFonts w:ascii="Arial" w:cs="Arial" w:eastAsia="Arial" w:hAnsi="Arial"/>
          <w:sz w:val="19"/>
          <w:szCs w:val="19"/>
          <w:u w:val="single" w:color="auto"/>
          <w:color w:val="auto"/>
        </w:rPr>
        <w:t>Hedging Transactions</w:t>
      </w:r>
      <w:r>
        <w:rPr>
          <w:rFonts w:ascii="Arial" w:cs="Arial" w:eastAsia="Arial" w:hAnsi="Arial"/>
          <w:sz w:val="19"/>
          <w:szCs w:val="19"/>
          <w:color w:val="auto"/>
        </w:rPr>
        <w:t>. Directors, officers and other employees are prohibited from engaging in any</w:t>
      </w:r>
      <w:r>
        <w:rPr>
          <w:rFonts w:ascii="Arial" w:cs="Arial" w:eastAsia="Arial" w:hAnsi="Arial"/>
          <w:sz w:val="22"/>
          <w:szCs w:val="22"/>
          <w:color w:val="auto"/>
        </w:rPr>
        <w:t xml:space="preserve"> </w:t>
      </w:r>
      <w:r>
        <w:rPr>
          <w:rFonts w:ascii="Arial" w:cs="Arial" w:eastAsia="Arial" w:hAnsi="Arial"/>
          <w:sz w:val="19"/>
          <w:szCs w:val="19"/>
          <w:color w:val="auto"/>
        </w:rPr>
        <w:t>hedging or monetization transactions, such as zero cost collars and forward sale contracts.</w:t>
      </w:r>
    </w:p>
    <w:p>
      <w:pPr>
        <w:spacing w:after="0" w:line="134" w:lineRule="exact"/>
        <w:rPr>
          <w:sz w:val="20"/>
          <w:szCs w:val="20"/>
          <w:color w:val="auto"/>
        </w:rPr>
      </w:pPr>
    </w:p>
    <w:p>
      <w:pPr>
        <w:jc w:val="both"/>
        <w:ind w:left="840" w:hanging="647"/>
        <w:spacing w:after="0" w:line="278" w:lineRule="auto"/>
        <w:rPr>
          <w:sz w:val="20"/>
          <w:szCs w:val="20"/>
          <w:color w:val="auto"/>
        </w:rPr>
      </w:pPr>
      <w:r>
        <w:rPr>
          <w:rFonts w:ascii="Arial" w:cs="Arial" w:eastAsia="Arial" w:hAnsi="Arial"/>
          <w:sz w:val="22"/>
          <w:szCs w:val="22"/>
          <w:color w:val="auto"/>
        </w:rPr>
        <w:t xml:space="preserve">3.3.4. </w:t>
      </w:r>
      <w:r>
        <w:rPr>
          <w:rFonts w:ascii="Arial" w:cs="Arial" w:eastAsia="Arial" w:hAnsi="Arial"/>
          <w:sz w:val="19"/>
          <w:szCs w:val="19"/>
          <w:u w:val="single" w:color="auto"/>
          <w:color w:val="auto"/>
        </w:rPr>
        <w:t>Margin Accounts and Pledges</w:t>
      </w:r>
      <w:r>
        <w:rPr>
          <w:rFonts w:ascii="Arial" w:cs="Arial" w:eastAsia="Arial" w:hAnsi="Arial"/>
          <w:sz w:val="19"/>
          <w:szCs w:val="19"/>
          <w:color w:val="auto"/>
        </w:rPr>
        <w:t>. Directors, officers and other employees are prohibited from holding</w:t>
      </w:r>
      <w:r>
        <w:rPr>
          <w:rFonts w:ascii="Arial" w:cs="Arial" w:eastAsia="Arial" w:hAnsi="Arial"/>
          <w:sz w:val="22"/>
          <w:szCs w:val="22"/>
          <w:color w:val="auto"/>
        </w:rPr>
        <w:t xml:space="preserve"> </w:t>
      </w:r>
      <w:r>
        <w:rPr>
          <w:rFonts w:ascii="Arial" w:cs="Arial" w:eastAsia="Arial" w:hAnsi="Arial"/>
          <w:sz w:val="19"/>
          <w:szCs w:val="19"/>
          <w:color w:val="auto"/>
        </w:rPr>
        <w:t>Company securities in a margin account, purchasing securities on margin, or pledging Company securities as collateral for a loan.</w:t>
      </w:r>
    </w:p>
    <w:p>
      <w:pPr>
        <w:spacing w:after="0" w:line="159" w:lineRule="exact"/>
        <w:rPr>
          <w:sz w:val="20"/>
          <w:szCs w:val="20"/>
          <w:color w:val="auto"/>
        </w:rPr>
      </w:pPr>
    </w:p>
    <w:p>
      <w:pPr>
        <w:jc w:val="both"/>
        <w:ind w:left="180" w:right="20" w:hanging="647"/>
        <w:spacing w:after="0" w:line="262" w:lineRule="auto"/>
        <w:tabs>
          <w:tab w:leader="none" w:pos="1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0"/>
          <w:szCs w:val="20"/>
          <w:u w:val="single" w:color="auto"/>
          <w:color w:val="auto"/>
        </w:rPr>
        <w:t>Exceptions</w:t>
      </w:r>
      <w:r>
        <w:rPr>
          <w:rFonts w:ascii="Arial" w:cs="Arial" w:eastAsia="Arial" w:hAnsi="Arial"/>
          <w:sz w:val="20"/>
          <w:szCs w:val="20"/>
          <w:color w:val="auto"/>
        </w:rPr>
        <w:t>. Except for the pre-clearance restrictions for the Designated Insiders as set forth above in Section 4,</w:t>
      </w:r>
      <w:r>
        <w:rPr>
          <w:rFonts w:ascii="Arial" w:cs="Arial" w:eastAsia="Arial" w:hAnsi="Arial"/>
          <w:sz w:val="20"/>
          <w:szCs w:val="20"/>
          <w:u w:val="single" w:color="auto"/>
          <w:color w:val="auto"/>
        </w:rPr>
        <w:t xml:space="preserve"> </w:t>
      </w:r>
      <w:r>
        <w:rPr>
          <w:rFonts w:ascii="Arial" w:cs="Arial" w:eastAsia="Arial" w:hAnsi="Arial"/>
          <w:sz w:val="20"/>
          <w:szCs w:val="20"/>
          <w:color w:val="auto"/>
        </w:rPr>
        <w:t>subsection 3.2, and as otherwise specifically noted, this policy statement does not apply in the case of the following transactions (if applicable to the Company):</w:t>
      </w:r>
    </w:p>
    <w:p>
      <w:pPr>
        <w:spacing w:after="0" w:line="205" w:lineRule="exact"/>
        <w:rPr>
          <w:sz w:val="20"/>
          <w:szCs w:val="20"/>
          <w:color w:val="auto"/>
        </w:rPr>
      </w:pPr>
    </w:p>
    <w:p>
      <w:pPr>
        <w:jc w:val="both"/>
        <w:ind w:left="840" w:hanging="647"/>
        <w:spacing w:after="0" w:line="270" w:lineRule="auto"/>
        <w:rPr>
          <w:sz w:val="20"/>
          <w:szCs w:val="20"/>
          <w:color w:val="auto"/>
        </w:rPr>
      </w:pPr>
      <w:r>
        <w:rPr>
          <w:rFonts w:ascii="Arial" w:cs="Arial" w:eastAsia="Arial" w:hAnsi="Arial"/>
          <w:sz w:val="22"/>
          <w:szCs w:val="22"/>
          <w:color w:val="auto"/>
        </w:rPr>
        <w:t xml:space="preserve">3.4.1. </w:t>
      </w:r>
      <w:r>
        <w:rPr>
          <w:rFonts w:ascii="Arial" w:cs="Arial" w:eastAsia="Arial" w:hAnsi="Arial"/>
          <w:sz w:val="19"/>
          <w:szCs w:val="19"/>
          <w:u w:val="single" w:color="auto"/>
          <w:color w:val="auto"/>
        </w:rPr>
        <w:t>Stock Options and Other Stock-Based Compensation</w:t>
      </w:r>
      <w:r>
        <w:rPr>
          <w:rFonts w:ascii="Arial" w:cs="Arial" w:eastAsia="Arial" w:hAnsi="Arial"/>
          <w:sz w:val="19"/>
          <w:szCs w:val="19"/>
          <w:color w:val="auto"/>
        </w:rPr>
        <w:t>. This exception applies to the exercise of stock</w:t>
      </w:r>
      <w:r>
        <w:rPr>
          <w:rFonts w:ascii="Arial" w:cs="Arial" w:eastAsia="Arial" w:hAnsi="Arial"/>
          <w:sz w:val="22"/>
          <w:szCs w:val="22"/>
          <w:color w:val="auto"/>
        </w:rPr>
        <w:t xml:space="preserve"> </w:t>
      </w:r>
      <w:r>
        <w:rPr>
          <w:rFonts w:ascii="Arial" w:cs="Arial" w:eastAsia="Arial" w:hAnsi="Arial"/>
          <w:sz w:val="19"/>
          <w:szCs w:val="19"/>
          <w:color w:val="auto"/>
        </w:rPr>
        <w:t>options under the Company’s stock option plan. However, any sale of any shares issued upon exercise of the option, including as part of a broker-assisted cashless exercise, would be subject to the restrictions of this policy statement.</w:t>
      </w:r>
    </w:p>
    <w:p>
      <w:pPr>
        <w:sectPr>
          <w:pgSz w:w="11900" w:h="16838" w:orient="portrait"/>
          <w:cols w:equalWidth="0" w:num="1">
            <w:col w:w="10120"/>
          </w:cols>
          <w:pgMar w:left="1440" w:top="1090" w:right="339" w:bottom="1440" w:gutter="0" w:footer="0" w:header="0"/>
        </w:sectPr>
      </w:pPr>
    </w:p>
    <w:bookmarkStart w:id="108" w:name="page109"/>
    <w:bookmarkEnd w:id="108"/>
    <w:p>
      <w:pPr>
        <w:jc w:val="both"/>
        <w:ind w:left="840" w:hanging="647"/>
        <w:spacing w:after="0" w:line="256" w:lineRule="auto"/>
        <w:rPr>
          <w:sz w:val="20"/>
          <w:szCs w:val="20"/>
          <w:color w:val="auto"/>
        </w:rPr>
      </w:pPr>
      <w:r>
        <w:rPr>
          <w:rFonts w:ascii="Arial" w:cs="Arial" w:eastAsia="Arial" w:hAnsi="Arial"/>
          <w:sz w:val="22"/>
          <w:szCs w:val="22"/>
          <w:color w:val="auto"/>
        </w:rPr>
        <w:t xml:space="preserve">3.4.2. </w:t>
      </w:r>
      <w:r>
        <w:rPr>
          <w:rFonts w:ascii="Arial" w:cs="Arial" w:eastAsia="Arial" w:hAnsi="Arial"/>
          <w:sz w:val="19"/>
          <w:szCs w:val="19"/>
          <w:u w:val="single" w:color="auto"/>
          <w:color w:val="auto"/>
        </w:rPr>
        <w:t>Employee Stock Purchase Plan</w:t>
      </w:r>
      <w:r>
        <w:rPr>
          <w:rFonts w:ascii="Arial" w:cs="Arial" w:eastAsia="Arial" w:hAnsi="Arial"/>
          <w:sz w:val="19"/>
          <w:szCs w:val="19"/>
          <w:color w:val="auto"/>
        </w:rPr>
        <w:t>. This exception applies to purchases of Company securities through the</w:t>
      </w:r>
      <w:r>
        <w:rPr>
          <w:rFonts w:ascii="Arial" w:cs="Arial" w:eastAsia="Arial" w:hAnsi="Arial"/>
          <w:sz w:val="22"/>
          <w:szCs w:val="22"/>
          <w:color w:val="auto"/>
        </w:rPr>
        <w:t xml:space="preserve"> </w:t>
      </w:r>
      <w:r>
        <w:rPr>
          <w:rFonts w:ascii="Arial" w:cs="Arial" w:eastAsia="Arial" w:hAnsi="Arial"/>
          <w:sz w:val="19"/>
          <w:szCs w:val="19"/>
          <w:color w:val="auto"/>
        </w:rPr>
        <w:t>Company’s Employee Stock Purchase Plan (“</w:t>
      </w:r>
      <w:r>
        <w:rPr>
          <w:rFonts w:ascii="Arial" w:cs="Arial" w:eastAsia="Arial" w:hAnsi="Arial"/>
          <w:sz w:val="19"/>
          <w:szCs w:val="19"/>
          <w:b w:val="1"/>
          <w:bCs w:val="1"/>
          <w:color w:val="auto"/>
        </w:rPr>
        <w:t>ESPP</w:t>
      </w:r>
      <w:r>
        <w:rPr>
          <w:rFonts w:ascii="Arial" w:cs="Arial" w:eastAsia="Arial" w:hAnsi="Arial"/>
          <w:sz w:val="19"/>
          <w:szCs w:val="19"/>
          <w:color w:val="auto"/>
        </w:rPr>
        <w:t>”) by means of a periodic contribution or lump-sum contribution of money to the plan pursuant to an election made at the time of enrollment in the ESPP. Sales of Company securities acquired through the ESPP are, however, subject to the restrictions of this policy statement.</w:t>
      </w:r>
    </w:p>
    <w:p>
      <w:pPr>
        <w:spacing w:after="0" w:line="192" w:lineRule="exact"/>
        <w:rPr>
          <w:sz w:val="20"/>
          <w:szCs w:val="20"/>
          <w:color w:val="auto"/>
        </w:rPr>
      </w:pPr>
    </w:p>
    <w:p>
      <w:pPr>
        <w:jc w:val="both"/>
        <w:ind w:left="840" w:hanging="647"/>
        <w:spacing w:after="0" w:line="270" w:lineRule="auto"/>
        <w:rPr>
          <w:sz w:val="20"/>
          <w:szCs w:val="20"/>
          <w:color w:val="auto"/>
        </w:rPr>
      </w:pPr>
      <w:r>
        <w:rPr>
          <w:rFonts w:ascii="Arial" w:cs="Arial" w:eastAsia="Arial" w:hAnsi="Arial"/>
          <w:sz w:val="22"/>
          <w:szCs w:val="22"/>
          <w:color w:val="auto"/>
        </w:rPr>
        <w:t xml:space="preserve">3.4.3. </w:t>
      </w:r>
      <w:r>
        <w:rPr>
          <w:rFonts w:ascii="Arial" w:cs="Arial" w:eastAsia="Arial" w:hAnsi="Arial"/>
          <w:sz w:val="19"/>
          <w:szCs w:val="19"/>
          <w:u w:val="single" w:color="auto"/>
          <w:color w:val="auto"/>
        </w:rPr>
        <w:t>401(k) Plan</w:t>
      </w:r>
      <w:r>
        <w:rPr>
          <w:rFonts w:ascii="Arial" w:cs="Arial" w:eastAsia="Arial" w:hAnsi="Arial"/>
          <w:sz w:val="19"/>
          <w:szCs w:val="19"/>
          <w:color w:val="auto"/>
        </w:rPr>
        <w:t>. This exception applies to purchases or sales of Company securities in the Company’s 401(k)</w:t>
      </w:r>
      <w:r>
        <w:rPr>
          <w:rFonts w:ascii="Arial" w:cs="Arial" w:eastAsia="Arial" w:hAnsi="Arial"/>
          <w:sz w:val="22"/>
          <w:szCs w:val="22"/>
          <w:color w:val="auto"/>
        </w:rPr>
        <w:t xml:space="preserve"> </w:t>
      </w:r>
      <w:r>
        <w:rPr>
          <w:rFonts w:ascii="Arial" w:cs="Arial" w:eastAsia="Arial" w:hAnsi="Arial"/>
          <w:sz w:val="19"/>
          <w:szCs w:val="19"/>
          <w:color w:val="auto"/>
        </w:rPr>
        <w:t>plan resulting from an insider’s periodic contribution of money to the plan pursuant to the insider’s payroll deduction election. This exception does not apply, however, to certain elections the insider may make under the 401(k) plan, including:</w:t>
      </w:r>
    </w:p>
    <w:p>
      <w:pPr>
        <w:spacing w:after="0" w:line="166" w:lineRule="exact"/>
        <w:rPr>
          <w:sz w:val="20"/>
          <w:szCs w:val="20"/>
          <w:color w:val="auto"/>
        </w:rPr>
      </w:pPr>
    </w:p>
    <w:p>
      <w:pPr>
        <w:ind w:left="1480" w:hanging="647"/>
        <w:spacing w:after="0" w:line="286" w:lineRule="auto"/>
        <w:rPr>
          <w:sz w:val="20"/>
          <w:szCs w:val="20"/>
          <w:color w:val="auto"/>
        </w:rPr>
      </w:pPr>
      <w:r>
        <w:rPr>
          <w:rFonts w:ascii="Arial" w:cs="Arial" w:eastAsia="Arial" w:hAnsi="Arial"/>
          <w:sz w:val="22"/>
          <w:szCs w:val="22"/>
          <w:color w:val="auto"/>
        </w:rPr>
        <w:t>3.4.3.1.</w:t>
      </w:r>
      <w:r>
        <w:rPr>
          <w:sz w:val="20"/>
          <w:szCs w:val="20"/>
          <w:color w:val="auto"/>
        </w:rPr>
        <w:t xml:space="preserve"> </w:t>
      </w:r>
      <w:r>
        <w:rPr>
          <w:rFonts w:ascii="Arial" w:cs="Arial" w:eastAsia="Arial" w:hAnsi="Arial"/>
          <w:sz w:val="20"/>
          <w:szCs w:val="20"/>
          <w:color w:val="auto"/>
        </w:rPr>
        <w:t>an election to increase or decrease the percentage of the insider’s periodic contributions that will be allocated to the Company stock fund;</w:t>
      </w:r>
    </w:p>
    <w:p>
      <w:pPr>
        <w:spacing w:after="0" w:line="181" w:lineRule="exact"/>
        <w:rPr>
          <w:sz w:val="20"/>
          <w:szCs w:val="20"/>
          <w:color w:val="auto"/>
        </w:rPr>
      </w:pPr>
    </w:p>
    <w:p>
      <w:pPr>
        <w:ind w:left="1480" w:right="20" w:hanging="647"/>
        <w:spacing w:after="0" w:line="271" w:lineRule="auto"/>
        <w:rPr>
          <w:sz w:val="20"/>
          <w:szCs w:val="20"/>
          <w:color w:val="auto"/>
        </w:rPr>
      </w:pPr>
      <w:r>
        <w:rPr>
          <w:rFonts w:ascii="Arial" w:cs="Arial" w:eastAsia="Arial" w:hAnsi="Arial"/>
          <w:sz w:val="22"/>
          <w:szCs w:val="22"/>
          <w:color w:val="auto"/>
        </w:rPr>
        <w:t>3.4.3.2.</w:t>
      </w:r>
      <w:r>
        <w:rPr>
          <w:sz w:val="20"/>
          <w:szCs w:val="20"/>
          <w:color w:val="auto"/>
        </w:rPr>
        <w:t xml:space="preserve"> </w:t>
      </w:r>
      <w:r>
        <w:rPr>
          <w:rFonts w:ascii="Arial" w:cs="Arial" w:eastAsia="Arial" w:hAnsi="Arial"/>
          <w:sz w:val="20"/>
          <w:szCs w:val="20"/>
          <w:color w:val="auto"/>
        </w:rPr>
        <w:t>an election to make an intra-plan transfer of an existing account balance into or out of the Company stock fund;</w:t>
      </w:r>
    </w:p>
    <w:p>
      <w:pPr>
        <w:spacing w:after="0" w:line="196" w:lineRule="exact"/>
        <w:rPr>
          <w:sz w:val="20"/>
          <w:szCs w:val="20"/>
          <w:color w:val="auto"/>
        </w:rPr>
      </w:pPr>
    </w:p>
    <w:p>
      <w:pPr>
        <w:ind w:left="1480" w:right="20" w:hanging="647"/>
        <w:spacing w:after="0" w:line="271" w:lineRule="auto"/>
        <w:rPr>
          <w:sz w:val="20"/>
          <w:szCs w:val="20"/>
          <w:color w:val="auto"/>
        </w:rPr>
      </w:pPr>
      <w:r>
        <w:rPr>
          <w:rFonts w:ascii="Arial" w:cs="Arial" w:eastAsia="Arial" w:hAnsi="Arial"/>
          <w:sz w:val="22"/>
          <w:szCs w:val="22"/>
          <w:color w:val="auto"/>
        </w:rPr>
        <w:t>3.4.3.3.</w:t>
      </w:r>
      <w:r>
        <w:rPr>
          <w:sz w:val="20"/>
          <w:szCs w:val="20"/>
          <w:color w:val="auto"/>
        </w:rPr>
        <w:t xml:space="preserve"> </w:t>
      </w:r>
      <w:r>
        <w:rPr>
          <w:rFonts w:ascii="Arial" w:cs="Arial" w:eastAsia="Arial" w:hAnsi="Arial"/>
          <w:sz w:val="20"/>
          <w:szCs w:val="20"/>
          <w:color w:val="auto"/>
        </w:rPr>
        <w:t>an election to borrow money against the insider’s 401(k) plan account if the loan will result in a liquidation of some or all of the insider’s Company stock fund balance; and</w:t>
      </w:r>
    </w:p>
    <w:p>
      <w:pPr>
        <w:spacing w:after="0" w:line="196" w:lineRule="exact"/>
        <w:rPr>
          <w:sz w:val="20"/>
          <w:szCs w:val="20"/>
          <w:color w:val="auto"/>
        </w:rPr>
      </w:pPr>
    </w:p>
    <w:p>
      <w:pPr>
        <w:ind w:left="1480" w:right="20" w:hanging="647"/>
        <w:spacing w:after="0" w:line="286" w:lineRule="auto"/>
        <w:rPr>
          <w:sz w:val="20"/>
          <w:szCs w:val="20"/>
          <w:color w:val="auto"/>
        </w:rPr>
      </w:pPr>
      <w:r>
        <w:rPr>
          <w:rFonts w:ascii="Arial" w:cs="Arial" w:eastAsia="Arial" w:hAnsi="Arial"/>
          <w:sz w:val="22"/>
          <w:szCs w:val="22"/>
          <w:color w:val="auto"/>
        </w:rPr>
        <w:t>3.4.3.4.</w:t>
      </w:r>
      <w:r>
        <w:rPr>
          <w:sz w:val="20"/>
          <w:szCs w:val="20"/>
          <w:color w:val="auto"/>
        </w:rPr>
        <w:t xml:space="preserve"> </w:t>
      </w:r>
      <w:r>
        <w:rPr>
          <w:rFonts w:ascii="Arial" w:cs="Arial" w:eastAsia="Arial" w:hAnsi="Arial"/>
          <w:sz w:val="20"/>
          <w:szCs w:val="20"/>
          <w:color w:val="auto"/>
        </w:rPr>
        <w:t>an election to pre-pay a plan loan if the pre-payment will result in allocation of loan proceeds to the Company stock fund.</w:t>
      </w:r>
    </w:p>
    <w:p>
      <w:pPr>
        <w:spacing w:after="0" w:line="167" w:lineRule="exact"/>
        <w:rPr>
          <w:sz w:val="20"/>
          <w:szCs w:val="20"/>
          <w:color w:val="auto"/>
        </w:rPr>
      </w:pPr>
    </w:p>
    <w:p>
      <w:pPr>
        <w:jc w:val="both"/>
        <w:ind w:left="840" w:hanging="647"/>
        <w:spacing w:after="0" w:line="265" w:lineRule="auto"/>
        <w:rPr>
          <w:sz w:val="20"/>
          <w:szCs w:val="20"/>
          <w:color w:val="auto"/>
        </w:rPr>
      </w:pPr>
      <w:r>
        <w:rPr>
          <w:rFonts w:ascii="Arial" w:cs="Arial" w:eastAsia="Arial" w:hAnsi="Arial"/>
          <w:sz w:val="22"/>
          <w:szCs w:val="22"/>
          <w:color w:val="auto"/>
        </w:rPr>
        <w:t xml:space="preserve">3.4.4. </w:t>
      </w:r>
      <w:r>
        <w:rPr>
          <w:rFonts w:ascii="Arial" w:cs="Arial" w:eastAsia="Arial" w:hAnsi="Arial"/>
          <w:sz w:val="19"/>
          <w:szCs w:val="19"/>
          <w:u w:val="single" w:color="auto"/>
          <w:color w:val="auto"/>
        </w:rPr>
        <w:t>Automatic Reinvestment in Dividends</w:t>
      </w:r>
      <w:r>
        <w:rPr>
          <w:rFonts w:ascii="Arial" w:cs="Arial" w:eastAsia="Arial" w:hAnsi="Arial"/>
          <w:sz w:val="19"/>
          <w:szCs w:val="19"/>
          <w:color w:val="auto"/>
        </w:rPr>
        <w:t>. This exception applies to the automatic reinvestment of dividends</w:t>
      </w:r>
      <w:r>
        <w:rPr>
          <w:rFonts w:ascii="Arial" w:cs="Arial" w:eastAsia="Arial" w:hAnsi="Arial"/>
          <w:sz w:val="22"/>
          <w:szCs w:val="22"/>
          <w:color w:val="auto"/>
        </w:rPr>
        <w:t xml:space="preserve"> </w:t>
      </w:r>
      <w:r>
        <w:rPr>
          <w:rFonts w:ascii="Arial" w:cs="Arial" w:eastAsia="Arial" w:hAnsi="Arial"/>
          <w:sz w:val="19"/>
          <w:szCs w:val="19"/>
          <w:color w:val="auto"/>
        </w:rPr>
        <w:t>paid on Company securities. This exception does not apply, however, to (i) voluntary, additional purchases of Company securities resulting from automatic reinvestment of dividends, (ii) an insider’s election to participate in automatic reinvestment of dividends, and (iii) an insider’s election to increase or decrease the insider’s level of automatic reinvestment of dividends.</w:t>
      </w:r>
    </w:p>
    <w:p>
      <w:pPr>
        <w:spacing w:after="0" w:line="187" w:lineRule="exact"/>
        <w:rPr>
          <w:sz w:val="20"/>
          <w:szCs w:val="20"/>
          <w:color w:val="auto"/>
        </w:rPr>
      </w:pPr>
    </w:p>
    <w:p>
      <w:pPr>
        <w:jc w:val="both"/>
        <w:ind w:left="840" w:hanging="647"/>
        <w:spacing w:after="0" w:line="267" w:lineRule="auto"/>
        <w:rPr>
          <w:sz w:val="20"/>
          <w:szCs w:val="20"/>
          <w:color w:val="auto"/>
        </w:rPr>
      </w:pPr>
      <w:r>
        <w:rPr>
          <w:rFonts w:ascii="Arial" w:cs="Arial" w:eastAsia="Arial" w:hAnsi="Arial"/>
          <w:sz w:val="22"/>
          <w:szCs w:val="22"/>
          <w:color w:val="auto"/>
        </w:rPr>
        <w:t xml:space="preserve">3.4.5. </w:t>
      </w:r>
      <w:r>
        <w:rPr>
          <w:rFonts w:ascii="Arial" w:cs="Arial" w:eastAsia="Arial" w:hAnsi="Arial"/>
          <w:sz w:val="19"/>
          <w:szCs w:val="19"/>
          <w:u w:val="single" w:color="auto"/>
          <w:color w:val="auto"/>
        </w:rPr>
        <w:t>Trading Pursuant to Safe Harbor Insider Trading Plans</w:t>
      </w:r>
      <w:r>
        <w:rPr>
          <w:rFonts w:ascii="Arial" w:cs="Arial" w:eastAsia="Arial" w:hAnsi="Arial"/>
          <w:sz w:val="19"/>
          <w:szCs w:val="19"/>
          <w:color w:val="auto"/>
        </w:rPr>
        <w:t>. This exception applies to transactions made</w:t>
      </w:r>
      <w:r>
        <w:rPr>
          <w:rFonts w:ascii="Arial" w:cs="Arial" w:eastAsia="Arial" w:hAnsi="Arial"/>
          <w:sz w:val="22"/>
          <w:szCs w:val="22"/>
          <w:color w:val="auto"/>
        </w:rPr>
        <w:t xml:space="preserve"> </w:t>
      </w:r>
      <w:r>
        <w:rPr>
          <w:rFonts w:ascii="Arial" w:cs="Arial" w:eastAsia="Arial" w:hAnsi="Arial"/>
          <w:sz w:val="19"/>
          <w:szCs w:val="19"/>
          <w:color w:val="auto"/>
        </w:rPr>
        <w:t>pursuant to an “Approved Rule 105-1 Trading Plan.” A written plan for transacting in the Company’s securities that, at the time it is adopted or modified, conforms to all of the requirements of Rule 10b5-1 of the Exchange Act as then in effect and the requirements of this policy statement is an “</w:t>
      </w:r>
      <w:r>
        <w:rPr>
          <w:rFonts w:ascii="Arial" w:cs="Arial" w:eastAsia="Arial" w:hAnsi="Arial"/>
          <w:sz w:val="19"/>
          <w:szCs w:val="19"/>
          <w:b w:val="1"/>
          <w:bCs w:val="1"/>
          <w:color w:val="auto"/>
        </w:rPr>
        <w:t>Approved Rule</w:t>
      </w:r>
      <w:r>
        <w:rPr>
          <w:rFonts w:ascii="Arial" w:cs="Arial" w:eastAsia="Arial" w:hAnsi="Arial"/>
          <w:sz w:val="19"/>
          <w:szCs w:val="19"/>
          <w:color w:val="auto"/>
        </w:rPr>
        <w:t xml:space="preserve"> </w:t>
      </w:r>
      <w:r>
        <w:rPr>
          <w:rFonts w:ascii="Arial" w:cs="Arial" w:eastAsia="Arial" w:hAnsi="Arial"/>
          <w:sz w:val="19"/>
          <w:szCs w:val="19"/>
          <w:b w:val="1"/>
          <w:bCs w:val="1"/>
          <w:color w:val="auto"/>
        </w:rPr>
        <w:t>10b5-1 Trading Plan</w:t>
      </w:r>
      <w:r>
        <w:rPr>
          <w:rFonts w:ascii="Arial" w:cs="Arial" w:eastAsia="Arial" w:hAnsi="Arial"/>
          <w:sz w:val="19"/>
          <w:szCs w:val="19"/>
          <w:color w:val="auto"/>
        </w:rPr>
        <w:t>.”</w:t>
      </w:r>
    </w:p>
    <w:p>
      <w:pPr>
        <w:spacing w:after="0" w:line="200" w:lineRule="exact"/>
        <w:rPr>
          <w:sz w:val="20"/>
          <w:szCs w:val="20"/>
          <w:color w:val="auto"/>
        </w:rPr>
      </w:pPr>
    </w:p>
    <w:p>
      <w:pPr>
        <w:spacing w:after="0" w:line="212" w:lineRule="exact"/>
        <w:rPr>
          <w:sz w:val="20"/>
          <w:szCs w:val="20"/>
          <w:color w:val="auto"/>
        </w:rPr>
      </w:pPr>
    </w:p>
    <w:p>
      <w:pPr>
        <w:jc w:val="both"/>
        <w:ind w:left="840"/>
        <w:spacing w:after="0" w:line="254" w:lineRule="auto"/>
        <w:rPr>
          <w:sz w:val="20"/>
          <w:szCs w:val="20"/>
          <w:color w:val="auto"/>
        </w:rPr>
      </w:pPr>
      <w:r>
        <w:rPr>
          <w:rFonts w:ascii="Arial" w:cs="Arial" w:eastAsia="Arial" w:hAnsi="Arial"/>
          <w:sz w:val="20"/>
          <w:szCs w:val="20"/>
          <w:color w:val="auto"/>
        </w:rPr>
        <w:t>Designated Insiders shall submit their trading plans and any proposed modifications to such plans to the Insider Trading Compliance Officer for pre-clearance prior to adoption or modification of such plans. The Company’s Insider Trading Compliance Officer shall have the sole discretion to clear such trading plans and modifications to such plans. All Approved Rule 10b5-1 Trading Plans will be reported to the Company’s board of directors on at least a quarterly basis.</w:t>
      </w:r>
    </w:p>
    <w:p>
      <w:pPr>
        <w:spacing w:after="0" w:line="187" w:lineRule="exact"/>
        <w:rPr>
          <w:sz w:val="20"/>
          <w:szCs w:val="20"/>
          <w:color w:val="auto"/>
        </w:rPr>
      </w:pPr>
    </w:p>
    <w:p>
      <w:pPr>
        <w:jc w:val="both"/>
        <w:ind w:left="840" w:right="20"/>
        <w:spacing w:after="0" w:line="286" w:lineRule="auto"/>
        <w:rPr>
          <w:sz w:val="20"/>
          <w:szCs w:val="20"/>
          <w:color w:val="auto"/>
        </w:rPr>
      </w:pPr>
      <w:r>
        <w:rPr>
          <w:rFonts w:ascii="Arial" w:cs="Arial" w:eastAsia="Arial" w:hAnsi="Arial"/>
          <w:sz w:val="20"/>
          <w:szCs w:val="20"/>
          <w:color w:val="auto"/>
        </w:rPr>
        <w:t>Each individual adopting a trading plan is solely responsible for compliance with Rule 10b5-1 of the Exchange Act and ensuring that the trading plan meets the</w:t>
      </w:r>
    </w:p>
    <w:p>
      <w:pPr>
        <w:sectPr>
          <w:pgSz w:w="11900" w:h="16838" w:orient="portrait"/>
          <w:cols w:equalWidth="0" w:num="1">
            <w:col w:w="10120"/>
          </w:cols>
          <w:pgMar w:left="1440" w:top="1099" w:right="339" w:bottom="1440" w:gutter="0" w:footer="0" w:header="0"/>
        </w:sectPr>
      </w:pPr>
    </w:p>
    <w:bookmarkStart w:id="109" w:name="page110"/>
    <w:bookmarkEnd w:id="109"/>
    <w:p>
      <w:pPr>
        <w:jc w:val="both"/>
        <w:ind w:left="1952"/>
        <w:spacing w:after="0" w:line="254" w:lineRule="auto"/>
        <w:rPr>
          <w:sz w:val="20"/>
          <w:szCs w:val="20"/>
          <w:color w:val="auto"/>
        </w:rPr>
      </w:pPr>
      <w:r>
        <w:rPr>
          <w:rFonts w:ascii="Arial" w:cs="Arial" w:eastAsia="Arial" w:hAnsi="Arial"/>
          <w:sz w:val="20"/>
          <w:szCs w:val="20"/>
          <w:color w:val="auto"/>
        </w:rPr>
        <w:t>other conditions set forth above. The Company may, in the sole discretion of the Insider Trading Compliance Officer, upon the advice of counsel if sought by the Insider Trading Compliance Officer, determine that any proposed Rule 10b5-1 trading plan is inconsistent with the Company’s policies and is not an Approved Rule 10b5-1 Trading Plan that is exempt from the transaction window and pre-clearance requirements set forth above. The Company strongly recommends that a person seeking to adopt or modify a Rule 10b5-1 trading plan consult an attorney prior to the adoption or modification of such a trading plan.</w:t>
      </w:r>
    </w:p>
    <w:p>
      <w:pPr>
        <w:spacing w:after="0" w:line="181" w:lineRule="exact"/>
        <w:rPr>
          <w:sz w:val="20"/>
          <w:szCs w:val="20"/>
          <w:color w:val="auto"/>
        </w:rPr>
      </w:pPr>
    </w:p>
    <w:p>
      <w:pPr>
        <w:jc w:val="both"/>
        <w:ind w:left="1952" w:hanging="647"/>
        <w:spacing w:after="0" w:line="264" w:lineRule="auto"/>
        <w:rPr>
          <w:sz w:val="20"/>
          <w:szCs w:val="20"/>
          <w:color w:val="auto"/>
        </w:rPr>
      </w:pPr>
      <w:r>
        <w:rPr>
          <w:rFonts w:ascii="Arial" w:cs="Arial" w:eastAsia="Arial" w:hAnsi="Arial"/>
          <w:sz w:val="22"/>
          <w:szCs w:val="22"/>
          <w:color w:val="auto"/>
        </w:rPr>
        <w:t xml:space="preserve">3.4.6. </w:t>
      </w:r>
      <w:r>
        <w:rPr>
          <w:rFonts w:ascii="Arial" w:cs="Arial" w:eastAsia="Arial" w:hAnsi="Arial"/>
          <w:sz w:val="19"/>
          <w:szCs w:val="19"/>
          <w:u w:val="single" w:color="auto"/>
          <w:color w:val="auto"/>
        </w:rPr>
        <w:t>Cancellation of Shares in Settlement of Withholding Tax Obligations</w:t>
      </w:r>
      <w:r>
        <w:rPr>
          <w:rFonts w:ascii="Arial" w:cs="Arial" w:eastAsia="Arial" w:hAnsi="Arial"/>
          <w:sz w:val="19"/>
          <w:szCs w:val="19"/>
          <w:color w:val="auto"/>
        </w:rPr>
        <w:t>. If the terms of the plan or award</w:t>
      </w:r>
      <w:r>
        <w:rPr>
          <w:rFonts w:ascii="Arial" w:cs="Arial" w:eastAsia="Arial" w:hAnsi="Arial"/>
          <w:sz w:val="22"/>
          <w:szCs w:val="22"/>
          <w:color w:val="auto"/>
        </w:rPr>
        <w:t xml:space="preserve"> </w:t>
      </w:r>
      <w:r>
        <w:rPr>
          <w:rFonts w:ascii="Arial" w:cs="Arial" w:eastAsia="Arial" w:hAnsi="Arial"/>
          <w:sz w:val="19"/>
          <w:szCs w:val="19"/>
          <w:color w:val="auto"/>
        </w:rPr>
        <w:t>under which stock options, stock purchase rights or restricted stock units have been granted authorize the Company to withhold and cancel shares issuable upon the exercise or vesting of the award solely to satisfy an employee-recipient’s liability for federal, state and other income and payroll tax withholding obligations and a proper written irrevocable election authorizing such withholding and cancellation has been delivered to the Company by the employee-recipient, the issuance of the “</w:t>
      </w:r>
      <w:r>
        <w:rPr>
          <w:rFonts w:ascii="Arial" w:cs="Arial" w:eastAsia="Arial" w:hAnsi="Arial"/>
          <w:sz w:val="19"/>
          <w:szCs w:val="19"/>
          <w:b w:val="1"/>
          <w:bCs w:val="1"/>
          <w:color w:val="auto"/>
        </w:rPr>
        <w:t>net</w:t>
      </w:r>
      <w:r>
        <w:rPr>
          <w:rFonts w:ascii="Arial" w:cs="Arial" w:eastAsia="Arial" w:hAnsi="Arial"/>
          <w:sz w:val="19"/>
          <w:szCs w:val="19"/>
          <w:color w:val="auto"/>
        </w:rPr>
        <w:t>” number of shares by the Company to the employee-recipient shall be a permitted transaction during a Scheduled or Unscheduled Black-out Period under this policy statement and the withholding and cancellation of shares for this purpose shall constitute an exception to this policy statement.</w:t>
      </w:r>
    </w:p>
    <w:p>
      <w:pPr>
        <w:spacing w:after="0" w:line="189" w:lineRule="exact"/>
        <w:rPr>
          <w:sz w:val="20"/>
          <w:szCs w:val="20"/>
          <w:color w:val="auto"/>
        </w:rPr>
      </w:pPr>
    </w:p>
    <w:p>
      <w:pPr>
        <w:jc w:val="both"/>
        <w:ind w:left="1952" w:hanging="647"/>
        <w:spacing w:after="0" w:line="263" w:lineRule="auto"/>
        <w:rPr>
          <w:sz w:val="20"/>
          <w:szCs w:val="20"/>
          <w:color w:val="auto"/>
        </w:rPr>
      </w:pPr>
      <w:r>
        <w:rPr>
          <w:rFonts w:ascii="Arial" w:cs="Arial" w:eastAsia="Arial" w:hAnsi="Arial"/>
          <w:sz w:val="22"/>
          <w:szCs w:val="22"/>
          <w:color w:val="auto"/>
        </w:rPr>
        <w:t xml:space="preserve">3.4.7. </w:t>
      </w:r>
      <w:r>
        <w:rPr>
          <w:rFonts w:ascii="Arial" w:cs="Arial" w:eastAsia="Arial" w:hAnsi="Arial"/>
          <w:sz w:val="19"/>
          <w:szCs w:val="19"/>
          <w:u w:val="single" w:color="auto"/>
          <w:color w:val="auto"/>
        </w:rPr>
        <w:t>Certain Transactions with the Company</w:t>
      </w:r>
      <w:r>
        <w:rPr>
          <w:rFonts w:ascii="Arial" w:cs="Arial" w:eastAsia="Arial" w:hAnsi="Arial"/>
          <w:sz w:val="19"/>
          <w:szCs w:val="19"/>
          <w:color w:val="auto"/>
        </w:rPr>
        <w:t>. This exception applies to acquisitions of the Company’s</w:t>
      </w:r>
      <w:r>
        <w:rPr>
          <w:rFonts w:ascii="Arial" w:cs="Arial" w:eastAsia="Arial" w:hAnsi="Arial"/>
          <w:sz w:val="22"/>
          <w:szCs w:val="22"/>
          <w:color w:val="auto"/>
        </w:rPr>
        <w:t xml:space="preserve"> </w:t>
      </w:r>
      <w:r>
        <w:rPr>
          <w:rFonts w:ascii="Arial" w:cs="Arial" w:eastAsia="Arial" w:hAnsi="Arial"/>
          <w:sz w:val="19"/>
          <w:szCs w:val="19"/>
          <w:color w:val="auto"/>
        </w:rPr>
        <w:t>securities from the Company, and dispositions of the Company’s securities to the Company. This exception is limited to transactions that could be exempt under SEC Rule 16b-3(d) and (e) if the transaction had involved a Section 16 Individual, without regard to the board of directors and stockholder approval requirements of the rule. This exception will not prevent the Company from determining in any situation that it will not allow a transaction involving an acquisition of securities from, or disposition of securities to, the Company.</w:t>
      </w:r>
    </w:p>
    <w:p>
      <w:pPr>
        <w:spacing w:after="0" w:line="200" w:lineRule="exact"/>
        <w:rPr>
          <w:sz w:val="20"/>
          <w:szCs w:val="20"/>
          <w:color w:val="auto"/>
        </w:rPr>
      </w:pPr>
    </w:p>
    <w:p>
      <w:pPr>
        <w:spacing w:after="0" w:line="229" w:lineRule="exact"/>
        <w:rPr>
          <w:sz w:val="20"/>
          <w:szCs w:val="20"/>
          <w:color w:val="auto"/>
        </w:rPr>
      </w:pPr>
    </w:p>
    <w:p>
      <w:pPr>
        <w:jc w:val="both"/>
        <w:ind w:left="1952" w:right="20" w:hanging="647"/>
        <w:spacing w:after="0" w:line="281" w:lineRule="auto"/>
        <w:rPr>
          <w:sz w:val="20"/>
          <w:szCs w:val="20"/>
          <w:color w:val="auto"/>
        </w:rPr>
      </w:pPr>
      <w:r>
        <w:rPr>
          <w:rFonts w:ascii="Arial" w:cs="Arial" w:eastAsia="Arial" w:hAnsi="Arial"/>
          <w:sz w:val="22"/>
          <w:szCs w:val="22"/>
          <w:color w:val="auto"/>
        </w:rPr>
        <w:t xml:space="preserve">3.4.8. </w:t>
      </w:r>
      <w:r>
        <w:rPr>
          <w:rFonts w:ascii="Arial" w:cs="Arial" w:eastAsia="Arial" w:hAnsi="Arial"/>
          <w:sz w:val="19"/>
          <w:szCs w:val="19"/>
          <w:u w:val="single" w:color="auto"/>
          <w:color w:val="auto"/>
        </w:rPr>
        <w:t>Diversified Mutual Funds</w:t>
      </w:r>
      <w:r>
        <w:rPr>
          <w:rFonts w:ascii="Arial" w:cs="Arial" w:eastAsia="Arial" w:hAnsi="Arial"/>
          <w:sz w:val="19"/>
          <w:szCs w:val="19"/>
          <w:color w:val="auto"/>
        </w:rPr>
        <w:t>. This exception applies to transactions in diversified mutual funds that are</w:t>
      </w:r>
      <w:r>
        <w:rPr>
          <w:rFonts w:ascii="Arial" w:cs="Arial" w:eastAsia="Arial" w:hAnsi="Arial"/>
          <w:sz w:val="22"/>
          <w:szCs w:val="22"/>
          <w:color w:val="auto"/>
        </w:rPr>
        <w:t xml:space="preserve"> </w:t>
      </w:r>
      <w:r>
        <w:rPr>
          <w:rFonts w:ascii="Arial" w:cs="Arial" w:eastAsia="Arial" w:hAnsi="Arial"/>
          <w:sz w:val="19"/>
          <w:szCs w:val="19"/>
          <w:color w:val="auto"/>
        </w:rPr>
        <w:t>invested in Company securities.</w:t>
      </w:r>
    </w:p>
    <w:p>
      <w:pPr>
        <w:spacing w:after="0" w:line="164" w:lineRule="exact"/>
        <w:rPr>
          <w:sz w:val="20"/>
          <w:szCs w:val="20"/>
          <w:color w:val="auto"/>
        </w:rPr>
      </w:pPr>
    </w:p>
    <w:p>
      <w:pPr>
        <w:jc w:val="both"/>
        <w:ind w:left="1952" w:right="20" w:hanging="647"/>
        <w:spacing w:after="0" w:line="281" w:lineRule="auto"/>
        <w:rPr>
          <w:sz w:val="20"/>
          <w:szCs w:val="20"/>
          <w:color w:val="auto"/>
        </w:rPr>
      </w:pPr>
      <w:r>
        <w:rPr>
          <w:rFonts w:ascii="Arial" w:cs="Arial" w:eastAsia="Arial" w:hAnsi="Arial"/>
          <w:sz w:val="22"/>
          <w:szCs w:val="22"/>
          <w:color w:val="auto"/>
        </w:rPr>
        <w:t xml:space="preserve">3.4.9. </w:t>
      </w:r>
      <w:r>
        <w:rPr>
          <w:rFonts w:ascii="Arial" w:cs="Arial" w:eastAsia="Arial" w:hAnsi="Arial"/>
          <w:sz w:val="19"/>
          <w:szCs w:val="19"/>
          <w:u w:val="single" w:color="auto"/>
          <w:color w:val="auto"/>
        </w:rPr>
        <w:t>Specifically Approved Transactions</w:t>
      </w:r>
      <w:r>
        <w:rPr>
          <w:rFonts w:ascii="Arial" w:cs="Arial" w:eastAsia="Arial" w:hAnsi="Arial"/>
          <w:sz w:val="19"/>
          <w:szCs w:val="19"/>
          <w:color w:val="auto"/>
        </w:rPr>
        <w:t>. This exception applies to any transaction specifically approved in</w:t>
      </w:r>
      <w:r>
        <w:rPr>
          <w:rFonts w:ascii="Arial" w:cs="Arial" w:eastAsia="Arial" w:hAnsi="Arial"/>
          <w:sz w:val="22"/>
          <w:szCs w:val="22"/>
          <w:color w:val="auto"/>
        </w:rPr>
        <w:t xml:space="preserve"> </w:t>
      </w:r>
      <w:r>
        <w:rPr>
          <w:rFonts w:ascii="Arial" w:cs="Arial" w:eastAsia="Arial" w:hAnsi="Arial"/>
          <w:sz w:val="19"/>
          <w:szCs w:val="19"/>
          <w:color w:val="auto"/>
        </w:rPr>
        <w:t>writing in advance by the Insider Trading Compliance Officer.</w:t>
      </w:r>
    </w:p>
    <w:p>
      <w:pPr>
        <w:spacing w:after="0" w:line="182" w:lineRule="exact"/>
        <w:rPr>
          <w:sz w:val="20"/>
          <w:szCs w:val="20"/>
          <w:color w:val="auto"/>
        </w:rPr>
      </w:pPr>
    </w:p>
    <w:p>
      <w:pPr>
        <w:jc w:val="both"/>
        <w:ind w:left="652" w:hanging="652"/>
        <w:spacing w:after="0" w:line="251" w:lineRule="auto"/>
        <w:tabs>
          <w:tab w:leader="none" w:pos="643" w:val="left"/>
        </w:tabs>
        <w:numPr>
          <w:ilvl w:val="0"/>
          <w:numId w:val="44"/>
        </w:numPr>
        <w:rPr>
          <w:rFonts w:ascii="Arial" w:cs="Arial" w:eastAsia="Arial" w:hAnsi="Arial"/>
          <w:sz w:val="22"/>
          <w:szCs w:val="22"/>
          <w:color w:val="auto"/>
        </w:rPr>
      </w:pPr>
      <w:r>
        <w:rPr>
          <w:rFonts w:ascii="Arial" w:cs="Arial" w:eastAsia="Arial" w:hAnsi="Arial"/>
          <w:sz w:val="20"/>
          <w:szCs w:val="20"/>
          <w:u w:val="single" w:color="auto"/>
          <w:color w:val="auto"/>
        </w:rPr>
        <w:t>Conclusion</w:t>
      </w:r>
      <w:r>
        <w:rPr>
          <w:rFonts w:ascii="Arial" w:cs="Arial" w:eastAsia="Arial" w:hAnsi="Arial"/>
          <w:sz w:val="20"/>
          <w:szCs w:val="20"/>
          <w:color w:val="auto"/>
        </w:rPr>
        <w:t xml:space="preserve">. If you have any questions as to whether it would be appropriate for you to transact in securities of the Company, or if you are uncertain as to any of your responsibilities or obligations under the above policies, you should immediately consult with the Insider Trading Compliance Officer for clarification prior to transacting in any Company securities or making any statement. </w:t>
      </w:r>
      <w:r>
        <w:rPr>
          <w:rFonts w:ascii="Arial" w:cs="Arial" w:eastAsia="Arial" w:hAnsi="Arial"/>
          <w:sz w:val="20"/>
          <w:szCs w:val="20"/>
          <w:b w:val="1"/>
          <w:bCs w:val="1"/>
          <w:u w:val="single" w:color="auto"/>
          <w:color w:val="auto"/>
        </w:rPr>
        <w:t>Failure to observe this policy statement may result in serious consequences,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including the termination of your employment or service relationship with the Company</w:t>
      </w:r>
      <w:r>
        <w:rPr>
          <w:rFonts w:ascii="Arial" w:cs="Arial" w:eastAsia="Arial" w:hAnsi="Arial"/>
          <w:sz w:val="20"/>
          <w:szCs w:val="20"/>
          <w:b w:val="1"/>
          <w:bCs w:val="1"/>
          <w:color w:val="auto"/>
        </w:rPr>
        <w:t>.</w:t>
      </w:r>
    </w:p>
    <w:p>
      <w:pPr>
        <w:sectPr>
          <w:pgSz w:w="11900" w:h="16838" w:orient="portrait"/>
          <w:cols w:equalWidth="0" w:num="1">
            <w:col w:w="11232"/>
          </w:cols>
          <w:pgMar w:left="328" w:top="1090" w:right="339" w:bottom="1440" w:gutter="0" w:footer="0" w:header="0"/>
        </w:sectPr>
      </w:pPr>
    </w:p>
    <w:bookmarkStart w:id="110" w:name="page111"/>
    <w:bookmarkEnd w:id="110"/>
    <w:p>
      <w:pPr>
        <w:spacing w:after="0"/>
        <w:rPr>
          <w:sz w:val="20"/>
          <w:szCs w:val="20"/>
          <w:color w:val="auto"/>
        </w:rPr>
      </w:pPr>
      <w:r>
        <w:rPr>
          <w:rFonts w:ascii="Arial" w:cs="Arial" w:eastAsia="Arial" w:hAnsi="Arial"/>
          <w:sz w:val="25"/>
          <w:szCs w:val="25"/>
          <w:b w:val="1"/>
          <w:bCs w:val="1"/>
          <w:color w:val="auto"/>
        </w:rPr>
        <w:t>CERTIFICATION</w:t>
      </w:r>
      <w:r>
        <w:rPr>
          <w:rFonts w:ascii="Arial" w:cs="Arial" w:eastAsia="Arial" w:hAnsi="Arial"/>
          <w:sz w:val="17"/>
          <w:szCs w:val="17"/>
          <w:color w:val="auto"/>
        </w:rPr>
        <w:t>.</w:t>
      </w:r>
    </w:p>
    <w:p>
      <w:pPr>
        <w:spacing w:after="0" w:line="20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All employees and other individuals to whom this policy statement is provided must certify their understanding of, and intent to comply with, this policy statement by signing below.</w:t>
      </w:r>
    </w:p>
    <w:p>
      <w:pPr>
        <w:spacing w:after="0" w:line="180"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color w:val="auto"/>
        </w:rPr>
        <w:t>I, , certify that: (i) I have read and understand the Company’s Insider Trading and Confidentiality Policy Statement set forth above; (ii) I understand that the Insider Trading Compliance Officer is available to answer to any questions I have regarding this policy statement; (iii) since December 9, 2011 or such shorter period of time that I have been a director, employee or consultant of the Company, I have complied with the provisions of this policy statement; (iv) I will continue to comply with the provisions of this policy statement for as long as I am subject to this policy statement; and (v) I understand that my failure to comply in all respects with the provisions of this policy statement is a basis for termination for cause of my employment or other service relationship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-857250</wp:posOffset>
            </wp:positionV>
            <wp:extent cx="1441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14414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Print Name:</w:t>
      </w:r>
    </w:p>
    <w:p>
      <w:pPr>
        <w:spacing w:after="0" w:line="33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580"/>
          </w:cols>
          <w:pgMar w:left="980" w:top="116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Subsidiaries as of June 27, 2025</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(100% direct or indirect ownership by Aviat Networks,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r>
      <w:tr>
        <w:trPr>
          <w:trHeight w:val="218"/>
        </w:trPr>
        <w:tc>
          <w:tcPr>
            <w:tcW w:w="6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Aviat Networks Algeria S.A.R.L.</w:t>
            </w:r>
          </w:p>
        </w:tc>
        <w:tc>
          <w:tcPr>
            <w:tcW w:w="10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Algeria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(Australia) Pty.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4RF Australia Pty.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(Bangladesh)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Bangladesh</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NZ Telcoms (Botswana)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Botswana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Radio Communications and Engineering Services Botswana</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Botswana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Brasil Serviços em Comunicações Ltda.</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Communications Canada ULC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Canada ULC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Communications Technology (Shenzhen) Company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Colombia S.A.S.</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Colombia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LLC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Egypt</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France S.A.S.</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Ghana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Ghana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HK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(Hungary) Kft.</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Hungary</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(India) Private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Aviat Solusi Komunikasi</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Aviat Telekomunikasi Internasional</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Côte d’Ivoire</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Ivory Coast</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Japan G.K.</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(Kenya)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Kenya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Malaysia Sdn. Bhd.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Microwave (Mauritius) Private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Mauritius</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México S.A. de C.V.</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Holland B.V.</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(NZ)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4RF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4RF Trustee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Communication Solutions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Stratex Networks Nigeria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(Pakistan)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Pakistan</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(Clark) Corporation</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Philippines, Inc.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Polska Sp. z.o.o.</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Redline Communications Romania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24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 Works Saudi Telecom &amp; Information Technology Co.</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Kingdom of Saudi Arabia</w:t>
            </w: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Harris Stratex Networks (S) Pte.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(S) Pte.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Singapore</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Storitveno Podjetje, d.o.o.</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Slovenia</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(South Africa) (Proprietary)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South Africa</w:t>
            </w:r>
          </w:p>
        </w:tc>
      </w:tr>
    </w:tbl>
    <w:p>
      <w:pPr>
        <w:sectPr>
          <w:pgSz w:w="11900" w:h="16838" w:orient="portrait"/>
          <w:cols w:equalWidth="0" w:num="1">
            <w:col w:w="11020"/>
          </w:cols>
          <w:pgMar w:left="540" w:top="113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DMC Stratex Networks (South Africa) (Proprietary)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(South Sudan)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(Sweden) AB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Tanzania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(Thailand)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Tunisia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Aviat Networks Turkey Telekominikasyon Sistemleri Limited Sirketi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4RF Communications (Europe)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4RF USA,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(UK)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International Holdings,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International Holdings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International Holdings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International Holdings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U.S.,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Telsima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Republic of South Africa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Sudan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Tunisia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5720" w:space="720"/>
            <w:col w:w="3479"/>
          </w:cols>
          <w:pgMar w:left="540" w:top="1026"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333-267592, 333-224957, 333-209462, 333-178467, and 333-163542 on Form S-8 of our reports dated September 10, 2025, relating to the financial statements of Aviat Networks, Inc. (the “Company”) and the effectiveness of the Company's internal control over financial reporting appearing in this Annual Report on Form 10-K for the year ended June 27, 2025.</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2025</w:t>
      </w:r>
    </w:p>
    <w:p>
      <w:pPr>
        <w:sectPr>
          <w:pgSz w:w="11900" w:h="16838" w:orient="portrait"/>
          <w:cols w:equalWidth="0" w:num="1">
            <w:col w:w="11240"/>
          </w:cols>
          <w:pgMar w:left="320" w:top="142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Smith,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June 27, 2025,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2025</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Peter A. Smith</w:t>
            </w:r>
          </w:p>
        </w:tc>
      </w:tr>
      <w:tr>
        <w:trPr>
          <w:trHeight w:val="234"/>
        </w:trPr>
        <w:tc>
          <w:tcPr>
            <w:tcW w:w="64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Connaway,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June 27, 2025,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2025</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Michael Connaway</w:t>
            </w: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Michael Connaway</w:t>
            </w:r>
          </w:p>
        </w:tc>
      </w:tr>
      <w:tr>
        <w:trPr>
          <w:trHeight w:val="180"/>
        </w:trPr>
        <w:tc>
          <w:tcPr>
            <w:tcW w:w="6400" w:type="dxa"/>
            <w:vAlign w:val="bottom"/>
          </w:tcPr>
          <w:p>
            <w:pPr>
              <w:spacing w:after="0"/>
              <w:rPr>
                <w:sz w:val="15"/>
                <w:szCs w:val="15"/>
                <w:color w:val="auto"/>
              </w:rPr>
            </w:pPr>
          </w:p>
        </w:tc>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Financial</w:t>
            </w:r>
          </w:p>
        </w:tc>
      </w:tr>
      <w:tr>
        <w:trPr>
          <w:trHeight w:val="234"/>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1350 of Chapter 63 of Title 18 of the United States Code as Adopted Pursuant to Section 906 of the Sarbanes-Oxley Act of 2002</w:t>
      </w:r>
    </w:p>
    <w:p>
      <w:pPr>
        <w:spacing w:after="0" w:line="171"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of Aviat Networks, Inc. (“Aviat Networks”) for the fiscal year ended June 27, 2025, as filed with the Securities and Exchange Commission on the date hereof (the “Report”), the undersigned, Peter A. Smith, the President and Chief Executive Officer, and Michael Connaway, Senior Vice President and Chief Financial Officer, each hereby certifies, pursuant to Section 906 of the Sarbanes-Oxley Act of 2002, 18 U.S.C. §1350, that:</w:t>
      </w:r>
    </w:p>
    <w:p>
      <w:pPr>
        <w:spacing w:after="0" w:line="126"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2025</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Peter A. Smith</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594"/>
        </w:trPr>
        <w:tc>
          <w:tcPr>
            <w:tcW w:w="6400" w:type="dxa"/>
            <w:vAlign w:val="bottom"/>
          </w:tcPr>
          <w:p>
            <w:pPr>
              <w:spacing w:after="0"/>
              <w:rPr>
                <w:sz w:val="24"/>
                <w:szCs w:val="24"/>
                <w:color w:val="auto"/>
              </w:rPr>
            </w:pP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Michael Connaway</w:t>
            </w:r>
          </w:p>
        </w:tc>
        <w:tc>
          <w:tcPr>
            <w:tcW w:w="0" w:type="dxa"/>
            <w:vAlign w:val="bottom"/>
          </w:tcPr>
          <w:p>
            <w:pPr>
              <w:spacing w:after="0"/>
              <w:rPr>
                <w:sz w:val="1"/>
                <w:szCs w:val="1"/>
                <w:color w:val="auto"/>
              </w:rPr>
            </w:pPr>
          </w:p>
        </w:tc>
      </w:tr>
      <w:tr>
        <w:trPr>
          <w:trHeight w:val="228"/>
        </w:trPr>
        <w:tc>
          <w:tcPr>
            <w:tcW w:w="64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Michael Connaway</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Financial</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17" w:name="page118"/>
    <w:bookmarkEnd w:id="117"/>
    <w:p>
      <w:pPr>
        <w:spacing w:after="0" w:line="7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Aviat Networks, Inc.</w:t>
      </w:r>
    </w:p>
    <w:p>
      <w:pPr>
        <w:spacing w:after="0" w:line="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Incentive-Based Compensation Recoupment Policy</w:t>
      </w:r>
    </w:p>
    <w:p>
      <w:pPr>
        <w:jc w:val="center"/>
        <w:ind w:right="80"/>
        <w:spacing w:after="0"/>
        <w:rPr>
          <w:sz w:val="20"/>
          <w:szCs w:val="20"/>
          <w:color w:val="auto"/>
        </w:rPr>
      </w:pP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Adopted by the Compensation Committee of the Board of Directors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on August 21, 2023.</w:t>
      </w:r>
    </w:p>
    <w:p>
      <w:pPr>
        <w:spacing w:after="0" w:line="243" w:lineRule="exact"/>
        <w:rPr>
          <w:sz w:val="20"/>
          <w:szCs w:val="20"/>
          <w:color w:val="auto"/>
        </w:rPr>
      </w:pPr>
    </w:p>
    <w:p>
      <w:pPr>
        <w:jc w:val="both"/>
        <w:ind w:firstLine="646"/>
        <w:spacing w:after="0" w:line="254" w:lineRule="auto"/>
        <w:tabs>
          <w:tab w:leader="none" w:pos="1201"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w:t>
      </w:r>
      <w:r>
        <w:rPr>
          <w:rFonts w:ascii="Times New Roman" w:cs="Times New Roman" w:eastAsia="Times New Roman" w:hAnsi="Times New Roman"/>
          <w:sz w:val="20"/>
          <w:szCs w:val="20"/>
          <w:color w:val="auto"/>
        </w:rPr>
        <w:t>If Aviat Networks,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required to prepare a Restatement, the Committee shall,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to be Impracticable, take reasonably prompt action to recoup all Recoverable Compensation from any Covered Person. This Policy is in addition to (and not in lieu of) any right of repayment, forfeiture or off-set against any Covered Person that may be available under applicable law or otherwise (whether implemented prior to or after adoption of this Policy). The Committee may, in its sole discretion and in the exercise of its business judgment, determine whether and to what extent additional action is appropriate to address the circumstances surrounding any Restatement to minimize the likelihood of any recurrence and to impose such other discipline as it deems appropriate.</w:t>
      </w:r>
    </w:p>
    <w:p>
      <w:pPr>
        <w:spacing w:after="0" w:line="213" w:lineRule="exact"/>
        <w:rPr>
          <w:rFonts w:ascii="Times New Roman" w:cs="Times New Roman" w:eastAsia="Times New Roman" w:hAnsi="Times New Roman"/>
          <w:sz w:val="20"/>
          <w:szCs w:val="20"/>
          <w:b w:val="1"/>
          <w:bCs w:val="1"/>
          <w:color w:val="auto"/>
        </w:rPr>
      </w:pPr>
    </w:p>
    <w:p>
      <w:pPr>
        <w:jc w:val="both"/>
        <w:ind w:firstLine="646"/>
        <w:spacing w:after="0" w:line="251" w:lineRule="auto"/>
        <w:tabs>
          <w:tab w:leader="none" w:pos="1201"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Method of Recoupment. </w:t>
      </w:r>
      <w:r>
        <w:rPr>
          <w:rFonts w:ascii="Times New Roman" w:cs="Times New Roman" w:eastAsia="Times New Roman" w:hAnsi="Times New Roman"/>
          <w:sz w:val="20"/>
          <w:szCs w:val="20"/>
          <w:color w:val="auto"/>
        </w:rPr>
        <w:t>Subject to applicable law, the Committee may seek to recoup Recoverable Compensation by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requiring a Covered Person to repay such amount to the Company; (ii) offsetting a Covered Person’s other compensation; or (iii) such other means or combination of means as the Committee, in its sole discretion, determines to be appropriate. To the extent that a Covered Person fails to repay all Recoverable Compensation to the Company as determined pursuant to this Policy, the Company shall take all actions reasonable and appropriate to recover such amount, subject to applicable law. The applicable Covered Person shall be required to reimburse the Company for any and all expenses reasonably incurred (including legal fees) by the Company in recovering such amount.</w:t>
      </w:r>
    </w:p>
    <w:p>
      <w:pPr>
        <w:spacing w:after="0" w:line="203" w:lineRule="exact"/>
        <w:rPr>
          <w:rFonts w:ascii="Times New Roman" w:cs="Times New Roman" w:eastAsia="Times New Roman" w:hAnsi="Times New Roman"/>
          <w:sz w:val="20"/>
          <w:szCs w:val="20"/>
          <w:b w:val="1"/>
          <w:bCs w:val="1"/>
          <w:color w:val="auto"/>
        </w:rPr>
      </w:pPr>
    </w:p>
    <w:p>
      <w:pPr>
        <w:jc w:val="both"/>
        <w:ind w:firstLine="646"/>
        <w:spacing w:after="0" w:line="252" w:lineRule="auto"/>
        <w:tabs>
          <w:tab w:leader="none" w:pos="1201"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Administration of Policy. </w:t>
      </w:r>
      <w:r>
        <w:rPr>
          <w:rFonts w:ascii="Times New Roman" w:cs="Times New Roman" w:eastAsia="Times New Roman" w:hAnsi="Times New Roman"/>
          <w:sz w:val="20"/>
          <w:szCs w:val="20"/>
          <w:color w:val="auto"/>
        </w:rPr>
        <w:t>The Committee shall have full authority to administer, amend or terminate this Policy.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shall, subject to the provisions of this Policy, make such determinations and interpretations and take such actions in connection with this Policy as it deems necessary, appropriate or advisable. All determinations and interpretations made by the Committee shall be final, binding and conclusive. Notwithstanding anything in this Section 3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rules of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or the rules of any national securities exchange or national securities association on which the Company’s securities are then listed.</w:t>
      </w:r>
    </w:p>
    <w:p>
      <w:pPr>
        <w:spacing w:after="0" w:line="214" w:lineRule="exact"/>
        <w:rPr>
          <w:rFonts w:ascii="Times New Roman" w:cs="Times New Roman" w:eastAsia="Times New Roman" w:hAnsi="Times New Roman"/>
          <w:sz w:val="20"/>
          <w:szCs w:val="20"/>
          <w:b w:val="1"/>
          <w:bCs w:val="1"/>
          <w:color w:val="auto"/>
        </w:rPr>
      </w:pPr>
    </w:p>
    <w:p>
      <w:pPr>
        <w:jc w:val="both"/>
        <w:ind w:firstLine="646"/>
        <w:spacing w:after="0" w:line="263" w:lineRule="auto"/>
        <w:tabs>
          <w:tab w:leader="none" w:pos="1201"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Acknowledgement by Executive Officers. </w:t>
      </w:r>
      <w:r>
        <w:rPr>
          <w:rFonts w:ascii="Times New Roman" w:cs="Times New Roman" w:eastAsia="Times New Roman" w:hAnsi="Times New Roman"/>
          <w:sz w:val="20"/>
          <w:szCs w:val="20"/>
          <w:color w:val="auto"/>
        </w:rPr>
        <w:t>The Committee shall provide notice to and seek acknowledgement of this Policy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each Executive Officer in the Company’s policy management platform; provided that the failure to provide such notice or obtain such acknowledgement shall not affect the applicability or enforceability of this Policy.</w:t>
      </w:r>
    </w:p>
    <w:p>
      <w:pPr>
        <w:spacing w:after="0" w:line="202" w:lineRule="exact"/>
        <w:rPr>
          <w:rFonts w:ascii="Times New Roman" w:cs="Times New Roman" w:eastAsia="Times New Roman" w:hAnsi="Times New Roman"/>
          <w:sz w:val="20"/>
          <w:szCs w:val="20"/>
          <w:b w:val="1"/>
          <w:bCs w:val="1"/>
          <w:color w:val="auto"/>
        </w:rPr>
      </w:pPr>
    </w:p>
    <w:p>
      <w:pPr>
        <w:ind w:firstLine="646"/>
        <w:spacing w:after="0" w:line="273" w:lineRule="auto"/>
        <w:tabs>
          <w:tab w:leader="none" w:pos="1201"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w:t>
      </w:r>
      <w:r>
        <w:rPr>
          <w:rFonts w:ascii="Times New Roman" w:cs="Times New Roman" w:eastAsia="Times New Roman" w:hAnsi="Times New Roman"/>
          <w:sz w:val="20"/>
          <w:szCs w:val="20"/>
          <w:color w:val="auto"/>
        </w:rPr>
        <w:t>Notwithstanding the terms of any of the Company’s organizational documents, any corporate policy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contract, the Company shall not indemnify any Covered Person against the loss of any Recoverable Compensation.</w:t>
      </w:r>
    </w:p>
    <w:p>
      <w:pPr>
        <w:spacing w:after="0" w:line="178" w:lineRule="exact"/>
        <w:rPr>
          <w:rFonts w:ascii="Times New Roman" w:cs="Times New Roman" w:eastAsia="Times New Roman" w:hAnsi="Times New Roman"/>
          <w:sz w:val="20"/>
          <w:szCs w:val="20"/>
          <w:b w:val="1"/>
          <w:bCs w:val="1"/>
          <w:color w:val="auto"/>
        </w:rPr>
      </w:pPr>
    </w:p>
    <w:p>
      <w:pPr>
        <w:jc w:val="both"/>
        <w:ind w:firstLine="646"/>
        <w:spacing w:after="0" w:line="263" w:lineRule="auto"/>
        <w:tabs>
          <w:tab w:leader="none" w:pos="1201"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Disclosures and Record Keeping. </w:t>
      </w:r>
      <w:r>
        <w:rPr>
          <w:rFonts w:ascii="Times New Roman" w:cs="Times New Roman" w:eastAsia="Times New Roman" w:hAnsi="Times New Roman"/>
          <w:sz w:val="20"/>
          <w:szCs w:val="20"/>
          <w:color w:val="auto"/>
        </w:rPr>
        <w:t>The Company shall make all disclosures and filings with respect to this Policy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 all documents and records that are required by the applicable rules and forms of the SEC (including, without limitation, Rule 10D-1 under the Securities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any applicable exchange listing standard.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420" w:top="1440" w:right="339" w:bottom="1440" w:gutter="0" w:footer="0" w:header="0"/>
        </w:sectPr>
      </w:pPr>
    </w:p>
    <w:bookmarkStart w:id="118" w:name="page119"/>
    <w:bookmarkEnd w:id="118"/>
    <w:p>
      <w:pPr>
        <w:ind w:left="2" w:right="20" w:firstLine="646"/>
        <w:spacing w:after="0" w:line="287" w:lineRule="auto"/>
        <w:tabs>
          <w:tab w:leader="none" w:pos="1204"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The validity, construction, and effect of this Policy and any determinations relating to this Policy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in accordance with the laws of the State of Delaware without regard to its conflicts of laws principles.</w:t>
      </w:r>
    </w:p>
    <w:p>
      <w:pPr>
        <w:spacing w:after="0" w:line="178" w:lineRule="exact"/>
        <w:rPr>
          <w:rFonts w:ascii="Times New Roman" w:cs="Times New Roman" w:eastAsia="Times New Roman" w:hAnsi="Times New Roman"/>
          <w:sz w:val="20"/>
          <w:szCs w:val="20"/>
          <w:b w:val="1"/>
          <w:bCs w:val="1"/>
          <w:color w:val="auto"/>
        </w:rPr>
      </w:pPr>
    </w:p>
    <w:p>
      <w:pPr>
        <w:ind w:left="2" w:firstLine="646"/>
        <w:spacing w:after="0" w:line="273" w:lineRule="auto"/>
        <w:tabs>
          <w:tab w:leader="none" w:pos="1204"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Policy shall be binding and enforceable against all Covered Persons and their beneficiaries, heirs,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executors, administrators or other legal representatives.</w:t>
      </w:r>
    </w:p>
    <w:p>
      <w:pPr>
        <w:spacing w:after="0" w:line="178" w:lineRule="exact"/>
        <w:rPr>
          <w:rFonts w:ascii="Times New Roman" w:cs="Times New Roman" w:eastAsia="Times New Roman" w:hAnsi="Times New Roman"/>
          <w:sz w:val="20"/>
          <w:szCs w:val="20"/>
          <w:b w:val="1"/>
          <w:bCs w:val="1"/>
          <w:color w:val="auto"/>
        </w:rPr>
      </w:pPr>
    </w:p>
    <w:p>
      <w:pPr>
        <w:ind w:left="2" w:firstLine="646"/>
        <w:spacing w:after="0" w:line="273" w:lineRule="auto"/>
        <w:tabs>
          <w:tab w:leader="none" w:pos="1204"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In addition to terms otherwise defined in this Policy, the following terms, when used in this Policy,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meanings:</w:t>
      </w:r>
    </w:p>
    <w:p>
      <w:pPr>
        <w:spacing w:after="0" w:line="179" w:lineRule="exact"/>
        <w:rPr>
          <w:sz w:val="20"/>
          <w:szCs w:val="20"/>
          <w:color w:val="auto"/>
        </w:rPr>
      </w:pPr>
    </w:p>
    <w:p>
      <w:pPr>
        <w:jc w:val="both"/>
        <w:ind w:left="2"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“Applicable Period” </w:t>
      </w:r>
      <w:r>
        <w:rPr>
          <w:rFonts w:ascii="Times New Roman" w:cs="Times New Roman" w:eastAsia="Times New Roman" w:hAnsi="Times New Roman"/>
          <w:sz w:val="20"/>
          <w:szCs w:val="20"/>
          <w:color w:val="auto"/>
        </w:rPr>
        <w:t>means the three completed fiscal years preceding the earlier of: (i) the date that the Committee, or the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officers of the Company authorized to take such action if Committee action is not required, concludes, or reasonably should have concluded, that the Company is required to prepare a Restatement; or (ii) the date a court, regulator, or other legally authorized body directs the Company to prepare a Restatement.</w:t>
      </w:r>
    </w:p>
    <w:p>
      <w:pPr>
        <w:spacing w:after="0" w:line="197"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20"/>
          <w:szCs w:val="20"/>
          <w:b w:val="1"/>
          <w:bCs w:val="1"/>
          <w:color w:val="auto"/>
        </w:rPr>
        <w:t xml:space="preserve">“Covered Person” </w:t>
      </w:r>
      <w:r>
        <w:rPr>
          <w:rFonts w:ascii="Times New Roman" w:cs="Times New Roman" w:eastAsia="Times New Roman" w:hAnsi="Times New Roman"/>
          <w:sz w:val="20"/>
          <w:szCs w:val="20"/>
          <w:color w:val="auto"/>
        </w:rPr>
        <w:t>means any person who receives Recoverable Compensation.</w:t>
      </w:r>
    </w:p>
    <w:p>
      <w:pPr>
        <w:spacing w:after="0" w:line="229"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“Executive Officer” </w:t>
      </w:r>
      <w:r>
        <w:rPr>
          <w:rFonts w:ascii="Times New Roman" w:cs="Times New Roman" w:eastAsia="Times New Roman" w:hAnsi="Times New Roman"/>
          <w:sz w:val="20"/>
          <w:szCs w:val="20"/>
          <w:color w:val="auto"/>
        </w:rPr>
        <w:t>includes the Company’s president, principal financial officer, principal accounting officer (or if there is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accounting officer, the controller), any vice-president of the Company in charge of a principal business unit, division, or function (such as sales, administration, or finance), any other officer who performs a policy-making function, or any other person (including any executive officer of the Company’s controlled affiliates) who performs similar policy-making functions for the Company, and such other senior employees who may from time to time be deemed subject to this Policy by the Committee.</w:t>
      </w:r>
    </w:p>
    <w:p>
      <w:pPr>
        <w:spacing w:after="0" w:line="214"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“Financial Reporting Measure” </w:t>
      </w:r>
      <w:r>
        <w:rPr>
          <w:rFonts w:ascii="Times New Roman" w:cs="Times New Roman" w:eastAsia="Times New Roman" w:hAnsi="Times New Roman"/>
          <w:sz w:val="20"/>
          <w:szCs w:val="20"/>
          <w:color w:val="auto"/>
        </w:rPr>
        <w:t>means a measure that is determined and presented in accordance with the accounting principles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used in preparing the Company’s financial statements (including “non- GAAP” financial measures, such as those appearing in earnings releases), and any measure that is derived wholly or in part from such measure. Stock price, market cap and total shareholder return (“</w:t>
      </w:r>
      <w:r>
        <w:rPr>
          <w:rFonts w:ascii="Times New Roman" w:cs="Times New Roman" w:eastAsia="Times New Roman" w:hAnsi="Times New Roman"/>
          <w:sz w:val="20"/>
          <w:szCs w:val="20"/>
          <w:b w:val="1"/>
          <w:bCs w:val="1"/>
          <w:color w:val="auto"/>
        </w:rPr>
        <w:t>TSR</w:t>
      </w:r>
      <w:r>
        <w:rPr>
          <w:rFonts w:ascii="Times New Roman" w:cs="Times New Roman" w:eastAsia="Times New Roman" w:hAnsi="Times New Roman"/>
          <w:sz w:val="20"/>
          <w:szCs w:val="20"/>
          <w:color w:val="auto"/>
        </w:rPr>
        <w:t>”) are Financial Reporting Measures. Examples of additional Financial Reporting Measures include measures based on: revenues, gross margin, operating income, net income financial ratios, EBITDA, liquidity measures, return measures (such as return on assets), profitability of one or more segments.</w:t>
      </w:r>
    </w:p>
    <w:p>
      <w:pPr>
        <w:spacing w:after="0" w:line="214" w:lineRule="exact"/>
        <w:rPr>
          <w:sz w:val="20"/>
          <w:szCs w:val="20"/>
          <w:color w:val="auto"/>
        </w:rPr>
      </w:pPr>
    </w:p>
    <w:p>
      <w:pPr>
        <w:jc w:val="both"/>
        <w:ind w:left="2" w:firstLine="648"/>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“Impracticable” </w:t>
      </w:r>
      <w:r>
        <w:rPr>
          <w:rFonts w:ascii="Times New Roman" w:cs="Times New Roman" w:eastAsia="Times New Roman" w:hAnsi="Times New Roman"/>
          <w:sz w:val="20"/>
          <w:szCs w:val="20"/>
          <w:color w:val="auto"/>
        </w:rPr>
        <w:t>means, after exercising a normal due process review of all the relevant facts and circumstances and taking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steps required by Exchange Act Rule 10D-1 and any applicable exchange listing standard, the Committee determines that recovery of the Incentive-Based Compensation is impracticable because: (i) it has determined that the direct expense that the Company would pay to a third party to assist in recovering the Incentive-Based Compensation would exceed the amount to be recovered;</w:t>
      </w:r>
    </w:p>
    <w:p>
      <w:pPr>
        <w:spacing w:after="0" w:line="1" w:lineRule="exact"/>
        <w:rPr>
          <w:sz w:val="20"/>
          <w:szCs w:val="20"/>
          <w:color w:val="auto"/>
        </w:rPr>
      </w:pPr>
    </w:p>
    <w:p>
      <w:pPr>
        <w:jc w:val="both"/>
        <w:ind w:left="2" w:hanging="2"/>
        <w:spacing w:after="0" w:line="251" w:lineRule="auto"/>
        <w:tabs>
          <w:tab w:leader="none" w:pos="29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concluded that the recovery of the Incentive-Based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spacing w:after="0" w:line="186" w:lineRule="exact"/>
        <w:rPr>
          <w:sz w:val="20"/>
          <w:szCs w:val="20"/>
          <w:color w:val="auto"/>
        </w:rPr>
      </w:pPr>
    </w:p>
    <w:p>
      <w:pPr>
        <w:ind w:left="2"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“Incentive-Based Compensation” </w:t>
      </w:r>
      <w:r>
        <w:rPr>
          <w:rFonts w:ascii="Times New Roman" w:cs="Times New Roman" w:eastAsia="Times New Roman" w:hAnsi="Times New Roman"/>
          <w:sz w:val="20"/>
          <w:szCs w:val="20"/>
          <w:color w:val="auto"/>
        </w:rPr>
        <w:t>includes any compensation that is granted, earned, or vested based wholly or in part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attainment of a Financial Reporting Measure; however it does not include:</w:t>
      </w:r>
    </w:p>
    <w:p>
      <w:pPr>
        <w:spacing w:after="0" w:line="1" w:lineRule="exact"/>
        <w:rPr>
          <w:sz w:val="20"/>
          <w:szCs w:val="20"/>
          <w:color w:val="auto"/>
        </w:rPr>
      </w:pPr>
    </w:p>
    <w:p>
      <w:pPr>
        <w:ind w:left="2" w:hanging="2"/>
        <w:spacing w:after="0" w:line="253" w:lineRule="auto"/>
        <w:tabs>
          <w:tab w:leader="none" w:pos="25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salaries; (ii) discretionary cash bonuses; (iii) awards (either cash or equity) that are based upon subjective, strategic or operational standards; and (iv) equity awards that vest solely on the passage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2"/>
          </w:cols>
          <w:pgMar w:left="418" w:top="1409" w:right="339" w:bottom="1440" w:gutter="0" w:footer="0" w:header="0"/>
        </w:sectPr>
      </w:pPr>
    </w:p>
    <w:bookmarkStart w:id="119" w:name="page120"/>
    <w:bookmarkEnd w:id="119"/>
    <w:p>
      <w:pPr>
        <w:spacing w:after="0" w:line="2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“Received” </w:t>
      </w:r>
      <w:r>
        <w:rPr>
          <w:rFonts w:ascii="Times New Roman" w:cs="Times New Roman" w:eastAsia="Times New Roman" w:hAnsi="Times New Roman"/>
          <w:sz w:val="20"/>
          <w:szCs w:val="20"/>
          <w:color w:val="auto"/>
        </w:rPr>
        <w:t>Incentive-Based Compensation is deemed “Received” in any Company fiscal period during which the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Reporting Measure specified in the Incentive-Based Compensation award is attained, even if the payment or grant of the Incentive-Based Compensation occurs after the end of that period.</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“Recoverable Compensation” </w:t>
      </w:r>
      <w:r>
        <w:rPr>
          <w:rFonts w:ascii="Times New Roman" w:cs="Times New Roman" w:eastAsia="Times New Roman" w:hAnsi="Times New Roman"/>
          <w:sz w:val="20"/>
          <w:szCs w:val="20"/>
          <w:color w:val="auto"/>
        </w:rPr>
        <w:t>means all Incentive-Based Compensation (calculated on a pre-tax basis) Received after October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by a person: (i) after beginning service as an Executive Officer; (ii) 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 have been Received had the amount been determined based on the Financial Reporting Measures, as reflected in the Restatement. With respect to Incentive- Based Compensation based on stock price or TSR, when the amount of erroneously awarded compensation is not subject to mathematical recalculation directly from the information in a Restatement, the amount must be based on a reasonable estimate of the effect of the Restatement on the stock price or TSR upon which the Incentive-Based Compensation was received.</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“Restatement” </w:t>
      </w:r>
      <w:r>
        <w:rPr>
          <w:rFonts w:ascii="Times New Roman" w:cs="Times New Roman" w:eastAsia="Times New Roman" w:hAnsi="Times New Roman"/>
          <w:sz w:val="20"/>
          <w:szCs w:val="20"/>
          <w:color w:val="auto"/>
        </w:rPr>
        <w:t>means an accounting restatement of any of the Company’s financial statements due to the Company’s 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noncompliance with any financial reporting requirement under U.S. securities laws, including any required accounting restatement to correct an error in previously issued financial statements that is material to the previously issued financial statements (often referred to as a “Big R” restatement), or that would result in a material misstatement if the error were corrected in the current period or left uncorrected in the current period (often referred to as a “little r” restatement). As of the effective date of this Policy (but subject to changes that may occur in accounting principles and rules following the effective date), a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 amounts in connection with a prior business combination; and (vi) revision for stock splits, stock dividends, reverse stock splits or other changes in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1040"/>
      </w:cols>
      <w:pgMar w:left="4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4"/>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
    <w:nsid w:val="3804823E"/>
    <w:multiLevelType w:val="hybridMultilevel"/>
    <w:lvl w:ilvl="0">
      <w:lvlJc w:val="left"/>
      <w:lvlText w:val="(%1)"/>
      <w:numFmt w:val="decimal"/>
      <w:start w:val="3"/>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lowerRoman"/>
      <w:start w:val="3"/>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2"/>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2"/>
    </w:lvl>
  </w:abstractNum>
  <w:abstractNum w:abstractNumId="34">
    <w:nsid w:val="2A487CB0"/>
    <w:multiLevelType w:val="hybridMultilevel"/>
    <w:lvl w:ilvl="0">
      <w:lvlJc w:val="left"/>
      <w:lvlText w:val="%1."/>
      <w:numFmt w:val="decimal"/>
      <w:start w:val="3"/>
    </w:lvl>
  </w:abstractNum>
  <w:abstractNum w:abstractNumId="35">
    <w:nsid w:val="1D4ED43B"/>
    <w:multiLevelType w:val="hybridMultilevel"/>
    <w:lvl w:ilvl="0">
      <w:lvlJc w:val="left"/>
      <w:lvlText w:val="%1."/>
      <w:numFmt w:val="decimal"/>
      <w:start w:val="4"/>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2"/>
    </w:lvl>
  </w:abstractNum>
  <w:abstractNum w:abstractNumId="38">
    <w:nsid w:val="57E4CCAF"/>
    <w:multiLevelType w:val="hybridMultilevel"/>
    <w:lvl w:ilvl="0">
      <w:lvlJc w:val="left"/>
      <w:lvlText w:val="%1."/>
      <w:numFmt w:val="decimal"/>
      <w:start w:val="3"/>
    </w:lvl>
  </w:abstractNum>
  <w:abstractNum w:abstractNumId="39">
    <w:nsid w:val="7A6D8D3C"/>
    <w:multiLevelType w:val="hybridMultilevel"/>
    <w:lvl w:ilvl="0">
      <w:lvlJc w:val="left"/>
      <w:lvlText w:val="%1."/>
      <w:numFmt w:val="decimal"/>
      <w:start w:val="4"/>
    </w:lvl>
  </w:abstractNum>
  <w:abstractNum w:abstractNumId="40">
    <w:nsid w:val="4B588F54"/>
    <w:multiLevelType w:val="hybridMultilevel"/>
    <w:lvl w:ilvl="0">
      <w:lvlJc w:val="left"/>
      <w:lvlText w:val="%1."/>
      <w:numFmt w:val="decimal"/>
      <w:start w:val="1"/>
    </w:lvl>
    <w:lvl w:ilvl="1">
      <w:lvlJc w:val="left"/>
      <w:lvlText w:val="•"/>
      <w:numFmt w:val="bullet"/>
      <w:start w:val="1"/>
    </w:lvl>
  </w:abstractNum>
  <w:abstractNum w:abstractNumId="41">
    <w:nsid w:val="542289EC"/>
    <w:multiLevelType w:val="hybridMultilevel"/>
    <w:lvl w:ilvl="0">
      <w:lvlJc w:val="left"/>
      <w:lvlText w:val="%1."/>
      <w:numFmt w:val="decimal"/>
      <w:start w:val="1"/>
    </w:lvl>
    <w:lvl w:ilvl="1">
      <w:lvlJc w:val="left"/>
      <w:lvlText w:val="•"/>
      <w:numFmt w:val="bullet"/>
      <w:start w:val="1"/>
    </w:lvl>
  </w:abstractNum>
  <w:abstractNum w:abstractNumId="42">
    <w:nsid w:val="6DE91B18"/>
    <w:multiLevelType w:val="hybridMultilevel"/>
    <w:lvl w:ilvl="0">
      <w:lvlJc w:val="left"/>
      <w:lvlText w:val="%1."/>
      <w:numFmt w:val="decimal"/>
      <w:start w:val="3"/>
    </w:lvl>
  </w:abstractNum>
  <w:abstractNum w:abstractNumId="43">
    <w:nsid w:val="38437FDB"/>
    <w:multiLevelType w:val="hybridMultilevel"/>
    <w:lvl w:ilvl="0">
      <w:lvlJc w:val="left"/>
      <w:lvlText w:val="%1."/>
      <w:numFmt w:val="decimal"/>
      <w:start w:val="4"/>
    </w:lvl>
  </w:abstractNum>
  <w:abstractNum w:abstractNumId="44">
    <w:nsid w:val="7644A45C"/>
    <w:multiLevelType w:val="hybridMultilevel"/>
    <w:lvl w:ilvl="0">
      <w:lvlJc w:val="left"/>
      <w:lvlText w:val="%1."/>
      <w:numFmt w:val="decimal"/>
      <w:start w:val="1"/>
    </w:lvl>
    <w:lvl w:ilvl="1">
      <w:lvlJc w:val="left"/>
      <w:lvlText w:val="%2."/>
      <w:numFmt w:val="lowerLetter"/>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7"/>
    </w:lvl>
  </w:abstractNum>
  <w:abstractNum w:abstractNumId="49">
    <w:nsid w:val="3DC240FB"/>
    <w:multiLevelType w:val="hybridMultilevel"/>
    <w:lvl w:ilvl="0">
      <w:lvlJc w:val="left"/>
      <w:lvlText w:val="(%1)"/>
      <w:numFmt w:val="lowerRoman"/>
      <w:start w:val="2"/>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52" Type="http://schemas.openxmlformats.org/officeDocument/2006/relationships/image" Target="media/image128.png"/><Relationship Id="rId171" Type="http://schemas.openxmlformats.org/officeDocument/2006/relationships/image" Target="media/image129.png"/><Relationship Id="rId174" Type="http://schemas.openxmlformats.org/officeDocument/2006/relationships/image" Target="media/image130.png"/><Relationship Id="rId135" Type="http://schemas.openxmlformats.org/officeDocument/2006/relationships/hyperlink" Target="https://www.sec.gov/Archives/edgar/data/1377789/000119312523139464/d496945dex21.htm" TargetMode="External"/><Relationship Id="rId136" Type="http://schemas.openxmlformats.org/officeDocument/2006/relationships/hyperlink" Target="https://www.sec.gov/Archives/edgar/data/1377789/000119312523286509/d37057dex22.htm" TargetMode="External"/><Relationship Id="rId137" Type="http://schemas.openxmlformats.org/officeDocument/2006/relationships/hyperlink" Target="https://www.sec.gov/Archives/edgar/data/1377789/000137778923000047/amendedrestatedcertificate.htm" TargetMode="External"/><Relationship Id="rId138" Type="http://schemas.openxmlformats.org/officeDocument/2006/relationships/hyperlink" Target="https://www.sec.gov/Archives/edgar/data/1377789/000137778923000020/amendedandrestatedbylaws08.htm" TargetMode="External"/><Relationship Id="rId139" Type="http://schemas.openxmlformats.org/officeDocument/2006/relationships/hyperlink" Target="https://www.sec.gov/Archives/edgar/data/1377789/000119312516702547/d254391dex32.htm" TargetMode="External"/><Relationship Id="rId140" Type="http://schemas.openxmlformats.org/officeDocument/2006/relationships/hyperlink" Target="https://www.sec.gov/Archives/edgar/data/1377789/000095012310084926/f56743exv4w1w1.htm" TargetMode="External"/><Relationship Id="rId141" Type="http://schemas.openxmlformats.org/officeDocument/2006/relationships/hyperlink" Target="https://www.sec.gov/Archives/edgar/data/1377789/000137778920000065/a41aviat-amendedandres.htm" TargetMode="External"/><Relationship Id="rId142" Type="http://schemas.openxmlformats.org/officeDocument/2006/relationships/hyperlink" Target="https://www.sec.gov/Archives/edgar/data/1377789/000137778923000007/aviatnetworksamendmentno1t.htm" TargetMode="External"/><Relationship Id="rId143" Type="http://schemas.openxmlformats.org/officeDocument/2006/relationships/hyperlink" Target="https://www.sec.gov/Archives/edgar/data/1377789/000137778923000023/descriptionofsecurities.htm" TargetMode="External"/><Relationship Id="rId144" Type="http://schemas.openxmlformats.org/officeDocument/2006/relationships/hyperlink" Target="https://www.sec.gov/Archives/edgar/data/1377789/000119312523286509/d37057dex101.htm" TargetMode="External"/><Relationship Id="rId145" Type="http://schemas.openxmlformats.org/officeDocument/2006/relationships/hyperlink" Target="https://www.sec.gov/Archives/edgar/data/1377789/000119312523286509/d37057dex102.htm" TargetMode="External"/><Relationship Id="rId146" Type="http://schemas.openxmlformats.org/officeDocument/2006/relationships/hyperlink" Target="https://www.sec.gov/Archives/edgar/data/1377789/000119312523286509/d37057dex103.htm" TargetMode="External"/><Relationship Id="rId147" Type="http://schemas.openxmlformats.org/officeDocument/2006/relationships/hyperlink" Target="https://www.sec.gov/Archives/edgar/data/1377789/000119312523286509/d37057dex104.htm" TargetMode="External"/><Relationship Id="rId148" Type="http://schemas.openxmlformats.org/officeDocument/2006/relationships/hyperlink" Target="https://www.sec.gov/Archives/edgar/data/1377789/000119312523286509/d37057dex105.htm" TargetMode="External"/><Relationship Id="rId149" Type="http://schemas.openxmlformats.org/officeDocument/2006/relationships/hyperlink" Target="https://www.sec.gov/Archives/edgar/data/1377789/000119312523286509/d37057dex106.htm" TargetMode="External"/><Relationship Id="rId150" Type="http://schemas.openxmlformats.org/officeDocument/2006/relationships/hyperlink" Target="https://www.sec.gov/Archives/edgar/data/1377789/000119312523286509/d37057dex107.htm" TargetMode="External"/><Relationship Id="rId151" Type="http://schemas.openxmlformats.org/officeDocument/2006/relationships/hyperlink" Target="https://www.sec.gov/Archives/edgar/data/1377789/000119312523286509/d37057dex108.htm" TargetMode="External"/><Relationship Id="rId153" Type="http://schemas.openxmlformats.org/officeDocument/2006/relationships/hyperlink" Target="https://www.sec.gov/Archives/edgar/data/1377789/000119312523286509/d37057dex109.htm" TargetMode="External"/><Relationship Id="rId154" Type="http://schemas.openxmlformats.org/officeDocument/2006/relationships/hyperlink" Target="https://www.sec.gov/Archives/edgar/data/1377789/000119312523286509/d37057dex1010.htm" TargetMode="External"/><Relationship Id="rId155" Type="http://schemas.openxmlformats.org/officeDocument/2006/relationships/hyperlink" Target="https://www.sec.gov/Archives/edgar/data/1377789/000119312523286509/d37057dex1011.htm" TargetMode="External"/><Relationship Id="rId156" Type="http://schemas.openxmlformats.org/officeDocument/2006/relationships/hyperlink" Target="https://www.sec.gov/Archives/edgar/data/1377789/000119312523286509/d37057dex1012.htm" TargetMode="External"/><Relationship Id="rId157" Type="http://schemas.openxmlformats.org/officeDocument/2006/relationships/hyperlink" Target="https://www.sec.gov/Archives/edgar/data/1377789/000119312523138929/d312982dex101.htm" TargetMode="External"/><Relationship Id="rId158" Type="http://schemas.openxmlformats.org/officeDocument/2006/relationships/hyperlink" Target="https://www.sec.gov/Archives/edgar/data/1377789/000137778923000050/firstamendmenttocreditagre.htm" TargetMode="External"/><Relationship Id="rId159" Type="http://schemas.openxmlformats.org/officeDocument/2006/relationships/hyperlink" Target="https://www.sec.gov/Archives/edgar/data/1377789/000137778924000052/secondamendmenttocreditagr.htm" TargetMode="External"/><Relationship Id="rId160" Type="http://schemas.openxmlformats.org/officeDocument/2006/relationships/hyperlink" Target="https://www.sec.gov/Archives/edgar/data/1377789/000137778925000040/thirdamendmentincremental-.htm" TargetMode="External"/><Relationship Id="rId161" Type="http://schemas.openxmlformats.org/officeDocument/2006/relationships/hyperlink" Target="https://www.sec.gov/Archives/edgar/data/1377789/000095014407000753/g05194exv10w4.htm" TargetMode="External"/><Relationship Id="rId162" Type="http://schemas.openxmlformats.org/officeDocument/2006/relationships/hyperlink" Target="https://www.sec.gov/Archives/edgar/data/1377789/000095014407000753/g05194exv10w11.htm" TargetMode="External"/><Relationship Id="rId163" Type="http://schemas.openxmlformats.org/officeDocument/2006/relationships/hyperlink" Target="https://www.sec.gov/Archives/edgar/data/1377789/000137778915000002/ex101letteragreement01-12x.htm" TargetMode="External"/><Relationship Id="rId164" Type="http://schemas.openxmlformats.org/officeDocument/2006/relationships/hyperlink" Target="https://www.sec.gov/Archives/edgar/data/1377789/000137778916000172/ex1034mccarthycenterleasej.htm" TargetMode="External"/><Relationship Id="rId165" Type="http://schemas.openxmlformats.org/officeDocument/2006/relationships/hyperlink" Target="https://www.sec.gov/Archives/edgar/data/1377789/000092189520000006/ex101to8k11093001_01022020.htm" TargetMode="External"/><Relationship Id="rId166" Type="http://schemas.openxmlformats.org/officeDocument/2006/relationships/hyperlink" Target="https://www.sec.gov/Archives/edgar/data/0001377789/000137778921000033/amendment1toceocomp.htm" TargetMode="External"/><Relationship Id="rId167" Type="http://schemas.openxmlformats.org/officeDocument/2006/relationships/hyperlink" Target="https://www.sec.gov/Archives/edgar/data/0001377789/000137778921000041/amendment2tosmithempagreem.htm" TargetMode="External"/><Relationship Id="rId168" Type="http://schemas.openxmlformats.org/officeDocument/2006/relationships/hyperlink" Target="https://www.sec.gov/Archives/edgar/data/1377789/000137778924000043/employmentagreementpsmith.htm" TargetMode="External"/><Relationship Id="rId169" Type="http://schemas.openxmlformats.org/officeDocument/2006/relationships/hyperlink" Target="https://www.sec.gov/Archives/edgar/data/1377789/000137778921000072/avnwannualproxyfy21.htm#ieb44a5809ed24411a39a207ffc00a4b7_1804" TargetMode="External"/><Relationship Id="rId170" Type="http://schemas.openxmlformats.org/officeDocument/2006/relationships/hyperlink" Target="https://www.sec.gov/Archives/edgar/data/1377789/000137778924000043/employmentagreementeboase.htm" TargetMode="External"/><Relationship Id="rId172" Type="http://schemas.openxmlformats.org/officeDocument/2006/relationships/hyperlink" Target="https://www.sec.gov/Archives/edgar/data/1377789/000137778924000043/employmentagreementgcroke.htm" TargetMode="External"/><Relationship Id="rId173" Type="http://schemas.openxmlformats.org/officeDocument/2006/relationships/hyperlink" Target="https://www.sec.gov/Archives/edgar/data/1377789/000137778924000043/employmentagreementmconnaw.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2025-09-10T15:44:49Z</dcterms:created>
  <dcterms:modified xsi:type="dcterms:W3CDTF">2025-09-10T15:44:49Z</dcterms:modified>
</cp:coreProperties>
</file>