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140"/>
        <w:spacing w:after="0"/>
        <w:rPr>
          <w:sz w:val="20"/>
          <w:szCs w:val="20"/>
          <w:color w:val="auto"/>
        </w:rPr>
      </w:pPr>
      <w:r>
        <w:rPr>
          <w:rFonts w:ascii="Arial" w:cs="Arial" w:eastAsia="Arial" w:hAnsi="Arial"/>
          <w:sz w:val="18"/>
          <w:szCs w:val="18"/>
          <w:color w:val="auto"/>
        </w:rPr>
        <w:t>July 5, 2019</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E-MAIL AND EDGAR</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3030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20549-4561</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Attn: </w:t>
      </w:r>
      <w:r>
        <w:rPr>
          <w:rFonts w:ascii="Arial" w:cs="Arial" w:eastAsia="Arial" w:hAnsi="Arial"/>
          <w:sz w:val="18"/>
          <w:szCs w:val="18"/>
          <w:color w:val="auto"/>
        </w:rPr>
        <w:t>Kathryn Jacobson</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Robert Littlepage</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Aviat Networks, Inc.</w:t>
      </w:r>
    </w:p>
    <w:p>
      <w:pPr>
        <w:spacing w:after="0" w:line="31"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10-K for the Year Ended June 30, 2018</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August 28, 2018</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Form 10-Q for the Quarter Ended March 29, 2019</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May 13, 2019</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001-33278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Aviat Networks, Inc. (”Aviat”, “Company”, “we”, or “us”) has received the comment letter dated June 25, 2019 from the staff of the Division of Corporation Finance (“Staff”), and below is our response to the Staff’s comment. For ease of reference, we have recited the Staff’s comment in italicized, bold type and have followed the comment with the Company’s response.</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10-Q for the Quarter Ended March 29, 2019</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3. Revenue Recognition, page 13</w:t>
      </w:r>
    </w:p>
    <w:p>
      <w:pPr>
        <w:spacing w:after="0" w:line="225" w:lineRule="exact"/>
        <w:rPr>
          <w:sz w:val="24"/>
          <w:szCs w:val="24"/>
          <w:color w:val="auto"/>
        </w:rPr>
      </w:pPr>
    </w:p>
    <w:p>
      <w:pPr>
        <w:jc w:val="both"/>
        <w:ind w:left="660" w:hanging="328"/>
        <w:spacing w:after="0" w:line="262" w:lineRule="auto"/>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under bill-and-hold arrangements, customers can direct the use of the bill-and-hold inventory for which you retain physical possession and thus, "transfer of control has been met." Please explain to us how you applied the guidance in ASC 606-10-25-30 in concluding that a customer has obtained control in a bill-and-hold arrangement. Additionally, in your assessment of transfer of control, tell us how each of the criteria under ASC 606-10-55-83 has been met.</w:t>
      </w:r>
    </w:p>
    <w:p>
      <w:pPr>
        <w:spacing w:after="0" w:line="212" w:lineRule="exact"/>
        <w:rPr>
          <w:sz w:val="24"/>
          <w:szCs w:val="24"/>
          <w:color w:val="auto"/>
        </w:rPr>
      </w:pPr>
    </w:p>
    <w:p>
      <w:pPr>
        <w:jc w:val="both"/>
        <w:spacing w:after="0" w:line="293" w:lineRule="auto"/>
        <w:rPr>
          <w:sz w:val="20"/>
          <w:szCs w:val="20"/>
          <w:color w:val="auto"/>
        </w:rPr>
      </w:pPr>
      <w:r>
        <w:rPr>
          <w:rFonts w:ascii="Arial" w:cs="Arial" w:eastAsia="Arial" w:hAnsi="Arial"/>
          <w:sz w:val="18"/>
          <w:szCs w:val="18"/>
          <w:color w:val="auto"/>
        </w:rPr>
        <w:t>Below is a brief background in relation to the Company’s customer arrangements subject to bill-and-hold, followed by our response to the accounting guidance referenced in the Staff’s comment.</w:t>
      </w:r>
    </w:p>
    <w:p>
      <w:pPr>
        <w:spacing w:after="0" w:line="10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Background</w:t>
      </w:r>
    </w:p>
    <w:p>
      <w:pPr>
        <w:spacing w:after="0" w:line="158" w:lineRule="exact"/>
        <w:rPr>
          <w:sz w:val="24"/>
          <w:szCs w:val="24"/>
          <w:color w:val="auto"/>
        </w:rPr>
      </w:pPr>
    </w:p>
    <w:p>
      <w:pPr>
        <w:jc w:val="both"/>
        <w:ind w:right="20"/>
        <w:spacing w:after="0" w:line="293" w:lineRule="auto"/>
        <w:rPr>
          <w:sz w:val="20"/>
          <w:szCs w:val="20"/>
          <w:color w:val="auto"/>
        </w:rPr>
      </w:pPr>
      <w:r>
        <w:rPr>
          <w:rFonts w:ascii="Arial" w:cs="Arial" w:eastAsia="Arial" w:hAnsi="Arial"/>
          <w:sz w:val="18"/>
          <w:szCs w:val="18"/>
          <w:color w:val="auto"/>
        </w:rPr>
        <w:t>We respectfully advise the Staff, Aviat has two customers for which it recognizes revenue on a bill-and-hold basis under ASC 606: one in Asia (“Customer G”) and one in Africa (“Customer M”).</w:t>
      </w:r>
    </w:p>
    <w:p>
      <w:pPr>
        <w:spacing w:after="0" w:line="102" w:lineRule="exact"/>
        <w:rPr>
          <w:sz w:val="24"/>
          <w:szCs w:val="24"/>
          <w:color w:val="auto"/>
        </w:rPr>
      </w:pPr>
    </w:p>
    <w:p>
      <w:pPr>
        <w:jc w:val="both"/>
        <w:spacing w:after="0" w:line="284" w:lineRule="auto"/>
        <w:rPr>
          <w:sz w:val="20"/>
          <w:szCs w:val="20"/>
          <w:color w:val="auto"/>
        </w:rPr>
      </w:pPr>
      <w:r>
        <w:rPr>
          <w:rFonts w:ascii="Arial" w:cs="Arial" w:eastAsia="Arial" w:hAnsi="Arial"/>
          <w:sz w:val="18"/>
          <w:szCs w:val="18"/>
          <w:color w:val="auto"/>
        </w:rPr>
        <w:t>Customer G is a major provider of telecommunication services in the Philippines. To manage its supply chain related to telecommunications equipment, Customer G has established terms such that equipment it purchases from Aviat is warehoused in a facility managed by Aviat in Manila, Philippines for the convenience of Customer G. The master agreement signed by Customer G outlines certain key terms and the individual POs that are issued by Customer G to Aviat, references the master agreement. Once a Purchase Order (“PO”) is fulfilled by Aviat, the shipment of the equipment is into an Aviat-controlled warehouse in Manila,</w:t>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9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Philippines where it is then directed to sites to be installed throughout the Philippines, at the discretion of Customer G.</w:t>
      </w:r>
    </w:p>
    <w:p>
      <w:pPr>
        <w:spacing w:after="0" w:line="158"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color w:val="auto"/>
        </w:rPr>
        <w:t>Customer M is a major provider of telecommunication services in South Africa. To manage its supply chain related to telecommunications equipment, Customer M has established terms such that equipment it purchases from Aviat is warehoused in a facility managed by Aviat in Johannesburg, South Africa for the convenience of Customer M. The master agreement signed by Customer M outlines certain key terms and the individual POs that are issued by Customer M to Aviat, references the master agreement. Once a PO is fulfilled by Aviat, the shipment of the equipment is into an Aviat-controlled warehouse in Johannesburg, South Africa where it is then directed to sites to be installed throughout South Africa, at the discretion of Customer M.</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Staff’s Comment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addressed the applicable guidance in accordance with ASC 606-10-25-30 and ASC 606-10-55-83 as follows:</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60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606-10-25-30</w:t>
            </w:r>
          </w:p>
        </w:tc>
        <w:tc>
          <w:tcPr>
            <w:tcW w:w="3420" w:type="dxa"/>
            <w:vAlign w:val="bottom"/>
            <w:tcBorders>
              <w:top w:val="single" w:sz="8" w:color="00000A"/>
              <w:bottom w:val="single" w:sz="8" w:color="00000A"/>
              <w:right w:val="single" w:sz="8" w:color="00000A"/>
            </w:tcBorders>
          </w:tcPr>
          <w:p>
            <w:pPr>
              <w:ind w:left="1180"/>
              <w:spacing w:after="0"/>
              <w:rPr>
                <w:sz w:val="20"/>
                <w:szCs w:val="20"/>
                <w:color w:val="auto"/>
              </w:rPr>
            </w:pPr>
            <w:r>
              <w:rPr>
                <w:rFonts w:ascii="Arial" w:cs="Arial" w:eastAsia="Arial" w:hAnsi="Arial"/>
                <w:sz w:val="18"/>
                <w:szCs w:val="18"/>
                <w:b w:val="1"/>
                <w:bCs w:val="1"/>
                <w:color w:val="auto"/>
              </w:rPr>
              <w:t>Customer G</w:t>
            </w:r>
          </w:p>
        </w:tc>
        <w:tc>
          <w:tcPr>
            <w:tcW w:w="3420" w:type="dxa"/>
            <w:vAlign w:val="bottom"/>
            <w:tcBorders>
              <w:top w:val="single" w:sz="8" w:color="00000A"/>
              <w:bottom w:val="single" w:sz="8" w:color="00000A"/>
              <w:right w:val="single" w:sz="8" w:color="00000A"/>
            </w:tcBorders>
          </w:tcPr>
          <w:p>
            <w:pPr>
              <w:ind w:left="1180"/>
              <w:spacing w:after="0"/>
              <w:rPr>
                <w:sz w:val="20"/>
                <w:szCs w:val="20"/>
                <w:color w:val="auto"/>
              </w:rPr>
            </w:pPr>
            <w:r>
              <w:rPr>
                <w:rFonts w:ascii="Arial" w:cs="Arial" w:eastAsia="Arial" w:hAnsi="Arial"/>
                <w:sz w:val="18"/>
                <w:szCs w:val="18"/>
                <w:b w:val="1"/>
                <w:bCs w:val="1"/>
                <w:color w:val="auto"/>
              </w:rPr>
              <w:t>Customer M</w:t>
            </w:r>
          </w:p>
        </w:tc>
      </w:tr>
      <w:tr>
        <w:trPr>
          <w:trHeight w:val="229"/>
        </w:trPr>
        <w:tc>
          <w:tcPr>
            <w:tcW w:w="4600" w:type="dxa"/>
            <w:vAlign w:val="bottom"/>
            <w:tcBorders>
              <w:left w:val="single" w:sz="8" w:color="00000A"/>
              <w:right w:val="single" w:sz="8" w:color="00000A"/>
            </w:tcBorders>
          </w:tcPr>
          <w:p>
            <w:pPr>
              <w:ind w:left="40"/>
              <w:spacing w:after="0" w:line="229" w:lineRule="exact"/>
              <w:rPr>
                <w:sz w:val="20"/>
                <w:szCs w:val="20"/>
                <w:color w:val="auto"/>
              </w:rPr>
            </w:pPr>
            <w:r>
              <w:rPr>
                <w:rFonts w:ascii="Arial" w:cs="Arial" w:eastAsia="Arial" w:hAnsi="Arial"/>
                <w:sz w:val="20"/>
                <w:szCs w:val="20"/>
                <w:color w:val="auto"/>
              </w:rPr>
              <w:t xml:space="preserve">(a)  </w:t>
            </w:r>
            <w:r>
              <w:rPr>
                <w:rFonts w:ascii="Arial" w:cs="Arial" w:eastAsia="Arial" w:hAnsi="Arial"/>
                <w:sz w:val="18"/>
                <w:szCs w:val="18"/>
                <w:color w:val="auto"/>
              </w:rPr>
              <w:t>The entity has a present right to payment for the</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Aviat has the contractual right to payment</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Aviat has the contractual right to payment</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asset – If a customer presently is obligated to pay</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for 50% of the equipment value upon</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for 100% of the equipment value upon</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for an asset, then that may indicate that the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delivery to the bill-and-hold warehouse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delivery to South Africa (DDP “incoterm</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customer has obtained the ability to direct the use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(DAP “delivered at place” Vendor’s</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upon delivery” Johannesburg). Therefore,</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of, and obtain substantially all of the remaining</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warehouse in Manila). Aviat has the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Aviat has the contractual right to payment</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benefits from, the asset in exchange.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contractual right to payment for the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prior to the inventory arriving at the bill-</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remaining 50% after the equipment has</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and-hold warehouse.</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been installed and acceptance received</w:t>
            </w:r>
          </w:p>
        </w:tc>
        <w:tc>
          <w:tcPr>
            <w:tcW w:w="3420" w:type="dxa"/>
            <w:vAlign w:val="bottom"/>
            <w:tcBorders>
              <w:right w:val="single" w:sz="8" w:color="00000A"/>
            </w:tcBorders>
          </w:tcPr>
          <w:p>
            <w:pPr>
              <w:spacing w:after="0"/>
              <w:rPr>
                <w:sz w:val="17"/>
                <w:szCs w:val="17"/>
                <w:color w:val="auto"/>
              </w:rPr>
            </w:pPr>
          </w:p>
        </w:tc>
      </w:tr>
      <w:tr>
        <w:trPr>
          <w:trHeight w:val="217"/>
        </w:trPr>
        <w:tc>
          <w:tcPr>
            <w:tcW w:w="4600" w:type="dxa"/>
            <w:vAlign w:val="bottom"/>
            <w:tcBorders>
              <w:left w:val="single" w:sz="8" w:color="00000A"/>
              <w:right w:val="single" w:sz="8" w:color="00000A"/>
            </w:tcBorders>
          </w:tcPr>
          <w:p>
            <w:pPr>
              <w:spacing w:after="0"/>
              <w:rPr>
                <w:sz w:val="18"/>
                <w:szCs w:val="18"/>
                <w:color w:val="auto"/>
              </w:rPr>
            </w:pP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at one of Customer G’s sites.</w:t>
            </w:r>
          </w:p>
        </w:tc>
        <w:tc>
          <w:tcPr>
            <w:tcW w:w="3420" w:type="dxa"/>
            <w:vAlign w:val="bottom"/>
            <w:tcBorders>
              <w:right w:val="single" w:sz="8" w:color="00000A"/>
            </w:tcBorders>
          </w:tcPr>
          <w:p>
            <w:pPr>
              <w:spacing w:after="0"/>
              <w:rPr>
                <w:sz w:val="18"/>
                <w:szCs w:val="18"/>
                <w:color w:val="auto"/>
              </w:rPr>
            </w:pPr>
          </w:p>
        </w:tc>
      </w:tr>
      <w:tr>
        <w:trPr>
          <w:trHeight w:val="391"/>
        </w:trPr>
        <w:tc>
          <w:tcPr>
            <w:tcW w:w="4600" w:type="dxa"/>
            <w:vAlign w:val="bottom"/>
            <w:tcBorders>
              <w:left w:val="single" w:sz="8" w:color="00000A"/>
              <w:right w:val="single" w:sz="8" w:color="00000A"/>
            </w:tcBorders>
          </w:tcPr>
          <w:p>
            <w:pPr>
              <w:spacing w:after="0"/>
              <w:rPr>
                <w:sz w:val="24"/>
                <w:szCs w:val="24"/>
                <w:color w:val="auto"/>
              </w:rPr>
            </w:pP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Per Paragraph BC148 of ASU 2014-09,</w:t>
            </w:r>
          </w:p>
        </w:tc>
        <w:tc>
          <w:tcPr>
            <w:tcW w:w="3420" w:type="dxa"/>
            <w:vAlign w:val="bottom"/>
            <w:tcBorders>
              <w:right w:val="single" w:sz="8" w:color="00000A"/>
            </w:tcBorders>
          </w:tcPr>
          <w:p>
            <w:pPr>
              <w:spacing w:after="0"/>
              <w:rPr>
                <w:sz w:val="24"/>
                <w:szCs w:val="24"/>
                <w:color w:val="auto"/>
              </w:rPr>
            </w:pP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the Board rejected specifying a right to</w:t>
            </w:r>
          </w:p>
        </w:tc>
        <w:tc>
          <w:tcPr>
            <w:tcW w:w="3420" w:type="dxa"/>
            <w:vAlign w:val="bottom"/>
            <w:tcBorders>
              <w:right w:val="single" w:sz="8" w:color="00000A"/>
            </w:tcBorders>
          </w:tcPr>
          <w:p>
            <w:pPr>
              <w:spacing w:after="0"/>
              <w:rPr>
                <w:sz w:val="17"/>
                <w:szCs w:val="17"/>
                <w:color w:val="auto"/>
              </w:rPr>
            </w:pP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payment as the overarching criteria in</w:t>
            </w:r>
          </w:p>
        </w:tc>
        <w:tc>
          <w:tcPr>
            <w:tcW w:w="3420" w:type="dxa"/>
            <w:vAlign w:val="bottom"/>
            <w:tcBorders>
              <w:right w:val="single" w:sz="8" w:color="00000A"/>
            </w:tcBorders>
          </w:tcPr>
          <w:p>
            <w:pPr>
              <w:spacing w:after="0"/>
              <w:rPr>
                <w:sz w:val="17"/>
                <w:szCs w:val="17"/>
                <w:color w:val="auto"/>
              </w:rPr>
            </w:pP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determining if revenue can be</w:t>
            </w:r>
          </w:p>
        </w:tc>
        <w:tc>
          <w:tcPr>
            <w:tcW w:w="3420" w:type="dxa"/>
            <w:vAlign w:val="bottom"/>
            <w:tcBorders>
              <w:right w:val="single" w:sz="8" w:color="00000A"/>
            </w:tcBorders>
          </w:tcPr>
          <w:p>
            <w:pPr>
              <w:spacing w:after="0"/>
              <w:rPr>
                <w:sz w:val="17"/>
                <w:szCs w:val="17"/>
                <w:color w:val="auto"/>
              </w:rPr>
            </w:pP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recognized. It was noted the core</w:t>
            </w:r>
          </w:p>
        </w:tc>
        <w:tc>
          <w:tcPr>
            <w:tcW w:w="3420" w:type="dxa"/>
            <w:vAlign w:val="bottom"/>
            <w:tcBorders>
              <w:right w:val="single" w:sz="8" w:color="00000A"/>
            </w:tcBorders>
          </w:tcPr>
          <w:p>
            <w:pPr>
              <w:spacing w:after="0"/>
              <w:rPr>
                <w:sz w:val="17"/>
                <w:szCs w:val="17"/>
                <w:color w:val="auto"/>
              </w:rPr>
            </w:pP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revenue recognition principle is</w:t>
            </w:r>
          </w:p>
        </w:tc>
        <w:tc>
          <w:tcPr>
            <w:tcW w:w="3420" w:type="dxa"/>
            <w:vAlign w:val="bottom"/>
            <w:tcBorders>
              <w:right w:val="single" w:sz="8" w:color="00000A"/>
            </w:tcBorders>
          </w:tcPr>
          <w:p>
            <w:pPr>
              <w:spacing w:after="0"/>
              <w:rPr>
                <w:sz w:val="17"/>
                <w:szCs w:val="17"/>
                <w:color w:val="auto"/>
              </w:rPr>
            </w:pP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determining if control has been</w:t>
            </w:r>
          </w:p>
        </w:tc>
        <w:tc>
          <w:tcPr>
            <w:tcW w:w="3420" w:type="dxa"/>
            <w:vAlign w:val="bottom"/>
            <w:tcBorders>
              <w:right w:val="single" w:sz="8" w:color="00000A"/>
            </w:tcBorders>
          </w:tcPr>
          <w:p>
            <w:pPr>
              <w:spacing w:after="0"/>
              <w:rPr>
                <w:sz w:val="17"/>
                <w:szCs w:val="17"/>
                <w:color w:val="auto"/>
              </w:rPr>
            </w:pP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transferred to the customer. Further, the</w:t>
            </w:r>
          </w:p>
        </w:tc>
        <w:tc>
          <w:tcPr>
            <w:tcW w:w="3420" w:type="dxa"/>
            <w:vAlign w:val="bottom"/>
            <w:tcBorders>
              <w:right w:val="single" w:sz="8" w:color="00000A"/>
            </w:tcBorders>
          </w:tcPr>
          <w:p>
            <w:pPr>
              <w:spacing w:after="0"/>
              <w:rPr>
                <w:sz w:val="17"/>
                <w:szCs w:val="17"/>
                <w:color w:val="auto"/>
              </w:rPr>
            </w:pP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acceptance is considered a formality</w:t>
            </w:r>
          </w:p>
        </w:tc>
        <w:tc>
          <w:tcPr>
            <w:tcW w:w="3420" w:type="dxa"/>
            <w:vAlign w:val="bottom"/>
            <w:tcBorders>
              <w:right w:val="single" w:sz="8" w:color="00000A"/>
            </w:tcBorders>
          </w:tcPr>
          <w:p>
            <w:pPr>
              <w:spacing w:after="0"/>
              <w:rPr>
                <w:sz w:val="17"/>
                <w:szCs w:val="17"/>
                <w:color w:val="auto"/>
              </w:rPr>
            </w:pPr>
          </w:p>
        </w:tc>
      </w:tr>
      <w:tr>
        <w:trPr>
          <w:trHeight w:val="224"/>
        </w:trPr>
        <w:tc>
          <w:tcPr>
            <w:tcW w:w="4600" w:type="dxa"/>
            <w:vAlign w:val="bottom"/>
            <w:tcBorders>
              <w:left w:val="single" w:sz="8" w:color="00000A"/>
              <w:bottom w:val="single" w:sz="8" w:color="00000A"/>
              <w:right w:val="single" w:sz="8" w:color="00000A"/>
            </w:tcBorders>
          </w:tcPr>
          <w:p>
            <w:pPr>
              <w:spacing w:after="0"/>
              <w:rPr>
                <w:sz w:val="19"/>
                <w:szCs w:val="19"/>
                <w:color w:val="auto"/>
              </w:rPr>
            </w:pPr>
          </w:p>
        </w:tc>
        <w:tc>
          <w:tcPr>
            <w:tcW w:w="34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(perfunctory) (see discussion below).</w:t>
            </w:r>
          </w:p>
        </w:tc>
        <w:tc>
          <w:tcPr>
            <w:tcW w:w="3420" w:type="dxa"/>
            <w:vAlign w:val="bottom"/>
            <w:tcBorders>
              <w:bottom w:val="single" w:sz="8" w:color="00000A"/>
              <w:right w:val="single" w:sz="8" w:color="00000A"/>
            </w:tcBorders>
          </w:tcPr>
          <w:p>
            <w:pPr>
              <w:spacing w:after="0"/>
              <w:rPr>
                <w:sz w:val="19"/>
                <w:szCs w:val="19"/>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395" w:right="2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42"/>
        </w:trPr>
        <w:tc>
          <w:tcPr>
            <w:tcW w:w="46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18"/>
                <w:szCs w:val="18"/>
                <w:color w:val="auto"/>
              </w:rPr>
              <w:t>The customer has legal title to the asset – Legal</w:t>
            </w:r>
          </w:p>
        </w:tc>
        <w:tc>
          <w:tcPr>
            <w:tcW w:w="34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Legal title to the equipment passes to</w:t>
            </w:r>
          </w:p>
        </w:tc>
        <w:tc>
          <w:tcPr>
            <w:tcW w:w="34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Legal title to the equipment passes to</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title may indicate which party to a contract has the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Customer G when it arrives at the bill-</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Customer M when Customer M takes</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ability to direct the use of, and obtain substantially</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and-hold warehouse (DAP, Aviat’s</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delivery of the equipment in accordance</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all of the remaining benefits from, an asset or to</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warehouse in Manila).</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with Incoterm 2010 (DDP Johannesburg,</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restrict the access of other entities to those benefits.</w:t>
            </w:r>
          </w:p>
        </w:tc>
        <w:tc>
          <w:tcPr>
            <w:tcW w:w="3420" w:type="dxa"/>
            <w:vAlign w:val="bottom"/>
            <w:tcBorders>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South Africa). Therefore, legal title to the</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Therefore, the transfer of legal title of an asset may</w:t>
            </w:r>
          </w:p>
        </w:tc>
        <w:tc>
          <w:tcPr>
            <w:tcW w:w="3420" w:type="dxa"/>
            <w:vAlign w:val="bottom"/>
            <w:tcBorders>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equipment passes to Customer M upon</w:t>
            </w:r>
          </w:p>
        </w:tc>
      </w:tr>
      <w:tr>
        <w:trPr>
          <w:trHeight w:val="230"/>
        </w:trPr>
        <w:tc>
          <w:tcPr>
            <w:tcW w:w="4600" w:type="dxa"/>
            <w:vAlign w:val="bottom"/>
            <w:tcBorders>
              <w:left w:val="single" w:sz="8" w:color="00000A"/>
              <w:right w:val="single" w:sz="8" w:color="00000A"/>
            </w:tcBorders>
          </w:tcPr>
          <w:p>
            <w:pPr>
              <w:ind w:left="380"/>
              <w:spacing w:after="0"/>
              <w:rPr>
                <w:sz w:val="20"/>
                <w:szCs w:val="20"/>
                <w:color w:val="auto"/>
              </w:rPr>
            </w:pPr>
            <w:r>
              <w:rPr>
                <w:rFonts w:ascii="Arial" w:cs="Arial" w:eastAsia="Arial" w:hAnsi="Arial"/>
                <w:sz w:val="18"/>
                <w:szCs w:val="18"/>
                <w:color w:val="auto"/>
              </w:rPr>
              <w:t>indicate that the customer has obtained control of</w:t>
            </w:r>
          </w:p>
        </w:tc>
        <w:tc>
          <w:tcPr>
            <w:tcW w:w="3420" w:type="dxa"/>
            <w:vAlign w:val="bottom"/>
            <w:tcBorders>
              <w:right w:val="single" w:sz="8" w:color="00000A"/>
            </w:tcBorders>
          </w:tcPr>
          <w:p>
            <w:pPr>
              <w:spacing w:after="0"/>
              <w:rPr>
                <w:sz w:val="19"/>
                <w:szCs w:val="19"/>
                <w:color w:val="auto"/>
              </w:rPr>
            </w:pP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arriving at the bill-and-hold warehouse.</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the asset. If an entity retains legal title solely as</w:t>
            </w:r>
          </w:p>
        </w:tc>
        <w:tc>
          <w:tcPr>
            <w:tcW w:w="3420" w:type="dxa"/>
            <w:vAlign w:val="bottom"/>
            <w:tcBorders>
              <w:right w:val="single" w:sz="8" w:color="00000A"/>
            </w:tcBorders>
          </w:tcPr>
          <w:p>
            <w:pPr>
              <w:spacing w:after="0"/>
              <w:rPr>
                <w:sz w:val="17"/>
                <w:szCs w:val="17"/>
                <w:color w:val="auto"/>
              </w:rPr>
            </w:pPr>
          </w:p>
        </w:tc>
        <w:tc>
          <w:tcPr>
            <w:tcW w:w="3420" w:type="dxa"/>
            <w:vAlign w:val="bottom"/>
            <w:tcBorders>
              <w:right w:val="single" w:sz="8" w:color="00000A"/>
            </w:tcBorders>
          </w:tcPr>
          <w:p>
            <w:pPr>
              <w:spacing w:after="0"/>
              <w:rPr>
                <w:sz w:val="17"/>
                <w:szCs w:val="17"/>
                <w:color w:val="auto"/>
              </w:rPr>
            </w:pP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protection against the customer’s failure to pay,</w:t>
            </w:r>
          </w:p>
        </w:tc>
        <w:tc>
          <w:tcPr>
            <w:tcW w:w="3420" w:type="dxa"/>
            <w:vAlign w:val="bottom"/>
            <w:tcBorders>
              <w:right w:val="single" w:sz="8" w:color="00000A"/>
            </w:tcBorders>
          </w:tcPr>
          <w:p>
            <w:pPr>
              <w:spacing w:after="0"/>
              <w:rPr>
                <w:sz w:val="17"/>
                <w:szCs w:val="17"/>
                <w:color w:val="auto"/>
              </w:rPr>
            </w:pPr>
          </w:p>
        </w:tc>
        <w:tc>
          <w:tcPr>
            <w:tcW w:w="3420" w:type="dxa"/>
            <w:vAlign w:val="bottom"/>
            <w:tcBorders>
              <w:right w:val="single" w:sz="8" w:color="00000A"/>
            </w:tcBorders>
          </w:tcPr>
          <w:p>
            <w:pPr>
              <w:spacing w:after="0"/>
              <w:rPr>
                <w:sz w:val="17"/>
                <w:szCs w:val="17"/>
                <w:color w:val="auto"/>
              </w:rPr>
            </w:pP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those rights of the entity would not preclude the</w:t>
            </w:r>
          </w:p>
        </w:tc>
        <w:tc>
          <w:tcPr>
            <w:tcW w:w="3420" w:type="dxa"/>
            <w:vAlign w:val="bottom"/>
            <w:tcBorders>
              <w:right w:val="single" w:sz="8" w:color="00000A"/>
            </w:tcBorders>
          </w:tcPr>
          <w:p>
            <w:pPr>
              <w:spacing w:after="0"/>
              <w:rPr>
                <w:sz w:val="17"/>
                <w:szCs w:val="17"/>
                <w:color w:val="auto"/>
              </w:rPr>
            </w:pPr>
          </w:p>
        </w:tc>
        <w:tc>
          <w:tcPr>
            <w:tcW w:w="3420" w:type="dxa"/>
            <w:vAlign w:val="bottom"/>
            <w:tcBorders>
              <w:right w:val="single" w:sz="8" w:color="00000A"/>
            </w:tcBorders>
          </w:tcPr>
          <w:p>
            <w:pPr>
              <w:spacing w:after="0"/>
              <w:rPr>
                <w:sz w:val="17"/>
                <w:szCs w:val="17"/>
                <w:color w:val="auto"/>
              </w:rPr>
            </w:pPr>
          </w:p>
        </w:tc>
      </w:tr>
      <w:tr>
        <w:trPr>
          <w:trHeight w:val="224"/>
        </w:trPr>
        <w:tc>
          <w:tcPr>
            <w:tcW w:w="4600" w:type="dxa"/>
            <w:vAlign w:val="bottom"/>
            <w:tcBorders>
              <w:left w:val="single" w:sz="8" w:color="00000A"/>
              <w:bottom w:val="single" w:sz="8" w:color="00000A"/>
              <w:right w:val="single" w:sz="8" w:color="00000A"/>
            </w:tcBorders>
          </w:tcPr>
          <w:p>
            <w:pPr>
              <w:ind w:left="380"/>
              <w:spacing w:after="0"/>
              <w:rPr>
                <w:sz w:val="20"/>
                <w:szCs w:val="20"/>
                <w:color w:val="auto"/>
              </w:rPr>
            </w:pPr>
            <w:r>
              <w:rPr>
                <w:rFonts w:ascii="Arial" w:cs="Arial" w:eastAsia="Arial" w:hAnsi="Arial"/>
                <w:sz w:val="18"/>
                <w:szCs w:val="18"/>
                <w:color w:val="auto"/>
              </w:rPr>
              <w:t>customer from obtaining control of an asset.</w:t>
            </w:r>
          </w:p>
        </w:tc>
        <w:tc>
          <w:tcPr>
            <w:tcW w:w="3420" w:type="dxa"/>
            <w:vAlign w:val="bottom"/>
            <w:tcBorders>
              <w:bottom w:val="single" w:sz="8" w:color="00000A"/>
              <w:right w:val="single" w:sz="8" w:color="00000A"/>
            </w:tcBorders>
          </w:tcPr>
          <w:p>
            <w:pPr>
              <w:spacing w:after="0"/>
              <w:rPr>
                <w:sz w:val="19"/>
                <w:szCs w:val="19"/>
                <w:color w:val="auto"/>
              </w:rPr>
            </w:pPr>
          </w:p>
        </w:tc>
        <w:tc>
          <w:tcPr>
            <w:tcW w:w="3420" w:type="dxa"/>
            <w:vAlign w:val="bottom"/>
            <w:tcBorders>
              <w:bottom w:val="single" w:sz="8" w:color="00000A"/>
              <w:right w:val="single" w:sz="8" w:color="00000A"/>
            </w:tcBorders>
          </w:tcPr>
          <w:p>
            <w:pPr>
              <w:spacing w:after="0"/>
              <w:rPr>
                <w:sz w:val="19"/>
                <w:szCs w:val="19"/>
                <w:color w:val="auto"/>
              </w:rPr>
            </w:pPr>
          </w:p>
        </w:tc>
      </w:tr>
      <w:tr>
        <w:trPr>
          <w:trHeight w:val="229"/>
        </w:trPr>
        <w:tc>
          <w:tcPr>
            <w:tcW w:w="4600" w:type="dxa"/>
            <w:vAlign w:val="bottom"/>
            <w:tcBorders>
              <w:left w:val="single" w:sz="8" w:color="00000A"/>
              <w:right w:val="single" w:sz="8" w:color="00000A"/>
            </w:tcBorders>
          </w:tcPr>
          <w:p>
            <w:pPr>
              <w:ind w:left="40"/>
              <w:spacing w:after="0" w:line="229" w:lineRule="exact"/>
              <w:rPr>
                <w:sz w:val="20"/>
                <w:szCs w:val="20"/>
                <w:color w:val="auto"/>
              </w:rPr>
            </w:pPr>
            <w:r>
              <w:rPr>
                <w:rFonts w:ascii="Arial" w:cs="Arial" w:eastAsia="Arial" w:hAnsi="Arial"/>
                <w:sz w:val="20"/>
                <w:szCs w:val="20"/>
                <w:color w:val="auto"/>
              </w:rPr>
              <w:t xml:space="preserve">(c)  </w:t>
            </w:r>
            <w:r>
              <w:rPr>
                <w:rFonts w:ascii="Arial" w:cs="Arial" w:eastAsia="Arial" w:hAnsi="Arial"/>
                <w:sz w:val="18"/>
                <w:szCs w:val="18"/>
                <w:color w:val="auto"/>
              </w:rPr>
              <w:t>The entity has transferred physical possession of</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Aviat and Customer G entered into a</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Aviat and Customer M entered into a</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the asset - The customer’s physical possession of</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separate warehousing services</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separate warehousing services</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an asset may indicate that the customer has the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agreement which is a separate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agreement which is a separate</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ability to direct the use of, and obtain substantially</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performance obligation to store Customer</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performance obligation to store Customer</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all of the remaining benefits from, the asset or to</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G’s equipment in the bill-and-hold</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M’s equipment in the bill-and-hold</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restrict the access of other entities to those benefits.</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warehouse. While the equipment is in the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warehouse. While the equipment is in the</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For example, in some repurchase agreements and</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bill-and-hold warehouse, the control to</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bill-and-hold warehouse, the control to</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in some consignment arrangements, a customer or</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direct where the equipment is being</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direct where the equipment is being</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consignee may have physical possession of an</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deployed to a site resides with Customer</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deployed to a site resides with Customer</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asset that the entity controls. Conversely, in some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G. Please see further discussion under</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M. Please see further discussion under</w:t>
            </w:r>
          </w:p>
        </w:tc>
      </w:tr>
      <w:tr>
        <w:trPr>
          <w:trHeight w:val="230"/>
        </w:trPr>
        <w:tc>
          <w:tcPr>
            <w:tcW w:w="4600" w:type="dxa"/>
            <w:vAlign w:val="bottom"/>
            <w:tcBorders>
              <w:left w:val="single" w:sz="8" w:color="00000A"/>
              <w:right w:val="single" w:sz="8" w:color="00000A"/>
            </w:tcBorders>
          </w:tcPr>
          <w:p>
            <w:pPr>
              <w:ind w:left="380"/>
              <w:spacing w:after="0"/>
              <w:rPr>
                <w:sz w:val="20"/>
                <w:szCs w:val="20"/>
                <w:color w:val="auto"/>
              </w:rPr>
            </w:pPr>
            <w:r>
              <w:rPr>
                <w:rFonts w:ascii="Arial" w:cs="Arial" w:eastAsia="Arial" w:hAnsi="Arial"/>
                <w:sz w:val="18"/>
                <w:szCs w:val="18"/>
                <w:color w:val="auto"/>
              </w:rPr>
              <w:t>bill-and-hold arrangements, the entity may have</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ASC 606-10-55-83 (c) below.</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ASC 606-10-55-83 (c) below.</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physical possession of an asset that the customer</w:t>
            </w:r>
          </w:p>
        </w:tc>
        <w:tc>
          <w:tcPr>
            <w:tcW w:w="3420" w:type="dxa"/>
            <w:vAlign w:val="bottom"/>
            <w:tcBorders>
              <w:right w:val="single" w:sz="8" w:color="00000A"/>
            </w:tcBorders>
          </w:tcPr>
          <w:p>
            <w:pPr>
              <w:spacing w:after="0"/>
              <w:rPr>
                <w:sz w:val="17"/>
                <w:szCs w:val="17"/>
                <w:color w:val="auto"/>
              </w:rPr>
            </w:pPr>
          </w:p>
        </w:tc>
        <w:tc>
          <w:tcPr>
            <w:tcW w:w="3420" w:type="dxa"/>
            <w:vAlign w:val="bottom"/>
            <w:tcBorders>
              <w:right w:val="single" w:sz="8" w:color="00000A"/>
            </w:tcBorders>
          </w:tcPr>
          <w:p>
            <w:pPr>
              <w:spacing w:after="0"/>
              <w:rPr>
                <w:sz w:val="17"/>
                <w:szCs w:val="17"/>
                <w:color w:val="auto"/>
              </w:rPr>
            </w:pP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controls. Paragraphs 606-10-55-66 through 55-78,</w:t>
            </w:r>
          </w:p>
        </w:tc>
        <w:tc>
          <w:tcPr>
            <w:tcW w:w="3420" w:type="dxa"/>
            <w:vAlign w:val="bottom"/>
            <w:tcBorders>
              <w:right w:val="single" w:sz="8" w:color="00000A"/>
            </w:tcBorders>
          </w:tcPr>
          <w:p>
            <w:pPr>
              <w:spacing w:after="0"/>
              <w:rPr>
                <w:sz w:val="17"/>
                <w:szCs w:val="17"/>
                <w:color w:val="auto"/>
              </w:rPr>
            </w:pPr>
          </w:p>
        </w:tc>
        <w:tc>
          <w:tcPr>
            <w:tcW w:w="3420" w:type="dxa"/>
            <w:vAlign w:val="bottom"/>
            <w:tcBorders>
              <w:right w:val="single" w:sz="8" w:color="00000A"/>
            </w:tcBorders>
          </w:tcPr>
          <w:p>
            <w:pPr>
              <w:spacing w:after="0"/>
              <w:rPr>
                <w:sz w:val="17"/>
                <w:szCs w:val="17"/>
                <w:color w:val="auto"/>
              </w:rPr>
            </w:pP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606-10-55-79 through 55-80, 606-10-55-79 through</w:t>
            </w:r>
          </w:p>
        </w:tc>
        <w:tc>
          <w:tcPr>
            <w:tcW w:w="3420" w:type="dxa"/>
            <w:vAlign w:val="bottom"/>
            <w:tcBorders>
              <w:right w:val="single" w:sz="8" w:color="00000A"/>
            </w:tcBorders>
          </w:tcPr>
          <w:p>
            <w:pPr>
              <w:spacing w:after="0"/>
              <w:rPr>
                <w:sz w:val="17"/>
                <w:szCs w:val="17"/>
                <w:color w:val="auto"/>
              </w:rPr>
            </w:pPr>
          </w:p>
        </w:tc>
        <w:tc>
          <w:tcPr>
            <w:tcW w:w="3420" w:type="dxa"/>
            <w:vAlign w:val="bottom"/>
            <w:tcBorders>
              <w:right w:val="single" w:sz="8" w:color="00000A"/>
            </w:tcBorders>
          </w:tcPr>
          <w:p>
            <w:pPr>
              <w:spacing w:after="0"/>
              <w:rPr>
                <w:sz w:val="17"/>
                <w:szCs w:val="17"/>
                <w:color w:val="auto"/>
              </w:rPr>
            </w:pP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55-80, and 606-10-55-81 through 55-84 provide</w:t>
            </w:r>
          </w:p>
        </w:tc>
        <w:tc>
          <w:tcPr>
            <w:tcW w:w="3420" w:type="dxa"/>
            <w:vAlign w:val="bottom"/>
            <w:tcBorders>
              <w:right w:val="single" w:sz="8" w:color="00000A"/>
            </w:tcBorders>
          </w:tcPr>
          <w:p>
            <w:pPr>
              <w:spacing w:after="0"/>
              <w:rPr>
                <w:sz w:val="17"/>
                <w:szCs w:val="17"/>
                <w:color w:val="auto"/>
              </w:rPr>
            </w:pPr>
          </w:p>
        </w:tc>
        <w:tc>
          <w:tcPr>
            <w:tcW w:w="3420" w:type="dxa"/>
            <w:vAlign w:val="bottom"/>
            <w:tcBorders>
              <w:right w:val="single" w:sz="8" w:color="00000A"/>
            </w:tcBorders>
          </w:tcPr>
          <w:p>
            <w:pPr>
              <w:spacing w:after="0"/>
              <w:rPr>
                <w:sz w:val="17"/>
                <w:szCs w:val="17"/>
                <w:color w:val="auto"/>
              </w:rPr>
            </w:pP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guidance on accounting for repurchase agreements,</w:t>
            </w:r>
          </w:p>
        </w:tc>
        <w:tc>
          <w:tcPr>
            <w:tcW w:w="3420" w:type="dxa"/>
            <w:vAlign w:val="bottom"/>
            <w:tcBorders>
              <w:right w:val="single" w:sz="8" w:color="00000A"/>
            </w:tcBorders>
          </w:tcPr>
          <w:p>
            <w:pPr>
              <w:spacing w:after="0"/>
              <w:rPr>
                <w:sz w:val="17"/>
                <w:szCs w:val="17"/>
                <w:color w:val="auto"/>
              </w:rPr>
            </w:pPr>
          </w:p>
        </w:tc>
        <w:tc>
          <w:tcPr>
            <w:tcW w:w="3420" w:type="dxa"/>
            <w:vAlign w:val="bottom"/>
            <w:tcBorders>
              <w:right w:val="single" w:sz="8" w:color="00000A"/>
            </w:tcBorders>
          </w:tcPr>
          <w:p>
            <w:pPr>
              <w:spacing w:after="0"/>
              <w:rPr>
                <w:sz w:val="17"/>
                <w:szCs w:val="17"/>
                <w:color w:val="auto"/>
              </w:rPr>
            </w:pP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consignment arrangements, and bill-and-hold</w:t>
            </w:r>
          </w:p>
        </w:tc>
        <w:tc>
          <w:tcPr>
            <w:tcW w:w="3420" w:type="dxa"/>
            <w:vAlign w:val="bottom"/>
            <w:tcBorders>
              <w:right w:val="single" w:sz="8" w:color="00000A"/>
            </w:tcBorders>
          </w:tcPr>
          <w:p>
            <w:pPr>
              <w:spacing w:after="0"/>
              <w:rPr>
                <w:sz w:val="17"/>
                <w:szCs w:val="17"/>
                <w:color w:val="auto"/>
              </w:rPr>
            </w:pPr>
          </w:p>
        </w:tc>
        <w:tc>
          <w:tcPr>
            <w:tcW w:w="3420" w:type="dxa"/>
            <w:vAlign w:val="bottom"/>
            <w:tcBorders>
              <w:right w:val="single" w:sz="8" w:color="00000A"/>
            </w:tcBorders>
          </w:tcPr>
          <w:p>
            <w:pPr>
              <w:spacing w:after="0"/>
              <w:rPr>
                <w:sz w:val="17"/>
                <w:szCs w:val="17"/>
                <w:color w:val="auto"/>
              </w:rPr>
            </w:pPr>
          </w:p>
        </w:tc>
      </w:tr>
      <w:tr>
        <w:trPr>
          <w:trHeight w:val="224"/>
        </w:trPr>
        <w:tc>
          <w:tcPr>
            <w:tcW w:w="4600" w:type="dxa"/>
            <w:vAlign w:val="bottom"/>
            <w:tcBorders>
              <w:left w:val="single" w:sz="8" w:color="00000A"/>
              <w:bottom w:val="single" w:sz="8" w:color="00000A"/>
              <w:right w:val="single" w:sz="8" w:color="00000A"/>
            </w:tcBorders>
          </w:tcPr>
          <w:p>
            <w:pPr>
              <w:ind w:left="380"/>
              <w:spacing w:after="0"/>
              <w:rPr>
                <w:sz w:val="20"/>
                <w:szCs w:val="20"/>
                <w:color w:val="auto"/>
              </w:rPr>
            </w:pPr>
            <w:r>
              <w:rPr>
                <w:rFonts w:ascii="Arial" w:cs="Arial" w:eastAsia="Arial" w:hAnsi="Arial"/>
                <w:sz w:val="18"/>
                <w:szCs w:val="18"/>
                <w:color w:val="auto"/>
              </w:rPr>
              <w:t>arrangements, respectively.</w:t>
            </w:r>
          </w:p>
        </w:tc>
        <w:tc>
          <w:tcPr>
            <w:tcW w:w="3420" w:type="dxa"/>
            <w:vAlign w:val="bottom"/>
            <w:tcBorders>
              <w:bottom w:val="single" w:sz="8" w:color="00000A"/>
              <w:right w:val="single" w:sz="8" w:color="00000A"/>
            </w:tcBorders>
          </w:tcPr>
          <w:p>
            <w:pPr>
              <w:spacing w:after="0"/>
              <w:rPr>
                <w:sz w:val="19"/>
                <w:szCs w:val="19"/>
                <w:color w:val="auto"/>
              </w:rPr>
            </w:pPr>
          </w:p>
        </w:tc>
        <w:tc>
          <w:tcPr>
            <w:tcW w:w="3420" w:type="dxa"/>
            <w:vAlign w:val="bottom"/>
            <w:tcBorders>
              <w:bottom w:val="single" w:sz="8" w:color="00000A"/>
              <w:right w:val="single" w:sz="8" w:color="00000A"/>
            </w:tcBorders>
          </w:tcPr>
          <w:p>
            <w:pPr>
              <w:spacing w:after="0"/>
              <w:rPr>
                <w:sz w:val="19"/>
                <w:szCs w:val="19"/>
                <w:color w:val="auto"/>
              </w:rPr>
            </w:pPr>
          </w:p>
        </w:tc>
      </w:tr>
      <w:tr>
        <w:trPr>
          <w:trHeight w:val="459"/>
        </w:trPr>
        <w:tc>
          <w:tcPr>
            <w:tcW w:w="4600" w:type="dxa"/>
            <w:vAlign w:val="bottom"/>
          </w:tcPr>
          <w:p>
            <w:pPr>
              <w:spacing w:after="0"/>
              <w:rPr>
                <w:sz w:val="24"/>
                <w:szCs w:val="24"/>
                <w:color w:val="auto"/>
              </w:rPr>
            </w:pPr>
          </w:p>
        </w:tc>
        <w:tc>
          <w:tcPr>
            <w:tcW w:w="3420" w:type="dxa"/>
            <w:vAlign w:val="bottom"/>
          </w:tcPr>
          <w:p>
            <w:pPr>
              <w:ind w:left="1060"/>
              <w:spacing w:after="0"/>
              <w:rPr>
                <w:sz w:val="20"/>
                <w:szCs w:val="20"/>
                <w:color w:val="auto"/>
              </w:rPr>
            </w:pPr>
            <w:r>
              <w:rPr>
                <w:rFonts w:ascii="Arial" w:cs="Arial" w:eastAsia="Arial" w:hAnsi="Arial"/>
                <w:sz w:val="18"/>
                <w:szCs w:val="18"/>
                <w:color w:val="auto"/>
              </w:rPr>
              <w:t>3</w:t>
            </w:r>
          </w:p>
        </w:tc>
        <w:tc>
          <w:tcPr>
            <w:tcW w:w="342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3" w:name="page4"/>
    <w:bookmarkEnd w:id="3"/>
    <w:p>
      <w:pPr>
        <w:spacing w:after="0" w:line="14" w:lineRule="exact"/>
        <w:rPr>
          <w:sz w:val="20"/>
          <w:szCs w:val="20"/>
          <w:color w:val="auto"/>
        </w:rPr>
      </w:pPr>
    </w:p>
    <w:p>
      <w:pPr>
        <w:ind w:left="331" w:hanging="331"/>
        <w:spacing w:after="0" w:line="235" w:lineRule="auto"/>
        <w:tabs>
          <w:tab w:leader="none" w:pos="418" w:val="left"/>
        </w:tabs>
        <w:numPr>
          <w:ilvl w:val="0"/>
          <w:numId w:val="2"/>
        </w:numPr>
        <w:rPr>
          <w:rFonts w:ascii="Arial" w:cs="Arial" w:eastAsia="Arial" w:hAnsi="Arial"/>
          <w:sz w:val="20"/>
          <w:szCs w:val="20"/>
          <w:color w:val="auto"/>
        </w:rPr>
      </w:pPr>
      <w:r>
        <w:rPr>
          <w:rFonts w:ascii="Arial" w:cs="Arial" w:eastAsia="Arial" w:hAnsi="Arial"/>
          <w:sz w:val="18"/>
          <w:szCs w:val="18"/>
          <w:color w:val="auto"/>
        </w:rPr>
        <w:t>The customer has the significant risks and rewards of ownership of the asset – The transfer of the significant risks and rewards of ownership of an asset to the customer may indicate that the customer has obtained the ability to direct the use of, and obtain substantially all of the remaining benefits from, the asset. However, when evaluating the risks and rewards of ownership of a promised asset, an entity shall exclude any risks that give rise to a separate performance obligation in addition to the performance obligation to transfer the asset. For example, an entity may have transferred control of an asset to a customer but not yet satisfied an additional performance obligation to provide maintenance services related to the transferred asset.</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8"/>
          <w:szCs w:val="18"/>
          <w:color w:val="auto"/>
        </w:rPr>
        <w:t>Legal title of the equipment passes to Customer G at Manila Warehouse (DAP Manila); therefore, the customer has the risks and rewards of ownership as in accordance with ASC 606-10-25-25 it can: a) use the equipment to settle liabilities, b) sell or exchange the equipment with a third party or c) pledge the equipment to secure a loan. Aviat’s creditors would have no claim to this inventory at the point Customer G obtained title to the equipment. Warehousing service is a separate performance obligation which Aviat bills the customer separately and is excluded from the analysis as per the guidance prescribed. Customer G has discretion over the sites to which the equipment is delivered and installed and therefore has the ability to direct the use of the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-2727325</wp:posOffset>
            </wp:positionV>
            <wp:extent cx="7254875" cy="3009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3009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8"/>
          <w:szCs w:val="18"/>
          <w:color w:val="auto"/>
        </w:rPr>
        <w:t>Legal title of the equipment passes to Customer M upon arriving at the bill-and-hold warehouse (DDP Johannesburg, South Africa); therefore, the customer has the risks and rewards of ownership as in accordance with ASC 606-10-25-25 it can: a) use the equipment to settle liabilities, b) sell or exchange the equipment with a third party or c) pledge the equipment to secure a loan. Aviat’s creditors would have no claim to this inventory at the point Customer M obtained title to the equipment. Warehousing service is a separate performance obligation which Aviat bills the customer separately and is excluded from the analysis as per the guidance prescribed. Customer M has discretion over the sites to which the equipment is delivered and installed and therefore has the ability to direct the use of the equipment.</w:t>
      </w:r>
    </w:p>
    <w:p>
      <w:pPr>
        <w:spacing w:after="0" w:line="200" w:lineRule="exact"/>
        <w:rPr>
          <w:sz w:val="20"/>
          <w:szCs w:val="20"/>
          <w:color w:val="auto"/>
        </w:rPr>
      </w:pPr>
    </w:p>
    <w:p>
      <w:pPr>
        <w:sectPr>
          <w:pgSz w:w="11900" w:h="16838" w:orient="portrait"/>
          <w:cols w:equalWidth="0" w:num="3">
            <w:col w:w="4471" w:space="100"/>
            <w:col w:w="3260" w:space="160"/>
            <w:col w:w="3340"/>
          </w:cols>
          <w:pgMar w:left="289" w:top="557" w:right="279" w:bottom="1440" w:gutter="0" w:footer="0" w:header="0"/>
        </w:sectPr>
      </w:pPr>
    </w:p>
    <w:p>
      <w:pPr>
        <w:spacing w:after="0" w:line="271"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31"/>
          </w:cols>
          <w:pgMar w:left="289" w:top="557" w:right="27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42"/>
        </w:trPr>
        <w:tc>
          <w:tcPr>
            <w:tcW w:w="46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 xml:space="preserve">(e)  </w:t>
            </w:r>
            <w:r>
              <w:rPr>
                <w:rFonts w:ascii="Arial" w:cs="Arial" w:eastAsia="Arial" w:hAnsi="Arial"/>
                <w:sz w:val="18"/>
                <w:szCs w:val="18"/>
                <w:color w:val="auto"/>
              </w:rPr>
              <w:t>The customer has accepted the asset – The</w:t>
            </w:r>
          </w:p>
        </w:tc>
        <w:tc>
          <w:tcPr>
            <w:tcW w:w="34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Acceptance of the equipment is related to</w:t>
            </w:r>
          </w:p>
        </w:tc>
        <w:tc>
          <w:tcPr>
            <w:tcW w:w="34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Acceptance of the equipment is related to</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customer’s acceptance of an asset may indicate it</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Aviat’s specified performance criteria.</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Aviat’s specified performance criteria.</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has obtained the ability to direct the use of, and</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Acceptance tests are conducted to</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Acceptance tests are conducted to</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obtain substantially all of the remaining benefits</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ensure there are no interoperability</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ensure there are no interoperability</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from, the asset. To evaluate the effect of a</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issues with the equipment (e.g., correct</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issues with the equipment (e.g., correct</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contractual customer acceptance clause on when</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frequency to ensure operability within</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frequency to ensure operability within</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control of an asset is transferred, an entity shall</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Customer G’s network). This has</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Customer M’s network). This has</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consider the guidance in paragraphs 606-10-55-85</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historically been demonstrated prior to</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historically been demonstrated prior to</w:t>
            </w:r>
          </w:p>
        </w:tc>
      </w:tr>
      <w:tr>
        <w:trPr>
          <w:trHeight w:val="244"/>
        </w:trPr>
        <w:tc>
          <w:tcPr>
            <w:tcW w:w="4600" w:type="dxa"/>
            <w:vAlign w:val="bottom"/>
            <w:tcBorders>
              <w:left w:val="single" w:sz="8" w:color="00000A"/>
              <w:right w:val="single" w:sz="8" w:color="00000A"/>
            </w:tcBorders>
          </w:tcPr>
          <w:p>
            <w:pPr>
              <w:ind w:left="380"/>
              <w:spacing w:after="0"/>
              <w:rPr>
                <w:sz w:val="20"/>
                <w:szCs w:val="20"/>
                <w:color w:val="auto"/>
              </w:rPr>
            </w:pPr>
            <w:r>
              <w:rPr>
                <w:rFonts w:ascii="Arial" w:cs="Arial" w:eastAsia="Arial" w:hAnsi="Arial"/>
                <w:sz w:val="18"/>
                <w:szCs w:val="18"/>
                <w:color w:val="auto"/>
              </w:rPr>
              <w:t>through 55-88.</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shipment to the bill-and-hold warehouse.</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shipment to the bill-and-hold warehouse.</w:t>
            </w:r>
          </w:p>
        </w:tc>
      </w:tr>
      <w:tr>
        <w:trPr>
          <w:trHeight w:val="364"/>
        </w:trPr>
        <w:tc>
          <w:tcPr>
            <w:tcW w:w="4600" w:type="dxa"/>
            <w:vAlign w:val="bottom"/>
            <w:tcBorders>
              <w:left w:val="single" w:sz="8" w:color="00000A"/>
              <w:right w:val="single" w:sz="8" w:color="00000A"/>
            </w:tcBorders>
          </w:tcPr>
          <w:p>
            <w:pPr>
              <w:spacing w:after="0"/>
              <w:rPr>
                <w:sz w:val="24"/>
                <w:szCs w:val="24"/>
                <w:color w:val="auto"/>
              </w:rPr>
            </w:pP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Acceptance is therefore determined to be</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Acceptance is therefore determined to be</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 formality in accordance with ASC 606-</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 formality in accordance with ASC 606-</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10-55-86 as the equipment is built</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10-55-86 as the equipment is built</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specifically to the proof of concept agreed</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specifically to the proof of concept agreed</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to by Customer G. We have not</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to by Customer M. We have not</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experienced any significant requests for</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experienced any significant requests for</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return or exchange for the equipment</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return or exchange for the equipment</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based on our history with Customer G.</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based on our history with Customer M.</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Customer G has been a customer since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Customer M has been a customer since</w:t>
            </w:r>
          </w:p>
        </w:tc>
      </w:tr>
      <w:tr>
        <w:trPr>
          <w:trHeight w:val="224"/>
        </w:trPr>
        <w:tc>
          <w:tcPr>
            <w:tcW w:w="4600" w:type="dxa"/>
            <w:vAlign w:val="bottom"/>
            <w:tcBorders>
              <w:left w:val="single" w:sz="8" w:color="00000A"/>
              <w:bottom w:val="single" w:sz="8" w:color="00000A"/>
              <w:right w:val="single" w:sz="8" w:color="00000A"/>
            </w:tcBorders>
          </w:tcPr>
          <w:p>
            <w:pPr>
              <w:spacing w:after="0"/>
              <w:rPr>
                <w:sz w:val="19"/>
                <w:szCs w:val="19"/>
                <w:color w:val="auto"/>
              </w:rPr>
            </w:pPr>
          </w:p>
        </w:tc>
        <w:tc>
          <w:tcPr>
            <w:tcW w:w="34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2014.</w:t>
            </w:r>
          </w:p>
        </w:tc>
        <w:tc>
          <w:tcPr>
            <w:tcW w:w="34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2015.</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for Customer G</w:t>
      </w:r>
    </w:p>
    <w:p>
      <w:pPr>
        <w:spacing w:after="0" w:line="180"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Based on the review of the five control indicators of ASC 606-10-25-30 above, the only indicator that does not point to control transfer at the Manila warehouse is physical possession of the equipment while Aviat provides the warehousing services. However, warehousing of the equipment at the bill-and-hold warehouse is for the convenience of Customer G, which has the ability to direct the use of the equipment once it arrives at the warehouse. Therefore, we believe the criteria for control transfer to customer G are met in accordance with ASC 606-10-25-30.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for Customer M</w:t>
      </w:r>
    </w:p>
    <w:p>
      <w:pPr>
        <w:spacing w:after="0" w:line="180"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Based on the review of the five control indicators of ASC 606-10-25-30 above, the only indicators that do not point to control transfer at the Johannesburg warehouse is physical possession. However, warehousing of the equipment at the bill-and-hold warehouse is for the convenience of Customer M, which has the ability to direct the use of equipment once it arrives at the warehouse. Therefore, we believe the criteria for control transfer to customer M are met in accordance with ASC 606-10-25-30.</w:t>
      </w:r>
    </w:p>
    <w:p>
      <w:pPr>
        <w:spacing w:after="0" w:line="11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As ASC 606-10-25-30(c) has not be met for Customer G or M, we then assess if the bill-and-hold criteria are met under 606-10-55-83 (point 2 of comment):</w:t>
      </w: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498" w:right="219" w:bottom="1440" w:gutter="0" w:footer="0" w:header="0"/>
        </w:sectPr>
      </w:pPr>
    </w:p>
    <w:bookmarkStart w:id="5" w:name="page6"/>
    <w:bookmarkEnd w:id="5"/>
    <w:p>
      <w:pPr>
        <w:ind w:left="40" w:right="780"/>
        <w:spacing w:after="0" w:line="246" w:lineRule="auto"/>
        <w:rPr>
          <w:sz w:val="20"/>
          <w:szCs w:val="20"/>
          <w:color w:val="auto"/>
        </w:rPr>
      </w:pPr>
      <w:r>
        <w:rPr>
          <w:rFonts w:ascii="Arial" w:cs="Arial" w:eastAsia="Arial" w:hAnsi="Arial"/>
          <w:sz w:val="18"/>
          <w:szCs w:val="18"/>
          <w:color w:val="auto"/>
        </w:rPr>
        <w:t>In addition to applying the guidance in paragraph 606-10-25-30, for a customer to have obtained control of a product in a bill-and-hold arrangement, all of the following criteria must be met:</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60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606-10-55-83</w:t>
            </w:r>
          </w:p>
        </w:tc>
        <w:tc>
          <w:tcPr>
            <w:tcW w:w="3420" w:type="dxa"/>
            <w:vAlign w:val="bottom"/>
            <w:tcBorders>
              <w:top w:val="single" w:sz="8" w:color="00000A"/>
              <w:bottom w:val="single" w:sz="8" w:color="00000A"/>
              <w:right w:val="single" w:sz="8" w:color="00000A"/>
            </w:tcBorders>
          </w:tcPr>
          <w:p>
            <w:pPr>
              <w:ind w:left="1180"/>
              <w:spacing w:after="0"/>
              <w:rPr>
                <w:sz w:val="20"/>
                <w:szCs w:val="20"/>
                <w:color w:val="auto"/>
              </w:rPr>
            </w:pPr>
            <w:r>
              <w:rPr>
                <w:rFonts w:ascii="Arial" w:cs="Arial" w:eastAsia="Arial" w:hAnsi="Arial"/>
                <w:sz w:val="18"/>
                <w:szCs w:val="18"/>
                <w:b w:val="1"/>
                <w:bCs w:val="1"/>
                <w:color w:val="auto"/>
              </w:rPr>
              <w:t>Customer G</w:t>
            </w:r>
          </w:p>
        </w:tc>
        <w:tc>
          <w:tcPr>
            <w:tcW w:w="3420" w:type="dxa"/>
            <w:vAlign w:val="bottom"/>
            <w:tcBorders>
              <w:top w:val="single" w:sz="8" w:color="00000A"/>
              <w:bottom w:val="single" w:sz="8" w:color="00000A"/>
              <w:right w:val="single" w:sz="8" w:color="00000A"/>
            </w:tcBorders>
          </w:tcPr>
          <w:p>
            <w:pPr>
              <w:ind w:left="1180"/>
              <w:spacing w:after="0"/>
              <w:rPr>
                <w:sz w:val="20"/>
                <w:szCs w:val="20"/>
                <w:color w:val="auto"/>
              </w:rPr>
            </w:pPr>
            <w:r>
              <w:rPr>
                <w:rFonts w:ascii="Arial" w:cs="Arial" w:eastAsia="Arial" w:hAnsi="Arial"/>
                <w:sz w:val="18"/>
                <w:szCs w:val="18"/>
                <w:b w:val="1"/>
                <w:bCs w:val="1"/>
                <w:color w:val="auto"/>
              </w:rPr>
              <w:t>Customer M</w:t>
            </w:r>
          </w:p>
        </w:tc>
      </w:tr>
      <w:tr>
        <w:trPr>
          <w:trHeight w:val="229"/>
        </w:trPr>
        <w:tc>
          <w:tcPr>
            <w:tcW w:w="4600" w:type="dxa"/>
            <w:vAlign w:val="bottom"/>
            <w:tcBorders>
              <w:left w:val="single" w:sz="8" w:color="00000A"/>
              <w:right w:val="single" w:sz="8" w:color="00000A"/>
            </w:tcBorders>
          </w:tcPr>
          <w:p>
            <w:pPr>
              <w:ind w:left="40"/>
              <w:spacing w:after="0" w:line="229" w:lineRule="exact"/>
              <w:rPr>
                <w:sz w:val="20"/>
                <w:szCs w:val="20"/>
                <w:color w:val="auto"/>
              </w:rPr>
            </w:pPr>
            <w:r>
              <w:rPr>
                <w:rFonts w:ascii="Arial" w:cs="Arial" w:eastAsia="Arial" w:hAnsi="Arial"/>
                <w:sz w:val="20"/>
                <w:szCs w:val="20"/>
                <w:color w:val="auto"/>
              </w:rPr>
              <w:t xml:space="preserve">(a)  </w:t>
            </w:r>
            <w:r>
              <w:rPr>
                <w:rFonts w:ascii="Arial" w:cs="Arial" w:eastAsia="Arial" w:hAnsi="Arial"/>
                <w:sz w:val="18"/>
                <w:szCs w:val="18"/>
                <w:color w:val="auto"/>
              </w:rPr>
              <w:t>The reason for the bill-and-hold arrangement must</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Customer G has requested this</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Customer M has requested this</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be substantive (for example, the customer has</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arrangement as they require a physical</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arrangement as they require a physical</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requested the arrangement).</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warehouse to store the equipment prior to</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warehouse to store the equipment prior to</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installation at their various sites. The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installation at their various sites. The</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warehousing arrangement allows the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warehousing arrangement allows the</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customer to have Aviat manage their</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customer to have Aviat manage their</w:t>
            </w:r>
          </w:p>
        </w:tc>
      </w:tr>
      <w:tr>
        <w:trPr>
          <w:trHeight w:val="224"/>
        </w:trPr>
        <w:tc>
          <w:tcPr>
            <w:tcW w:w="4600" w:type="dxa"/>
            <w:vAlign w:val="bottom"/>
            <w:tcBorders>
              <w:left w:val="single" w:sz="8" w:color="00000A"/>
              <w:bottom w:val="single" w:sz="8" w:color="00000A"/>
              <w:right w:val="single" w:sz="8" w:color="00000A"/>
            </w:tcBorders>
          </w:tcPr>
          <w:p>
            <w:pPr>
              <w:spacing w:after="0"/>
              <w:rPr>
                <w:sz w:val="19"/>
                <w:szCs w:val="19"/>
                <w:color w:val="auto"/>
              </w:rPr>
            </w:pPr>
          </w:p>
        </w:tc>
        <w:tc>
          <w:tcPr>
            <w:tcW w:w="34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inventory and to reduce lead time.</w:t>
            </w:r>
          </w:p>
        </w:tc>
        <w:tc>
          <w:tcPr>
            <w:tcW w:w="34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inventory and to reduce lead time.</w:t>
            </w:r>
          </w:p>
        </w:tc>
      </w:tr>
      <w:tr>
        <w:trPr>
          <w:trHeight w:val="229"/>
        </w:trPr>
        <w:tc>
          <w:tcPr>
            <w:tcW w:w="4600" w:type="dxa"/>
            <w:vAlign w:val="bottom"/>
            <w:tcBorders>
              <w:left w:val="single" w:sz="8" w:color="00000A"/>
              <w:right w:val="single" w:sz="8" w:color="00000A"/>
            </w:tcBorders>
          </w:tcPr>
          <w:p>
            <w:pPr>
              <w:ind w:left="40"/>
              <w:spacing w:after="0" w:line="229" w:lineRule="exact"/>
              <w:rPr>
                <w:sz w:val="20"/>
                <w:szCs w:val="20"/>
                <w:color w:val="auto"/>
              </w:rPr>
            </w:pPr>
            <w:r>
              <w:rPr>
                <w:rFonts w:ascii="Arial" w:cs="Arial" w:eastAsia="Arial" w:hAnsi="Arial"/>
                <w:sz w:val="20"/>
                <w:szCs w:val="20"/>
                <w:color w:val="auto"/>
              </w:rPr>
              <w:t xml:space="preserve">(b)  </w:t>
            </w:r>
            <w:r>
              <w:rPr>
                <w:rFonts w:ascii="Arial" w:cs="Arial" w:eastAsia="Arial" w:hAnsi="Arial"/>
                <w:sz w:val="18"/>
                <w:szCs w:val="18"/>
                <w:color w:val="auto"/>
              </w:rPr>
              <w:t>The product must be identified separately as</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The bill-and-hold warehouse space is</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The bill-and-hold warehouse space is</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belonging to the customer.</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dedicated to Customer G; therefore, there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dedicated to Customer M; therefore, there</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is no equipment for other customers in</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is no equipment for other customers in</w:t>
            </w:r>
          </w:p>
        </w:tc>
      </w:tr>
      <w:tr>
        <w:trPr>
          <w:trHeight w:val="224"/>
        </w:trPr>
        <w:tc>
          <w:tcPr>
            <w:tcW w:w="4600" w:type="dxa"/>
            <w:vAlign w:val="bottom"/>
            <w:tcBorders>
              <w:left w:val="single" w:sz="8" w:color="00000A"/>
              <w:bottom w:val="single" w:sz="8" w:color="00000A"/>
              <w:right w:val="single" w:sz="8" w:color="00000A"/>
            </w:tcBorders>
          </w:tcPr>
          <w:p>
            <w:pPr>
              <w:spacing w:after="0"/>
              <w:rPr>
                <w:sz w:val="19"/>
                <w:szCs w:val="19"/>
                <w:color w:val="auto"/>
              </w:rPr>
            </w:pPr>
          </w:p>
        </w:tc>
        <w:tc>
          <w:tcPr>
            <w:tcW w:w="34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this space.</w:t>
            </w:r>
          </w:p>
        </w:tc>
        <w:tc>
          <w:tcPr>
            <w:tcW w:w="34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this space.</w:t>
            </w:r>
          </w:p>
        </w:tc>
      </w:tr>
      <w:tr>
        <w:trPr>
          <w:trHeight w:val="229"/>
        </w:trPr>
        <w:tc>
          <w:tcPr>
            <w:tcW w:w="4600" w:type="dxa"/>
            <w:vAlign w:val="bottom"/>
            <w:tcBorders>
              <w:left w:val="single" w:sz="8" w:color="00000A"/>
              <w:right w:val="single" w:sz="8" w:color="00000A"/>
            </w:tcBorders>
          </w:tcPr>
          <w:p>
            <w:pPr>
              <w:ind w:left="40"/>
              <w:spacing w:after="0" w:line="229" w:lineRule="exact"/>
              <w:rPr>
                <w:sz w:val="20"/>
                <w:szCs w:val="20"/>
                <w:color w:val="auto"/>
              </w:rPr>
            </w:pPr>
            <w:r>
              <w:rPr>
                <w:rFonts w:ascii="Arial" w:cs="Arial" w:eastAsia="Arial" w:hAnsi="Arial"/>
                <w:sz w:val="20"/>
                <w:szCs w:val="20"/>
                <w:color w:val="auto"/>
              </w:rPr>
              <w:t xml:space="preserve">(c)  </w:t>
            </w:r>
            <w:r>
              <w:rPr>
                <w:rFonts w:ascii="Arial" w:cs="Arial" w:eastAsia="Arial" w:hAnsi="Arial"/>
                <w:sz w:val="18"/>
                <w:szCs w:val="18"/>
                <w:color w:val="auto"/>
              </w:rPr>
              <w:t>The product currently must be ready for physical</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No work is performed on the equipment</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No work is performed on the equipment</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transfer to the customer.</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at the bill-and-hold warehouse; therefore,</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at the bill-and-hold warehouse; therefore,</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the equipment is ready to be deployed to</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the equipment is ready to be deployed to</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one of Customer G’s sites for installation</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one of Customer M’s sites for installation</w:t>
            </w:r>
          </w:p>
        </w:tc>
      </w:tr>
      <w:tr>
        <w:trPr>
          <w:trHeight w:val="224"/>
        </w:trPr>
        <w:tc>
          <w:tcPr>
            <w:tcW w:w="4600" w:type="dxa"/>
            <w:vAlign w:val="bottom"/>
            <w:tcBorders>
              <w:left w:val="single" w:sz="8" w:color="00000A"/>
              <w:bottom w:val="single" w:sz="8" w:color="00000A"/>
              <w:right w:val="single" w:sz="8" w:color="00000A"/>
            </w:tcBorders>
          </w:tcPr>
          <w:p>
            <w:pPr>
              <w:spacing w:after="0"/>
              <w:rPr>
                <w:sz w:val="19"/>
                <w:szCs w:val="19"/>
                <w:color w:val="auto"/>
              </w:rPr>
            </w:pPr>
          </w:p>
        </w:tc>
        <w:tc>
          <w:tcPr>
            <w:tcW w:w="34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at the discretion of Customer G.</w:t>
            </w:r>
          </w:p>
        </w:tc>
        <w:tc>
          <w:tcPr>
            <w:tcW w:w="34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at the discretion of Customer M.</w:t>
            </w:r>
          </w:p>
        </w:tc>
      </w:tr>
      <w:tr>
        <w:trPr>
          <w:trHeight w:val="229"/>
        </w:trPr>
        <w:tc>
          <w:tcPr>
            <w:tcW w:w="4600" w:type="dxa"/>
            <w:vAlign w:val="bottom"/>
            <w:tcBorders>
              <w:left w:val="single" w:sz="8" w:color="00000A"/>
              <w:right w:val="single" w:sz="8" w:color="00000A"/>
            </w:tcBorders>
          </w:tcPr>
          <w:p>
            <w:pPr>
              <w:ind w:left="40"/>
              <w:spacing w:after="0" w:line="229" w:lineRule="exact"/>
              <w:rPr>
                <w:sz w:val="20"/>
                <w:szCs w:val="20"/>
                <w:color w:val="auto"/>
              </w:rPr>
            </w:pPr>
            <w:r>
              <w:rPr>
                <w:rFonts w:ascii="Arial" w:cs="Arial" w:eastAsia="Arial" w:hAnsi="Arial"/>
                <w:sz w:val="20"/>
                <w:szCs w:val="20"/>
                <w:color w:val="auto"/>
              </w:rPr>
              <w:t xml:space="preserve">(d)  </w:t>
            </w:r>
            <w:r>
              <w:rPr>
                <w:rFonts w:ascii="Arial" w:cs="Arial" w:eastAsia="Arial" w:hAnsi="Arial"/>
                <w:sz w:val="18"/>
                <w:szCs w:val="18"/>
                <w:color w:val="auto"/>
              </w:rPr>
              <w:t>The entity cannot have the ability to use the</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Aviat cannot use the equipment or direct</w:t>
            </w:r>
          </w:p>
        </w:tc>
        <w:tc>
          <w:tcPr>
            <w:tcW w:w="34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Aviat cannot use the equipment or direct</w:t>
            </w:r>
          </w:p>
        </w:tc>
      </w:tr>
      <w:tr>
        <w:trPr>
          <w:trHeight w:val="203"/>
        </w:trPr>
        <w:tc>
          <w:tcPr>
            <w:tcW w:w="4600" w:type="dxa"/>
            <w:vAlign w:val="bottom"/>
            <w:tcBorders>
              <w:left w:val="single" w:sz="8" w:color="00000A"/>
              <w:right w:val="single" w:sz="8" w:color="00000A"/>
            </w:tcBorders>
          </w:tcPr>
          <w:p>
            <w:pPr>
              <w:ind w:left="380"/>
              <w:spacing w:after="0" w:line="202" w:lineRule="exact"/>
              <w:rPr>
                <w:sz w:val="20"/>
                <w:szCs w:val="20"/>
                <w:color w:val="auto"/>
              </w:rPr>
            </w:pPr>
            <w:r>
              <w:rPr>
                <w:rFonts w:ascii="Arial" w:cs="Arial" w:eastAsia="Arial" w:hAnsi="Arial"/>
                <w:sz w:val="18"/>
                <w:szCs w:val="18"/>
                <w:color w:val="auto"/>
              </w:rPr>
              <w:t>product or to direct it to another customer.</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it to another customer because it no</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it to another customer because it no</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longer has title to the equipment.</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longer has title to the equipment.</w:t>
            </w:r>
          </w:p>
        </w:tc>
      </w:tr>
      <w:tr>
        <w:trPr>
          <w:trHeight w:val="203"/>
        </w:trPr>
        <w:tc>
          <w:tcPr>
            <w:tcW w:w="4600" w:type="dxa"/>
            <w:vAlign w:val="bottom"/>
            <w:tcBorders>
              <w:left w:val="single" w:sz="8" w:color="00000A"/>
              <w:right w:val="single" w:sz="8" w:color="00000A"/>
            </w:tcBorders>
          </w:tcPr>
          <w:p>
            <w:pPr>
              <w:spacing w:after="0"/>
              <w:rPr>
                <w:sz w:val="17"/>
                <w:szCs w:val="17"/>
                <w:color w:val="auto"/>
              </w:rPr>
            </w:pP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Customer G directs where the equipment</w:t>
            </w:r>
          </w:p>
        </w:tc>
        <w:tc>
          <w:tcPr>
            <w:tcW w:w="342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Customer M directs where the equipment</w:t>
            </w:r>
          </w:p>
        </w:tc>
      </w:tr>
      <w:tr>
        <w:trPr>
          <w:trHeight w:val="224"/>
        </w:trPr>
        <w:tc>
          <w:tcPr>
            <w:tcW w:w="4600" w:type="dxa"/>
            <w:vAlign w:val="bottom"/>
            <w:tcBorders>
              <w:left w:val="single" w:sz="8" w:color="00000A"/>
              <w:bottom w:val="single" w:sz="8" w:color="00000A"/>
              <w:right w:val="single" w:sz="8" w:color="00000A"/>
            </w:tcBorders>
          </w:tcPr>
          <w:p>
            <w:pPr>
              <w:spacing w:after="0"/>
              <w:rPr>
                <w:sz w:val="19"/>
                <w:szCs w:val="19"/>
                <w:color w:val="auto"/>
              </w:rPr>
            </w:pPr>
          </w:p>
        </w:tc>
        <w:tc>
          <w:tcPr>
            <w:tcW w:w="34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in the warehouse should be deployed.</w:t>
            </w:r>
          </w:p>
        </w:tc>
        <w:tc>
          <w:tcPr>
            <w:tcW w:w="34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in the warehouse should be deployed.</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for Customer G and 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All criteria for Customer G and Customer M are met above in accordance with ASC 606-10-55-83.</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the following:</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the filing;</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disclosures in response to staff comments do not foreclose the Commission from taking any action with respect to the filing; and</w:t>
      </w:r>
    </w:p>
    <w:p>
      <w:pPr>
        <w:ind w:left="660" w:right="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21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Should you have any questions or comments about our responses, please contact Eric Chang, Principal Accounting Officer at (408) 941-7124 or eric.chang@aviatnet.com or myself at (408) 941-7107 or stan.gallagher@aviatnet.com.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40"/>
          </w:cols>
          <w:pgMar w:left="240" w:top="544"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Walter Stanley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7233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233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Walter Stanley Gallagher,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 and 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Aviat Networks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20" w:hanging="88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Audit Committee of the Board of Directors of Aviat Networks</w:t>
      </w:r>
    </w:p>
    <w:p>
      <w:pPr>
        <w:spacing w:after="0" w:line="4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Slade Fester, BDO USA, LLP</w:t>
      </w:r>
    </w:p>
    <w:p>
      <w:pPr>
        <w:ind w:left="920"/>
        <w:spacing w:after="0"/>
        <w:rPr>
          <w:rFonts w:ascii="Arial" w:cs="Arial" w:eastAsia="Arial" w:hAnsi="Arial"/>
          <w:sz w:val="18"/>
          <w:szCs w:val="18"/>
          <w:color w:val="auto"/>
        </w:rPr>
      </w:pPr>
      <w:r>
        <w:rPr>
          <w:rFonts w:ascii="Arial" w:cs="Arial" w:eastAsia="Arial" w:hAnsi="Arial"/>
          <w:sz w:val="18"/>
          <w:szCs w:val="18"/>
          <w:color w:val="auto"/>
        </w:rPr>
        <w:t>Adam Finerman, Olshan Frome, Wolosky LLP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7</w:t>
      </w:r>
    </w:p>
    <w:sectPr>
      <w:pgSz w:w="11900" w:h="16838" w:orient="portrait"/>
      <w:cols w:equalWidth="0" w:num="1">
        <w:col w:w="10219"/>
      </w:cols>
      <w:pgMar w:left="240" w:top="3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2019-12-21T02:37:43Z</dcterms:created>
  <dcterms:modified xsi:type="dcterms:W3CDTF">2019-12-21T02:37:43Z</dcterms:modified>
</cp:coreProperties>
</file>