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2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ind w:left="2520"/>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1"/>
          <w:szCs w:val="11"/>
          <w:b w:val="1"/>
          <w:bCs w:val="1"/>
          <w:color w:val="auto"/>
        </w:rPr>
        <w:t>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71" w:lineRule="exact"/>
        <w:rPr>
          <w:sz w:val="24"/>
          <w:szCs w:val="24"/>
          <w:color w:val="auto"/>
        </w:rPr>
      </w:pPr>
    </w:p>
    <w:p>
      <w:pPr>
        <w:ind w:left="1040"/>
        <w:spacing w:after="0"/>
        <w:rPr>
          <w:sz w:val="20"/>
          <w:szCs w:val="20"/>
          <w:color w:val="auto"/>
        </w:rPr>
      </w:pPr>
      <w:r>
        <w:rPr>
          <w:rFonts w:ascii="Arial" w:cs="Arial" w:eastAsia="Arial" w:hAnsi="Arial"/>
          <w:sz w:val="14"/>
          <w:szCs w:val="14"/>
          <w:color w:val="auto"/>
        </w:rPr>
        <w:t>(Mark One)</w:t>
      </w:r>
    </w:p>
    <w:p>
      <w:pPr>
        <w:spacing w:after="0" w:line="46" w:lineRule="exact"/>
        <w:rPr>
          <w:sz w:val="24"/>
          <w:szCs w:val="24"/>
          <w:color w:val="auto"/>
        </w:rPr>
      </w:pPr>
    </w:p>
    <w:p>
      <w:pPr>
        <w:ind w:left="1460" w:right="1460" w:hanging="428"/>
        <w:spacing w:after="0" w:line="235"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September 29, 2023</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79" w:lineRule="exact"/>
        <w:rPr>
          <w:sz w:val="24"/>
          <w:szCs w:val="24"/>
          <w:color w:val="auto"/>
        </w:rPr>
      </w:pPr>
    </w:p>
    <w:p>
      <w:pPr>
        <w:ind w:left="1460" w:right="1440" w:hanging="428"/>
        <w:spacing w:after="0" w:line="235" w:lineRule="auto"/>
        <w:tabs>
          <w:tab w:leader="none" w:pos="1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9" w:lineRule="exact"/>
        <w:rPr>
          <w:sz w:val="24"/>
          <w:szCs w:val="24"/>
          <w:color w:val="auto"/>
        </w:rPr>
      </w:pPr>
    </w:p>
    <w:p>
      <w:pPr>
        <w:ind w:left="3300"/>
        <w:spacing w:after="0"/>
        <w:rPr>
          <w:sz w:val="20"/>
          <w:szCs w:val="20"/>
          <w:color w:val="auto"/>
        </w:rPr>
      </w:pPr>
      <w:r>
        <w:rPr>
          <w:rFonts w:ascii="Arial" w:cs="Arial" w:eastAsia="Arial" w:hAnsi="Arial"/>
          <w:sz w:val="22"/>
          <w:szCs w:val="22"/>
          <w:b w:val="1"/>
          <w:bCs w:val="1"/>
          <w:color w:val="auto"/>
        </w:rPr>
        <w:t>For the transition period from _______ to 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001-33278</w:t>
      </w:r>
    </w:p>
    <w:p>
      <w:pPr>
        <w:spacing w:after="0" w:line="85" w:lineRule="exact"/>
        <w:rPr>
          <w:sz w:val="24"/>
          <w:szCs w:val="24"/>
          <w:color w:val="auto"/>
        </w:rPr>
      </w:pPr>
    </w:p>
    <w:p>
      <w:pPr>
        <w:ind w:left="4760"/>
        <w:spacing w:after="0"/>
        <w:rPr>
          <w:sz w:val="20"/>
          <w:szCs w:val="20"/>
          <w:color w:val="auto"/>
        </w:rPr>
      </w:pPr>
      <w:r>
        <w:rPr>
          <w:rFonts w:ascii="Arial" w:cs="Arial" w:eastAsia="Arial" w:hAnsi="Arial"/>
          <w:sz w:val="11"/>
          <w:szCs w:val="11"/>
          <w:b w:val="1"/>
          <w:bCs w:val="1"/>
          <w:color w:val="auto"/>
        </w:rPr>
        <w:t>________________________________</w:t>
      </w:r>
    </w:p>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AVIAT NETWORKS, INC.</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91" w:lineRule="exact"/>
        <w:rPr>
          <w:sz w:val="24"/>
          <w:szCs w:val="24"/>
          <w:color w:val="auto"/>
        </w:rPr>
      </w:pPr>
    </w:p>
    <w:p>
      <w:pPr>
        <w:ind w:left="4760"/>
        <w:spacing w:after="0"/>
        <w:rPr>
          <w:sz w:val="20"/>
          <w:szCs w:val="20"/>
          <w:color w:val="auto"/>
        </w:rPr>
      </w:pPr>
      <w:r>
        <w:rPr>
          <w:rFonts w:ascii="Arial" w:cs="Arial" w:eastAsia="Arial" w:hAnsi="Arial"/>
          <w:sz w:val="11"/>
          <w:szCs w:val="11"/>
          <w:b w:val="1"/>
          <w:bCs w:val="1"/>
          <w:color w:val="auto"/>
        </w:rPr>
        <w:t>________________________________</w:t>
      </w:r>
    </w:p>
    <w:p>
      <w:pPr>
        <w:sectPr>
          <w:pgSz w:w="11900" w:h="16838" w:orient="portrait"/>
          <w:cols w:equalWidth="0" w:num="1">
            <w:col w:w="11240"/>
          </w:cols>
          <w:pgMar w:left="320" w:top="1039" w:right="339" w:bottom="1440" w:gutter="0" w:footer="0" w:header="0"/>
        </w:sectPr>
      </w:pPr>
    </w:p>
    <w:p>
      <w:pPr>
        <w:spacing w:after="0" w:line="139" w:lineRule="exact"/>
        <w:rPr>
          <w:sz w:val="24"/>
          <w:szCs w:val="24"/>
          <w:color w:val="auto"/>
        </w:rPr>
      </w:pPr>
    </w:p>
    <w:p>
      <w:pPr>
        <w:ind w:left="30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20-5961564</w:t>
      </w:r>
    </w:p>
    <w:p>
      <w:pPr>
        <w:spacing w:after="0" w:line="200" w:lineRule="exact"/>
        <w:rPr>
          <w:sz w:val="24"/>
          <w:szCs w:val="24"/>
          <w:color w:val="auto"/>
        </w:rPr>
      </w:pPr>
    </w:p>
    <w:p>
      <w:pPr>
        <w:sectPr>
          <w:pgSz w:w="11900" w:h="16838" w:orient="portrait"/>
          <w:cols w:equalWidth="0" w:num="2">
            <w:col w:w="7460" w:space="720"/>
            <w:col w:w="3060"/>
          </w:cols>
          <w:pgMar w:left="320" w:top="1039" w:right="339" w:bottom="1440" w:gutter="0" w:footer="0" w:header="0"/>
          <w:type w:val="continuous"/>
        </w:sectPr>
      </w:pPr>
    </w:p>
    <w:p>
      <w:pPr>
        <w:spacing w:after="0" w:line="12" w:lineRule="exact"/>
        <w:rPr>
          <w:sz w:val="24"/>
          <w:szCs w:val="24"/>
          <w:color w:val="auto"/>
        </w:rPr>
      </w:pPr>
    </w:p>
    <w:p>
      <w:pPr>
        <w:ind w:left="1340"/>
        <w:spacing w:after="0"/>
        <w:rPr>
          <w:sz w:val="20"/>
          <w:szCs w:val="20"/>
          <w:color w:val="auto"/>
        </w:rPr>
      </w:pPr>
      <w:r>
        <w:rPr>
          <w:rFonts w:ascii="Arial" w:cs="Arial" w:eastAsia="Arial" w:hAnsi="Arial"/>
          <w:sz w:val="14"/>
          <w:szCs w:val="14"/>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(I.R.S. Employer Identification No.)</w:t>
      </w:r>
    </w:p>
    <w:p>
      <w:pPr>
        <w:spacing w:after="0" w:line="120" w:lineRule="exact"/>
        <w:rPr>
          <w:sz w:val="24"/>
          <w:szCs w:val="24"/>
          <w:color w:val="auto"/>
        </w:rPr>
      </w:pPr>
    </w:p>
    <w:p>
      <w:pPr>
        <w:sectPr>
          <w:pgSz w:w="11900" w:h="16838" w:orient="portrait"/>
          <w:cols w:equalWidth="0" w:num="2">
            <w:col w:w="6640" w:space="720"/>
            <w:col w:w="3880"/>
          </w:cols>
          <w:pgMar w:left="320" w:top="1039" w:right="339" w:bottom="1440" w:gutter="0" w:footer="0" w:header="0"/>
          <w:type w:val="continuous"/>
        </w:sectPr>
      </w:pPr>
    </w:p>
    <w:p>
      <w:pPr>
        <w:ind w:left="1320"/>
        <w:spacing w:after="0"/>
        <w:rPr>
          <w:sz w:val="20"/>
          <w:szCs w:val="20"/>
          <w:color w:val="auto"/>
        </w:rPr>
      </w:pPr>
      <w:r>
        <w:rPr>
          <w:rFonts w:ascii="Arial" w:cs="Arial" w:eastAsia="Arial" w:hAnsi="Arial"/>
          <w:sz w:val="16"/>
          <w:szCs w:val="16"/>
          <w:b w:val="1"/>
          <w:bCs w:val="1"/>
          <w:color w:val="auto"/>
        </w:rPr>
        <w:t>200 Parker Drive, Suite C100A,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Austin,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78728</w:t>
      </w:r>
    </w:p>
    <w:p>
      <w:pPr>
        <w:spacing w:after="0" w:line="50" w:lineRule="exact"/>
        <w:rPr>
          <w:sz w:val="24"/>
          <w:szCs w:val="24"/>
          <w:color w:val="auto"/>
        </w:rPr>
      </w:pPr>
    </w:p>
    <w:p>
      <w:pPr>
        <w:sectPr>
          <w:pgSz w:w="11900" w:h="16838" w:orient="portrait"/>
          <w:cols w:equalWidth="0" w:num="4">
            <w:col w:w="3760" w:space="320"/>
            <w:col w:w="560" w:space="200"/>
            <w:col w:w="2820" w:space="720"/>
            <w:col w:w="2860"/>
          </w:cols>
          <w:pgMar w:left="320" w:top="1039" w:right="339" w:bottom="1440" w:gutter="0" w:footer="0" w:header="0"/>
          <w:type w:val="continuous"/>
        </w:sectPr>
      </w:pPr>
    </w:p>
    <w:p>
      <w:pPr>
        <w:ind w:left="21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31" w:lineRule="exact"/>
        <w:rPr>
          <w:sz w:val="24"/>
          <w:szCs w:val="24"/>
          <w:color w:val="auto"/>
        </w:rPr>
      </w:pPr>
    </w:p>
    <w:p>
      <w:pPr>
        <w:sectPr>
          <w:pgSz w:w="11900" w:h="16838" w:orient="portrait"/>
          <w:cols w:equalWidth="0" w:num="2">
            <w:col w:w="7520" w:space="720"/>
            <w:col w:w="3000"/>
          </w:cols>
          <w:pgMar w:left="320" w:top="1039"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(408) 941-7100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ectPr>
          <w:pgSz w:w="11900" w:h="16838" w:orient="portrait"/>
          <w:cols w:equalWidth="0" w:num="1">
            <w:col w:w="11240"/>
          </w:cols>
          <w:pgMar w:left="320" w:top="1039" w:right="339" w:bottom="1440" w:gutter="0" w:footer="0" w:header="0"/>
          <w:type w:val="continuous"/>
        </w:sectPr>
      </w:pPr>
    </w:p>
    <w:p>
      <w:pPr>
        <w:spacing w:after="0" w:line="95" w:lineRule="exact"/>
        <w:rPr>
          <w:sz w:val="24"/>
          <w:szCs w:val="24"/>
          <w:color w:val="auto"/>
        </w:rPr>
      </w:pPr>
    </w:p>
    <w:p>
      <w:pPr>
        <w:ind w:left="4760"/>
        <w:spacing w:after="0"/>
        <w:rPr>
          <w:sz w:val="20"/>
          <w:szCs w:val="20"/>
          <w:color w:val="auto"/>
        </w:rPr>
      </w:pPr>
      <w:r>
        <w:rPr>
          <w:rFonts w:ascii="Arial" w:cs="Arial" w:eastAsia="Arial" w:hAnsi="Arial"/>
          <w:sz w:val="11"/>
          <w:szCs w:val="11"/>
          <w:b w:val="1"/>
          <w:bCs w:val="1"/>
          <w:color w:val="auto"/>
        </w:rPr>
        <w:t>________________________________</w:t>
      </w:r>
    </w:p>
    <w:p>
      <w:pPr>
        <w:spacing w:after="0" w:line="11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1000" w:type="dxa"/>
        <w:tblCellMar>
          <w:top w:w="0" w:type="dxa"/>
          <w:left w:w="0" w:type="dxa"/>
          <w:bottom w:w="0" w:type="dxa"/>
          <w:right w:w="0" w:type="dxa"/>
        </w:tblCellMar>
      </w:tblPr>
      <w:tr>
        <w:trPr>
          <w:trHeight w:val="234"/>
        </w:trPr>
        <w:tc>
          <w:tcPr>
            <w:tcW w:w="30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6"/>
              </w:rPr>
              <w:t>Title of each class</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94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50"/>
        </w:trPr>
        <w:tc>
          <w:tcPr>
            <w:tcW w:w="3020" w:type="dxa"/>
            <w:vAlign w:val="bottom"/>
          </w:tcPr>
          <w:p>
            <w:pPr>
              <w:jc w:val="center"/>
              <w:ind w:right="150"/>
              <w:spacing w:after="0"/>
              <w:rPr>
                <w:sz w:val="20"/>
                <w:szCs w:val="20"/>
                <w:color w:val="auto"/>
              </w:rPr>
            </w:pPr>
            <w:r>
              <w:rPr>
                <w:rFonts w:ascii="Arial" w:cs="Arial" w:eastAsia="Arial" w:hAnsi="Arial"/>
                <w:sz w:val="18"/>
                <w:szCs w:val="18"/>
                <w:color w:val="auto"/>
                <w:w w:val="92"/>
              </w:rPr>
              <w:t>Common Stock</w:t>
            </w:r>
          </w:p>
        </w:tc>
        <w:tc>
          <w:tcPr>
            <w:tcW w:w="2300" w:type="dxa"/>
            <w:vAlign w:val="bottom"/>
          </w:tcPr>
          <w:p>
            <w:pPr>
              <w:jc w:val="center"/>
              <w:spacing w:after="0"/>
              <w:rPr>
                <w:sz w:val="20"/>
                <w:szCs w:val="20"/>
                <w:color w:val="auto"/>
              </w:rPr>
            </w:pPr>
            <w:r>
              <w:rPr>
                <w:rFonts w:ascii="Arial" w:cs="Arial" w:eastAsia="Arial" w:hAnsi="Arial"/>
                <w:sz w:val="18"/>
                <w:szCs w:val="18"/>
                <w:color w:val="auto"/>
                <w:w w:val="99"/>
              </w:rPr>
              <w:t>AVNW</w:t>
            </w:r>
          </w:p>
        </w:tc>
        <w:tc>
          <w:tcPr>
            <w:tcW w:w="3940" w:type="dxa"/>
            <w:vAlign w:val="bottom"/>
          </w:tcPr>
          <w:p>
            <w:pPr>
              <w:jc w:val="center"/>
              <w:ind w:left="190"/>
              <w:spacing w:after="0"/>
              <w:rPr>
                <w:sz w:val="20"/>
                <w:szCs w:val="20"/>
                <w:color w:val="auto"/>
              </w:rPr>
            </w:pPr>
            <w:r>
              <w:rPr>
                <w:rFonts w:ascii="Arial" w:cs="Arial" w:eastAsia="Arial" w:hAnsi="Arial"/>
                <w:sz w:val="18"/>
                <w:szCs w:val="18"/>
                <w:color w:val="auto"/>
                <w:w w:val="91"/>
              </w:rPr>
              <w:t>The Nasdaq Stock Market LLC</w:t>
            </w:r>
          </w:p>
        </w:tc>
      </w:tr>
      <w:tr>
        <w:trPr>
          <w:trHeight w:val="270"/>
        </w:trPr>
        <w:tc>
          <w:tcPr>
            <w:tcW w:w="3020" w:type="dxa"/>
            <w:vAlign w:val="bottom"/>
          </w:tcPr>
          <w:p>
            <w:pPr>
              <w:jc w:val="center"/>
              <w:ind w:right="150"/>
              <w:spacing w:after="0"/>
              <w:rPr>
                <w:sz w:val="20"/>
                <w:szCs w:val="20"/>
                <w:color w:val="auto"/>
              </w:rPr>
            </w:pPr>
            <w:r>
              <w:rPr>
                <w:rFonts w:ascii="Arial" w:cs="Arial" w:eastAsia="Arial" w:hAnsi="Arial"/>
                <w:sz w:val="18"/>
                <w:szCs w:val="18"/>
                <w:color w:val="auto"/>
                <w:w w:val="88"/>
              </w:rPr>
              <w:t>Preferred Share Purchase Rights</w:t>
            </w:r>
          </w:p>
        </w:tc>
        <w:tc>
          <w:tcPr>
            <w:tcW w:w="2300" w:type="dxa"/>
            <w:vAlign w:val="bottom"/>
          </w:tcPr>
          <w:p>
            <w:pPr>
              <w:spacing w:after="0"/>
              <w:rPr>
                <w:sz w:val="23"/>
                <w:szCs w:val="23"/>
                <w:color w:val="auto"/>
              </w:rPr>
            </w:pPr>
          </w:p>
        </w:tc>
        <w:tc>
          <w:tcPr>
            <w:tcW w:w="3940" w:type="dxa"/>
            <w:vAlign w:val="bottom"/>
          </w:tcPr>
          <w:p>
            <w:pPr>
              <w:jc w:val="center"/>
              <w:ind w:left="190"/>
              <w:spacing w:after="0"/>
              <w:rPr>
                <w:sz w:val="20"/>
                <w:szCs w:val="20"/>
                <w:color w:val="auto"/>
              </w:rPr>
            </w:pPr>
            <w:r>
              <w:rPr>
                <w:rFonts w:ascii="Arial" w:cs="Arial" w:eastAsia="Arial" w:hAnsi="Arial"/>
                <w:sz w:val="18"/>
                <w:szCs w:val="18"/>
                <w:color w:val="auto"/>
                <w:w w:val="91"/>
              </w:rPr>
              <w:t>The Nasdaq Stock Market LLC</w:t>
            </w:r>
          </w:p>
        </w:tc>
      </w:tr>
    </w:tbl>
    <w:p>
      <w:pPr>
        <w:spacing w:after="0" w:line="202"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5" w:lineRule="exact"/>
        <w:rPr>
          <w:sz w:val="24"/>
          <w:szCs w:val="24"/>
          <w:color w:val="auto"/>
        </w:rPr>
      </w:pPr>
    </w:p>
    <w:tbl>
      <w:tblPr>
        <w:tblLayout w:type="fixed"/>
        <w:tblInd w:w="1020" w:type="dxa"/>
        <w:tblCellMar>
          <w:top w:w="0" w:type="dxa"/>
          <w:left w:w="0" w:type="dxa"/>
          <w:bottom w:w="0" w:type="dxa"/>
          <w:right w:w="0" w:type="dxa"/>
        </w:tblCellMar>
      </w:tblPr>
      <w:tr>
        <w:trPr>
          <w:trHeight w:val="229"/>
        </w:trPr>
        <w:tc>
          <w:tcPr>
            <w:tcW w:w="21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88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Non-accelerated filer</w:t>
            </w:r>
          </w:p>
        </w:tc>
        <w:tc>
          <w:tcPr>
            <w:tcW w:w="22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88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0"/>
                <w:szCs w:val="20"/>
                <w:color w:val="auto"/>
              </w:rPr>
            </w:pPr>
            <w:r>
              <w:rPr>
                <w:rFonts w:ascii="Arial" w:cs="Arial" w:eastAsia="Arial" w:hAnsi="Arial"/>
                <w:sz w:val="18"/>
                <w:szCs w:val="18"/>
                <w:color w:val="auto"/>
                <w:w w:val="98"/>
              </w:rPr>
              <w:t>Emerging growth company</w:t>
            </w:r>
          </w:p>
        </w:tc>
        <w:tc>
          <w:tcPr>
            <w:tcW w:w="22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66"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right="1720"/>
        <w:spacing w:after="0" w:line="30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outstanding of the registrant’s Common Stock as of October 30, 2023 was 11,720,047.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AVIAT NETWORKS, INC.</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29, 2023</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600" w:type="dxa"/>
            <w:vAlign w:val="bottom"/>
          </w:tcPr>
          <w:p>
            <w:pPr>
              <w:spacing w:after="0"/>
              <w:rPr>
                <w:sz w:val="16"/>
                <w:szCs w:val="16"/>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26"/>
        </w:trPr>
        <w:tc>
          <w:tcPr>
            <w:tcW w:w="106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23"/>
        </w:trPr>
        <w:tc>
          <w:tcPr>
            <w:tcW w:w="10600" w:type="dxa"/>
            <w:vAlign w:val="bottom"/>
            <w:shd w:val="clear" w:color="auto" w:fill="CCEEFF"/>
          </w:tcPr>
          <w:p>
            <w:pPr>
              <w:spacing w:after="0"/>
              <w:rPr>
                <w:sz w:val="20"/>
                <w:szCs w:val="20"/>
                <w:color w:val="auto"/>
              </w:rPr>
            </w:pPr>
            <w:r>
              <w:rPr>
                <w:rFonts w:ascii="Arial" w:cs="Arial" w:eastAsia="Arial" w:hAnsi="Arial"/>
                <w:sz w:val="18"/>
                <w:szCs w:val="18"/>
                <w:b w:val="1"/>
                <w:bCs w:val="1"/>
                <w:color w:val="0000FF"/>
              </w:rPr>
              <w:t>Part I. Financial Information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0000FF"/>
              </w:rPr>
              <w:t>3</w:t>
            </w:r>
          </w:p>
        </w:tc>
      </w:tr>
      <w:tr>
        <w:trPr>
          <w:trHeight w:val="229"/>
        </w:trPr>
        <w:tc>
          <w:tcPr>
            <w:tcW w:w="10600" w:type="dxa"/>
            <w:vAlign w:val="bottom"/>
          </w:tcPr>
          <w:p>
            <w:pPr>
              <w:ind w:left="340"/>
              <w:spacing w:after="0"/>
              <w:rPr>
                <w:sz w:val="20"/>
                <w:szCs w:val="20"/>
                <w:color w:val="auto"/>
              </w:rPr>
            </w:pPr>
            <w:r>
              <w:rPr>
                <w:rFonts w:ascii="Arial" w:cs="Arial" w:eastAsia="Arial" w:hAnsi="Arial"/>
                <w:sz w:val="18"/>
                <w:szCs w:val="18"/>
                <w:color w:val="0000FF"/>
              </w:rPr>
              <w:t>Item 1. Financial Statements</w:t>
            </w:r>
          </w:p>
        </w:tc>
        <w:tc>
          <w:tcPr>
            <w:tcW w:w="580" w:type="dxa"/>
            <w:vAlign w:val="bottom"/>
          </w:tcPr>
          <w:p>
            <w:pPr>
              <w:jc w:val="right"/>
              <w:spacing w:after="0"/>
              <w:rPr>
                <w:sz w:val="20"/>
                <w:szCs w:val="20"/>
                <w:color w:val="auto"/>
              </w:rPr>
            </w:pPr>
            <w:r>
              <w:rPr>
                <w:rFonts w:ascii="Arial" w:cs="Arial" w:eastAsia="Arial" w:hAnsi="Arial"/>
                <w:sz w:val="18"/>
                <w:szCs w:val="18"/>
                <w:color w:val="0000FF"/>
              </w:rPr>
              <w:t>3</w:t>
            </w:r>
          </w:p>
        </w:tc>
      </w:tr>
      <w:tr>
        <w:trPr>
          <w:trHeight w:val="229"/>
        </w:trPr>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0000FF"/>
              </w:rPr>
              <w:t>Condensed Consolidated Statements of Operations (Unaudited)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0000FF"/>
              </w:rPr>
              <w:t>3</w:t>
            </w:r>
          </w:p>
        </w:tc>
      </w:tr>
      <w:tr>
        <w:trPr>
          <w:trHeight w:val="230"/>
        </w:trPr>
        <w:tc>
          <w:tcPr>
            <w:tcW w:w="10600" w:type="dxa"/>
            <w:vAlign w:val="bottom"/>
          </w:tcPr>
          <w:p>
            <w:pPr>
              <w:ind w:left="340"/>
              <w:spacing w:after="0"/>
              <w:rPr>
                <w:sz w:val="20"/>
                <w:szCs w:val="20"/>
                <w:color w:val="auto"/>
              </w:rPr>
            </w:pPr>
            <w:r>
              <w:rPr>
                <w:rFonts w:ascii="Arial" w:cs="Arial" w:eastAsia="Arial" w:hAnsi="Arial"/>
                <w:sz w:val="18"/>
                <w:szCs w:val="18"/>
                <w:color w:val="0000FF"/>
              </w:rPr>
              <w:t>Condensed Consolidated Statements of Comprehensive Income (Loss) (Unaudited)</w:t>
            </w:r>
          </w:p>
        </w:tc>
        <w:tc>
          <w:tcPr>
            <w:tcW w:w="580" w:type="dxa"/>
            <w:vAlign w:val="bottom"/>
          </w:tcPr>
          <w:p>
            <w:pPr>
              <w:jc w:val="right"/>
              <w:spacing w:after="0"/>
              <w:rPr>
                <w:sz w:val="20"/>
                <w:szCs w:val="20"/>
                <w:color w:val="auto"/>
              </w:rPr>
            </w:pPr>
            <w:r>
              <w:rPr>
                <w:rFonts w:ascii="Arial" w:cs="Arial" w:eastAsia="Arial" w:hAnsi="Arial"/>
                <w:sz w:val="18"/>
                <w:szCs w:val="18"/>
                <w:color w:val="0000FF"/>
              </w:rPr>
              <w:t>4</w:t>
            </w:r>
          </w:p>
        </w:tc>
      </w:tr>
      <w:tr>
        <w:trPr>
          <w:trHeight w:val="229"/>
        </w:trPr>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0000FF"/>
              </w:rPr>
              <w:t>Condensed Consolidated Balance Sheets (Unaudited)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0000FF"/>
              </w:rPr>
              <w:t>5</w:t>
            </w:r>
          </w:p>
        </w:tc>
      </w:tr>
      <w:tr>
        <w:trPr>
          <w:trHeight w:val="230"/>
        </w:trPr>
        <w:tc>
          <w:tcPr>
            <w:tcW w:w="10600" w:type="dxa"/>
            <w:vAlign w:val="bottom"/>
          </w:tcPr>
          <w:p>
            <w:pPr>
              <w:ind w:left="340"/>
              <w:spacing w:after="0"/>
              <w:rPr>
                <w:sz w:val="20"/>
                <w:szCs w:val="20"/>
                <w:color w:val="auto"/>
              </w:rPr>
            </w:pPr>
            <w:r>
              <w:rPr>
                <w:rFonts w:ascii="Arial" w:cs="Arial" w:eastAsia="Arial" w:hAnsi="Arial"/>
                <w:sz w:val="18"/>
                <w:szCs w:val="18"/>
                <w:color w:val="0000FF"/>
              </w:rPr>
              <w:t>Condensed Consolidated Statements of Cash Flows (Unaudited)</w:t>
            </w:r>
          </w:p>
        </w:tc>
        <w:tc>
          <w:tcPr>
            <w:tcW w:w="580" w:type="dxa"/>
            <w:vAlign w:val="bottom"/>
          </w:tcPr>
          <w:p>
            <w:pPr>
              <w:jc w:val="right"/>
              <w:spacing w:after="0"/>
              <w:rPr>
                <w:sz w:val="20"/>
                <w:szCs w:val="20"/>
                <w:color w:val="auto"/>
              </w:rPr>
            </w:pPr>
            <w:r>
              <w:rPr>
                <w:rFonts w:ascii="Arial" w:cs="Arial" w:eastAsia="Arial" w:hAnsi="Arial"/>
                <w:sz w:val="18"/>
                <w:szCs w:val="18"/>
                <w:color w:val="0000FF"/>
              </w:rPr>
              <w:t>6</w:t>
            </w:r>
          </w:p>
        </w:tc>
      </w:tr>
      <w:tr>
        <w:trPr>
          <w:trHeight w:val="229"/>
        </w:trPr>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0000FF"/>
              </w:rPr>
              <w:t>Condensed Consolidated Statements of Equity (Unaudited)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0000FF"/>
              </w:rPr>
              <w:t>7</w:t>
            </w:r>
          </w:p>
        </w:tc>
      </w:tr>
      <w:tr>
        <w:trPr>
          <w:trHeight w:val="229"/>
        </w:trPr>
        <w:tc>
          <w:tcPr>
            <w:tcW w:w="10600" w:type="dxa"/>
            <w:vAlign w:val="bottom"/>
          </w:tcPr>
          <w:p>
            <w:pPr>
              <w:ind w:left="340"/>
              <w:spacing w:after="0"/>
              <w:rPr>
                <w:sz w:val="20"/>
                <w:szCs w:val="20"/>
                <w:color w:val="auto"/>
              </w:rPr>
            </w:pPr>
            <w:r>
              <w:rPr>
                <w:rFonts w:ascii="Arial" w:cs="Arial" w:eastAsia="Arial" w:hAnsi="Arial"/>
                <w:sz w:val="18"/>
                <w:szCs w:val="18"/>
                <w:color w:val="0000FF"/>
              </w:rPr>
              <w:t>Notes to Condensed Consolidated Financial Statements (Unaudited)</w:t>
            </w:r>
          </w:p>
        </w:tc>
        <w:tc>
          <w:tcPr>
            <w:tcW w:w="580" w:type="dxa"/>
            <w:vAlign w:val="bottom"/>
          </w:tcPr>
          <w:p>
            <w:pPr>
              <w:jc w:val="right"/>
              <w:spacing w:after="0"/>
              <w:rPr>
                <w:sz w:val="20"/>
                <w:szCs w:val="20"/>
                <w:color w:val="auto"/>
              </w:rPr>
            </w:pPr>
            <w:r>
              <w:rPr>
                <w:rFonts w:ascii="Arial" w:cs="Arial" w:eastAsia="Arial" w:hAnsi="Arial"/>
                <w:sz w:val="18"/>
                <w:szCs w:val="18"/>
                <w:color w:val="0000FF"/>
              </w:rPr>
              <w:t>8</w:t>
            </w:r>
          </w:p>
        </w:tc>
      </w:tr>
      <w:tr>
        <w:trPr>
          <w:trHeight w:val="230"/>
        </w:trPr>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0000FF"/>
              </w:rPr>
              <w:t>19</w:t>
            </w:r>
          </w:p>
        </w:tc>
      </w:tr>
      <w:tr>
        <w:trPr>
          <w:trHeight w:val="229"/>
        </w:trPr>
        <w:tc>
          <w:tcPr>
            <w:tcW w:w="10600" w:type="dxa"/>
            <w:vAlign w:val="bottom"/>
          </w:tcPr>
          <w:p>
            <w:pPr>
              <w:ind w:left="340"/>
              <w:spacing w:after="0"/>
              <w:rPr>
                <w:sz w:val="20"/>
                <w:szCs w:val="20"/>
                <w:color w:val="auto"/>
              </w:rPr>
            </w:pPr>
            <w:r>
              <w:rPr>
                <w:rFonts w:ascii="Arial" w:cs="Arial" w:eastAsia="Arial" w:hAnsi="Arial"/>
                <w:sz w:val="18"/>
                <w:szCs w:val="18"/>
                <w:color w:val="0000FF"/>
              </w:rPr>
              <w:t>Item 3. Quantitative and Qualitative Disclosures About Market Risk</w:t>
            </w:r>
          </w:p>
        </w:tc>
        <w:tc>
          <w:tcPr>
            <w:tcW w:w="580" w:type="dxa"/>
            <w:vAlign w:val="bottom"/>
          </w:tcPr>
          <w:p>
            <w:pPr>
              <w:jc w:val="right"/>
              <w:spacing w:after="0"/>
              <w:rPr>
                <w:sz w:val="20"/>
                <w:szCs w:val="20"/>
                <w:color w:val="auto"/>
              </w:rPr>
            </w:pPr>
            <w:r>
              <w:rPr>
                <w:rFonts w:ascii="Arial" w:cs="Arial" w:eastAsia="Arial" w:hAnsi="Arial"/>
                <w:sz w:val="18"/>
                <w:szCs w:val="18"/>
                <w:color w:val="0000FF"/>
              </w:rPr>
              <w:t>24</w:t>
            </w:r>
          </w:p>
        </w:tc>
      </w:tr>
      <w:tr>
        <w:trPr>
          <w:trHeight w:val="230"/>
        </w:trPr>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0000FF"/>
              </w:rPr>
              <w:t>Item 4. Controls and Procedures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0000FF"/>
              </w:rPr>
              <w:t>25</w:t>
            </w:r>
          </w:p>
        </w:tc>
      </w:tr>
      <w:tr>
        <w:trPr>
          <w:trHeight w:val="229"/>
        </w:trPr>
        <w:tc>
          <w:tcPr>
            <w:tcW w:w="10600" w:type="dxa"/>
            <w:vAlign w:val="bottom"/>
          </w:tcPr>
          <w:p>
            <w:pPr>
              <w:spacing w:after="0"/>
              <w:rPr>
                <w:sz w:val="20"/>
                <w:szCs w:val="20"/>
                <w:color w:val="auto"/>
              </w:rPr>
            </w:pPr>
            <w:r>
              <w:rPr>
                <w:rFonts w:ascii="Arial" w:cs="Arial" w:eastAsia="Arial" w:hAnsi="Arial"/>
                <w:sz w:val="18"/>
                <w:szCs w:val="18"/>
                <w:b w:val="1"/>
                <w:bCs w:val="1"/>
                <w:color w:val="0000FF"/>
              </w:rPr>
              <w:t>Part II. Other Information</w:t>
            </w:r>
          </w:p>
        </w:tc>
        <w:tc>
          <w:tcPr>
            <w:tcW w:w="580" w:type="dxa"/>
            <w:vAlign w:val="bottom"/>
          </w:tcPr>
          <w:p>
            <w:pPr>
              <w:jc w:val="right"/>
              <w:spacing w:after="0"/>
              <w:rPr>
                <w:sz w:val="20"/>
                <w:szCs w:val="20"/>
                <w:color w:val="auto"/>
              </w:rPr>
            </w:pPr>
            <w:r>
              <w:rPr>
                <w:rFonts w:ascii="Arial" w:cs="Arial" w:eastAsia="Arial" w:hAnsi="Arial"/>
                <w:sz w:val="18"/>
                <w:szCs w:val="18"/>
                <w:color w:val="0000FF"/>
              </w:rPr>
              <w:t>27</w:t>
            </w:r>
          </w:p>
        </w:tc>
      </w:tr>
      <w:tr>
        <w:trPr>
          <w:trHeight w:val="229"/>
        </w:trPr>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0000FF"/>
              </w:rPr>
              <w:t>Item 1. Legal Proceedings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0000FF"/>
              </w:rPr>
              <w:t>27</w:t>
            </w:r>
          </w:p>
        </w:tc>
      </w:tr>
      <w:tr>
        <w:trPr>
          <w:trHeight w:val="230"/>
        </w:trPr>
        <w:tc>
          <w:tcPr>
            <w:tcW w:w="10600" w:type="dxa"/>
            <w:vAlign w:val="bottom"/>
          </w:tcPr>
          <w:p>
            <w:pPr>
              <w:ind w:left="340"/>
              <w:spacing w:after="0"/>
              <w:rPr>
                <w:sz w:val="20"/>
                <w:szCs w:val="20"/>
                <w:color w:val="auto"/>
              </w:rPr>
            </w:pPr>
            <w:r>
              <w:rPr>
                <w:rFonts w:ascii="Arial" w:cs="Arial" w:eastAsia="Arial" w:hAnsi="Arial"/>
                <w:sz w:val="18"/>
                <w:szCs w:val="18"/>
                <w:color w:val="0000FF"/>
              </w:rPr>
              <w:t>Item 1A. Risk Factors</w:t>
            </w:r>
          </w:p>
        </w:tc>
        <w:tc>
          <w:tcPr>
            <w:tcW w:w="580" w:type="dxa"/>
            <w:vAlign w:val="bottom"/>
          </w:tcPr>
          <w:p>
            <w:pPr>
              <w:jc w:val="right"/>
              <w:spacing w:after="0"/>
              <w:rPr>
                <w:sz w:val="20"/>
                <w:szCs w:val="20"/>
                <w:color w:val="auto"/>
              </w:rPr>
            </w:pPr>
            <w:r>
              <w:rPr>
                <w:rFonts w:ascii="Arial" w:cs="Arial" w:eastAsia="Arial" w:hAnsi="Arial"/>
                <w:sz w:val="18"/>
                <w:szCs w:val="18"/>
                <w:color w:val="0000FF"/>
              </w:rPr>
              <w:t>27</w:t>
            </w:r>
          </w:p>
        </w:tc>
      </w:tr>
      <w:tr>
        <w:trPr>
          <w:trHeight w:val="229"/>
        </w:trPr>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0000FF"/>
              </w:rPr>
              <w:t>27</w:t>
            </w:r>
          </w:p>
        </w:tc>
      </w:tr>
      <w:tr>
        <w:trPr>
          <w:trHeight w:val="229"/>
        </w:trPr>
        <w:tc>
          <w:tcPr>
            <w:tcW w:w="10600" w:type="dxa"/>
            <w:vAlign w:val="bottom"/>
          </w:tcPr>
          <w:p>
            <w:pPr>
              <w:ind w:left="340"/>
              <w:spacing w:after="0"/>
              <w:rPr>
                <w:sz w:val="20"/>
                <w:szCs w:val="20"/>
                <w:color w:val="auto"/>
              </w:rPr>
            </w:pPr>
            <w:r>
              <w:rPr>
                <w:rFonts w:ascii="Arial" w:cs="Arial" w:eastAsia="Arial" w:hAnsi="Arial"/>
                <w:sz w:val="18"/>
                <w:szCs w:val="18"/>
                <w:color w:val="0000FF"/>
              </w:rPr>
              <w:t>Item 3. Defaults upon Senior Securities</w:t>
            </w:r>
          </w:p>
        </w:tc>
        <w:tc>
          <w:tcPr>
            <w:tcW w:w="580" w:type="dxa"/>
            <w:vAlign w:val="bottom"/>
          </w:tcPr>
          <w:p>
            <w:pPr>
              <w:jc w:val="right"/>
              <w:spacing w:after="0"/>
              <w:rPr>
                <w:sz w:val="20"/>
                <w:szCs w:val="20"/>
                <w:color w:val="auto"/>
              </w:rPr>
            </w:pPr>
            <w:r>
              <w:rPr>
                <w:rFonts w:ascii="Arial" w:cs="Arial" w:eastAsia="Arial" w:hAnsi="Arial"/>
                <w:sz w:val="18"/>
                <w:szCs w:val="18"/>
                <w:color w:val="0000FF"/>
              </w:rPr>
              <w:t>27</w:t>
            </w:r>
          </w:p>
        </w:tc>
      </w:tr>
      <w:tr>
        <w:trPr>
          <w:trHeight w:val="230"/>
        </w:trPr>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0000FF"/>
              </w:rPr>
              <w:t>Item 4. Mine Safety Disclosures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0000FF"/>
              </w:rPr>
              <w:t>27</w:t>
            </w:r>
          </w:p>
        </w:tc>
      </w:tr>
      <w:tr>
        <w:trPr>
          <w:trHeight w:val="229"/>
        </w:trPr>
        <w:tc>
          <w:tcPr>
            <w:tcW w:w="10600" w:type="dxa"/>
            <w:vAlign w:val="bottom"/>
          </w:tcPr>
          <w:p>
            <w:pPr>
              <w:ind w:left="340"/>
              <w:spacing w:after="0"/>
              <w:rPr>
                <w:sz w:val="20"/>
                <w:szCs w:val="20"/>
                <w:color w:val="auto"/>
              </w:rPr>
            </w:pPr>
            <w:r>
              <w:rPr>
                <w:rFonts w:ascii="Arial" w:cs="Arial" w:eastAsia="Arial" w:hAnsi="Arial"/>
                <w:sz w:val="18"/>
                <w:szCs w:val="18"/>
                <w:color w:val="0000FF"/>
              </w:rPr>
              <w:t>Item 5. Other Information</w:t>
            </w:r>
          </w:p>
        </w:tc>
        <w:tc>
          <w:tcPr>
            <w:tcW w:w="580" w:type="dxa"/>
            <w:vAlign w:val="bottom"/>
          </w:tcPr>
          <w:p>
            <w:pPr>
              <w:jc w:val="right"/>
              <w:spacing w:after="0"/>
              <w:rPr>
                <w:sz w:val="20"/>
                <w:szCs w:val="20"/>
                <w:color w:val="auto"/>
              </w:rPr>
            </w:pPr>
            <w:r>
              <w:rPr>
                <w:rFonts w:ascii="Arial" w:cs="Arial" w:eastAsia="Arial" w:hAnsi="Arial"/>
                <w:sz w:val="18"/>
                <w:szCs w:val="18"/>
                <w:color w:val="0000FF"/>
              </w:rPr>
              <w:t>27</w:t>
            </w:r>
          </w:p>
        </w:tc>
      </w:tr>
      <w:tr>
        <w:trPr>
          <w:trHeight w:val="230"/>
        </w:trPr>
        <w:tc>
          <w:tcPr>
            <w:tcW w:w="10600" w:type="dxa"/>
            <w:vAlign w:val="bottom"/>
            <w:shd w:val="clear" w:color="auto" w:fill="CCEEFF"/>
          </w:tcPr>
          <w:p>
            <w:pPr>
              <w:ind w:left="340"/>
              <w:spacing w:after="0"/>
              <w:rPr>
                <w:sz w:val="20"/>
                <w:szCs w:val="20"/>
                <w:color w:val="auto"/>
              </w:rPr>
            </w:pPr>
            <w:r>
              <w:rPr>
                <w:rFonts w:ascii="Arial" w:cs="Arial" w:eastAsia="Arial" w:hAnsi="Arial"/>
                <w:sz w:val="18"/>
                <w:szCs w:val="18"/>
                <w:color w:val="0000FF"/>
              </w:rPr>
              <w:t>Item 6. Exhibits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0000FF"/>
              </w:rPr>
              <w:t>28</w:t>
            </w:r>
          </w:p>
        </w:tc>
      </w:tr>
      <w:tr>
        <w:trPr>
          <w:trHeight w:val="230"/>
        </w:trPr>
        <w:tc>
          <w:tcPr>
            <w:tcW w:w="10600" w:type="dxa"/>
            <w:vAlign w:val="bottom"/>
          </w:tcPr>
          <w:p>
            <w:pPr>
              <w:spacing w:after="0"/>
              <w:rPr>
                <w:sz w:val="20"/>
                <w:szCs w:val="20"/>
                <w:color w:val="auto"/>
              </w:rPr>
            </w:pPr>
            <w:r>
              <w:rPr>
                <w:rFonts w:ascii="Arial" w:cs="Arial" w:eastAsia="Arial" w:hAnsi="Arial"/>
                <w:sz w:val="18"/>
                <w:szCs w:val="18"/>
                <w:b w:val="1"/>
                <w:bCs w:val="1"/>
                <w:color w:val="0000FF"/>
              </w:rPr>
              <w:t>Signatures</w:t>
            </w:r>
          </w:p>
        </w:tc>
        <w:tc>
          <w:tcPr>
            <w:tcW w:w="580" w:type="dxa"/>
            <w:vAlign w:val="bottom"/>
          </w:tcPr>
          <w:p>
            <w:pPr>
              <w:jc w:val="right"/>
              <w:spacing w:after="0"/>
              <w:rPr>
                <w:sz w:val="20"/>
                <w:szCs w:val="20"/>
                <w:color w:val="auto"/>
              </w:rPr>
            </w:pPr>
            <w:r>
              <w:rPr>
                <w:rFonts w:ascii="Arial" w:cs="Arial" w:eastAsia="Arial" w:hAnsi="Arial"/>
                <w:sz w:val="18"/>
                <w:szCs w:val="18"/>
                <w:color w:val="0000FF"/>
              </w:rPr>
              <w:t>29</w:t>
            </w:r>
          </w:p>
        </w:tc>
      </w:tr>
      <w:tr>
        <w:trPr>
          <w:trHeight w:val="230"/>
        </w:trPr>
        <w:tc>
          <w:tcPr>
            <w:tcW w:w="10600" w:type="dxa"/>
            <w:vAlign w:val="bottom"/>
            <w:shd w:val="clear" w:color="auto" w:fill="CCEEFF"/>
          </w:tcPr>
          <w:p>
            <w:pPr>
              <w:spacing w:after="0"/>
              <w:rPr>
                <w:sz w:val="20"/>
                <w:szCs w:val="20"/>
                <w:color w:val="auto"/>
              </w:rPr>
            </w:pPr>
            <w:r>
              <w:rPr>
                <w:rFonts w:ascii="Arial" w:cs="Arial" w:eastAsia="Arial" w:hAnsi="Arial"/>
                <w:sz w:val="18"/>
                <w:szCs w:val="18"/>
                <w:b w:val="1"/>
                <w:bCs w:val="1"/>
                <w:color w:val="0000FF"/>
              </w:rPr>
              <w:t>Exhibit Index</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0000FF"/>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93" w:right="359" w:bottom="1440" w:gutter="0" w:footer="0" w:header="0"/>
        </w:sectPr>
      </w:pPr>
    </w:p>
    <w:bookmarkStart w:id="2" w:name="page3"/>
    <w:bookmarkEnd w:id="2"/>
    <w:p>
      <w:pPr>
        <w:spacing w:after="0"/>
        <w:tabs>
          <w:tab w:leader="none" w:pos="840" w:val="left"/>
        </w:tabs>
        <w:rPr>
          <w:sz w:val="20"/>
          <w:szCs w:val="20"/>
          <w:color w:val="auto"/>
        </w:rPr>
      </w:pPr>
      <w:r>
        <w:rPr>
          <w:rFonts w:ascii="Arial" w:cs="Arial" w:eastAsia="Arial" w:hAnsi="Arial"/>
          <w:sz w:val="18"/>
          <w:szCs w:val="18"/>
          <w:b w:val="1"/>
          <w:bCs w:val="1"/>
          <w:color w:val="auto"/>
        </w:rPr>
        <w:t>PART I.</w:t>
        <w:tab/>
        <w:t>FINANCIAL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AVIAT NETWORKS,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6"/>
                <w:szCs w:val="16"/>
                <w:b w:val="1"/>
                <w:bCs w:val="1"/>
                <w:color w:val="auto"/>
              </w:rPr>
              <w:t>Three Months Ended</w:t>
            </w:r>
          </w:p>
        </w:tc>
      </w:tr>
      <w:tr>
        <w:trPr>
          <w:trHeight w:val="158"/>
        </w:trPr>
        <w:tc>
          <w:tcPr>
            <w:tcW w:w="8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September 29,</w:t>
            </w:r>
          </w:p>
        </w:tc>
        <w:tc>
          <w:tcPr>
            <w:tcW w:w="180" w:type="dxa"/>
            <w:vAlign w:val="bottom"/>
          </w:tcPr>
          <w:p>
            <w:pPr>
              <w:spacing w:after="0"/>
              <w:rPr>
                <w:sz w:val="13"/>
                <w:szCs w:val="13"/>
                <w:color w:val="auto"/>
              </w:rPr>
            </w:pPr>
          </w:p>
        </w:tc>
        <w:tc>
          <w:tcPr>
            <w:tcW w:w="1360" w:type="dxa"/>
            <w:vAlign w:val="bottom"/>
          </w:tcPr>
          <w:p>
            <w:pPr>
              <w:jc w:val="right"/>
              <w:ind w:right="191"/>
              <w:spacing w:after="0" w:line="158" w:lineRule="exact"/>
              <w:rPr>
                <w:sz w:val="20"/>
                <w:szCs w:val="20"/>
                <w:color w:val="auto"/>
              </w:rPr>
            </w:pPr>
            <w:r>
              <w:rPr>
                <w:rFonts w:ascii="Arial" w:cs="Arial" w:eastAsia="Arial" w:hAnsi="Arial"/>
                <w:sz w:val="16"/>
                <w:szCs w:val="16"/>
                <w:b w:val="1"/>
                <w:bCs w:val="1"/>
                <w:color w:val="auto"/>
                <w:w w:val="96"/>
              </w:rPr>
              <w:t>September 30,</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2022</w:t>
            </w:r>
          </w:p>
        </w:tc>
      </w:tr>
      <w:tr>
        <w:trPr>
          <w:trHeight w:val="212"/>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Product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59,545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55,101</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26,150</w:t>
            </w:r>
          </w:p>
        </w:tc>
      </w:tr>
      <w:tr>
        <w:trPr>
          <w:trHeight w:val="223"/>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87,566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81,251</w:t>
            </w:r>
          </w:p>
        </w:tc>
      </w:tr>
      <w:tr>
        <w:trPr>
          <w:trHeight w:val="21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8000" w:type="dxa"/>
            <w:vAlign w:val="bottom"/>
          </w:tcPr>
          <w:p>
            <w:pPr>
              <w:ind w:left="20"/>
              <w:spacing w:after="0"/>
              <w:rPr>
                <w:sz w:val="20"/>
                <w:szCs w:val="20"/>
                <w:color w:val="auto"/>
              </w:rPr>
            </w:pPr>
            <w:r>
              <w:rPr>
                <w:rFonts w:ascii="Arial" w:cs="Arial" w:eastAsia="Arial" w:hAnsi="Arial"/>
                <w:sz w:val="18"/>
                <w:szCs w:val="18"/>
                <w:color w:val="auto"/>
              </w:rPr>
              <w:t>Product sales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36,313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35,253</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16,544</w:t>
            </w:r>
          </w:p>
        </w:tc>
      </w:tr>
      <w:tr>
        <w:trPr>
          <w:trHeight w:val="223"/>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cost of revenues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55,714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51,797</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29,454</w:t>
            </w:r>
          </w:p>
        </w:tc>
      </w:tr>
      <w:tr>
        <w:trPr>
          <w:trHeight w:val="209"/>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6,087</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Selling and administrative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17,504</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r>
      <w:tr>
        <w:trPr>
          <w:trHeight w:val="223"/>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26,305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25,541</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net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r>
      <w:tr>
        <w:trPr>
          <w:trHeight w:val="229"/>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3,877</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per share of common stock outstanding:</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000" w:type="dxa"/>
            <w:vAlign w:val="bottom"/>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23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Weighted-average shares outstanding:</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w:t>
            </w: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11,200</w:t>
            </w:r>
          </w:p>
        </w:tc>
      </w:tr>
    </w:tbl>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6"/>
                <w:szCs w:val="16"/>
                <w:b w:val="1"/>
                <w:bCs w:val="1"/>
                <w:color w:val="auto"/>
              </w:rPr>
              <w:t>Three Months Ended</w:t>
            </w:r>
          </w:p>
        </w:tc>
      </w:tr>
      <w:tr>
        <w:trPr>
          <w:trHeight w:val="158"/>
        </w:trPr>
        <w:tc>
          <w:tcPr>
            <w:tcW w:w="8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September 29,</w:t>
            </w:r>
          </w:p>
        </w:tc>
        <w:tc>
          <w:tcPr>
            <w:tcW w:w="180" w:type="dxa"/>
            <w:vAlign w:val="bottom"/>
          </w:tcPr>
          <w:p>
            <w:pPr>
              <w:spacing w:after="0"/>
              <w:rPr>
                <w:sz w:val="13"/>
                <w:szCs w:val="13"/>
                <w:color w:val="auto"/>
              </w:rPr>
            </w:pPr>
          </w:p>
        </w:tc>
        <w:tc>
          <w:tcPr>
            <w:tcW w:w="1360" w:type="dxa"/>
            <w:vAlign w:val="bottom"/>
          </w:tcPr>
          <w:p>
            <w:pPr>
              <w:jc w:val="right"/>
              <w:ind w:right="193"/>
              <w:spacing w:after="0" w:line="158" w:lineRule="exact"/>
              <w:rPr>
                <w:sz w:val="20"/>
                <w:szCs w:val="20"/>
                <w:color w:val="auto"/>
              </w:rPr>
            </w:pPr>
            <w:r>
              <w:rPr>
                <w:rFonts w:ascii="Arial" w:cs="Arial" w:eastAsia="Arial" w:hAnsi="Arial"/>
                <w:sz w:val="16"/>
                <w:szCs w:val="16"/>
                <w:b w:val="1"/>
                <w:bCs w:val="1"/>
                <w:color w:val="auto"/>
                <w:w w:val="96"/>
              </w:rPr>
              <w:t>September 30,</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2022</w:t>
            </w:r>
          </w:p>
        </w:tc>
      </w:tr>
      <w:tr>
        <w:trPr>
          <w:trHeight w:val="226"/>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w:t>
            </w: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change in cumulative translation adjustments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r>
      <w:tr>
        <w:trPr>
          <w:trHeight w:val="22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93"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29,</w:t>
            </w:r>
          </w:p>
        </w:tc>
        <w:tc>
          <w:tcPr>
            <w:tcW w:w="300" w:type="dxa"/>
            <w:vAlign w:val="bottom"/>
          </w:tcPr>
          <w:p>
            <w:pPr>
              <w:spacing w:after="0"/>
              <w:rPr>
                <w:sz w:val="16"/>
                <w:szCs w:val="16"/>
                <w:color w:val="auto"/>
              </w:rPr>
            </w:pPr>
          </w:p>
        </w:tc>
        <w:tc>
          <w:tcPr>
            <w:tcW w:w="1260" w:type="dxa"/>
            <w:vAlign w:val="bottom"/>
          </w:tcPr>
          <w:p>
            <w:pPr>
              <w:jc w:val="right"/>
              <w:ind w:right="391"/>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3"/>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share and par value amounts)</w:t>
            </w:r>
          </w:p>
        </w:tc>
        <w:tc>
          <w:tcPr>
            <w:tcW w:w="3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2"/>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22,242</w:t>
            </w:r>
          </w:p>
        </w:tc>
        <w:tc>
          <w:tcPr>
            <w:tcW w:w="0" w:type="dxa"/>
            <w:vAlign w:val="bottom"/>
          </w:tcPr>
          <w:p>
            <w:pPr>
              <w:spacing w:after="0"/>
              <w:rPr>
                <w:sz w:val="1"/>
                <w:szCs w:val="1"/>
                <w:color w:val="auto"/>
              </w:rPr>
            </w:pPr>
          </w:p>
        </w:tc>
      </w:tr>
      <w:tr>
        <w:trPr>
          <w:trHeight w:val="230"/>
        </w:trPr>
        <w:tc>
          <w:tcPr>
            <w:tcW w:w="7700" w:type="dxa"/>
            <w:vAlign w:val="bottom"/>
          </w:tcPr>
          <w:p>
            <w:pPr>
              <w:ind w:left="220"/>
              <w:spacing w:after="0"/>
              <w:rPr>
                <w:sz w:val="20"/>
                <w:szCs w:val="20"/>
                <w:color w:val="auto"/>
              </w:rPr>
            </w:pPr>
            <w:r>
              <w:rPr>
                <w:rFonts w:ascii="Arial" w:cs="Arial" w:eastAsia="Arial" w:hAnsi="Arial"/>
                <w:sz w:val="18"/>
                <w:szCs w:val="18"/>
                <w:color w:val="auto"/>
              </w:rPr>
              <w:t>Accounts receivable, net of allowances of $726 and $719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94,497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101,653</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Unbilled receivables</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58,588</w:t>
            </w:r>
          </w:p>
        </w:tc>
        <w:tc>
          <w:tcPr>
            <w:tcW w:w="0" w:type="dxa"/>
            <w:vAlign w:val="bottom"/>
          </w:tcPr>
          <w:p>
            <w:pPr>
              <w:spacing w:after="0"/>
              <w:rPr>
                <w:sz w:val="1"/>
                <w:szCs w:val="1"/>
                <w:color w:val="auto"/>
              </w:rPr>
            </w:pPr>
          </w:p>
        </w:tc>
      </w:tr>
      <w:tr>
        <w:trPr>
          <w:trHeight w:val="230"/>
        </w:trPr>
        <w:tc>
          <w:tcPr>
            <w:tcW w:w="770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30,659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33,057</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22,164</w:t>
            </w:r>
          </w:p>
        </w:tc>
        <w:tc>
          <w:tcPr>
            <w:tcW w:w="0" w:type="dxa"/>
            <w:vAlign w:val="bottom"/>
          </w:tcPr>
          <w:p>
            <w:pPr>
              <w:spacing w:after="0"/>
              <w:rPr>
                <w:sz w:val="1"/>
                <w:szCs w:val="1"/>
                <w:color w:val="auto"/>
              </w:rPr>
            </w:pPr>
          </w:p>
        </w:tc>
      </w:tr>
      <w:tr>
        <w:trPr>
          <w:trHeight w:val="223"/>
        </w:trPr>
        <w:tc>
          <w:tcPr>
            <w:tcW w:w="77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244,410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237,704</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9,046</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86,452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86,650</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13,978</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364,496</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61,767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60,141</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24,442</w:t>
            </w:r>
          </w:p>
        </w:tc>
        <w:tc>
          <w:tcPr>
            <w:tcW w:w="0" w:type="dxa"/>
            <w:vAlign w:val="bottom"/>
          </w:tcPr>
          <w:p>
            <w:pPr>
              <w:spacing w:after="0"/>
              <w:rPr>
                <w:sz w:val="1"/>
                <w:szCs w:val="1"/>
                <w:color w:val="auto"/>
              </w:rPr>
            </w:pPr>
          </w:p>
        </w:tc>
      </w:tr>
      <w:tr>
        <w:trPr>
          <w:trHeight w:val="230"/>
        </w:trPr>
        <w:tc>
          <w:tcPr>
            <w:tcW w:w="7700" w:type="dxa"/>
            <w:vAlign w:val="bottom"/>
          </w:tcPr>
          <w:p>
            <w:pPr>
              <w:ind w:left="220"/>
              <w:spacing w:after="0"/>
              <w:rPr>
                <w:sz w:val="20"/>
                <w:szCs w:val="20"/>
                <w:color w:val="auto"/>
              </w:rPr>
            </w:pPr>
            <w:r>
              <w:rPr>
                <w:rFonts w:ascii="Arial" w:cs="Arial" w:eastAsia="Arial" w:hAnsi="Arial"/>
                <w:sz w:val="18"/>
                <w:szCs w:val="18"/>
                <w:color w:val="auto"/>
              </w:rPr>
              <w:t>Short-term lease liabilities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 payments and unearned revenue</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44,268</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Restructuring liabilities</w:t>
            </w: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130,061</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Unearned revenue</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7,416</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lease liabilities</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 for uncertain tax positions</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144,398</w:t>
            </w: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rPr>
                <w:sz w:val="20"/>
                <w:szCs w:val="20"/>
                <w:color w:val="auto"/>
              </w:rPr>
            </w:pPr>
            <w:r>
              <w:rPr>
                <w:rFonts w:ascii="Arial" w:cs="Arial" w:eastAsia="Arial" w:hAnsi="Arial"/>
                <w:sz w:val="18"/>
                <w:szCs w:val="18"/>
                <w:color w:val="auto"/>
              </w:rPr>
              <w:t>Commitments and contingencies (Note 13)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20"/>
              <w:spacing w:after="0"/>
              <w:rPr>
                <w:sz w:val="20"/>
                <w:szCs w:val="20"/>
                <w:color w:val="auto"/>
              </w:rPr>
            </w:pPr>
            <w:r>
              <w:rPr>
                <w:rFonts w:ascii="Arial" w:cs="Arial" w:eastAsia="Arial" w:hAnsi="Arial"/>
                <w:sz w:val="18"/>
                <w:szCs w:val="18"/>
                <w:color w:val="auto"/>
              </w:rPr>
              <w:t>Preferred stock, $0.01 par value, 50.0 million shares authorized, none issued</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7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Common stock, $0.01 par value, 300.0 million shares authorized, 11.7 million shares issued</w:t>
            </w:r>
          </w:p>
        </w:tc>
        <w:tc>
          <w:tcPr>
            <w:tcW w:w="520" w:type="dxa"/>
            <w:vAlign w:val="bottom"/>
            <w:gridSpan w:val="2"/>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w w:val="93"/>
              </w:rPr>
              <w:t>and</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49"/>
        </w:trPr>
        <w:tc>
          <w:tcPr>
            <w:tcW w:w="770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w w:val="96"/>
              </w:rPr>
              <w:t>outstanding at September 29, 2023; 11.5 million shares issued and outstanding at June 30, 2023</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7700" w:type="dxa"/>
            <w:vAlign w:val="bottom"/>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7700" w:type="dxa"/>
            <w:vAlign w:val="bottom"/>
          </w:tcPr>
          <w:p>
            <w:pPr>
              <w:ind w:left="220"/>
              <w:spacing w:after="0"/>
              <w:rPr>
                <w:sz w:val="20"/>
                <w:szCs w:val="20"/>
                <w:color w:val="auto"/>
              </w:rPr>
            </w:pPr>
            <w:r>
              <w:rPr>
                <w:rFonts w:ascii="Arial" w:cs="Arial" w:eastAsia="Arial" w:hAnsi="Arial"/>
                <w:sz w:val="18"/>
                <w:szCs w:val="18"/>
                <w:color w:val="auto"/>
              </w:rPr>
              <w:t>Treasury stock</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(6,147)</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paid-in-capital</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832,060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830,048</w:t>
            </w:r>
          </w:p>
        </w:tc>
        <w:tc>
          <w:tcPr>
            <w:tcW w:w="0" w:type="dxa"/>
            <w:vAlign w:val="bottom"/>
          </w:tcPr>
          <w:p>
            <w:pPr>
              <w:spacing w:after="0"/>
              <w:rPr>
                <w:sz w:val="1"/>
                <w:szCs w:val="1"/>
                <w:color w:val="auto"/>
              </w:rPr>
            </w:pPr>
          </w:p>
        </w:tc>
      </w:tr>
      <w:tr>
        <w:trPr>
          <w:trHeight w:val="230"/>
        </w:trPr>
        <w:tc>
          <w:tcPr>
            <w:tcW w:w="770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(583,909)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(587,914)</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(16,004)</w:t>
            </w:r>
          </w:p>
        </w:tc>
        <w:tc>
          <w:tcPr>
            <w:tcW w:w="0" w:type="dxa"/>
            <w:vAlign w:val="bottom"/>
          </w:tcPr>
          <w:p>
            <w:pPr>
              <w:spacing w:after="0"/>
              <w:rPr>
                <w:sz w:val="1"/>
                <w:szCs w:val="1"/>
                <w:color w:val="auto"/>
              </w:rPr>
            </w:pPr>
          </w:p>
        </w:tc>
      </w:tr>
      <w:tr>
        <w:trPr>
          <w:trHeight w:val="223"/>
        </w:trPr>
        <w:tc>
          <w:tcPr>
            <w:tcW w:w="77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226,150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220,098</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370,299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364,496</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6"/>
                <w:szCs w:val="16"/>
                <w:b w:val="1"/>
                <w:bCs w:val="1"/>
                <w:color w:val="auto"/>
              </w:rPr>
              <w:t>Three Months Ended</w:t>
            </w:r>
          </w:p>
        </w:tc>
      </w:tr>
      <w:tr>
        <w:trPr>
          <w:trHeight w:val="159"/>
        </w:trPr>
        <w:tc>
          <w:tcPr>
            <w:tcW w:w="8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September 29,</w:t>
            </w:r>
          </w:p>
        </w:tc>
        <w:tc>
          <w:tcPr>
            <w:tcW w:w="180" w:type="dxa"/>
            <w:vAlign w:val="bottom"/>
          </w:tcPr>
          <w:p>
            <w:pPr>
              <w:spacing w:after="0"/>
              <w:rPr>
                <w:sz w:val="13"/>
                <w:szCs w:val="13"/>
                <w:color w:val="auto"/>
              </w:rPr>
            </w:pPr>
          </w:p>
        </w:tc>
        <w:tc>
          <w:tcPr>
            <w:tcW w:w="1360" w:type="dxa"/>
            <w:vAlign w:val="bottom"/>
          </w:tcPr>
          <w:p>
            <w:pPr>
              <w:jc w:val="right"/>
              <w:ind w:right="191"/>
              <w:spacing w:after="0" w:line="158" w:lineRule="exact"/>
              <w:rPr>
                <w:sz w:val="20"/>
                <w:szCs w:val="20"/>
                <w:color w:val="auto"/>
              </w:rPr>
            </w:pPr>
            <w:r>
              <w:rPr>
                <w:rFonts w:ascii="Arial" w:cs="Arial" w:eastAsia="Arial" w:hAnsi="Arial"/>
                <w:sz w:val="16"/>
                <w:szCs w:val="16"/>
                <w:b w:val="1"/>
                <w:bCs w:val="1"/>
                <w:color w:val="auto"/>
                <w:w w:val="96"/>
              </w:rPr>
              <w:t>September 30,</w:t>
            </w:r>
          </w:p>
        </w:tc>
      </w:tr>
      <w:tr>
        <w:trPr>
          <w:trHeight w:val="21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2022</w:t>
            </w:r>
          </w:p>
        </w:tc>
      </w:tr>
      <w:tr>
        <w:trPr>
          <w:trHeight w:val="212"/>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80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4,005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(2,746)</w:t>
            </w:r>
          </w:p>
        </w:tc>
      </w:tr>
      <w:tr>
        <w:trPr>
          <w:trHeight w:val="229"/>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Depreciation of property, plant and equipment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1,344</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Provision for uncollectible receivables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Deferred taxes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3,338</w:t>
            </w: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Charges for inventory write-downs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Noncash lease expense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loss on marketable securities</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Other non-cash operating activities,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7,043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4,279</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Unbilled receivables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w:t>
            </w: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(2,727)</w:t>
            </w: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(2,619)</w:t>
            </w: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 payments and unearned revenue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 and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(3,351)</w:t>
            </w:r>
          </w:p>
        </w:tc>
      </w:tr>
      <w:tr>
        <w:trPr>
          <w:trHeight w:val="223"/>
        </w:trPr>
        <w:tc>
          <w:tcPr>
            <w:tcW w:w="8000" w:type="dxa"/>
            <w:vAlign w:val="bottom"/>
          </w:tcPr>
          <w:p>
            <w:pPr>
              <w:ind w:left="46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(6,314)</w:t>
            </w:r>
          </w:p>
        </w:tc>
      </w:tr>
      <w:tr>
        <w:trPr>
          <w:trHeight w:val="230"/>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000" w:type="dxa"/>
            <w:vAlign w:val="bottom"/>
          </w:tcPr>
          <w:p>
            <w:pPr>
              <w:ind w:left="220"/>
              <w:spacing w:after="0"/>
              <w:rPr>
                <w:sz w:val="20"/>
                <w:szCs w:val="20"/>
                <w:color w:val="auto"/>
              </w:rPr>
            </w:pPr>
            <w:r>
              <w:rPr>
                <w:rFonts w:ascii="Arial" w:cs="Arial" w:eastAsia="Arial" w:hAnsi="Arial"/>
                <w:sz w:val="18"/>
                <w:szCs w:val="18"/>
                <w:color w:val="auto"/>
              </w:rPr>
              <w:t>Payments for acquisition of property, plant and equipment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(474)</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marketable securities</w:t>
            </w: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7,907</w:t>
            </w: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Acquisition, net of cash acquired and purchases of intangible assets</w:t>
            </w:r>
          </w:p>
        </w:tc>
        <w:tc>
          <w:tcPr>
            <w:tcW w:w="18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(15,769)</w:t>
            </w:r>
          </w:p>
        </w:tc>
      </w:tr>
      <w:tr>
        <w:trPr>
          <w:trHeight w:val="223"/>
        </w:trPr>
        <w:tc>
          <w:tcPr>
            <w:tcW w:w="80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(8,336)</w:t>
            </w:r>
          </w:p>
        </w:tc>
      </w:tr>
      <w:tr>
        <w:trPr>
          <w:trHeight w:val="210"/>
        </w:trPr>
        <w:tc>
          <w:tcPr>
            <w:tcW w:w="80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borrowings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30"/>
        </w:trPr>
        <w:tc>
          <w:tcPr>
            <w:tcW w:w="8000" w:type="dxa"/>
            <w:vAlign w:val="bottom"/>
          </w:tcPr>
          <w:p>
            <w:pPr>
              <w:ind w:left="220"/>
              <w:spacing w:after="0"/>
              <w:rPr>
                <w:sz w:val="20"/>
                <w:szCs w:val="20"/>
                <w:color w:val="auto"/>
              </w:rPr>
            </w:pPr>
            <w:r>
              <w:rPr>
                <w:rFonts w:ascii="Arial" w:cs="Arial" w:eastAsia="Arial" w:hAnsi="Arial"/>
                <w:sz w:val="18"/>
                <w:szCs w:val="18"/>
                <w:color w:val="auto"/>
              </w:rPr>
              <w:t>Repayments of borrowings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(25,200)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30"/>
        </w:trPr>
        <w:tc>
          <w:tcPr>
            <w:tcW w:w="8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for taxes related to net settlement of equity awards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30"/>
        </w:trPr>
        <w:tc>
          <w:tcPr>
            <w:tcW w:w="8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Proceeds from issuance of common stock under employee stock plans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r>
      <w:tr>
        <w:trPr>
          <w:trHeight w:val="223"/>
        </w:trPr>
        <w:tc>
          <w:tcPr>
            <w:tcW w:w="80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23"/>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r>
      <w:tr>
        <w:trPr>
          <w:trHeight w:val="223"/>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(15,307)</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37,104</w:t>
            </w:r>
          </w:p>
        </w:tc>
      </w:tr>
      <w:tr>
        <w:trPr>
          <w:trHeight w:val="248"/>
        </w:trPr>
        <w:tc>
          <w:tcPr>
            <w:tcW w:w="8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21,797</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93" w:right="3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20" w:type="dxa"/>
            <w:vAlign w:val="bottom"/>
            <w:gridSpan w:val="8"/>
          </w:tcPr>
          <w:p>
            <w:pPr>
              <w:ind w:left="420"/>
              <w:spacing w:after="0"/>
              <w:rPr>
                <w:sz w:val="20"/>
                <w:szCs w:val="20"/>
                <w:color w:val="auto"/>
              </w:rPr>
            </w:pPr>
            <w:r>
              <w:rPr>
                <w:rFonts w:ascii="Arial" w:cs="Arial" w:eastAsia="Arial" w:hAnsi="Arial"/>
                <w:sz w:val="14"/>
                <w:szCs w:val="14"/>
                <w:b w:val="1"/>
                <w:bCs w:val="1"/>
                <w:color w:val="auto"/>
              </w:rPr>
              <w:t>Three Months Ended September 29, 2023</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8"/>
          </w:tcPr>
          <w:p>
            <w:pPr>
              <w:ind w:left="520"/>
              <w:spacing w:after="0"/>
              <w:rPr>
                <w:sz w:val="20"/>
                <w:szCs w:val="20"/>
                <w:color w:val="auto"/>
              </w:rPr>
            </w:pPr>
            <w:r>
              <w:rPr>
                <w:rFonts w:ascii="Arial" w:cs="Arial" w:eastAsia="Arial" w:hAnsi="Arial"/>
                <w:sz w:val="14"/>
                <w:szCs w:val="14"/>
                <w:b w:val="1"/>
                <w:bCs w:val="1"/>
                <w:color w:val="auto"/>
              </w:rPr>
              <w:t>Common Stock</w:t>
            </w: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Treasury Stock</w:t>
            </w:r>
          </w:p>
        </w:tc>
        <w:tc>
          <w:tcPr>
            <w:tcW w:w="120" w:type="dxa"/>
            <w:vAlign w:val="bottom"/>
          </w:tcPr>
          <w:p>
            <w:pPr>
              <w:spacing w:after="0"/>
              <w:rPr>
                <w:sz w:val="24"/>
                <w:szCs w:val="2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
                <w:szCs w:val="2"/>
                <w:color w:val="auto"/>
              </w:rPr>
            </w:pPr>
          </w:p>
        </w:tc>
        <w:tc>
          <w:tcPr>
            <w:tcW w:w="14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Accumulated Other</w:t>
            </w: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60" w:type="dxa"/>
            <w:vAlign w:val="bottom"/>
            <w:gridSpan w:val="2"/>
            <w:vMerge w:val="restart"/>
          </w:tcPr>
          <w:p>
            <w:pPr>
              <w:ind w:left="20"/>
              <w:spacing w:after="0"/>
              <w:rPr>
                <w:sz w:val="20"/>
                <w:szCs w:val="20"/>
                <w:color w:val="auto"/>
              </w:rPr>
            </w:pPr>
            <w:r>
              <w:rPr>
                <w:rFonts w:ascii="Arial" w:cs="Arial" w:eastAsia="Arial" w:hAnsi="Arial"/>
                <w:sz w:val="16"/>
                <w:szCs w:val="16"/>
                <w:color w:val="auto"/>
              </w:rPr>
              <w:t>(In thousands)</w:t>
            </w:r>
          </w:p>
        </w:tc>
        <w:tc>
          <w:tcPr>
            <w:tcW w:w="10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41"/>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22"/>
              <w:spacing w:after="0" w:line="142" w:lineRule="exact"/>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16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7"/>
                <w:szCs w:val="17"/>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w w:val="97"/>
              </w:rPr>
              <w:t>Comprehensive Loss</w:t>
            </w:r>
          </w:p>
        </w:tc>
        <w:tc>
          <w:tcPr>
            <w:tcW w:w="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11,518</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115</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830,048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(587,914)</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(16,004)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64"/>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220,098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6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4,005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 comprehensive income</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160" w:type="dxa"/>
            <w:vAlign w:val="bottom"/>
            <w:gridSpan w:val="2"/>
          </w:tcPr>
          <w:p>
            <w:pPr>
              <w:ind w:left="200"/>
              <w:spacing w:after="0" w:line="166" w:lineRule="exact"/>
              <w:rPr>
                <w:sz w:val="20"/>
                <w:szCs w:val="20"/>
                <w:color w:val="auto"/>
              </w:rPr>
            </w:pPr>
            <w:r>
              <w:rPr>
                <w:rFonts w:ascii="Arial" w:cs="Arial" w:eastAsia="Arial" w:hAnsi="Arial"/>
                <w:sz w:val="16"/>
                <w:szCs w:val="16"/>
                <w:color w:val="auto"/>
                <w:w w:val="95"/>
              </w:rPr>
              <w:t>Issuance of common stock under employee</w:t>
            </w: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204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gridSpan w:val="2"/>
          </w:tcPr>
          <w:p>
            <w:pPr>
              <w:ind w:left="200"/>
              <w:spacing w:after="0"/>
              <w:rPr>
                <w:sz w:val="20"/>
                <w:szCs w:val="20"/>
                <w:color w:val="auto"/>
              </w:rPr>
            </w:pPr>
            <w:r>
              <w:rPr>
                <w:rFonts w:ascii="Arial" w:cs="Arial" w:eastAsia="Arial" w:hAnsi="Arial"/>
                <w:sz w:val="16"/>
                <w:szCs w:val="16"/>
                <w:color w:val="auto"/>
              </w:rPr>
              <w:t>stock plans</w:t>
            </w: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160" w:type="dxa"/>
            <w:vAlign w:val="bottom"/>
            <w:gridSpan w:val="2"/>
            <w:shd w:val="clear" w:color="auto" w:fill="CCEEFF"/>
          </w:tcPr>
          <w:p>
            <w:pPr>
              <w:ind w:left="200"/>
              <w:spacing w:after="0" w:line="169" w:lineRule="exact"/>
              <w:rPr>
                <w:sz w:val="20"/>
                <w:szCs w:val="20"/>
                <w:color w:val="auto"/>
              </w:rPr>
            </w:pPr>
            <w:r>
              <w:rPr>
                <w:rFonts w:ascii="Arial" w:cs="Arial" w:eastAsia="Arial" w:hAnsi="Arial"/>
                <w:sz w:val="16"/>
                <w:szCs w:val="16"/>
                <w:color w:val="auto"/>
                <w:w w:val="96"/>
              </w:rPr>
              <w:t>Shares withheld for taxes related to vesting</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of equity awards</w:t>
            </w:r>
          </w:p>
        </w:tc>
        <w:tc>
          <w:tcPr>
            <w:tcW w:w="10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60" w:type="dxa"/>
            <w:vAlign w:val="bottom"/>
            <w:gridSpan w:val="2"/>
          </w:tcPr>
          <w:p>
            <w:pPr>
              <w:ind w:left="200"/>
              <w:spacing w:after="0"/>
              <w:rPr>
                <w:sz w:val="20"/>
                <w:szCs w:val="20"/>
                <w:color w:val="auto"/>
              </w:rPr>
            </w:pPr>
            <w:r>
              <w:rPr>
                <w:rFonts w:ascii="Arial" w:cs="Arial" w:eastAsia="Arial" w:hAnsi="Arial"/>
                <w:sz w:val="16"/>
                <w:szCs w:val="16"/>
                <w:color w:val="auto"/>
              </w:rPr>
              <w:t>Share-based compensation</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September 29, 2023</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11,719</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832,060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(583,909)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(15,971)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gridSpan w:val="2"/>
            <w:shd w:val="clear" w:color="auto" w:fill="CCEEFF"/>
          </w:tcPr>
          <w:p>
            <w:pPr>
              <w:jc w:val="right"/>
              <w:ind w:right="64"/>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226,150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gridSpan w:val="8"/>
          </w:tcPr>
          <w:p>
            <w:pPr>
              <w:ind w:left="420"/>
              <w:spacing w:after="0"/>
              <w:rPr>
                <w:sz w:val="20"/>
                <w:szCs w:val="20"/>
                <w:color w:val="auto"/>
              </w:rPr>
            </w:pPr>
            <w:r>
              <w:rPr>
                <w:rFonts w:ascii="Arial" w:cs="Arial" w:eastAsia="Arial" w:hAnsi="Arial"/>
                <w:sz w:val="14"/>
                <w:szCs w:val="14"/>
                <w:b w:val="1"/>
                <w:bCs w:val="1"/>
                <w:color w:val="auto"/>
              </w:rPr>
              <w:t>Three Months Ended September 30, 2022</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8"/>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gridSpan w:val="8"/>
          </w:tcPr>
          <w:p>
            <w:pPr>
              <w:ind w:left="500"/>
              <w:spacing w:after="0"/>
              <w:rPr>
                <w:sz w:val="20"/>
                <w:szCs w:val="20"/>
                <w:color w:val="auto"/>
              </w:rPr>
            </w:pPr>
            <w:r>
              <w:rPr>
                <w:rFonts w:ascii="Arial" w:cs="Arial" w:eastAsia="Arial" w:hAnsi="Arial"/>
                <w:sz w:val="14"/>
                <w:szCs w:val="14"/>
                <w:b w:val="1"/>
                <w:bCs w:val="1"/>
                <w:color w:val="auto"/>
              </w:rPr>
              <w:t>Common Stock</w:t>
            </w:r>
          </w:p>
        </w:tc>
        <w:tc>
          <w:tcPr>
            <w:tcW w:w="11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Treasury Stock</w:t>
            </w:r>
          </w:p>
        </w:tc>
        <w:tc>
          <w:tcPr>
            <w:tcW w:w="120" w:type="dxa"/>
            <w:vAlign w:val="bottom"/>
          </w:tcPr>
          <w:p>
            <w:pPr>
              <w:spacing w:after="0"/>
              <w:rPr>
                <w:sz w:val="24"/>
                <w:szCs w:val="2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2"/>
                <w:szCs w:val="2"/>
                <w:color w:val="auto"/>
              </w:rPr>
            </w:pPr>
          </w:p>
        </w:tc>
        <w:tc>
          <w:tcPr>
            <w:tcW w:w="14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180" w:type="dxa"/>
            <w:vAlign w:val="bottom"/>
            <w:gridSpan w:val="3"/>
            <w:vMerge w:val="restart"/>
          </w:tcPr>
          <w:p>
            <w:pPr>
              <w:ind w:left="20"/>
              <w:spacing w:after="0"/>
              <w:rPr>
                <w:sz w:val="20"/>
                <w:szCs w:val="20"/>
                <w:color w:val="auto"/>
              </w:rPr>
            </w:pPr>
            <w:r>
              <w:rPr>
                <w:rFonts w:ascii="Arial" w:cs="Arial" w:eastAsia="Arial" w:hAnsi="Arial"/>
                <w:sz w:val="16"/>
                <w:szCs w:val="16"/>
                <w:color w:val="auto"/>
              </w:rPr>
              <w:t>(In thousands)</w:t>
            </w:r>
          </w:p>
        </w:tc>
        <w:tc>
          <w:tcPr>
            <w:tcW w:w="10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81"/>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22"/>
              <w:spacing w:after="0" w:line="142" w:lineRule="exact"/>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180" w:type="dxa"/>
            <w:vAlign w:val="bottom"/>
            <w:gridSpan w:val="3"/>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7"/>
                <w:szCs w:val="17"/>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7"/>
                <w:szCs w:val="17"/>
                <w:color w:val="auto"/>
              </w:rPr>
            </w:pPr>
          </w:p>
        </w:tc>
        <w:tc>
          <w:tcPr>
            <w:tcW w:w="140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Comprehensive Loss</w:t>
            </w:r>
          </w:p>
        </w:tc>
        <w:tc>
          <w:tcPr>
            <w:tcW w:w="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July 1, 2022</w:t>
            </w:r>
          </w:p>
        </w:tc>
        <w:tc>
          <w:tcPr>
            <w:tcW w:w="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11,161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823,259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(599,442)</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(16,029)</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201,753</w:t>
            </w:r>
          </w:p>
        </w:tc>
        <w:tc>
          <w:tcPr>
            <w:tcW w:w="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6"/>
                <w:szCs w:val="16"/>
                <w:color w:val="auto"/>
              </w:rPr>
              <w:t>Net loss</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(2,746)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Other comprehensive loss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160" w:type="dxa"/>
            <w:vAlign w:val="bottom"/>
            <w:gridSpan w:val="2"/>
          </w:tcPr>
          <w:p>
            <w:pPr>
              <w:ind w:left="180"/>
              <w:spacing w:after="0" w:line="166" w:lineRule="exact"/>
              <w:rPr>
                <w:sz w:val="20"/>
                <w:szCs w:val="20"/>
                <w:color w:val="auto"/>
              </w:rPr>
            </w:pPr>
            <w:r>
              <w:rPr>
                <w:rFonts w:ascii="Arial" w:cs="Arial" w:eastAsia="Arial" w:hAnsi="Arial"/>
                <w:sz w:val="16"/>
                <w:szCs w:val="16"/>
                <w:color w:val="auto"/>
                <w:w w:val="95"/>
              </w:rPr>
              <w:t>Issuance of common stock under employee</w:t>
            </w:r>
          </w:p>
        </w:tc>
        <w:tc>
          <w:tcPr>
            <w:tcW w:w="1000" w:type="dxa"/>
            <w:vAlign w:val="bottom"/>
            <w:vMerge w:val="restart"/>
          </w:tcPr>
          <w:p>
            <w:pPr>
              <w:jc w:val="right"/>
              <w:ind w:right="1"/>
              <w:spacing w:after="0"/>
              <w:rPr>
                <w:sz w:val="20"/>
                <w:szCs w:val="20"/>
                <w:color w:val="auto"/>
              </w:rPr>
            </w:pPr>
            <w:r>
              <w:rPr>
                <w:rFonts w:ascii="Arial" w:cs="Arial" w:eastAsia="Arial" w:hAnsi="Arial"/>
                <w:sz w:val="16"/>
                <w:szCs w:val="16"/>
                <w:color w:val="auto"/>
              </w:rPr>
              <w:t>174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360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gridSpan w:val="2"/>
          </w:tcPr>
          <w:p>
            <w:pPr>
              <w:ind w:left="180"/>
              <w:spacing w:after="0"/>
              <w:rPr>
                <w:sz w:val="20"/>
                <w:szCs w:val="20"/>
                <w:color w:val="auto"/>
              </w:rPr>
            </w:pPr>
            <w:r>
              <w:rPr>
                <w:rFonts w:ascii="Arial" w:cs="Arial" w:eastAsia="Arial" w:hAnsi="Arial"/>
                <w:sz w:val="16"/>
                <w:szCs w:val="16"/>
                <w:color w:val="auto"/>
              </w:rPr>
              <w:t>stock plans</w:t>
            </w: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16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6"/>
                <w:szCs w:val="16"/>
                <w:color w:val="auto"/>
                <w:w w:val="96"/>
              </w:rPr>
              <w:t>Shares withheld for taxes related to vesting</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of equity awards</w:t>
            </w:r>
          </w:p>
        </w:tc>
        <w:tc>
          <w:tcPr>
            <w:tcW w:w="100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3"/>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31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Share-based compensation</w:t>
            </w: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1,838</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1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September 30, 2022</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11,313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(6,147)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824,786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(602,188)</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(17,142)</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199,422</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93" w:right="359" w:bottom="1440" w:gutter="0" w:footer="0" w:header="0"/>
        </w:sectPr>
      </w:pPr>
    </w:p>
    <w:bookmarkStart w:id="7" w:name="page8"/>
    <w:bookmarkEnd w:id="7"/>
    <w:p>
      <w:pPr>
        <w:ind w:left="4560"/>
        <w:spacing w:after="0"/>
        <w:rPr>
          <w:sz w:val="20"/>
          <w:szCs w:val="20"/>
          <w:color w:val="auto"/>
        </w:rPr>
      </w:pPr>
      <w:r>
        <w:rPr>
          <w:rFonts w:ascii="Arial" w:cs="Arial" w:eastAsia="Arial" w:hAnsi="Arial"/>
          <w:sz w:val="18"/>
          <w:szCs w:val="18"/>
          <w:b w:val="1"/>
          <w:bCs w:val="1"/>
          <w:color w:val="auto"/>
        </w:rPr>
        <w:t>AVIAT NETWORKS, INC.</w:t>
      </w:r>
    </w:p>
    <w:p>
      <w:pPr>
        <w:spacing w:after="0" w:line="104"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Aviat Networks, Inc. (“Aviat,” the “Company,” “we,” “us,” and “our”) designs, manufactures, and sells wireless networking and access networking solutions and services to mobile and fixed telephone service providers, private network operators, government agencies, transportation and utility companies, public safety agencies and broadcast system operators across the globe. Aviat’s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and Aviat has made estimates, assumptions and judgments affecting the amounts reported in its unaudited condensed consolidated financial statements and the accompanying notes, as discussed in greater detail below. Accordingly, the statements do not include all information and footnotes required by U.S. GAAP for annual consolidated financial statements. In the opinion of the Company’s management, such interim financial statements reflect all adjustments (consisting of normal recurring adjustments) considered necessary for a fair presentation of financial position, results of operations and cash flows for such periods. The results for the three months ended September 29, 2023 are not necessarily indicative of the results that may be expected for the full fiscal year or future operating periods. The information included in this Quarterly Report on Form 10-Q should be read in conjunction with the consolidated financial statements and footnotes thereto included in Aviat’s Annual Report on Form 10-K for the fiscal year ended June 30, 2023.</w:t>
      </w:r>
    </w:p>
    <w:p>
      <w:pPr>
        <w:spacing w:after="0" w:line="11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wholly-owned and majority-owned subsidiaries. All intercompany transactions and accounts have been eliminated. Certain amounts in the financial statements have been reclassified for comparative purposes to conform to the current period financial statement presentation.</w:t>
      </w:r>
    </w:p>
    <w:p>
      <w:pPr>
        <w:spacing w:after="0" w:line="13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Aviat’s fiscal year includes 52 or 53 weeks and ends on the Friday nearest to June 30. The three months ended September 29, 2023 and September 30, 2022 both consisted of 13 weeks. Fiscal year 2024 will be comprised of 52 weeks and will end on June 28, 2024. Fiscal year 2023 was comprised of 52 weeks and ended on June 30, 2023.</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preparation of unaudited condensed consolidated financial statements in accordance with U.S. GAAP requires the Company to make estimates, assumptions and judgments affecting the amounts reported and related disclosures. Estimates are based upon historical factors, current circumstances and the experience and judgment of the Company’s management. The Company evaluates estimates and assumptions on an ongoing basis and may employ outside experts to assist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goodwill and identified intangible assets in business combinations, valuation allowances for deferred tax assets, uncertainties in income taxes, contingencies and recoverability of long-lived assets. Actual results may differ materially from estimates.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1"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There have been no material changes in the Company’s significant accounting policies as of and for the three months ended September 29, 2023, as compared to the significant accounting policies described in the Company’s Annual Report on Form 10-K for the fiscal year ended June 30, 2023.</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considers the applicability and impact of all Accounting Standards Updates (“ASUs”) issued by the Financial Accounting Standards Board (“FASB”). The Company determined at this time that all ASUs issued but not yet adopted are either not applicable or are expected to have a minimal impact on its financial position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Income (Loss) Per Share of Common Stock</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computation of basic and diluted net income per share: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jc w:val="right"/>
              <w:ind w:right="1032"/>
              <w:spacing w:after="0"/>
              <w:rPr>
                <w:sz w:val="20"/>
                <w:szCs w:val="20"/>
                <w:color w:val="auto"/>
              </w:rPr>
            </w:pPr>
            <w:r>
              <w:rPr>
                <w:rFonts w:ascii="Arial" w:cs="Arial" w:eastAsia="Arial" w:hAnsi="Arial"/>
                <w:sz w:val="16"/>
                <w:szCs w:val="16"/>
                <w:b w:val="1"/>
                <w:bCs w:val="1"/>
                <w:color w:val="auto"/>
              </w:rPr>
              <w:t>Three Months Ended</w:t>
            </w:r>
          </w:p>
        </w:tc>
      </w:tr>
      <w:tr>
        <w:trPr>
          <w:trHeight w:val="158"/>
        </w:trPr>
        <w:tc>
          <w:tcPr>
            <w:tcW w:w="7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September 29,</w:t>
            </w:r>
          </w:p>
        </w:tc>
        <w:tc>
          <w:tcPr>
            <w:tcW w:w="260" w:type="dxa"/>
            <w:vAlign w:val="bottom"/>
          </w:tcPr>
          <w:p>
            <w:pPr>
              <w:spacing w:after="0"/>
              <w:rPr>
                <w:sz w:val="13"/>
                <w:szCs w:val="13"/>
                <w:color w:val="auto"/>
              </w:rPr>
            </w:pPr>
          </w:p>
        </w:tc>
        <w:tc>
          <w:tcPr>
            <w:tcW w:w="1540" w:type="dxa"/>
            <w:vAlign w:val="bottom"/>
          </w:tcPr>
          <w:p>
            <w:pPr>
              <w:jc w:val="right"/>
              <w:ind w:right="312"/>
              <w:spacing w:after="0" w:line="158" w:lineRule="exact"/>
              <w:rPr>
                <w:sz w:val="20"/>
                <w:szCs w:val="20"/>
                <w:color w:val="auto"/>
              </w:rPr>
            </w:pPr>
            <w:r>
              <w:rPr>
                <w:rFonts w:ascii="Arial" w:cs="Arial" w:eastAsia="Arial" w:hAnsi="Arial"/>
                <w:sz w:val="16"/>
                <w:szCs w:val="16"/>
                <w:b w:val="1"/>
                <w:bCs w:val="1"/>
                <w:color w:val="auto"/>
              </w:rPr>
              <w:t>September 30,</w:t>
            </w:r>
          </w:p>
        </w:tc>
      </w:tr>
      <w:tr>
        <w:trPr>
          <w:trHeight w:val="213"/>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2022</w:t>
            </w:r>
          </w:p>
        </w:tc>
      </w:tr>
      <w:tr>
        <w:trPr>
          <w:trHeight w:val="212"/>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7"/>
        </w:trPr>
        <w:tc>
          <w:tcPr>
            <w:tcW w:w="7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 basic</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w:t>
            </w:r>
          </w:p>
        </w:tc>
      </w:tr>
      <w:tr>
        <w:trPr>
          <w:trHeight w:val="229"/>
        </w:trPr>
        <w:tc>
          <w:tcPr>
            <w:tcW w:w="75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Effect of potentially dilutive equivalent shares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shares outstanding, diluted</w:t>
            </w: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11,200</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29"/>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income (loss) per share of common stock outstanding:</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(0.25)</w:t>
            </w:r>
          </w:p>
        </w:tc>
      </w:tr>
      <w:tr>
        <w:trPr>
          <w:trHeight w:val="229"/>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r>
    </w:tbl>
    <w:p>
      <w:pPr>
        <w:spacing w:after="0" w:line="242" w:lineRule="exact"/>
        <w:rPr>
          <w:sz w:val="20"/>
          <w:szCs w:val="20"/>
          <w:color w:val="auto"/>
        </w:rPr>
      </w:pPr>
    </w:p>
    <w:p>
      <w:pPr>
        <w:jc w:val="both"/>
        <w:ind w:firstLine="486"/>
        <w:spacing w:after="0" w:line="274" w:lineRule="auto"/>
        <w:rPr>
          <w:sz w:val="20"/>
          <w:szCs w:val="20"/>
          <w:color w:val="auto"/>
        </w:rPr>
      </w:pPr>
      <w:r>
        <w:rPr>
          <w:rFonts w:ascii="Arial" w:cs="Arial" w:eastAsia="Arial" w:hAnsi="Arial"/>
          <w:sz w:val="18"/>
          <w:szCs w:val="18"/>
          <w:color w:val="auto"/>
        </w:rPr>
        <w:t>The following table summarizes the weighted-average equity awards that were excluded from the diluted net income (loss) per share calculations since they were anti-dilutive:</w:t>
      </w: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gridSpan w:val="6"/>
          </w:tcPr>
          <w:p>
            <w:pPr>
              <w:ind w:left="96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3"/>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September 29,</w:t>
            </w:r>
          </w:p>
        </w:tc>
        <w:tc>
          <w:tcPr>
            <w:tcW w:w="260" w:type="dxa"/>
            <w:vAlign w:val="bottom"/>
          </w:tcPr>
          <w:p>
            <w:pPr>
              <w:spacing w:after="0"/>
              <w:rPr>
                <w:sz w:val="13"/>
                <w:szCs w:val="13"/>
                <w:color w:val="auto"/>
              </w:rPr>
            </w:pPr>
          </w:p>
        </w:tc>
        <w:tc>
          <w:tcPr>
            <w:tcW w:w="15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5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center"/>
              <w:ind w:right="53"/>
              <w:spacing w:after="0"/>
              <w:rPr>
                <w:sz w:val="20"/>
                <w:szCs w:val="20"/>
                <w:color w:val="auto"/>
              </w:rPr>
            </w:pPr>
            <w:r>
              <w:rPr>
                <w:rFonts w:ascii="Arial" w:cs="Arial" w:eastAsia="Arial" w:hAnsi="Arial"/>
                <w:sz w:val="16"/>
                <w:szCs w:val="16"/>
                <w:b w:val="1"/>
                <w:bCs w:val="1"/>
                <w:color w:val="auto"/>
                <w:w w:val="89"/>
              </w:rPr>
              <w:t>2023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89"/>
              </w:rPr>
              <w:t>2022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Restricted stock units and performance stock units</w:t>
            </w: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shares of common stock excluded</w:t>
            </w:r>
          </w:p>
        </w:tc>
        <w:tc>
          <w:tcPr>
            <w:tcW w:w="16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b w:val="1"/>
                <w:bCs w:val="1"/>
                <w:color w:val="auto"/>
              </w:rPr>
              <w:t>Note 3. Revenue Recognition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754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5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Contract Balances, Performance Obligations, and Backlog</w:t>
            </w: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20" w:type="dxa"/>
            <w:vAlign w:val="bottom"/>
          </w:tcPr>
          <w:p>
            <w:pPr>
              <w:spacing w:after="0"/>
              <w:rPr>
                <w:sz w:val="24"/>
                <w:szCs w:val="24"/>
                <w:color w:val="auto"/>
              </w:rPr>
            </w:pPr>
          </w:p>
        </w:tc>
        <w:tc>
          <w:tcPr>
            <w:tcW w:w="7520" w:type="dxa"/>
            <w:vAlign w:val="bottom"/>
            <w:gridSpan w:val="2"/>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24"/>
                <w:szCs w:val="24"/>
                <w:color w:val="auto"/>
              </w:rPr>
            </w:pPr>
          </w:p>
        </w:tc>
        <w:tc>
          <w:tcPr>
            <w:tcW w:w="174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0"/>
              </w:rPr>
              <w:t>September 29, 2023</w:t>
            </w:r>
          </w:p>
        </w:tc>
        <w:tc>
          <w:tcPr>
            <w:tcW w:w="260" w:type="dxa"/>
            <w:vAlign w:val="bottom"/>
          </w:tcPr>
          <w:p>
            <w:pPr>
              <w:spacing w:after="0"/>
              <w:rPr>
                <w:sz w:val="24"/>
                <w:szCs w:val="2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June 30, 2023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Contract assets</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Contract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60,975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58,588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Capitalized commissions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Contract liabilities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 payments and unearned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46,050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20" w:type="dxa"/>
            <w:vAlign w:val="bottom"/>
            <w:gridSpan w:val="2"/>
          </w:tcPr>
          <w:p>
            <w:pPr>
              <w:ind w:left="20"/>
              <w:spacing w:after="0"/>
              <w:rPr>
                <w:sz w:val="20"/>
                <w:szCs w:val="20"/>
                <w:color w:val="auto"/>
              </w:rPr>
            </w:pPr>
            <w:r>
              <w:rPr>
                <w:rFonts w:ascii="Arial" w:cs="Arial" w:eastAsia="Arial" w:hAnsi="Arial"/>
                <w:sz w:val="18"/>
                <w:szCs w:val="18"/>
                <w:color w:val="auto"/>
              </w:rPr>
              <w:t>Unearned revenue, long-term</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7,627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7,416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Significant changes in contract balances may arise as a result of recognition over time for services, transfer of control for equipment, and periodic payments (both in arrears and in advance).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9" w:name="page10"/>
    <w:bookmarkEnd w:id="9"/>
    <w:p>
      <w:pPr>
        <w:jc w:val="both"/>
        <w:ind w:firstLine="486"/>
        <w:spacing w:after="0" w:line="279" w:lineRule="auto"/>
        <w:rPr>
          <w:sz w:val="20"/>
          <w:szCs w:val="20"/>
          <w:color w:val="auto"/>
        </w:rPr>
      </w:pPr>
      <w:r>
        <w:rPr>
          <w:rFonts w:ascii="Arial" w:cs="Arial" w:eastAsia="Arial" w:hAnsi="Arial"/>
          <w:sz w:val="17"/>
          <w:szCs w:val="17"/>
          <w:color w:val="auto"/>
        </w:rPr>
        <w:t>From time to time, the Company may experience unforeseen events that could result in a change to the scope or price associated with an arrangement. When such events occur, the transaction price and measurement of progress for the performance obligation are updated and this change is recognized as a cumulative catch-up to revenue. Because of the nature and type of contracts, the timeframe to completion and satisfaction of current and future performance obligations can shift; however, this will have no impact on the Company’s future obligation to bill and collect.</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September 29, 2023, the Company reported $53.7 million in advance payments and unearned revenue and long-term unearned revenue, of which approximately 40% is expected to be recognized as revenue in the remainder of fiscal 2024 and the remainder thereafter. Approximately $7.4 million of revenue was recognized during the three months ended September 29, 2023, which was included in advance payments and unearned revenue at June 30, 2023.</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aggregate amount of transaction price allocated to unsatisfied (or partially unsatisfied) performance obligations was approximately $152.4 million at September 29, 2023. Of this amount, approximately 50% is expected to be recognized as revenue during the next 12 months, with the remaining amount to be recognized thereafter.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500" w:type="dxa"/>
            <w:vAlign w:val="bottom"/>
          </w:tcPr>
          <w:p>
            <w:pPr>
              <w:spacing w:after="0"/>
              <w:rPr>
                <w:sz w:val="18"/>
                <w:szCs w:val="18"/>
                <w:color w:val="auto"/>
              </w:rPr>
            </w:pPr>
          </w:p>
        </w:tc>
        <w:tc>
          <w:tcPr>
            <w:tcW w:w="3700" w:type="dxa"/>
            <w:vAlign w:val="bottom"/>
            <w:tcBorders>
              <w:bottom w:val="single" w:sz="8" w:color="auto"/>
            </w:tcBorders>
            <w:gridSpan w:val="5"/>
          </w:tcPr>
          <w:p>
            <w:pPr>
              <w:jc w:val="right"/>
              <w:ind w:right="101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8"/>
        </w:trPr>
        <w:tc>
          <w:tcPr>
            <w:tcW w:w="7500" w:type="dxa"/>
            <w:vAlign w:val="bottom"/>
          </w:tcPr>
          <w:p>
            <w:pPr>
              <w:spacing w:after="0"/>
              <w:rPr>
                <w:sz w:val="13"/>
                <w:szCs w:val="13"/>
                <w:color w:val="auto"/>
              </w:rPr>
            </w:pPr>
          </w:p>
        </w:tc>
        <w:tc>
          <w:tcPr>
            <w:tcW w:w="1440" w:type="dxa"/>
            <w:vAlign w:val="bottom"/>
          </w:tcPr>
          <w:p>
            <w:pPr>
              <w:jc w:val="right"/>
              <w:spacing w:after="0" w:line="158" w:lineRule="exact"/>
              <w:rPr>
                <w:sz w:val="20"/>
                <w:szCs w:val="20"/>
                <w:color w:val="auto"/>
              </w:rPr>
            </w:pPr>
            <w:r>
              <w:rPr>
                <w:rFonts w:ascii="Arial" w:cs="Arial" w:eastAsia="Arial" w:hAnsi="Arial"/>
                <w:sz w:val="16"/>
                <w:szCs w:val="16"/>
                <w:b w:val="1"/>
                <w:bCs w:val="1"/>
                <w:color w:val="auto"/>
              </w:rPr>
              <w:t>September 29,</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vMerge w:val="restart"/>
          </w:tcPr>
          <w:p>
            <w:pPr>
              <w:jc w:val="right"/>
              <w:ind w:right="131"/>
              <w:spacing w:after="0"/>
              <w:rPr>
                <w:sz w:val="20"/>
                <w:szCs w:val="20"/>
                <w:color w:val="auto"/>
              </w:rPr>
            </w:pPr>
            <w:r>
              <w:rPr>
                <w:rFonts w:ascii="Arial" w:cs="Arial" w:eastAsia="Arial" w:hAnsi="Arial"/>
                <w:sz w:val="16"/>
                <w:szCs w:val="16"/>
                <w:b w:val="1"/>
                <w:bCs w:val="1"/>
                <w:color w:val="auto"/>
                <w:w w:val="92"/>
              </w:rPr>
              <w:t>September 30, 2022</w:t>
            </w:r>
          </w:p>
        </w:tc>
        <w:tc>
          <w:tcPr>
            <w:tcW w:w="0" w:type="dxa"/>
            <w:vAlign w:val="bottom"/>
          </w:tcPr>
          <w:p>
            <w:pPr>
              <w:spacing w:after="0"/>
              <w:rPr>
                <w:sz w:val="1"/>
                <w:szCs w:val="1"/>
                <w:color w:val="auto"/>
              </w:rPr>
            </w:pPr>
          </w:p>
        </w:tc>
      </w:tr>
      <w:tr>
        <w:trPr>
          <w:trHeight w:val="210"/>
        </w:trPr>
        <w:tc>
          <w:tcPr>
            <w:tcW w:w="7500" w:type="dxa"/>
            <w:vAlign w:val="bottom"/>
          </w:tcPr>
          <w:p>
            <w:pPr>
              <w:spacing w:after="0"/>
              <w:rPr>
                <w:sz w:val="18"/>
                <w:szCs w:val="18"/>
                <w:color w:val="auto"/>
              </w:rPr>
            </w:pPr>
          </w:p>
        </w:tc>
        <w:tc>
          <w:tcPr>
            <w:tcW w:w="144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5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75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1440" w:type="dxa"/>
            <w:vAlign w:val="bottom"/>
            <w:shd w:val="clear" w:color="auto" w:fill="CCEEFF"/>
          </w:tcPr>
          <w:p>
            <w:pPr>
              <w:jc w:val="right"/>
              <w:ind w:right="1235"/>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Short-term lease costs</w:t>
            </w:r>
          </w:p>
        </w:tc>
        <w:tc>
          <w:tcPr>
            <w:tcW w:w="14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414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costs</w:t>
            </w:r>
          </w:p>
        </w:tc>
        <w:tc>
          <w:tcPr>
            <w:tcW w:w="14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7500" w:type="dxa"/>
            <w:vAlign w:val="bottom"/>
          </w:tcPr>
          <w:p>
            <w:pPr>
              <w:ind w:left="180"/>
              <w:spacing w:after="0"/>
              <w:rPr>
                <w:sz w:val="20"/>
                <w:szCs w:val="20"/>
                <w:color w:val="auto"/>
              </w:rPr>
            </w:pPr>
            <w:r>
              <w:rPr>
                <w:rFonts w:ascii="Arial" w:cs="Arial" w:eastAsia="Arial" w:hAnsi="Arial"/>
                <w:sz w:val="18"/>
                <w:szCs w:val="18"/>
                <w:color w:val="auto"/>
              </w:rPr>
              <w:t>Total lease costs</w:t>
            </w:r>
          </w:p>
        </w:tc>
        <w:tc>
          <w:tcPr>
            <w:tcW w:w="1440" w:type="dxa"/>
            <w:vAlign w:val="bottom"/>
            <w:tcBorders>
              <w:bottom w:val="single" w:sz="8" w:color="auto"/>
            </w:tcBorders>
          </w:tcPr>
          <w:p>
            <w:pPr>
              <w:jc w:val="right"/>
              <w:ind w:right="1235"/>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647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940" w:type="dxa"/>
            <w:vAlign w:val="bottom"/>
            <w:gridSpan w:val="2"/>
          </w:tcPr>
          <w:p>
            <w:pPr>
              <w:ind w:left="480"/>
              <w:spacing w:after="0"/>
              <w:rPr>
                <w:sz w:val="20"/>
                <w:szCs w:val="20"/>
                <w:color w:val="auto"/>
              </w:rPr>
            </w:pPr>
            <w:r>
              <w:rPr>
                <w:rFonts w:ascii="Arial" w:cs="Arial" w:eastAsia="Arial" w:hAnsi="Arial"/>
                <w:sz w:val="18"/>
                <w:szCs w:val="18"/>
                <w:color w:val="auto"/>
                <w:w w:val="90"/>
              </w:rPr>
              <w:t>The weighted average lease term and discount rate for the three months ended September 29, 2023 were as follows: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5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14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years</w:t>
            </w:r>
          </w:p>
        </w:tc>
        <w:tc>
          <w:tcPr>
            <w:tcW w:w="0" w:type="dxa"/>
            <w:vAlign w:val="bottom"/>
          </w:tcPr>
          <w:p>
            <w:pPr>
              <w:spacing w:after="0"/>
              <w:rPr>
                <w:sz w:val="1"/>
                <w:szCs w:val="1"/>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of September 29, 2023, future minimum lease payments under all non-cancelable operating leases with an initial term in excess of one year were as follows (in thousands):</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fiscal 2024</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29"/>
        </w:trPr>
        <w:tc>
          <w:tcPr>
            <w:tcW w:w="9420" w:type="dxa"/>
            <w:vAlign w:val="bottom"/>
          </w:tcPr>
          <w:p>
            <w:pPr>
              <w:ind w:left="20"/>
              <w:spacing w:after="0"/>
              <w:rPr>
                <w:sz w:val="20"/>
                <w:szCs w:val="20"/>
                <w:color w:val="auto"/>
              </w:rPr>
            </w:pPr>
            <w:r>
              <w:rPr>
                <w:rFonts w:ascii="Arial" w:cs="Arial" w:eastAsia="Arial" w:hAnsi="Arial"/>
                <w:sz w:val="18"/>
                <w:szCs w:val="18"/>
                <w:color w:val="auto"/>
              </w:rPr>
              <w:t>2025</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757</w:t>
            </w:r>
          </w:p>
        </w:tc>
      </w:t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30"/>
        </w:trPr>
        <w:tc>
          <w:tcPr>
            <w:tcW w:w="9420" w:type="dxa"/>
            <w:vAlign w:val="bottom"/>
          </w:tcPr>
          <w:p>
            <w:pPr>
              <w:ind w:left="20"/>
              <w:spacing w:after="0"/>
              <w:rPr>
                <w:sz w:val="20"/>
                <w:szCs w:val="20"/>
                <w:color w:val="auto"/>
              </w:rPr>
            </w:pPr>
            <w:r>
              <w:rPr>
                <w:rFonts w:ascii="Arial" w:cs="Arial" w:eastAsia="Arial" w:hAnsi="Arial"/>
                <w:sz w:val="18"/>
                <w:szCs w:val="18"/>
                <w:color w:val="auto"/>
              </w:rPr>
              <w:t>2027</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r>
      <w:tr>
        <w:trPr>
          <w:trHeight w:val="229"/>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r>
      <w:tr>
        <w:trPr>
          <w:trHeight w:val="223"/>
        </w:trPr>
        <w:tc>
          <w:tcPr>
            <w:tcW w:w="9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w:t>
            </w:r>
          </w:p>
        </w:tc>
      </w:tr>
      <w:tr>
        <w:trPr>
          <w:trHeight w:val="230"/>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r>
      <w:tr>
        <w:trPr>
          <w:trHeight w:val="248"/>
        </w:trPr>
        <w:tc>
          <w:tcPr>
            <w:tcW w:w="9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Present value of lease liabilities</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ind w:right="440" w:firstLine="486"/>
        <w:spacing w:after="0" w:line="308" w:lineRule="auto"/>
        <w:rPr>
          <w:sz w:val="20"/>
          <w:szCs w:val="20"/>
          <w:color w:val="auto"/>
        </w:rPr>
      </w:pPr>
      <w:r>
        <w:rPr>
          <w:rFonts w:ascii="Arial" w:cs="Arial" w:eastAsia="Arial" w:hAnsi="Arial"/>
          <w:sz w:val="17"/>
          <w:szCs w:val="17"/>
          <w:color w:val="auto"/>
        </w:rPr>
        <w:t>The following provides a summary of cash, cash equivalents, and restricted cash reported within the unaudited condensed consolidated balance sheets that reconciles to the corresponding amount in the unaudited condensed consolidated statement of cash flows:</w:t>
      </w:r>
    </w:p>
    <w:p>
      <w:pPr>
        <w:sectPr>
          <w:pgSz w:w="11900" w:h="16838" w:orient="portrait"/>
          <w:cols w:equalWidth="0" w:num="1">
            <w:col w:w="11240"/>
          </w:cols>
          <w:pgMar w:left="320" w:top="12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7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September 29,</w:t>
            </w:r>
          </w:p>
        </w:tc>
        <w:tc>
          <w:tcPr>
            <w:tcW w:w="360" w:type="dxa"/>
            <w:vAlign w:val="bottom"/>
          </w:tcPr>
          <w:p>
            <w:pPr>
              <w:spacing w:after="0"/>
              <w:rPr>
                <w:sz w:val="16"/>
                <w:szCs w:val="16"/>
                <w:color w:val="auto"/>
              </w:rPr>
            </w:pPr>
          </w:p>
        </w:tc>
        <w:tc>
          <w:tcPr>
            <w:tcW w:w="1440" w:type="dxa"/>
            <w:vAlign w:val="bottom"/>
          </w:tcPr>
          <w:p>
            <w:pPr>
              <w:jc w:val="center"/>
              <w:ind w:right="253"/>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3"/>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73"/>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226"/>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22,242</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other assets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cash equivalents, and restricted cash in the Statement of Cash Flows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22,521</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Inventories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0"/>
        </w:trPr>
        <w:tc>
          <w:tcPr>
            <w:tcW w:w="7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September 29,</w:t>
            </w:r>
          </w:p>
        </w:tc>
        <w:tc>
          <w:tcPr>
            <w:tcW w:w="360" w:type="dxa"/>
            <w:vAlign w:val="bottom"/>
          </w:tcPr>
          <w:p>
            <w:pPr>
              <w:spacing w:after="0"/>
              <w:rPr>
                <w:sz w:val="16"/>
                <w:szCs w:val="16"/>
                <w:color w:val="auto"/>
              </w:rPr>
            </w:pPr>
          </w:p>
        </w:tc>
        <w:tc>
          <w:tcPr>
            <w:tcW w:w="1440" w:type="dxa"/>
            <w:vAlign w:val="bottom"/>
          </w:tcPr>
          <w:p>
            <w:pPr>
              <w:jc w:val="center"/>
              <w:ind w:right="253"/>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3"/>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73"/>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226"/>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18,502</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Raw materials and supplies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11,771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12,794</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service inventories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23"/>
        </w:trPr>
        <w:tc>
          <w:tcPr>
            <w:tcW w:w="7540" w:type="dxa"/>
            <w:vAlign w:val="bottom"/>
          </w:tcPr>
          <w:p>
            <w:pPr>
              <w:ind w:left="360"/>
              <w:spacing w:after="0"/>
              <w:rPr>
                <w:sz w:val="20"/>
                <w:szCs w:val="20"/>
                <w:color w:val="auto"/>
              </w:rPr>
            </w:pPr>
            <w:r>
              <w:rPr>
                <w:rFonts w:ascii="Arial" w:cs="Arial" w:eastAsia="Arial" w:hAnsi="Arial"/>
                <w:sz w:val="18"/>
                <w:szCs w:val="18"/>
                <w:color w:val="auto"/>
              </w:rPr>
              <w:t>Total inventories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33,057</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Consigned inventories included within raw materials and supplies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11,224</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records charges to adjust inventories due to excess and obsolete inventory resulting from lower sales forecasts, product transitioning or discontinuance. The charges incurred during the three months ended September 29, 2023 and September 30, 2022 were included in cost of product sales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7"/>
          </w:tcPr>
          <w:p>
            <w:pPr>
              <w:ind w:left="880"/>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1"/>
              </w:rPr>
              <w:t>September 29,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89"/>
              </w:rPr>
              <w:t>2023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89"/>
              </w:rPr>
              <w:t>2022</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Excess and obsolete inventory</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Customer service inventory write-downs</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inventory charges</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Other Current Assets</w:t>
            </w: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5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September 29,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48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89"/>
              </w:rPr>
              <w:t>2023</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93"/>
              <w:spacing w:after="0"/>
              <w:rPr>
                <w:sz w:val="20"/>
                <w:szCs w:val="20"/>
                <w:color w:val="auto"/>
              </w:rPr>
            </w:pPr>
            <w:r>
              <w:rPr>
                <w:rFonts w:ascii="Arial" w:cs="Arial" w:eastAsia="Arial" w:hAnsi="Arial"/>
                <w:sz w:val="16"/>
                <w:szCs w:val="16"/>
                <w:b w:val="1"/>
                <w:bCs w:val="1"/>
                <w:color w:val="auto"/>
                <w:w w:val="89"/>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Contract manufacturing assets</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Prepaid and other current assets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current assets</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22,814</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75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September 29,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33"/>
              <w:spacing w:after="0"/>
              <w:rPr>
                <w:sz w:val="20"/>
                <w:szCs w:val="20"/>
                <w:color w:val="auto"/>
              </w:rPr>
            </w:pPr>
            <w:r>
              <w:rPr>
                <w:rFonts w:ascii="Arial" w:cs="Arial" w:eastAsia="Arial" w:hAnsi="Arial"/>
                <w:sz w:val="16"/>
                <w:szCs w:val="16"/>
                <w:b w:val="1"/>
                <w:bCs w:val="1"/>
                <w:color w:val="auto"/>
                <w:w w:val="89"/>
              </w:rPr>
              <w:t>2023</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53"/>
              <w:spacing w:after="0"/>
              <w:rPr>
                <w:sz w:val="20"/>
                <w:szCs w:val="20"/>
                <w:color w:val="auto"/>
              </w:rPr>
            </w:pPr>
            <w:r>
              <w:rPr>
                <w:rFonts w:ascii="Arial" w:cs="Arial" w:eastAsia="Arial" w:hAnsi="Arial"/>
                <w:sz w:val="16"/>
                <w:szCs w:val="16"/>
                <w:b w:val="1"/>
                <w:bCs w:val="1"/>
                <w:color w:val="auto"/>
                <w:w w:val="89"/>
              </w:rPr>
              <w:t>2023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Buildings and leasehold improvements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5,889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5,889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Machinery and equipment</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47,088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47,150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shd w:val="clear" w:color="auto" w:fill="CCEEFF"/>
          </w:tcPr>
          <w:p>
            <w:pPr>
              <w:spacing w:after="0"/>
              <w:rPr>
                <w:sz w:val="19"/>
                <w:szCs w:val="19"/>
                <w:color w:val="auto"/>
              </w:rPr>
            </w:pPr>
          </w:p>
        </w:tc>
        <w:tc>
          <w:tcPr>
            <w:tcW w:w="7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property, plant and equipment, gross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(61,150)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(60,786)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property, plant and equipment, net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9,035</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7" w:right="339" w:bottom="1440" w:gutter="0" w:footer="0" w:header="0"/>
        </w:sectPr>
      </w:pPr>
    </w:p>
    <w:bookmarkStart w:id="11" w:name="page12"/>
    <w:bookmarkEnd w:id="11"/>
    <w:p>
      <w:pPr>
        <w:jc w:val="both"/>
        <w:ind w:firstLine="486"/>
        <w:spacing w:after="0" w:line="308" w:lineRule="auto"/>
        <w:rPr>
          <w:sz w:val="20"/>
          <w:szCs w:val="20"/>
          <w:color w:val="auto"/>
        </w:rPr>
      </w:pPr>
      <w:r>
        <w:rPr>
          <w:rFonts w:ascii="Arial" w:cs="Arial" w:eastAsia="Arial" w:hAnsi="Arial"/>
          <w:sz w:val="17"/>
          <w:szCs w:val="17"/>
          <w:color w:val="auto"/>
        </w:rPr>
        <w:t>Included in the total property, plant and equipment, gross were $0.6 million and $0.4 million of assets in progress which have not been placed in service as of September 29, 2023 and June 30, 2023, respectively. Depreciation expense related to property, plant and equipment,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6"/>
                <w:szCs w:val="16"/>
                <w:b w:val="1"/>
                <w:bCs w:val="1"/>
                <w:color w:val="auto"/>
              </w:rPr>
              <w:t>Three Months Ended</w:t>
            </w:r>
          </w:p>
        </w:tc>
      </w:tr>
      <w:tr>
        <w:trPr>
          <w:trHeight w:val="158"/>
        </w:trPr>
        <w:tc>
          <w:tcPr>
            <w:tcW w:w="7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w w:val="91"/>
              </w:rPr>
              <w:t>September 29,</w:t>
            </w:r>
          </w:p>
        </w:tc>
        <w:tc>
          <w:tcPr>
            <w:tcW w:w="260" w:type="dxa"/>
            <w:vAlign w:val="bottom"/>
          </w:tcPr>
          <w:p>
            <w:pPr>
              <w:spacing w:after="0"/>
              <w:rPr>
                <w:sz w:val="13"/>
                <w:szCs w:val="13"/>
                <w:color w:val="auto"/>
              </w:rPr>
            </w:pPr>
          </w:p>
        </w:tc>
        <w:tc>
          <w:tcPr>
            <w:tcW w:w="1540" w:type="dxa"/>
            <w:vAlign w:val="bottom"/>
          </w:tcPr>
          <w:p>
            <w:pPr>
              <w:jc w:val="center"/>
              <w:ind w:right="173"/>
              <w:spacing w:after="0" w:line="158" w:lineRule="exact"/>
              <w:rPr>
                <w:sz w:val="20"/>
                <w:szCs w:val="20"/>
                <w:color w:val="auto"/>
              </w:rPr>
            </w:pPr>
            <w:r>
              <w:rPr>
                <w:rFonts w:ascii="Arial" w:cs="Arial" w:eastAsia="Arial" w:hAnsi="Arial"/>
                <w:sz w:val="16"/>
                <w:szCs w:val="16"/>
                <w:b w:val="1"/>
                <w:bCs w:val="1"/>
                <w:color w:val="auto"/>
                <w:w w:val="91"/>
              </w:rPr>
              <w:t>September 30,</w:t>
            </w:r>
          </w:p>
        </w:tc>
      </w:tr>
      <w:tr>
        <w:trPr>
          <w:trHeight w:val="213"/>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89"/>
              </w:rPr>
              <w:t>2022</w:t>
            </w:r>
          </w:p>
        </w:tc>
      </w:tr>
      <w:tr>
        <w:trPr>
          <w:trHeight w:val="226"/>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r>
      <w:tr>
        <w:trPr>
          <w:trHeight w:val="459"/>
        </w:trPr>
        <w:tc>
          <w:tcPr>
            <w:tcW w:w="7540" w:type="dxa"/>
            <w:vAlign w:val="bottom"/>
          </w:tcPr>
          <w:p>
            <w:pPr>
              <w:spacing w:after="0"/>
              <w:rPr>
                <w:sz w:val="20"/>
                <w:szCs w:val="20"/>
                <w:color w:val="auto"/>
              </w:rPr>
            </w:pPr>
            <w:r>
              <w:rPr>
                <w:rFonts w:ascii="Arial" w:cs="Arial" w:eastAsia="Arial" w:hAnsi="Arial"/>
                <w:sz w:val="18"/>
                <w:szCs w:val="18"/>
                <w:b w:val="1"/>
                <w:bCs w:val="1"/>
                <w:i w:val="1"/>
                <w:iCs w:val="1"/>
                <w:color w:val="auto"/>
              </w:rPr>
              <w:t>Accrued Expenses</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89"/>
        </w:trPr>
        <w:tc>
          <w:tcPr>
            <w:tcW w:w="7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September 29,</w:t>
            </w:r>
          </w:p>
        </w:tc>
        <w:tc>
          <w:tcPr>
            <w:tcW w:w="260" w:type="dxa"/>
            <w:vAlign w:val="bottom"/>
          </w:tcPr>
          <w:p>
            <w:pPr>
              <w:spacing w:after="0"/>
              <w:rPr>
                <w:sz w:val="16"/>
                <w:szCs w:val="16"/>
                <w:color w:val="auto"/>
              </w:rPr>
            </w:pPr>
          </w:p>
        </w:tc>
        <w:tc>
          <w:tcPr>
            <w:tcW w:w="1540" w:type="dxa"/>
            <w:vAlign w:val="bottom"/>
          </w:tcPr>
          <w:p>
            <w:pPr>
              <w:jc w:val="center"/>
              <w:ind w:right="153"/>
              <w:spacing w:after="0"/>
              <w:rPr>
                <w:sz w:val="20"/>
                <w:szCs w:val="20"/>
                <w:color w:val="auto"/>
              </w:rPr>
            </w:pPr>
            <w:r>
              <w:rPr>
                <w:rFonts w:ascii="Arial" w:cs="Arial" w:eastAsia="Arial" w:hAnsi="Arial"/>
                <w:sz w:val="16"/>
                <w:szCs w:val="16"/>
                <w:b w:val="1"/>
                <w:bCs w:val="1"/>
                <w:color w:val="auto"/>
                <w:w w:val="90"/>
              </w:rPr>
              <w:t>June 30,</w:t>
            </w:r>
          </w:p>
        </w:tc>
      </w:tr>
      <w:tr>
        <w:trPr>
          <w:trHeight w:val="213"/>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center"/>
              <w:ind w:right="173"/>
              <w:spacing w:after="0"/>
              <w:rPr>
                <w:sz w:val="20"/>
                <w:szCs w:val="20"/>
                <w:color w:val="auto"/>
              </w:rPr>
            </w:pPr>
            <w:r>
              <w:rPr>
                <w:rFonts w:ascii="Arial" w:cs="Arial" w:eastAsia="Arial" w:hAnsi="Arial"/>
                <w:sz w:val="16"/>
                <w:szCs w:val="16"/>
                <w:b w:val="1"/>
                <w:bCs w:val="1"/>
                <w:color w:val="auto"/>
                <w:w w:val="89"/>
              </w:rPr>
              <w:t>2023</w:t>
            </w:r>
          </w:p>
        </w:tc>
      </w:tr>
      <w:tr>
        <w:trPr>
          <w:trHeight w:val="226"/>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10,368</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5,109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4,553</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Warranties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Commissions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1,453</w:t>
            </w: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fees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r>
      <w:tr>
        <w:trPr>
          <w:trHeight w:val="22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3,864</w:t>
            </w:r>
          </w:p>
        </w:tc>
      </w:tr>
      <w:tr>
        <w:trPr>
          <w:trHeight w:val="248"/>
        </w:trPr>
        <w:tc>
          <w:tcPr>
            <w:tcW w:w="75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accrued expenses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24,442</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Company accrues for the estimated cost to repair or replace products under warranty. Changes in the warranty liability were as follows: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6"/>
          </w:tcPr>
          <w:p>
            <w:pPr>
              <w:jc w:val="right"/>
              <w:ind w:right="1033"/>
              <w:spacing w:after="0"/>
              <w:rPr>
                <w:sz w:val="20"/>
                <w:szCs w:val="20"/>
                <w:color w:val="auto"/>
              </w:rPr>
            </w:pPr>
            <w:r>
              <w:rPr>
                <w:rFonts w:ascii="Arial" w:cs="Arial" w:eastAsia="Arial" w:hAnsi="Arial"/>
                <w:sz w:val="16"/>
                <w:szCs w:val="16"/>
                <w:b w:val="1"/>
                <w:bCs w:val="1"/>
                <w:color w:val="auto"/>
              </w:rPr>
              <w:t>Three 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3"/>
          </w:tcPr>
          <w:p>
            <w:pPr>
              <w:ind w:left="140"/>
              <w:spacing w:after="0" w:line="158" w:lineRule="exact"/>
              <w:rPr>
                <w:sz w:val="20"/>
                <w:szCs w:val="20"/>
                <w:color w:val="auto"/>
              </w:rPr>
            </w:pPr>
            <w:r>
              <w:rPr>
                <w:rFonts w:ascii="Arial" w:cs="Arial" w:eastAsia="Arial" w:hAnsi="Arial"/>
                <w:sz w:val="16"/>
                <w:szCs w:val="16"/>
                <w:b w:val="1"/>
                <w:bCs w:val="1"/>
                <w:color w:val="auto"/>
              </w:rPr>
              <w:t>September 29,</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jc w:val="right"/>
              <w:ind w:right="313"/>
              <w:spacing w:after="0" w:line="158" w:lineRule="exact"/>
              <w:rPr>
                <w:sz w:val="20"/>
                <w:szCs w:val="20"/>
                <w:color w:val="auto"/>
              </w:rPr>
            </w:pPr>
            <w:r>
              <w:rPr>
                <w:rFonts w:ascii="Arial" w:cs="Arial" w:eastAsia="Arial" w:hAnsi="Arial"/>
                <w:sz w:val="16"/>
                <w:szCs w:val="16"/>
                <w:b w:val="1"/>
                <w:bCs w:val="1"/>
                <w:color w:val="auto"/>
              </w:rPr>
              <w:t>September 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the beginning of the period</w:t>
            </w: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480" w:type="dxa"/>
            <w:vAlign w:val="bottom"/>
          </w:tcPr>
          <w:p>
            <w:pPr>
              <w:ind w:left="220"/>
              <w:spacing w:after="0"/>
              <w:rPr>
                <w:sz w:val="20"/>
                <w:szCs w:val="20"/>
                <w:color w:val="auto"/>
              </w:rPr>
            </w:pPr>
            <w:r>
              <w:rPr>
                <w:rFonts w:ascii="Arial" w:cs="Arial" w:eastAsia="Arial" w:hAnsi="Arial"/>
                <w:sz w:val="18"/>
                <w:szCs w:val="18"/>
                <w:color w:val="auto"/>
              </w:rPr>
              <w:t>Warranty provision recorded during the period</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Assumed in acquisition</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4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Consumption during the period</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the end of the period</w:t>
            </w: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Advance Payments and Unearned Revenue</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75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3"/>
          </w:tcPr>
          <w:p>
            <w:pPr>
              <w:ind w:left="160"/>
              <w:spacing w:after="0"/>
              <w:rPr>
                <w:sz w:val="20"/>
                <w:szCs w:val="20"/>
                <w:color w:val="auto"/>
              </w:rPr>
            </w:pPr>
            <w:r>
              <w:rPr>
                <w:rFonts w:ascii="Arial" w:cs="Arial" w:eastAsia="Arial" w:hAnsi="Arial"/>
                <w:sz w:val="16"/>
                <w:szCs w:val="16"/>
                <w:b w:val="1"/>
                <w:bCs w:val="1"/>
                <w:color w:val="auto"/>
              </w:rPr>
              <w:t>September 29,</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jc w:val="right"/>
              <w:ind w:right="493"/>
              <w:spacing w:after="0"/>
              <w:rPr>
                <w:sz w:val="20"/>
                <w:szCs w:val="20"/>
                <w:color w:val="auto"/>
              </w:rPr>
            </w:pPr>
            <w:r>
              <w:rPr>
                <w:rFonts w:ascii="Arial" w:cs="Arial" w:eastAsia="Arial" w:hAnsi="Arial"/>
                <w:sz w:val="16"/>
                <w:szCs w:val="16"/>
                <w:b w:val="1"/>
                <w:bCs w:val="1"/>
                <w:color w:val="auto"/>
              </w:rPr>
              <w:t>June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2023</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33"/>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Advance payments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Unearned revenue</w:t>
            </w: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44,001</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7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advance payments and unearned revenue</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46,050</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44,268</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Excluded from the balances above are $7.6 million and $7.4 million in long-term unearned revenue as of September 29, 2023 and June 30, 2023,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 of Assets and Liabilities</w:t>
      </w:r>
    </w:p>
    <w:p>
      <w:pPr>
        <w:spacing w:after="0" w:line="17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The Company maximizes the use of observable inputs and minimizes the use of unobservable inputs in measuring fair value and established a three-level fair value hierarchy that prioritizes the observable inputs used to measure fair value. The three levels of inputs used to measure fair value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12" w:name="page13"/>
    <w:bookmarkEnd w:id="12"/>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1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estimated fair values and valuation input levels of assets and liabilities that are measured at fair value on a recurring basis as of September 29, 2023 and June 30, 2023 were as follows:</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5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September 29, 2023</w:t>
            </w:r>
          </w:p>
        </w:tc>
        <w:tc>
          <w:tcPr>
            <w:tcW w:w="260" w:type="dxa"/>
            <w:vAlign w:val="bottom"/>
          </w:tcPr>
          <w:p>
            <w:pPr>
              <w:spacing w:after="0"/>
              <w:rPr>
                <w:sz w:val="18"/>
                <w:szCs w:val="18"/>
                <w:color w:val="auto"/>
              </w:rPr>
            </w:pPr>
          </w:p>
        </w:tc>
        <w:tc>
          <w:tcPr>
            <w:tcW w:w="1520" w:type="dxa"/>
            <w:vAlign w:val="bottom"/>
          </w:tcPr>
          <w:p>
            <w:pPr>
              <w:jc w:val="right"/>
              <w:ind w:right="335"/>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9"/>
        </w:trPr>
        <w:tc>
          <w:tcPr>
            <w:tcW w:w="56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Pr>
          <w:p>
            <w:pPr>
              <w:spacing w:after="0"/>
              <w:rPr>
                <w:sz w:val="19"/>
                <w:szCs w:val="19"/>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Fair Value</w:t>
            </w:r>
          </w:p>
        </w:tc>
        <w:tc>
          <w:tcPr>
            <w:tcW w:w="260" w:type="dxa"/>
            <w:vAlign w:val="bottom"/>
          </w:tcPr>
          <w:p>
            <w:pPr>
              <w:spacing w:after="0"/>
              <w:rPr>
                <w:sz w:val="19"/>
                <w:szCs w:val="19"/>
                <w:color w:val="auto"/>
              </w:rPr>
            </w:pPr>
          </w:p>
        </w:tc>
        <w:tc>
          <w:tcPr>
            <w:tcW w:w="1520" w:type="dxa"/>
            <w:vAlign w:val="bottom"/>
          </w:tcPr>
          <w:p>
            <w:pPr>
              <w:jc w:val="right"/>
              <w:ind w:right="455"/>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9"/>
                <w:szCs w:val="19"/>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3"/>
              </w:rPr>
              <w:t>Valuation Inputs</w:t>
            </w:r>
          </w:p>
        </w:tc>
      </w:tr>
      <w:tr>
        <w:trPr>
          <w:trHeight w:val="213"/>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5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r>
      <w:tr>
        <w:trPr>
          <w:trHeight w:val="230"/>
        </w:trPr>
        <w:tc>
          <w:tcPr>
            <w:tcW w:w="5640" w:type="dxa"/>
            <w:vAlign w:val="bottom"/>
          </w:tcPr>
          <w:p>
            <w:pPr>
              <w:ind w:left="120"/>
              <w:spacing w:after="0"/>
              <w:rPr>
                <w:sz w:val="20"/>
                <w:szCs w:val="20"/>
                <w:color w:val="auto"/>
              </w:rPr>
            </w:pPr>
            <w:r>
              <w:rPr>
                <w:rFonts w:ascii="Arial" w:cs="Arial" w:eastAsia="Arial" w:hAnsi="Arial"/>
                <w:sz w:val="18"/>
                <w:szCs w:val="18"/>
                <w:color w:val="auto"/>
              </w:rPr>
              <w:t>Bank certificates of deposit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3,533</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3,793</w:t>
            </w:r>
          </w:p>
        </w:tc>
        <w:tc>
          <w:tcPr>
            <w:tcW w:w="1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Level 2</w:t>
            </w:r>
          </w:p>
        </w:tc>
      </w:tr>
    </w:tbl>
    <w:p>
      <w:pPr>
        <w:spacing w:after="0" w:line="228"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Items are classified within Level 1 if quoted prices are available in active markets. The Company’s Level 1 items are primarily money market funds.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29, 2023 and June 30, 2023, these money market funds were valued at $1.00 net asset value per share.</w:t>
      </w:r>
    </w:p>
    <w:p>
      <w:pPr>
        <w:spacing w:after="0" w:line="15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Items are classified within Level 2 if the observable inputs to quoted market prices, benchmark yields, reported trades, broker/dealer quotes or alternative pricing sources are available with reasonable levels of price transparency. The Company’s bank certificates of deposit are classified within Level 2. The carrying value of bank certificates of deposit approximates their fair value.</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29, 2023 and June 30, 2023, there were no recurring assets or liabilities valued using significant unobservable inputs.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Company’s policy is to recognize asset or liability transfers among Level 1, Level 2, and Level 3 as of the actual date of the events or change in circumstances that caused the transfer. During the first three months of fiscal 2024 and 2023, there were no transfers of assets or liabilities measured at fair value between levels of the fair value hierarchy.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Credit Facility and Debt</w:t>
      </w:r>
    </w:p>
    <w:p>
      <w:pPr>
        <w:spacing w:after="0" w:line="17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May 2023, the Company entered into a Secured Credit Facility Agreement (the “Credit Facility”) with Wells Fargo Bank, National Association, as administrative agent, swingline lender and issuing lender and Wells Fargo Securities LLC, Citigroup Global Markets Inc., and Regions Capital Markets as lenders. The Credit Facility provides for a $40.0 million revolving credit facility (the “Revolver”) and a $50.0 million Delayed Draw Term Loan Facility (the “Term Loan”) with a maturity date of May 8, 2028. The $40.0 million Revolver can be borrowed with a $10.0 million sublimit for letters of credit, and a $10.0 million swingline loan sublimit. The Term Loan has a funding date on or prior to the closing date of the NEC Transaction (as defined below) with the proceeds intended to be used to settle the cash portion of the consideration and any related expenses. See Note 12. Acquisitions for further information. Deferred financing costs of $0.8 million were paid in association with entering into the Credit Facility.</w:t>
      </w:r>
    </w:p>
    <w:p>
      <w:pPr>
        <w:spacing w:after="0" w:line="12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September 29, 2023, the available credit under the Revolver was $38.8 million, reflecting the available limit of $40.0 million less outstanding letters of credit of $1.2 million. The available credit under the Term Loan was $50.0 million. The Company borrowed $25.2 million and repaid $25.2 million against the Revolver during the three months ended September 29, 2023. There was no borrowing outstanding for either the Revolver or Term Loan as of September 29, 2023.</w:t>
      </w:r>
    </w:p>
    <w:p>
      <w:pPr>
        <w:spacing w:after="0" w:line="13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Outstanding borrowings under the Credit Facility bear interest at either: (a) Adjusted Term Secured Overnight Financing Rate (“SOFR”) plus the applicable margin; or (b) the Base Rate plus the applicable margin. The pricing levels for interest rate margins are determined based on the Consolidated Total Leverage Ratio as determined and adjusted quarterly. As of September 29, 2023, the applicable margin on Adjusted Term SOFR and Base Rate borrowings was 2.75% and 1.75%, respectively.</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3" w:name="page14"/>
    <w:bookmarkEnd w:id="13"/>
    <w:p>
      <w:pPr>
        <w:jc w:val="both"/>
        <w:ind w:firstLine="486"/>
        <w:spacing w:after="0" w:line="273" w:lineRule="auto"/>
        <w:rPr>
          <w:sz w:val="20"/>
          <w:szCs w:val="20"/>
          <w:color w:val="auto"/>
        </w:rPr>
      </w:pPr>
      <w:r>
        <w:rPr>
          <w:rFonts w:ascii="Arial" w:cs="Arial" w:eastAsia="Arial" w:hAnsi="Arial"/>
          <w:sz w:val="17"/>
          <w:szCs w:val="17"/>
          <w:color w:val="auto"/>
        </w:rPr>
        <w:t>The Credit Facility requires the Company and its subsidiaries to maintain a fixed charge coverage ratio to be greater than 1.25 to 1.00 as of the last day of any fiscal quarter of the Company. The Credit Facility also requires that the Company maintain a maximum leverage ratio of 3.00 times EBITDA, with a step-down to 2.75 times EBITDA after four full quarters, and 2.50 times EBITDA after eight full quarters. The Credit Facility contains customary affirmative and negative covenants, including, among others, covenants limiting the ability of the Company and its subsidiaries to dispose of assets, permit a change in control, merge or consolidate, make acquisitions, incur indebtedness, grant liens, make investments, make certain restricted payments, and enter into transactions with affiliates, in each case subject to customary exceptions.</w:t>
      </w:r>
    </w:p>
    <w:p>
      <w:pPr>
        <w:spacing w:after="0" w:line="124" w:lineRule="exact"/>
        <w:rPr>
          <w:sz w:val="20"/>
          <w:szCs w:val="20"/>
          <w:color w:val="auto"/>
        </w:rPr>
      </w:pPr>
    </w:p>
    <w:p>
      <w:pPr>
        <w:ind w:right="2080" w:firstLine="486"/>
        <w:spacing w:after="0" w:line="462" w:lineRule="auto"/>
        <w:rPr>
          <w:sz w:val="20"/>
          <w:szCs w:val="20"/>
          <w:color w:val="auto"/>
        </w:rPr>
      </w:pPr>
      <w:r>
        <w:rPr>
          <w:rFonts w:ascii="Arial" w:cs="Arial" w:eastAsia="Arial" w:hAnsi="Arial"/>
          <w:sz w:val="18"/>
          <w:szCs w:val="18"/>
          <w:color w:val="auto"/>
        </w:rPr>
        <w:t xml:space="preserve">As of September 29, 2023, the Company was in compliance with all financial covenants contained in the Credit Facility. </w:t>
      </w:r>
      <w:r>
        <w:rPr>
          <w:rFonts w:ascii="Arial" w:cs="Arial" w:eastAsia="Arial" w:hAnsi="Arial"/>
          <w:sz w:val="18"/>
          <w:szCs w:val="18"/>
          <w:b w:val="1"/>
          <w:bCs w:val="1"/>
          <w:color w:val="auto"/>
        </w:rPr>
        <w:t>Note 8. Restructuring</w:t>
      </w:r>
    </w:p>
    <w:tbl>
      <w:tblPr>
        <w:tblLayout w:type="fixed"/>
        <w:tblInd w:w="20" w:type="dxa"/>
        <w:tblCellMar>
          <w:top w:w="0" w:type="dxa"/>
          <w:left w:w="0" w:type="dxa"/>
          <w:bottom w:w="0" w:type="dxa"/>
          <w:right w:w="0" w:type="dxa"/>
        </w:tblCellMar>
      </w:tblPr>
      <w:tr>
        <w:trPr>
          <w:trHeight w:val="213"/>
        </w:trPr>
        <w:tc>
          <w:tcPr>
            <w:tcW w:w="5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000" w:type="dxa"/>
            <w:vAlign w:val="bottom"/>
            <w:tcBorders>
              <w:bottom w:val="single" w:sz="8" w:color="auto"/>
            </w:tcBorders>
            <w:gridSpan w:val="6"/>
          </w:tcPr>
          <w:p>
            <w:pPr>
              <w:jc w:val="center"/>
              <w:ind w:left="1033"/>
              <w:spacing w:after="0"/>
              <w:rPr>
                <w:sz w:val="20"/>
                <w:szCs w:val="20"/>
                <w:color w:val="auto"/>
              </w:rPr>
            </w:pPr>
            <w:r>
              <w:rPr>
                <w:rFonts w:ascii="Arial" w:cs="Arial" w:eastAsia="Arial" w:hAnsi="Arial"/>
                <w:sz w:val="16"/>
                <w:szCs w:val="16"/>
                <w:b w:val="1"/>
                <w:bCs w:val="1"/>
                <w:color w:val="auto"/>
                <w:w w:val="89"/>
              </w:rPr>
              <w:t>Employee Severance and Benefits</w:t>
            </w:r>
          </w:p>
        </w:tc>
        <w:tc>
          <w:tcPr>
            <w:tcW w:w="1320" w:type="dxa"/>
            <w:vAlign w:val="bottom"/>
            <w:tcBorders>
              <w:bottom w:val="single" w:sz="8" w:color="auto"/>
            </w:tcBorders>
          </w:tcPr>
          <w:p>
            <w:pPr>
              <w:spacing w:after="0"/>
              <w:rPr>
                <w:sz w:val="18"/>
                <w:szCs w:val="18"/>
                <w:color w:val="auto"/>
              </w:rPr>
            </w:pPr>
          </w:p>
        </w:tc>
      </w:tr>
      <w:tr>
        <w:trPr>
          <w:trHeight w:val="210"/>
        </w:trPr>
        <w:tc>
          <w:tcPr>
            <w:tcW w:w="568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8"/>
                <w:szCs w:val="18"/>
                <w:color w:val="auto"/>
              </w:rPr>
            </w:pPr>
          </w:p>
        </w:tc>
        <w:tc>
          <w:tcPr>
            <w:tcW w:w="1860" w:type="dxa"/>
            <w:vAlign w:val="bottom"/>
            <w:gridSpan w:val="3"/>
          </w:tcPr>
          <w:p>
            <w:pPr>
              <w:jc w:val="right"/>
              <w:ind w:right="490"/>
              <w:spacing w:after="0"/>
              <w:rPr>
                <w:sz w:val="20"/>
                <w:szCs w:val="20"/>
                <w:color w:val="auto"/>
              </w:rPr>
            </w:pPr>
            <w:r>
              <w:rPr>
                <w:rFonts w:ascii="Arial" w:cs="Arial" w:eastAsia="Arial" w:hAnsi="Arial"/>
                <w:sz w:val="16"/>
                <w:szCs w:val="16"/>
                <w:b w:val="1"/>
                <w:bCs w:val="1"/>
                <w:color w:val="auto"/>
                <w:w w:val="95"/>
              </w:rPr>
              <w:t>Fiscal 2024 Plans</w:t>
            </w: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Prior Years’ Plans</w:t>
            </w:r>
          </w:p>
        </w:tc>
        <w:tc>
          <w:tcPr>
            <w:tcW w:w="460" w:type="dxa"/>
            <w:vAlign w:val="bottom"/>
          </w:tcPr>
          <w:p>
            <w:pPr>
              <w:spacing w:after="0"/>
              <w:rPr>
                <w:sz w:val="18"/>
                <w:szCs w:val="18"/>
                <w:color w:val="auto"/>
              </w:rPr>
            </w:pPr>
          </w:p>
        </w:tc>
        <w:tc>
          <w:tcPr>
            <w:tcW w:w="1320" w:type="dxa"/>
            <w:vAlign w:val="bottom"/>
          </w:tcPr>
          <w:p>
            <w:pPr>
              <w:jc w:val="right"/>
              <w:ind w:right="612"/>
              <w:spacing w:after="0"/>
              <w:rPr>
                <w:sz w:val="20"/>
                <w:szCs w:val="20"/>
                <w:color w:val="auto"/>
              </w:rPr>
            </w:pPr>
            <w:r>
              <w:rPr>
                <w:rFonts w:ascii="Arial" w:cs="Arial" w:eastAsia="Arial" w:hAnsi="Arial"/>
                <w:sz w:val="16"/>
                <w:szCs w:val="16"/>
                <w:b w:val="1"/>
                <w:bCs w:val="1"/>
                <w:color w:val="auto"/>
              </w:rPr>
              <w:t>Total</w:t>
            </w:r>
          </w:p>
        </w:tc>
      </w:tr>
      <w:tr>
        <w:trPr>
          <w:trHeight w:val="226"/>
        </w:trPr>
        <w:tc>
          <w:tcPr>
            <w:tcW w:w="5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Accrual balance, June 30, 2023</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30"/>
        </w:trPr>
        <w:tc>
          <w:tcPr>
            <w:tcW w:w="5680" w:type="dxa"/>
            <w:vAlign w:val="bottom"/>
          </w:tcPr>
          <w:p>
            <w:pPr>
              <w:ind w:left="140"/>
              <w:spacing w:after="0"/>
              <w:rPr>
                <w:sz w:val="20"/>
                <w:szCs w:val="20"/>
                <w:color w:val="auto"/>
              </w:rPr>
            </w:pPr>
            <w:r>
              <w:rPr>
                <w:rFonts w:ascii="Arial" w:cs="Arial" w:eastAsia="Arial" w:hAnsi="Arial"/>
                <w:sz w:val="18"/>
                <w:szCs w:val="18"/>
                <w:color w:val="auto"/>
              </w:rPr>
              <w:t>Charges, net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681</w:t>
            </w:r>
          </w:p>
        </w:tc>
      </w:tr>
      <w:tr>
        <w:trPr>
          <w:trHeight w:val="229"/>
        </w:trPr>
        <w:tc>
          <w:tcPr>
            <w:tcW w:w="5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r>
      <w:tr>
        <w:trPr>
          <w:trHeight w:val="223"/>
        </w:trPr>
        <w:tc>
          <w:tcPr>
            <w:tcW w:w="5680" w:type="dxa"/>
            <w:vAlign w:val="bottom"/>
          </w:tcPr>
          <w:p>
            <w:pPr>
              <w:ind w:left="20"/>
              <w:spacing w:after="0"/>
              <w:rPr>
                <w:sz w:val="20"/>
                <w:szCs w:val="20"/>
                <w:color w:val="auto"/>
              </w:rPr>
            </w:pPr>
            <w:r>
              <w:rPr>
                <w:rFonts w:ascii="Arial" w:cs="Arial" w:eastAsia="Arial" w:hAnsi="Arial"/>
                <w:sz w:val="18"/>
                <w:szCs w:val="18"/>
                <w:color w:val="auto"/>
              </w:rPr>
              <w:t>Accrual balance, September 29, 2023</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r>
      <w:tr>
        <w:trPr>
          <w:trHeight w:val="20"/>
        </w:trPr>
        <w:tc>
          <w:tcPr>
            <w:tcW w:w="5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September 29, 2023, the accrual balance of $0.1 million was classified as current and included in restructuring liabilities on the unaudited condensed consolidated balance sheets.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2024 Plans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fiscal 2024, the Company’s Board of Directors approved restructuring plans, primarily associated with reductions in workforce to optimize skill sets and align cost structure. The fiscal 2024 plans are expected to be completed through the first half of fiscal 2024.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Years’ Plans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Activities under the prior years’ plans primarily included reductions in workforce across the Company, associated with the acquisition of Redline (as defined below) and certain of the Company’s operations outside the United States. Payments related to the accrued restructuring balance for these plans are complete.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November 2021 the Company’s Board of Directors approved a stock repurchase program to purchase up to $10.0 million of the Company’s common stock. As of September 29, 2023, $7.3 million remains available and Aviat may choose to suspend or discontinue the repurchase program at any time. During the first quarter of fiscal 2024, the Company did not repurchase any shares of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Programs</w:t>
      </w:r>
    </w:p>
    <w:p>
      <w:pPr>
        <w:spacing w:after="0" w:line="171" w:lineRule="exact"/>
        <w:rPr>
          <w:sz w:val="20"/>
          <w:szCs w:val="20"/>
          <w:color w:val="auto"/>
        </w:rPr>
      </w:pPr>
    </w:p>
    <w:p>
      <w:pPr>
        <w:jc w:val="both"/>
        <w:ind w:firstLine="486"/>
        <w:spacing w:after="0" w:line="248" w:lineRule="auto"/>
        <w:rPr>
          <w:sz w:val="20"/>
          <w:szCs w:val="20"/>
          <w:color w:val="auto"/>
        </w:rPr>
      </w:pPr>
      <w:r>
        <w:rPr>
          <w:rFonts w:ascii="Arial" w:cs="Arial" w:eastAsia="Arial" w:hAnsi="Arial"/>
          <w:sz w:val="18"/>
          <w:szCs w:val="18"/>
          <w:color w:val="auto"/>
        </w:rPr>
        <w:t>As of September 29, 2023, the Company had one stock incentive plan for its employees and non-employee directors, the 2018 Incentive Plan (the “2018 Plan”). The 2018 Plan provides for the issuance of share-based awards in the form of stock options, stock appreciation rights, restricted stock awards and units, and performance share awards and units.</w:t>
      </w:r>
    </w:p>
    <w:p>
      <w:pPr>
        <w:spacing w:after="0" w:line="14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Under the 2018 Plan, option exercise prices are equal to the fair market value of Aviat common stock on the date the options are granted using the closing stock price. After vesting, options generally may be exercised within seven years after the date of grant.</w:t>
      </w:r>
    </w:p>
    <w:p>
      <w:pPr>
        <w:spacing w:after="0" w:line="116"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Restricted stock units are not transferable until vested and the restrictions lapse upon the achievement of continued employment or service over a specified time period. Restricted stock units issued to employees generally vest three years from the date of grant (three-year cliff or annually over three years). Restricted stock units issued annually to non-executive board members generally vest on the day before the annual stockholders’ meeting.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4" w:name="page15"/>
    <w:bookmarkEnd w:id="14"/>
    <w:p>
      <w:pPr>
        <w:jc w:val="both"/>
        <w:ind w:right="20" w:firstLine="486"/>
        <w:spacing w:after="0" w:line="277" w:lineRule="auto"/>
        <w:rPr>
          <w:sz w:val="20"/>
          <w:szCs w:val="20"/>
          <w:color w:val="auto"/>
        </w:rPr>
      </w:pPr>
      <w:r>
        <w:rPr>
          <w:rFonts w:ascii="Arial" w:cs="Arial" w:eastAsia="Arial" w:hAnsi="Arial"/>
          <w:sz w:val="18"/>
          <w:szCs w:val="18"/>
          <w:color w:val="auto"/>
        </w:rPr>
        <w:t>Vesting of performance share awards and units is subject to the achievement of predetermined financial performance and share price criteria, and continued employment through the end of the applicable period.</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the three months ended September 29, 2023, the Company granted 63,889 restricted stock units, 63,889 performance share awards and 145,250 stock options.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compensation expense for share-based awards included in the unaudited condensed consolidated statements of operations was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jc w:val="right"/>
              <w:ind w:right="103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September 29,</w:t>
            </w:r>
          </w:p>
        </w:tc>
        <w:tc>
          <w:tcPr>
            <w:tcW w:w="260" w:type="dxa"/>
            <w:vAlign w:val="bottom"/>
          </w:tcPr>
          <w:p>
            <w:pPr>
              <w:spacing w:after="0"/>
              <w:rPr>
                <w:sz w:val="13"/>
                <w:szCs w:val="13"/>
                <w:color w:val="auto"/>
              </w:rPr>
            </w:pPr>
          </w:p>
        </w:tc>
        <w:tc>
          <w:tcPr>
            <w:tcW w:w="1540" w:type="dxa"/>
            <w:vAlign w:val="bottom"/>
          </w:tcPr>
          <w:p>
            <w:pPr>
              <w:jc w:val="right"/>
              <w:ind w:right="312"/>
              <w:spacing w:after="0" w:line="158" w:lineRule="exact"/>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752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2"/>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auto"/>
            </w:tcBorders>
            <w:gridSpan w:val="2"/>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88"/>
              </w:rPr>
              <w:t>By Expense Category:</w:t>
            </w:r>
          </w:p>
        </w:tc>
        <w:tc>
          <w:tcPr>
            <w:tcW w:w="58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520" w:type="dxa"/>
            <w:vAlign w:val="bottom"/>
            <w:gridSpan w:val="3"/>
          </w:tcPr>
          <w:p>
            <w:pPr>
              <w:ind w:left="120"/>
              <w:spacing w:after="0"/>
              <w:rPr>
                <w:sz w:val="20"/>
                <w:szCs w:val="20"/>
                <w:color w:val="auto"/>
              </w:rPr>
            </w:pPr>
            <w:r>
              <w:rPr>
                <w:rFonts w:ascii="Arial" w:cs="Arial" w:eastAsia="Arial" w:hAnsi="Arial"/>
                <w:sz w:val="18"/>
                <w:szCs w:val="18"/>
                <w:color w:val="auto"/>
              </w:rPr>
              <w:t>Cost of revenues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52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Selling and administrative</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52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Arial" w:cs="Arial" w:eastAsia="Arial" w:hAnsi="Arial"/>
                <w:sz w:val="18"/>
                <w:szCs w:val="18"/>
                <w:b w:val="1"/>
                <w:bCs w:val="1"/>
                <w:color w:val="auto"/>
              </w:rPr>
              <w:t>By Type of Award: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752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5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Options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52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Restricted and performance stock awards and units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5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As of September 29, 2023, there was approximately $3.6 million of total unrecognized compensation expense related to non-vested stock options granted which is expected to be recognized over a weighted-average period of 2.3 years. As of September 29, 2023, there was $10.7 million of total unrecognized compensation expense related to non-vested stock awards which is expected to be recognized over a weighted-average period of 1.7 years.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and Geographic Information</w:t>
      </w:r>
    </w:p>
    <w:p>
      <w:pPr>
        <w:spacing w:after="0" w:line="175"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Aviat operates in one reportable business segment: the design, manufacturing, and sale of wireless networking products, solutions, and services. The Company’s financial performance is regularly reviewed by its chief operating decision maker who is its Chief Executive Officer (“CEO”).</w:t>
      </w:r>
    </w:p>
    <w:p>
      <w:pPr>
        <w:spacing w:after="0" w:line="9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reports revenue by region and country based on the location where its customers accept delivery of products and services. Revenue by region for the three months ended September 29, 2023 and September 30, 2022 was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jc w:val="right"/>
              <w:ind w:right="1033"/>
              <w:spacing w:after="0"/>
              <w:rPr>
                <w:sz w:val="20"/>
                <w:szCs w:val="20"/>
                <w:color w:val="auto"/>
              </w:rPr>
            </w:pPr>
            <w:r>
              <w:rPr>
                <w:rFonts w:ascii="Arial" w:cs="Arial" w:eastAsia="Arial" w:hAnsi="Arial"/>
                <w:sz w:val="16"/>
                <w:szCs w:val="16"/>
                <w:b w:val="1"/>
                <w:bCs w:val="1"/>
                <w:color w:val="auto"/>
              </w:rPr>
              <w:t>Three Months Ended</w:t>
            </w:r>
          </w:p>
        </w:tc>
      </w:tr>
      <w:tr>
        <w:trPr>
          <w:trHeight w:val="159"/>
        </w:trPr>
        <w:tc>
          <w:tcPr>
            <w:tcW w:w="7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September 29,</w:t>
            </w:r>
          </w:p>
        </w:tc>
        <w:tc>
          <w:tcPr>
            <w:tcW w:w="260" w:type="dxa"/>
            <w:vAlign w:val="bottom"/>
          </w:tcPr>
          <w:p>
            <w:pPr>
              <w:spacing w:after="0"/>
              <w:rPr>
                <w:sz w:val="13"/>
                <w:szCs w:val="13"/>
                <w:color w:val="auto"/>
              </w:rPr>
            </w:pPr>
          </w:p>
        </w:tc>
        <w:tc>
          <w:tcPr>
            <w:tcW w:w="1540" w:type="dxa"/>
            <w:vAlign w:val="bottom"/>
          </w:tcPr>
          <w:p>
            <w:pPr>
              <w:jc w:val="right"/>
              <w:ind w:right="313"/>
              <w:spacing w:after="0" w:line="158" w:lineRule="exact"/>
              <w:rPr>
                <w:sz w:val="20"/>
                <w:szCs w:val="20"/>
                <w:color w:val="auto"/>
              </w:rPr>
            </w:pPr>
            <w:r>
              <w:rPr>
                <w:rFonts w:ascii="Arial" w:cs="Arial" w:eastAsia="Arial" w:hAnsi="Arial"/>
                <w:sz w:val="16"/>
                <w:szCs w:val="16"/>
                <w:b w:val="1"/>
                <w:bCs w:val="1"/>
                <w:color w:val="auto"/>
              </w:rPr>
              <w:t>September 30,</w:t>
            </w:r>
          </w:p>
        </w:tc>
      </w:tr>
      <w:tr>
        <w:trPr>
          <w:trHeight w:val="213"/>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3"/>
              <w:spacing w:after="0"/>
              <w:rPr>
                <w:sz w:val="20"/>
                <w:szCs w:val="20"/>
                <w:color w:val="auto"/>
              </w:rPr>
            </w:pPr>
            <w:r>
              <w:rPr>
                <w:rFonts w:ascii="Arial" w:cs="Arial" w:eastAsia="Arial" w:hAnsi="Arial"/>
                <w:sz w:val="16"/>
                <w:szCs w:val="16"/>
                <w:b w:val="1"/>
                <w:bCs w:val="1"/>
                <w:color w:val="auto"/>
              </w:rPr>
              <w:t>2022</w:t>
            </w:r>
          </w:p>
        </w:tc>
      </w:tr>
      <w:tr>
        <w:trPr>
          <w:trHeight w:val="226"/>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48,848</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Africa and the Middle East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9,953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10,984</w:t>
            </w: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r>
      <w:tr>
        <w:trPr>
          <w:trHeight w:val="229"/>
        </w:trPr>
        <w:tc>
          <w:tcPr>
            <w:tcW w:w="7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 and Asia Pacific</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16,919</w:t>
            </w:r>
          </w:p>
        </w:tc>
      </w:tr>
      <w:tr>
        <w:trPr>
          <w:trHeight w:val="248"/>
        </w:trPr>
        <w:tc>
          <w:tcPr>
            <w:tcW w:w="7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81,251</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Company’s effective tax rate varies from the U.S. federal statutory rate of 21% primarily due to global intangible low-taxed income inclusion (GILTI) in the U.S., state taxes, foreign operations that are subject to income taxes at different statutory rates, and certain jurisdictions where the tax benefit on current losses cannot be recognized. During interim periods, tax expenses are accrued for jurisdictions that are anticipated to be profitable for fiscal 2024.</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5" w:name="page16"/>
    <w:bookmarkEnd w:id="15"/>
    <w:p>
      <w:pPr>
        <w:jc w:val="both"/>
        <w:ind w:firstLine="486"/>
        <w:spacing w:after="0" w:line="273" w:lineRule="auto"/>
        <w:rPr>
          <w:sz w:val="20"/>
          <w:szCs w:val="20"/>
          <w:color w:val="auto"/>
        </w:rPr>
      </w:pPr>
      <w:r>
        <w:rPr>
          <w:rFonts w:ascii="Arial" w:cs="Arial" w:eastAsia="Arial" w:hAnsi="Arial"/>
          <w:sz w:val="17"/>
          <w:szCs w:val="17"/>
          <w:color w:val="auto"/>
        </w:rPr>
        <w:t>The determination of income taxes for the three months ended September 29, 2023 and September 30, 2022 was based on the Company’s estimated annual effective tax rate adjusted for losses in certain jurisdictions for which no tax benefit can be recognized. Tax expense for the three months ended September 29, 2023 was primarily due to tax expense related to U.S. and profitable foreign subsidiaries. Tax expense for the three months ended September 30, 2022 was primarily due to tax expense related to U.S. and profitable foreign subsidiaries, including deferred tax expense associated with the acquisition of Redline in July 2022 and the subsequent multi-step restructuring plan in which two Canadian Redline corporations converted to unlimited liability companies and then amalgamated by the end of September 2022.</w:t>
      </w:r>
    </w:p>
    <w:p>
      <w:pPr>
        <w:spacing w:after="0" w:line="124"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Aviat has a number of years with open tax audits which vary from jurisdiction to jurisdiction. The major tax jurisdictions that are open and subject to potential audits include the U.S., Singapore, Ghana, Kenya, Nigeria, Saudi Arabia and Tanzania. The earliest years for these jurisdictions are as follows: U.S. - 2003; Singapore - 2015; Ghana – 2016; Kenya – 2018; Nigeria – 2006; Saudi Arabia – 2019 and Tanzania - 2017.</w:t>
      </w:r>
    </w:p>
    <w:p>
      <w:pPr>
        <w:spacing w:after="0" w:line="1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Interest and penalties related to unrecognized tax benefits are accounted for as part of the provision for federal, foreign, and state income taxes. Such interest expense was not material for the three months ended September 29, 2023 and September 30, 2022.</w:t>
      </w:r>
    </w:p>
    <w:p>
      <w:pPr>
        <w:spacing w:after="0" w:line="11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March 11, 2021, the US enacted the American Rescue Plan Act of 2021 (“ARPA”) which expands Section 162(m) to cover the next five most highly compensated employees for the taxable year, in addition to the “covered employees” effective for taxable years beginning after December 31, 2026. The Company will continue to examine the elements of the ARPA and the impact it may have on future business.</w:t>
      </w:r>
    </w:p>
    <w:p>
      <w:pPr>
        <w:spacing w:after="0" w:line="13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August 16, 2022, the U.S. enacted the Inflation Reduction Act of 2022 (“IRA”) which includes a new corporate alternative minimum tax of 15% on adjusted financial statement income of corporations with profits greater than $1 billion, effective for taxable years beginning after December 31, 2022, and a 1% excise tax on stock repurchases by public corporations after December 31, 2022. The Company will continue to evaluate the applicability and effect of the IRA as more guidance is issued.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Acquisitions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NEC’s Wireless Transport Business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May 9, 2023, the Company entered into a Master Sale of Business Agreement (the “Purchase Agreement”), with NEC Corporation (“NEC”). Pursuant to the Purchase Agreement, the Company will purchase certain assets and liabilities from NEC relating to NEC’s wireless backhaul business (the “NEC Transaction”). Initial consideration due at the closing of the NEC Transaction will be comprised of (i) an amount in cash equal to $45.0 million, subject to certain post-closing adjustments, and (ii) the issuance of $25.0 million in Company common stock. Aggregate consideration will be approximately $70.0 million. The Company has obtained permanent financing to fund the cash portion of the NEC Transaction. See Note 7. Credit Facility and Debt for further information.</w:t>
      </w:r>
    </w:p>
    <w:p>
      <w:pPr>
        <w:spacing w:after="0" w:line="13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Purchase Agreement contains certain customary termination rights, including, among others, (i) the right of the Company or NEC to terminate if all the conditions to closing have not been either waived or satisfied on or before February 9, 2024 and (ii) there is a final non-appealable order of a government entity prohibiting the consummation of the NEC Transaction. The NEC Transaction remains subject to, among other things, regulatory approvals and satisfaction of other customary closing conditions.</w:t>
      </w:r>
    </w:p>
    <w:p>
      <w:pPr>
        <w:spacing w:after="0" w:line="13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NEC is a leader in wireless backhaul networks with an extensive installed base of their Pasolink series products. The Company expects to complete the NEC Transaction in the fourth quarter of calendar year 2023.</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Redline Communications Group Inc.</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the first quarter of fiscal 2023, the Company acquired all of the issued and outstanding shares of Redline Communications Group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(“Redline”), for a purchase price of $20.4 million. Redline is a leading provider of mission-critical data infrastructure.</w:t>
      </w:r>
    </w:p>
    <w:p>
      <w:pPr>
        <w:spacing w:after="0" w:line="157"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See Note 12. Acquisitions to the consolidated financial statements included in the Company’s Annual Report on Form 10-K for the fiscal year ended June 30, 2023 for the final purchase price allocation, valuation methodology, and other information related to the completion of the Redline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From time to time in the normal course of business, the Company may enter into purchasing agreements with its suppliers that require the Company to accept delivery of, and remit full payment for, finished products that it has ordered, finished products that it requested be held as safety stock, and work in process started on its behalf, in the event it cancels or terminates the purchasing agreement. Because these agreements do not specify fixed or minimum quantities, do not specify minimum or variable price provisions, and do not specify the approximate timing of the transaction, and the Company has no present intention to cancel or terminate any of these agreements, the Company currently does not believe that it has any future liability under these agreements. As of September 29, 2023, the Company had outstanding purchase obligations with its suppliers or contract manufacturers of $34.1 million. In addition, the Company had contractual obligations of approximately $5.7 million associated with software licenses.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17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Guarantees issued by banks, insurance companies, or other financial institutions are contingent commitments issued to guarantee performance under borrowing arrangements, such as bank overdraft facilities, tax and customs obligations, and similar transactions, or to ensure performance under customer or vendor contracts. The terms of the guarantees are generally equal to the remaining term of the related debt or other obligations and are generally limited to two years or less. As of September 29, 2023, the Company had no guarantees applicable to its debt arrangements.</w:t>
      </w:r>
    </w:p>
    <w:p>
      <w:pPr>
        <w:spacing w:after="0" w:line="103"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Company has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September 29, 2023, the Company had commercial commitments outstanding of $60.5 million, that were not recorded on the unaudited condensed consolidated balance sheets. The Company does not believe, based on historical experience and information currently available, that it is probable that any significant amounts will be required to be paid on these performance guarantees in the future.</w:t>
      </w:r>
    </w:p>
    <w:p>
      <w:pPr>
        <w:spacing w:after="0" w:line="1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details of the Company’s commercial commitments: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00" w:type="dxa"/>
            <w:vAlign w:val="bottom"/>
          </w:tcPr>
          <w:p>
            <w:pPr>
              <w:jc w:val="right"/>
              <w:ind w:right="434"/>
              <w:spacing w:after="0"/>
              <w:rPr>
                <w:sz w:val="20"/>
                <w:szCs w:val="20"/>
                <w:color w:val="auto"/>
              </w:rPr>
            </w:pPr>
            <w:r>
              <w:rPr>
                <w:rFonts w:ascii="Arial" w:cs="Arial" w:eastAsia="Arial" w:hAnsi="Arial"/>
                <w:sz w:val="16"/>
                <w:szCs w:val="16"/>
                <w:b w:val="1"/>
                <w:bCs w:val="1"/>
                <w:color w:val="auto"/>
              </w:rPr>
              <w:t>September 29,</w:t>
            </w:r>
          </w:p>
        </w:tc>
      </w:tr>
      <w:tr>
        <w:trPr>
          <w:trHeight w:val="213"/>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754"/>
              <w:spacing w:after="0"/>
              <w:rPr>
                <w:sz w:val="20"/>
                <w:szCs w:val="20"/>
                <w:color w:val="auto"/>
              </w:rPr>
            </w:pPr>
            <w:r>
              <w:rPr>
                <w:rFonts w:ascii="Arial" w:cs="Arial" w:eastAsia="Arial" w:hAnsi="Arial"/>
                <w:sz w:val="16"/>
                <w:szCs w:val="16"/>
                <w:b w:val="1"/>
                <w:bCs w:val="1"/>
                <w:color w:val="auto"/>
              </w:rPr>
              <w:t>2023</w:t>
            </w:r>
          </w:p>
        </w:tc>
      </w:tr>
      <w:tr>
        <w:trPr>
          <w:trHeight w:val="226"/>
        </w:trPr>
        <w:tc>
          <w:tcPr>
            <w:tcW w:w="9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Letters of credit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w:t>
            </w:r>
          </w:p>
        </w:tc>
      </w:tr>
      <w:tr>
        <w:trPr>
          <w:trHeight w:val="230"/>
        </w:trPr>
        <w:tc>
          <w:tcPr>
            <w:tcW w:w="9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Bonds</w:t>
            </w: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57,921</w:t>
            </w:r>
          </w:p>
        </w:tc>
      </w:tr>
      <w:tr>
        <w:trPr>
          <w:trHeight w:val="248"/>
        </w:trPr>
        <w:tc>
          <w:tcPr>
            <w:tcW w:w="9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60,509</w:t>
            </w:r>
          </w:p>
        </w:tc>
      </w:tr>
      <w:tr>
        <w:trPr>
          <w:trHeight w:val="20"/>
        </w:trPr>
        <w:tc>
          <w:tcPr>
            <w:tcW w:w="9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Under the terms of substantially all of the Company’s license agreements, it has agreed to defend and pay any final judgment against its customers arising from claims against such customers that the Company’s products infringe the intellectual property rights of a third party. As of September 29, 2023, the Company has not received any notice that any customer is subject to an infringement claim arising from the use of its products; the Company has not received any request to defend any customers from infringement claims arising from the use of its products; and the Company has not paid any final judgment on behalf of any customer related to an infringement claim arising from the use of its products. Because the outcome of infringement disputes is related to the specific facts of each case and given the lack of previous or current indemnification claims, the Company cannot estimate the maximum amount of potential future payments, if any, related to its indemnification provisions. As of September 29, 2023, the Company had not recorded any liabilities related to these indemnifications.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The Company is subject from time to time to disputes with customers concerning its products and services. From time to time, the Company may be involved in various other legal claims and litigation that arise in the normal course of its operations. The Company is aggressively defending all current litigation matters. Although there can be no assurances and the outcome of these matters is currently not determinable, the Company currently believes that none of these claims or proceedings are likely to have a material adverse effect on its financial position. There are many uncertainties associated with any litigation and these actions or other third-party claims against the Company may cause it to incur costly litigation and/or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substantial settlement charges. As a result, the Company’s business, financial condition, results of operations, and cash flows could be adversely affected.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actual liability in any such matters may be materially different from the Company’s estimates, if any.</w:t>
      </w:r>
    </w:p>
    <w:p>
      <w:pPr>
        <w:spacing w:after="0" w:line="15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records accruals for its outstanding legal proceedings, investigations or claims when it is probable that a liability will be incurred and the amount of loss can be reasonably estimated. The Company evaluates, at least on a quarterly basis, developments in legal proceedings, investigations or claims that could affect the amount of any accrual, as well as any developments that would result in a loss contingency to become both probable and reasonably estimable. The Company has not recorded any significant accrual for loss contingencies associated with such legal claims or litigation discussed above.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The Company records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conditions if there is a reasonable possibility that a loss may have been incurred. Gain contingencies are not recorded until realized. The Company expenses all legal costs incurred to resolve regulatory, legal and tax matters as incurred.</w:t>
      </w:r>
    </w:p>
    <w:p>
      <w:pPr>
        <w:spacing w:after="0" w:line="103"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In March 2016, an enforcement action by the Indian Department of Revenue, Ministry of Finance was brought against Aviat’s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our acquisition of Telsima India in February 2009. In September 2019, the Company’s directors of Aviat India appeared before the Ministry of Finance Enforcement Directorate. No settlement offers were discussed at the meeting and the matter is still ongoing with no subsequent hearing date currently scheduled as of September 29, 2023. The Company has accrued an immaterial amount representing the estimated probable loss for which it would settle the matter. The Company currently cannot form an estimate of the range of loss in excess of its amounts already accrued. If the outcome of this matter is greater than the current immaterial amount accrued, the Company intends to dispute it vigorously.</w:t>
      </w:r>
    </w:p>
    <w:p>
      <w:pPr>
        <w:spacing w:after="0" w:line="11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Periodically, the Company reviews the status of each significant matter to assess the potential financial exposure. If a potential loss is considered probable and the amount can be reasonably estimated, the estimated loss is reflected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the consolidated financial statements. As additional information becomes available, the Company will reassess the potential liability related to its pending claims and litigation and may revise estimates accordingly. Such revisions in the estimates of the potential liabilities could have a material impact on the Company’s results of operations and financial position.</w:t>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Goodwill and Intangible Assets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presents details of goodwill and intangible assets (in thousands except useful life):</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29, 2023</w:t>
            </w:r>
          </w:p>
        </w:tc>
        <w:tc>
          <w:tcPr>
            <w:tcW w:w="260" w:type="dxa"/>
            <w:vAlign w:val="bottom"/>
          </w:tcPr>
          <w:p>
            <w:pPr>
              <w:spacing w:after="0"/>
              <w:rPr>
                <w:sz w:val="18"/>
                <w:szCs w:val="18"/>
                <w:color w:val="auto"/>
              </w:rPr>
            </w:pPr>
          </w:p>
        </w:tc>
        <w:tc>
          <w:tcPr>
            <w:tcW w:w="1540" w:type="dxa"/>
            <w:vAlign w:val="bottom"/>
          </w:tcPr>
          <w:p>
            <w:pPr>
              <w:jc w:val="right"/>
              <w:ind w:right="355"/>
              <w:spacing w:after="0"/>
              <w:rPr>
                <w:sz w:val="20"/>
                <w:szCs w:val="20"/>
                <w:color w:val="auto"/>
              </w:rPr>
            </w:pPr>
            <w:r>
              <w:rPr>
                <w:rFonts w:ascii="Arial" w:cs="Arial" w:eastAsia="Arial" w:hAnsi="Arial"/>
                <w:sz w:val="16"/>
                <w:szCs w:val="16"/>
                <w:b w:val="1"/>
                <w:bCs w:val="1"/>
                <w:color w:val="auto"/>
              </w:rPr>
              <w:t>June 30, 2023</w:t>
            </w:r>
          </w:p>
        </w:tc>
      </w:tr>
      <w:tr>
        <w:trPr>
          <w:trHeight w:val="251"/>
        </w:trPr>
        <w:tc>
          <w:tcPr>
            <w:tcW w:w="7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performs its annual goodwill impairment test on the first day of its fourth fiscal quarter. No indicators of impairment were identified during the current period that required the Company to perform an interim assessment or recoverability test.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8" w:name="page19"/>
    <w:bookmarkEnd w:id="18"/>
    <w:tbl>
      <w:tblPr>
        <w:tblLayout w:type="fixed"/>
        <w:tblInd w:w="40" w:type="dxa"/>
        <w:tblCellMar>
          <w:top w:w="0" w:type="dxa"/>
          <w:left w:w="0" w:type="dxa"/>
          <w:bottom w:w="0" w:type="dxa"/>
          <w:right w:w="0" w:type="dxa"/>
        </w:tblCellMar>
      </w:tblPr>
      <w:tr>
        <w:trPr>
          <w:trHeight w:val="213"/>
        </w:trPr>
        <w:tc>
          <w:tcPr>
            <w:tcW w:w="5600" w:type="dxa"/>
            <w:vAlign w:val="bottom"/>
          </w:tcPr>
          <w:p>
            <w:pPr>
              <w:spacing w:after="0"/>
              <w:rPr>
                <w:sz w:val="18"/>
                <w:szCs w:val="18"/>
                <w:color w:val="auto"/>
              </w:rPr>
            </w:pPr>
          </w:p>
        </w:tc>
        <w:tc>
          <w:tcPr>
            <w:tcW w:w="18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Useful life in Years</w:t>
            </w:r>
          </w:p>
        </w:tc>
        <w:tc>
          <w:tcPr>
            <w:tcW w:w="16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29, 2023</w:t>
            </w:r>
          </w:p>
        </w:tc>
        <w:tc>
          <w:tcPr>
            <w:tcW w:w="260" w:type="dxa"/>
            <w:vAlign w:val="bottom"/>
          </w:tcPr>
          <w:p>
            <w:pPr>
              <w:spacing w:after="0"/>
              <w:rPr>
                <w:sz w:val="18"/>
                <w:szCs w:val="18"/>
                <w:color w:val="auto"/>
              </w:rPr>
            </w:pPr>
          </w:p>
        </w:tc>
        <w:tc>
          <w:tcPr>
            <w:tcW w:w="1540" w:type="dxa"/>
            <w:vAlign w:val="bottom"/>
          </w:tcPr>
          <w:p>
            <w:pPr>
              <w:jc w:val="right"/>
              <w:ind w:right="351"/>
              <w:spacing w:after="0"/>
              <w:rPr>
                <w:sz w:val="20"/>
                <w:szCs w:val="20"/>
                <w:color w:val="auto"/>
              </w:rPr>
            </w:pPr>
            <w:r>
              <w:rPr>
                <w:rFonts w:ascii="Arial" w:cs="Arial" w:eastAsia="Arial" w:hAnsi="Arial"/>
                <w:sz w:val="16"/>
                <w:szCs w:val="16"/>
                <w:b w:val="1"/>
                <w:bCs w:val="1"/>
                <w:color w:val="auto"/>
              </w:rPr>
              <w:t>June 30, 2023</w:t>
            </w:r>
          </w:p>
        </w:tc>
      </w:tr>
      <w:tr>
        <w:trPr>
          <w:trHeight w:val="212"/>
        </w:trPr>
        <w:tc>
          <w:tcPr>
            <w:tcW w:w="5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r>
      <w:tr>
        <w:trPr>
          <w:trHeight w:val="229"/>
        </w:trPr>
        <w:tc>
          <w:tcPr>
            <w:tcW w:w="5600" w:type="dxa"/>
            <w:vAlign w:val="bottom"/>
          </w:tcPr>
          <w:p>
            <w:pPr>
              <w:ind w:left="120"/>
              <w:spacing w:after="0"/>
              <w:rPr>
                <w:sz w:val="20"/>
                <w:szCs w:val="20"/>
                <w:color w:val="auto"/>
              </w:rPr>
            </w:pPr>
            <w:r>
              <w:rPr>
                <w:rFonts w:ascii="Arial" w:cs="Arial" w:eastAsia="Arial" w:hAnsi="Arial"/>
                <w:sz w:val="18"/>
                <w:szCs w:val="18"/>
                <w:color w:val="auto"/>
              </w:rPr>
              <w:t>Patents</w:t>
            </w: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30"/>
        </w:trPr>
        <w:tc>
          <w:tcPr>
            <w:tcW w:w="5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Customer relationships</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7,730</w:t>
            </w:r>
          </w:p>
        </w:tc>
      </w:tr>
      <w:tr>
        <w:trPr>
          <w:trHeight w:val="229"/>
        </w:trPr>
        <w:tc>
          <w:tcPr>
            <w:tcW w:w="5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Trade names</w:t>
            </w:r>
          </w:p>
        </w:tc>
        <w:tc>
          <w:tcPr>
            <w:tcW w:w="17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w:t>
            </w:r>
          </w:p>
        </w:tc>
      </w:tr>
      <w:tr>
        <w:trPr>
          <w:trHeight w:val="223"/>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gross intangible assets</w:t>
            </w: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r>
      <w:tr>
        <w:trPr>
          <w:trHeight w:val="229"/>
        </w:trPr>
        <w:tc>
          <w:tcPr>
            <w:tcW w:w="56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Accumulated amortization</w:t>
            </w:r>
          </w:p>
        </w:tc>
        <w:tc>
          <w:tcPr>
            <w:tcW w:w="1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w:t>
            </w:r>
          </w:p>
        </w:tc>
      </w:tr>
      <w:tr>
        <w:trPr>
          <w:trHeight w:val="24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intangible assets</w:t>
            </w:r>
          </w:p>
        </w:tc>
        <w:tc>
          <w:tcPr>
            <w:tcW w:w="1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9,046</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Amortization of finite-lived intangibles is included in selling and administrative expenses. There were no impairment charges recorded for the three months ended September 29, 2023 and September 30, 2022.</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29, 2023, the estimated future amortization expense of finite-lived intangible assets is as follows (in thousands):</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2024</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r>
      <w:tr>
        <w:trPr>
          <w:trHeight w:val="229"/>
        </w:trPr>
        <w:tc>
          <w:tcPr>
            <w:tcW w:w="9420" w:type="dxa"/>
            <w:vAlign w:val="bottom"/>
          </w:tcPr>
          <w:p>
            <w:pPr>
              <w:ind w:left="20"/>
              <w:spacing w:after="0"/>
              <w:rPr>
                <w:sz w:val="20"/>
                <w:szCs w:val="20"/>
                <w:color w:val="auto"/>
              </w:rPr>
            </w:pPr>
            <w:r>
              <w:rPr>
                <w:rFonts w:ascii="Arial" w:cs="Arial" w:eastAsia="Arial" w:hAnsi="Arial"/>
                <w:sz w:val="18"/>
                <w:szCs w:val="18"/>
                <w:color w:val="auto"/>
              </w:rPr>
              <w:t>2025</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704</w:t>
            </w:r>
          </w:p>
        </w:tc>
      </w:tr>
      <w:tr>
        <w:trPr>
          <w:trHeight w:val="229"/>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r>
      <w:tr>
        <w:trPr>
          <w:trHeight w:val="230"/>
        </w:trPr>
        <w:tc>
          <w:tcPr>
            <w:tcW w:w="9420" w:type="dxa"/>
            <w:vAlign w:val="bottom"/>
          </w:tcPr>
          <w:p>
            <w:pPr>
              <w:ind w:left="20"/>
              <w:spacing w:after="0"/>
              <w:rPr>
                <w:sz w:val="20"/>
                <w:szCs w:val="20"/>
                <w:color w:val="auto"/>
              </w:rPr>
            </w:pPr>
            <w:r>
              <w:rPr>
                <w:rFonts w:ascii="Arial" w:cs="Arial" w:eastAsia="Arial" w:hAnsi="Arial"/>
                <w:sz w:val="18"/>
                <w:szCs w:val="18"/>
                <w:color w:val="auto"/>
              </w:rPr>
              <w:t>2027</w:t>
            </w:r>
          </w:p>
        </w:tc>
        <w:tc>
          <w:tcPr>
            <w:tcW w:w="7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704</w:t>
            </w:r>
          </w:p>
        </w:tc>
      </w:tr>
      <w:tr>
        <w:trPr>
          <w:trHeight w:val="229"/>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7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r>
      <w:tr>
        <w:trPr>
          <w:trHeight w:val="230"/>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7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5,526</w:t>
            </w:r>
          </w:p>
        </w:tc>
      </w:tr>
      <w:tr>
        <w:trPr>
          <w:trHeight w:val="248"/>
        </w:trPr>
        <w:tc>
          <w:tcPr>
            <w:tcW w:w="94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8,870</w:t>
            </w: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without limitation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Aviat Networks, Inc.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Quarterly Report on Form 10-Q.</w:t>
      </w:r>
    </w:p>
    <w:p>
      <w:pPr>
        <w:spacing w:after="0" w:line="13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See “Item 1A. Risk Factors” in the Company’s fiscal 2023 Annual Report on Form 10-K filed with the SEC on August 30, 2023 for more information regarding factors that may cause its results to differ materially from those expressed or implied by the forward-looking statements contained in this Quarterly Report on Form 10-Q.</w:t>
      </w:r>
    </w:p>
    <w:p>
      <w:pPr>
        <w:spacing w:after="0" w:line="13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expressly disclaim any obligation, other than as required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2024 and 2023 Results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Aviat’s results of operations and financial condition. MD&amp;A is provided as a supplement to, and should be read in conjunction with, the Company’s unaudited condensed consolidated financial statements and accompanying notes. In the discussion herein, the fiscal year ending June 28, 2024 is referred to as “fiscal 2024” or “2024” and the fiscal year ended June 30, 2023 is referred to as “fiscal 2023” or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Aviat is a global supplier of microwave networking and access networking solutions, backed by an extensive suite of professional services and support. Aviat sells radios, routers, software and services integral to the functioning of data transport networks. Aviat has more than 3,000 customers and significant relationships with global service providers and private network operators. Aviat’s North America manufacturing base consists of a combination of contract manufacturing and assembly and testing operated in Austin, Texas by Aviat. Additionally, Aviat utilizes a contract manufacturer based in Asia for much of its international equipment demand. Aviat’s technology is underpinned by more than 500 patents. Aviat competes on the basis of total cost of ownership, microwave radio expertise and solutions for mission critical communications. Aviat has a global presence.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NEC’s Wireless Transport Business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On May 9, 2023, the Company entered into the Purchase Agreement with NEC. Pursuant to the Purchase Agreement, the Company will purchase certain assets and liabilities from NEC relating to NEC’s wireless backhaul business. Initial consideration due at the closing of the NEC Transaction will be comprised of (i) an amount in cash equal to $45.0 million, subject to certain post-closing adjustments, and (ii) the issuance of $25.0 million in Company common stock. Aggregate consideration will be approximately $70.0 million. The Company has obtained permanent financing to fund the cash portion of the NEC Transaction. See Note 7. Credit Facility and Debt for further information.</w:t>
      </w:r>
    </w:p>
    <w:p>
      <w:pPr>
        <w:spacing w:after="0" w:line="13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Purchase Agreement contains certain customary termination rights, including, among others, (i) the right of the Company or NEC to terminate if all the conditions to closing have not been either waived or satisfied on or before February 9, 2024 and (ii) there is a final non-appealable order of a government entity prohibiting the consummation of the NEC Transaction. The NEC Transaction remains subject to, among other things, regulatory approvals and satisfaction of other customary closing conditions.</w:t>
      </w:r>
    </w:p>
    <w:p>
      <w:pPr>
        <w:spacing w:after="0" w:line="13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NEC is a leader in wireless backhaul networks with an extensive installed base of their Pasolink series products. The Company expects to complete the NEC Transaction in the fourth quarter of calendar year 2023.</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Redline Communications Group Inc.</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the first quarter of fiscal 2023, the Company acquired all of the issued and outstanding shares of Redline, for a purchase price of $20.4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Redline is a leading provider of mission-critical data infrastructure.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175"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The market for mobile backhaul continued to be the Company’s primary addressable market segment globally in the first three months of fiscal 2024. In North America, the Company supported 5G and long-term evolution (“LTE”) deployments of its mobile operator customers, public safety network deployments for state and local governments, and private network implementations for utilities and other customers. In international markets, the Company’s business continued to rely on a combination of customers increasing their capacity to handle subscriber growth and the ongoing build-out of some large LTE and 5G deployments. Aviat’s position continues to be to support its customers for 5G and LTE readiness and ensure that its technology roadmap is well aligned with evolving market requirements. Aviat’s strength in turnkey and after-sale support services is a differentiating factor that wins business for the Company and enables it to expand its business with existing customers. Additionally, Aviat operates an e-commerce platform that provides low-cost services, simple experience, and fast delivery to mobile operators and private network customers. However, as disclosed above and in the “Risk Factors” section in Item 1A of its Annual Report on Form 10-K filed with the SEC on August 30, 2023, a number of factors could prevent the Company from achieving its objectives, including ongoing pricing pressures attributable to competition and macroeconomic conditions in the geographic markets that it serves.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manages its sales activities primarily on a geographic basis in North America and three international geographic regions: (1) Africa and the Middle East, (2) Europe, and (3) Latin America and Asia Pacific. Revenue by region for the three months ended September 29, 2023 and September 30, 2022 and the related changes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September 29, 2023</w:t>
            </w: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September 30, 2022</w:t>
            </w:r>
          </w:p>
        </w:tc>
        <w:tc>
          <w:tcPr>
            <w:tcW w:w="240" w:type="dxa"/>
            <w:vAlign w:val="bottom"/>
          </w:tcPr>
          <w:p>
            <w:pPr>
              <w:spacing w:after="0"/>
              <w:rPr>
                <w:sz w:val="18"/>
                <w:szCs w:val="18"/>
                <w:color w:val="auto"/>
              </w:rPr>
            </w:pPr>
          </w:p>
        </w:tc>
        <w:tc>
          <w:tcPr>
            <w:tcW w:w="1180" w:type="dxa"/>
            <w:vAlign w:val="bottom"/>
          </w:tcPr>
          <w:p>
            <w:pPr>
              <w:jc w:val="right"/>
              <w:ind w:right="292"/>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1580" w:type="dxa"/>
            <w:vAlign w:val="bottom"/>
          </w:tcPr>
          <w:p>
            <w:pPr>
              <w:jc w:val="right"/>
              <w:ind w:right="335"/>
              <w:spacing w:after="0"/>
              <w:rPr>
                <w:sz w:val="20"/>
                <w:szCs w:val="20"/>
                <w:color w:val="auto"/>
              </w:rPr>
            </w:pPr>
            <w:r>
              <w:rPr>
                <w:rFonts w:ascii="Arial" w:cs="Arial" w:eastAsia="Arial" w:hAnsi="Arial"/>
                <w:sz w:val="16"/>
                <w:szCs w:val="16"/>
                <w:b w:val="1"/>
                <w:bCs w:val="1"/>
                <w:color w:val="auto"/>
              </w:rPr>
              <w:t>% Change</w:t>
            </w:r>
          </w:p>
        </w:tc>
      </w:tr>
      <w:tr>
        <w:trPr>
          <w:trHeight w:val="226"/>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55,508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Africa and the Middle East</w:t>
            </w: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16.7 %</w:t>
            </w:r>
          </w:p>
        </w:tc>
      </w:tr>
      <w:tr>
        <w:trPr>
          <w:trHeight w:val="229"/>
        </w:trPr>
        <w:tc>
          <w:tcPr>
            <w:tcW w:w="50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Latin America and Asia Pacific</w:t>
            </w: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16,853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(0.4)%</w:t>
            </w: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87,566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Revenue in North America increased by $6.7 million during the first quarter of fiscal 2024 compared with the same period of fiscal 2023, primarily due to strong private network and tier 1 demand.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1" w:name="page22"/>
    <w:bookmarkEnd w:id="21"/>
    <w:p>
      <w:pPr>
        <w:ind w:firstLine="486"/>
        <w:spacing w:after="0" w:line="277" w:lineRule="auto"/>
        <w:rPr>
          <w:sz w:val="20"/>
          <w:szCs w:val="20"/>
          <w:color w:val="auto"/>
        </w:rPr>
      </w:pPr>
      <w:r>
        <w:rPr>
          <w:rFonts w:ascii="Arial" w:cs="Arial" w:eastAsia="Arial" w:hAnsi="Arial"/>
          <w:sz w:val="18"/>
          <w:szCs w:val="18"/>
          <w:color w:val="auto"/>
        </w:rPr>
        <w:t>Revenue in Africa and the Middle East decreased by $(1.0) million during the first quarter of fiscal 2024 compared with the same period of fiscal 2023, primarily due to cyclical softness in the capital expenditure plans of large mobile operators in the region.</w:t>
      </w:r>
    </w:p>
    <w:p>
      <w:pPr>
        <w:spacing w:after="0" w:line="11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Revenue in Europe increased by $0.8 million for the first quarter of fiscal 2024 compared with the same period of fiscal 2023, primarily due to increased sales to mobile operators in the region.</w:t>
      </w:r>
    </w:p>
    <w:p>
      <w:pPr>
        <w:spacing w:after="0" w:line="116"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Revenue in Latin America and Asia Pacific decreased by $0.1 million during the first quarter of fiscal 2024 compared with the same period of fiscal 2023, primarily due to timing of projects with mobile operators.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r>
      <w:tr>
        <w:trPr>
          <w:trHeight w:val="210"/>
        </w:trPr>
        <w:tc>
          <w:tcPr>
            <w:tcW w:w="502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w w:val="97"/>
              </w:rPr>
              <w:t>September 29, 2023</w:t>
            </w: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w w:val="97"/>
              </w:rPr>
              <w:t>September 30, 2022</w:t>
            </w:r>
          </w:p>
        </w:tc>
        <w:tc>
          <w:tcPr>
            <w:tcW w:w="260" w:type="dxa"/>
            <w:vAlign w:val="bottom"/>
          </w:tcPr>
          <w:p>
            <w:pPr>
              <w:spacing w:after="0"/>
              <w:rPr>
                <w:sz w:val="18"/>
                <w:szCs w:val="18"/>
                <w:color w:val="auto"/>
              </w:rPr>
            </w:pPr>
          </w:p>
        </w:tc>
        <w:tc>
          <w:tcPr>
            <w:tcW w:w="1180" w:type="dxa"/>
            <w:vAlign w:val="bottom"/>
          </w:tcPr>
          <w:p>
            <w:pPr>
              <w:jc w:val="right"/>
              <w:ind w:right="312"/>
              <w:spacing w:after="0"/>
              <w:rPr>
                <w:sz w:val="20"/>
                <w:szCs w:val="20"/>
                <w:color w:val="auto"/>
              </w:rPr>
            </w:pPr>
            <w:r>
              <w:rPr>
                <w:rFonts w:ascii="Arial" w:cs="Arial" w:eastAsia="Arial" w:hAnsi="Arial"/>
                <w:sz w:val="16"/>
                <w:szCs w:val="16"/>
                <w:b w:val="1"/>
                <w:bCs w:val="1"/>
                <w:color w:val="auto"/>
              </w:rPr>
              <w:t>$ Change</w:t>
            </w:r>
          </w:p>
        </w:tc>
        <w:tc>
          <w:tcPr>
            <w:tcW w:w="100" w:type="dxa"/>
            <w:vAlign w:val="bottom"/>
          </w:tcPr>
          <w:p>
            <w:pPr>
              <w:spacing w:after="0"/>
              <w:rPr>
                <w:sz w:val="18"/>
                <w:szCs w:val="18"/>
                <w:color w:val="auto"/>
              </w:rPr>
            </w:pPr>
          </w:p>
        </w:tc>
        <w:tc>
          <w:tcPr>
            <w:tcW w:w="1600" w:type="dxa"/>
            <w:vAlign w:val="bottom"/>
          </w:tcPr>
          <w:p>
            <w:pPr>
              <w:jc w:val="right"/>
              <w:ind w:right="335"/>
              <w:spacing w:after="0"/>
              <w:rPr>
                <w:sz w:val="20"/>
                <w:szCs w:val="20"/>
                <w:color w:val="auto"/>
              </w:rPr>
            </w:pPr>
            <w:r>
              <w:rPr>
                <w:rFonts w:ascii="Arial" w:cs="Arial" w:eastAsia="Arial" w:hAnsi="Arial"/>
                <w:sz w:val="16"/>
                <w:szCs w:val="16"/>
                <w:b w:val="1"/>
                <w:bCs w:val="1"/>
                <w:color w:val="auto"/>
              </w:rPr>
              <w:t>% Change</w:t>
            </w:r>
          </w:p>
        </w:tc>
      </w:tr>
      <w:tr>
        <w:trPr>
          <w:trHeight w:val="226"/>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w:t>
            </w:r>
          </w:p>
        </w:tc>
        <w:tc>
          <w:tcPr>
            <w:tcW w:w="50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59,545</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55,101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4,444</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3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Services</w:t>
            </w: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28,021</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26,150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1,871</w:t>
            </w:r>
          </w:p>
        </w:tc>
        <w:tc>
          <w:tcPr>
            <w:tcW w:w="17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7.2 %</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500" w:type="dxa"/>
            <w:vAlign w:val="bottom"/>
            <w:tcBorders>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87,566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81,251</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29"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Revenue from product sales and services increased by 8.1% and 7.2%, respectively for the first quarter of fiscal 2024 compared with the same quarter of fiscal 2023. The relatively proportionate increases were driven by the same overall factors of revenue growth discussed previously.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712"/>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3"/>
                <w:szCs w:val="13"/>
                <w:color w:val="auto"/>
              </w:rPr>
              <w:t>(In thousands, except percentages)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29, 2023</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2022</w:t>
            </w:r>
          </w:p>
        </w:tc>
        <w:tc>
          <w:tcPr>
            <w:tcW w:w="260" w:type="dxa"/>
            <w:vAlign w:val="bottom"/>
          </w:tcPr>
          <w:p>
            <w:pPr>
              <w:spacing w:after="0"/>
              <w:rPr>
                <w:sz w:val="18"/>
                <w:szCs w:val="18"/>
                <w:color w:val="auto"/>
              </w:rPr>
            </w:pPr>
          </w:p>
        </w:tc>
        <w:tc>
          <w:tcPr>
            <w:tcW w:w="1160" w:type="dxa"/>
            <w:vAlign w:val="bottom"/>
          </w:tcPr>
          <w:p>
            <w:pPr>
              <w:jc w:val="right"/>
              <w:ind w:right="292"/>
              <w:spacing w:after="0"/>
              <w:rPr>
                <w:sz w:val="20"/>
                <w:szCs w:val="20"/>
                <w:color w:val="auto"/>
              </w:rPr>
            </w:pPr>
            <w:r>
              <w:rPr>
                <w:rFonts w:ascii="Arial" w:cs="Arial" w:eastAsia="Arial" w:hAnsi="Arial"/>
                <w:sz w:val="16"/>
                <w:szCs w:val="16"/>
                <w:b w:val="1"/>
                <w:bCs w:val="1"/>
                <w:color w:val="auto"/>
              </w:rPr>
              <w:t>$ Change</w:t>
            </w:r>
          </w:p>
        </w:tc>
        <w:tc>
          <w:tcPr>
            <w:tcW w:w="80" w:type="dxa"/>
            <w:vAlign w:val="bottom"/>
          </w:tcPr>
          <w:p>
            <w:pPr>
              <w:spacing w:after="0"/>
              <w:rPr>
                <w:sz w:val="18"/>
                <w:szCs w:val="18"/>
                <w:color w:val="auto"/>
              </w:rPr>
            </w:pPr>
          </w:p>
        </w:tc>
        <w:tc>
          <w:tcPr>
            <w:tcW w:w="1560" w:type="dxa"/>
            <w:vAlign w:val="bottom"/>
          </w:tcPr>
          <w:p>
            <w:pPr>
              <w:jc w:val="right"/>
              <w:ind w:right="315"/>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87,566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81,251</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7.8 %</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4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55,714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51,797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w:t>
            </w:r>
          </w:p>
        </w:tc>
        <w:tc>
          <w:tcPr>
            <w:tcW w:w="1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7.6 %</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4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31,852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29,454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1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 of revenue</w:t>
            </w:r>
          </w:p>
        </w:tc>
        <w:tc>
          <w:tcPr>
            <w:tcW w:w="3380" w:type="dxa"/>
            <w:vAlign w:val="bottom"/>
          </w:tcPr>
          <w:p>
            <w:pPr>
              <w:jc w:val="right"/>
              <w:ind w:right="490"/>
              <w:spacing w:after="0"/>
              <w:rPr>
                <w:sz w:val="20"/>
                <w:szCs w:val="20"/>
                <w:color w:val="auto"/>
              </w:rPr>
            </w:pPr>
            <w:r>
              <w:rPr>
                <w:rFonts w:ascii="Arial" w:cs="Arial" w:eastAsia="Arial" w:hAnsi="Arial"/>
                <w:sz w:val="18"/>
                <w:szCs w:val="18"/>
                <w:color w:val="auto"/>
              </w:rPr>
              <w:t>36.4 %</w:t>
            </w:r>
          </w:p>
        </w:tc>
        <w:tc>
          <w:tcPr>
            <w:tcW w:w="4240" w:type="dxa"/>
            <w:vAlign w:val="bottom"/>
          </w:tcPr>
          <w:p>
            <w:pPr>
              <w:jc w:val="right"/>
              <w:ind w:right="3070"/>
              <w:spacing w:after="0"/>
              <w:rPr>
                <w:sz w:val="20"/>
                <w:szCs w:val="20"/>
                <w:color w:val="auto"/>
              </w:rPr>
            </w:pPr>
            <w:r>
              <w:rPr>
                <w:rFonts w:ascii="Arial" w:cs="Arial" w:eastAsia="Arial" w:hAnsi="Arial"/>
                <w:sz w:val="18"/>
                <w:szCs w:val="18"/>
                <w:color w:val="auto"/>
              </w:rPr>
              <w:t>36.3 %</w:t>
            </w: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margin %</w:t>
            </w:r>
          </w:p>
        </w:tc>
        <w:tc>
          <w:tcPr>
            <w:tcW w:w="33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39.0 %</w:t>
            </w:r>
          </w:p>
        </w:tc>
        <w:tc>
          <w:tcPr>
            <w:tcW w:w="4240" w:type="dxa"/>
            <w:vAlign w:val="bottom"/>
            <w:shd w:val="clear" w:color="auto" w:fill="CCEEFF"/>
          </w:tcPr>
          <w:p>
            <w:pPr>
              <w:jc w:val="right"/>
              <w:ind w:right="3070"/>
              <w:spacing w:after="0"/>
              <w:rPr>
                <w:sz w:val="20"/>
                <w:szCs w:val="20"/>
                <w:color w:val="auto"/>
              </w:rPr>
            </w:pPr>
            <w:r>
              <w:rPr>
                <w:rFonts w:ascii="Arial" w:cs="Arial" w:eastAsia="Arial" w:hAnsi="Arial"/>
                <w:sz w:val="18"/>
                <w:szCs w:val="18"/>
                <w:color w:val="auto"/>
              </w:rPr>
              <w:t>36.0 %</w:t>
            </w: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Service margin %</w:t>
            </w:r>
          </w:p>
        </w:tc>
        <w:tc>
          <w:tcPr>
            <w:tcW w:w="3380" w:type="dxa"/>
            <w:vAlign w:val="bottom"/>
          </w:tcPr>
          <w:p>
            <w:pPr>
              <w:jc w:val="right"/>
              <w:ind w:right="490"/>
              <w:spacing w:after="0"/>
              <w:rPr>
                <w:sz w:val="20"/>
                <w:szCs w:val="20"/>
                <w:color w:val="auto"/>
              </w:rPr>
            </w:pPr>
            <w:r>
              <w:rPr>
                <w:rFonts w:ascii="Arial" w:cs="Arial" w:eastAsia="Arial" w:hAnsi="Arial"/>
                <w:sz w:val="18"/>
                <w:szCs w:val="18"/>
                <w:color w:val="auto"/>
              </w:rPr>
              <w:t>30.8 %</w:t>
            </w:r>
          </w:p>
        </w:tc>
        <w:tc>
          <w:tcPr>
            <w:tcW w:w="4240" w:type="dxa"/>
            <w:vAlign w:val="bottom"/>
          </w:tcPr>
          <w:p>
            <w:pPr>
              <w:jc w:val="right"/>
              <w:ind w:right="3070"/>
              <w:spacing w:after="0"/>
              <w:rPr>
                <w:sz w:val="20"/>
                <w:szCs w:val="20"/>
                <w:color w:val="auto"/>
              </w:rPr>
            </w:pPr>
            <w:r>
              <w:rPr>
                <w:rFonts w:ascii="Arial" w:cs="Arial" w:eastAsia="Arial" w:hAnsi="Arial"/>
                <w:sz w:val="18"/>
                <w:szCs w:val="18"/>
                <w:color w:val="auto"/>
              </w:rPr>
              <w:t>36.7 %</w:t>
            </w:r>
          </w:p>
        </w:tc>
      </w:tr>
    </w:tbl>
    <w:p>
      <w:pPr>
        <w:spacing w:after="0" w:line="24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Gross margin for the first quarter of fiscal 2024 increased by $2.4 million compared with the same quarter of fiscal 2023, primarily due to a higher proportion of sales to North American customers where the Company’s margins are historically strongest.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ind w:left="680"/>
              <w:spacing w:after="0"/>
              <w:rPr>
                <w:sz w:val="20"/>
                <w:szCs w:val="20"/>
                <w:color w:val="auto"/>
              </w:rPr>
            </w:pPr>
            <w:r>
              <w:rPr>
                <w:rFonts w:ascii="Arial" w:cs="Arial" w:eastAsia="Arial" w:hAnsi="Arial"/>
                <w:sz w:val="16"/>
                <w:szCs w:val="16"/>
                <w:b w:val="1"/>
                <w:bCs w:val="1"/>
                <w:color w:val="auto"/>
              </w:rPr>
              <w:t>Three Months Ended</w:t>
            </w:r>
          </w:p>
        </w:tc>
        <w:tc>
          <w:tcPr>
            <w:tcW w:w="1560" w:type="dxa"/>
            <w:vAlign w:val="bottom"/>
            <w:tcBorders>
              <w:bottom w:val="single" w:sz="8" w:color="auto"/>
            </w:tcBorders>
          </w:tcPr>
          <w:p>
            <w:pPr>
              <w:spacing w:after="0"/>
              <w:rPr>
                <w:sz w:val="18"/>
                <w:szCs w:val="18"/>
                <w:color w:val="auto"/>
              </w:rPr>
            </w:pPr>
          </w:p>
        </w:tc>
      </w:tr>
      <w:tr>
        <w:trPr>
          <w:trHeight w:val="210"/>
        </w:trPr>
        <w:tc>
          <w:tcPr>
            <w:tcW w:w="486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1660" w:type="dxa"/>
            <w:vAlign w:val="bottom"/>
            <w:gridSpan w:val="3"/>
          </w:tcPr>
          <w:p>
            <w:pPr>
              <w:ind w:left="120"/>
              <w:spacing w:after="0"/>
              <w:rPr>
                <w:sz w:val="20"/>
                <w:szCs w:val="20"/>
                <w:color w:val="auto"/>
              </w:rPr>
            </w:pPr>
            <w:r>
              <w:rPr>
                <w:rFonts w:ascii="Arial" w:cs="Arial" w:eastAsia="Arial" w:hAnsi="Arial"/>
                <w:sz w:val="16"/>
                <w:szCs w:val="16"/>
                <w:b w:val="1"/>
                <w:bCs w:val="1"/>
                <w:color w:val="auto"/>
              </w:rPr>
              <w:t>September 29, 2023</w:t>
            </w:r>
          </w:p>
        </w:tc>
        <w:tc>
          <w:tcPr>
            <w:tcW w:w="1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16"/>
                <w:szCs w:val="16"/>
                <w:b w:val="1"/>
                <w:bCs w:val="1"/>
                <w:color w:val="auto"/>
              </w:rPr>
              <w:t>September 30, 2022</w:t>
            </w:r>
          </w:p>
        </w:tc>
        <w:tc>
          <w:tcPr>
            <w:tcW w:w="26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560" w:type="dxa"/>
            <w:vAlign w:val="bottom"/>
          </w:tcPr>
          <w:p>
            <w:pPr>
              <w:jc w:val="right"/>
              <w:ind w:right="315"/>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540" w:type="dxa"/>
            <w:vAlign w:val="bottom"/>
            <w:tcBorders>
              <w:top w:val="single" w:sz="8" w:color="auto"/>
            </w:tcBorders>
            <w:shd w:val="clear" w:color="auto" w:fill="CCEEFF"/>
          </w:tcPr>
          <w:p>
            <w:pPr>
              <w:jc w:val="right"/>
              <w:ind w:right="335"/>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6,424</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6,087</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 of revenue</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24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Research and development expenses increased by $0.3 million in the first quarter of fiscal 2024 compared with the same period of fiscal 2023, primarily due to increased product development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560" w:type="dxa"/>
            <w:vAlign w:val="bottom"/>
            <w:tcBorders>
              <w:bottom w:val="single" w:sz="8" w:color="auto"/>
            </w:tcBorders>
          </w:tcPr>
          <w:p>
            <w:pPr>
              <w:spacing w:after="0"/>
              <w:rPr>
                <w:sz w:val="18"/>
                <w:szCs w:val="18"/>
                <w:color w:val="auto"/>
              </w:rPr>
            </w:pPr>
          </w:p>
        </w:tc>
      </w:tr>
      <w:tr>
        <w:trPr>
          <w:trHeight w:val="210"/>
        </w:trPr>
        <w:tc>
          <w:tcPr>
            <w:tcW w:w="490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29, 2023</w:t>
            </w:r>
          </w:p>
        </w:tc>
        <w:tc>
          <w:tcPr>
            <w:tcW w:w="164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2022</w:t>
            </w:r>
          </w:p>
        </w:tc>
        <w:tc>
          <w:tcPr>
            <w:tcW w:w="26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 Change</w:t>
            </w:r>
          </w:p>
        </w:tc>
        <w:tc>
          <w:tcPr>
            <w:tcW w:w="1560" w:type="dxa"/>
            <w:vAlign w:val="bottom"/>
          </w:tcPr>
          <w:p>
            <w:pPr>
              <w:jc w:val="right"/>
              <w:ind w:right="315"/>
              <w:spacing w:after="0"/>
              <w:rPr>
                <w:sz w:val="20"/>
                <w:szCs w:val="20"/>
                <w:color w:val="auto"/>
              </w:rPr>
            </w:pPr>
            <w:r>
              <w:rPr>
                <w:rFonts w:ascii="Arial" w:cs="Arial" w:eastAsia="Arial" w:hAnsi="Arial"/>
                <w:sz w:val="16"/>
                <w:szCs w:val="16"/>
                <w:b w:val="1"/>
                <w:bCs w:val="1"/>
                <w:color w:val="auto"/>
              </w:rPr>
              <w:t>% Change</w:t>
            </w:r>
          </w:p>
        </w:tc>
      </w:tr>
      <w:tr>
        <w:trPr>
          <w:trHeight w:val="226"/>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administrative</w:t>
            </w:r>
          </w:p>
        </w:tc>
        <w:tc>
          <w:tcPr>
            <w:tcW w:w="460" w:type="dxa"/>
            <w:vAlign w:val="bottom"/>
            <w:tcBorders>
              <w:top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19,237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5"/>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17,504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9.9 %</w:t>
            </w: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 of revenue</w:t>
            </w:r>
          </w:p>
        </w:tc>
        <w:tc>
          <w:tcPr>
            <w:tcW w:w="4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22.0 %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21.5 %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r>
    </w:tbl>
    <w:p>
      <w:pPr>
        <w:spacing w:after="0" w:line="22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Selling and administrative expenses increased by $1.7 million in the first quarter of fiscal 2024 compared with the same period in fiscal 2023, primarily due to variable compensation and merger and acquisition related expenses.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ectPr>
          <w:pgSz w:w="11900" w:h="16838" w:orient="portrait"/>
          <w:cols w:equalWidth="0" w:num="1">
            <w:col w:w="11240"/>
          </w:cols>
          <w:pgMar w:left="320" w:top="12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13"/>
        </w:trPr>
        <w:tc>
          <w:tcPr>
            <w:tcW w:w="508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1560" w:type="dxa"/>
            <w:vAlign w:val="bottom"/>
            <w:tcBorders>
              <w:bottom w:val="single" w:sz="8" w:color="auto"/>
            </w:tcBorders>
          </w:tcPr>
          <w:p>
            <w:pPr>
              <w:spacing w:after="0"/>
              <w:rPr>
                <w:sz w:val="18"/>
                <w:szCs w:val="18"/>
                <w:color w:val="auto"/>
              </w:rPr>
            </w:pPr>
          </w:p>
        </w:tc>
      </w:tr>
      <w:tr>
        <w:trPr>
          <w:trHeight w:val="210"/>
        </w:trPr>
        <w:tc>
          <w:tcPr>
            <w:tcW w:w="508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152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September 29, 2023</w:t>
            </w:r>
          </w:p>
        </w:tc>
        <w:tc>
          <w:tcPr>
            <w:tcW w:w="1540" w:type="dxa"/>
            <w:vAlign w:val="bottom"/>
            <w:gridSpan w:val="3"/>
          </w:tcPr>
          <w:p>
            <w:pPr>
              <w:ind w:left="60"/>
              <w:spacing w:after="0"/>
              <w:rPr>
                <w:sz w:val="20"/>
                <w:szCs w:val="20"/>
                <w:color w:val="auto"/>
              </w:rPr>
            </w:pPr>
            <w:r>
              <w:rPr>
                <w:rFonts w:ascii="Arial" w:cs="Arial" w:eastAsia="Arial" w:hAnsi="Arial"/>
                <w:sz w:val="16"/>
                <w:szCs w:val="16"/>
                <w:b w:val="1"/>
                <w:bCs w:val="1"/>
                <w:color w:val="auto"/>
                <w:w w:val="97"/>
              </w:rPr>
              <w:t>September 30, 2022</w:t>
            </w:r>
          </w:p>
        </w:tc>
        <w:tc>
          <w:tcPr>
            <w:tcW w:w="26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b w:val="1"/>
                <w:bCs w:val="1"/>
                <w:color w:val="auto"/>
              </w:rPr>
              <w:t>$ Change</w:t>
            </w:r>
          </w:p>
        </w:tc>
        <w:tc>
          <w:tcPr>
            <w:tcW w:w="1560" w:type="dxa"/>
            <w:vAlign w:val="bottom"/>
          </w:tcPr>
          <w:p>
            <w:pPr>
              <w:jc w:val="right"/>
              <w:ind w:right="339"/>
              <w:spacing w:after="0"/>
              <w:rPr>
                <w:sz w:val="20"/>
                <w:szCs w:val="20"/>
                <w:color w:val="auto"/>
              </w:rPr>
            </w:pPr>
            <w:r>
              <w:rPr>
                <w:rFonts w:ascii="Arial" w:cs="Arial" w:eastAsia="Arial" w:hAnsi="Arial"/>
                <w:sz w:val="16"/>
                <w:szCs w:val="16"/>
                <w:b w:val="1"/>
                <w:bCs w:val="1"/>
                <w:color w:val="auto"/>
              </w:rPr>
              <w:t>% Change</w:t>
            </w:r>
          </w:p>
        </w:tc>
      </w:tr>
      <w:tr>
        <w:trPr>
          <w:trHeight w:val="212"/>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charges</w:t>
            </w:r>
          </w:p>
        </w:tc>
        <w:tc>
          <w:tcPr>
            <w:tcW w:w="600" w:type="dxa"/>
            <w:vAlign w:val="bottom"/>
            <w:tcBorders>
              <w:top w:val="single" w:sz="8" w:color="auto"/>
            </w:tcBorders>
            <w:shd w:val="clear" w:color="auto" w:fill="CCEEFF"/>
          </w:tcPr>
          <w:p>
            <w:pPr>
              <w:jc w:val="right"/>
              <w:ind w:right="442"/>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(1,306)</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the first quarter of fiscal 2024, restructuring charges were $0.6 million, a decrease of $(1.3) million compared to the same period in fiscal 2023.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prior year includes non-recurring restructuring charges primarily associated with the Redline acquisition completed in the first quarter of fiscal 2023.</w:t>
      </w:r>
    </w:p>
    <w:p>
      <w:pPr>
        <w:spacing w:after="0" w:line="16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Company’s successfully executed restructuring initiatives have enabled it to restructure specific groups to optimize skill sets and align its organizational structure to execute on strategic deliverables, in addition to aligning cost structure with the core of the business.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1580" w:type="dxa"/>
            <w:vAlign w:val="bottom"/>
            <w:tcBorders>
              <w:bottom w:val="single" w:sz="8" w:color="auto"/>
            </w:tcBorders>
          </w:tcPr>
          <w:p>
            <w:pPr>
              <w:spacing w:after="0"/>
              <w:rPr>
                <w:sz w:val="18"/>
                <w:szCs w:val="18"/>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September 29, 2023</w:t>
            </w: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September 30, 2022</w:t>
            </w:r>
          </w:p>
        </w:tc>
        <w:tc>
          <w:tcPr>
            <w:tcW w:w="24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b w:val="1"/>
                <w:bCs w:val="1"/>
                <w:color w:val="auto"/>
              </w:rPr>
              <w:t>$ Change</w:t>
            </w:r>
          </w:p>
        </w:tc>
        <w:tc>
          <w:tcPr>
            <w:tcW w:w="1580" w:type="dxa"/>
            <w:vAlign w:val="bottom"/>
          </w:tcPr>
          <w:p>
            <w:pPr>
              <w:jc w:val="right"/>
              <w:ind w:right="335"/>
              <w:spacing w:after="0"/>
              <w:rPr>
                <w:sz w:val="20"/>
                <w:szCs w:val="20"/>
                <w:color w:val="auto"/>
              </w:rPr>
            </w:pPr>
            <w:r>
              <w:rPr>
                <w:rFonts w:ascii="Arial" w:cs="Arial" w:eastAsia="Arial" w:hAnsi="Arial"/>
                <w:sz w:val="16"/>
                <w:szCs w:val="16"/>
                <w:b w:val="1"/>
                <w:bCs w:val="1"/>
                <w:color w:val="auto"/>
              </w:rPr>
              <w:t>% Change</w:t>
            </w:r>
          </w:p>
        </w:tc>
      </w:tr>
      <w:tr>
        <w:trPr>
          <w:trHeight w:val="226"/>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600" w:type="dxa"/>
            <w:vAlign w:val="bottom"/>
            <w:tcBorders>
              <w:top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5"/>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r>
    </w:tbl>
    <w:p>
      <w:pPr>
        <w:spacing w:after="0" w:line="24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Other expense, net decreased by $(1.9) million in the first quarter of fiscal 2024, compared with the same period of fiscal 2023, primarily due to non-recurring losses of $1.7 million recognized on the sale of marketable securities included in the prior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0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1580" w:type="dxa"/>
            <w:vAlign w:val="bottom"/>
            <w:tcBorders>
              <w:bottom w:val="single" w:sz="8" w:color="auto"/>
            </w:tcBorders>
          </w:tcPr>
          <w:p>
            <w:pPr>
              <w:spacing w:after="0"/>
              <w:rPr>
                <w:sz w:val="18"/>
                <w:szCs w:val="18"/>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4"/>
                <w:szCs w:val="14"/>
                <w:color w:val="auto"/>
              </w:rPr>
              <w:t>(In thousands, except percentages)</w:t>
            </w: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September 29, 2023</w:t>
            </w:r>
          </w:p>
        </w:tc>
        <w:tc>
          <w:tcPr>
            <w:tcW w:w="154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September 30, 2022</w:t>
            </w:r>
          </w:p>
        </w:tc>
        <w:tc>
          <w:tcPr>
            <w:tcW w:w="240" w:type="dxa"/>
            <w:vAlign w:val="bottom"/>
          </w:tcPr>
          <w:p>
            <w:pPr>
              <w:spacing w:after="0"/>
              <w:rPr>
                <w:sz w:val="18"/>
                <w:szCs w:val="18"/>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b w:val="1"/>
                <w:bCs w:val="1"/>
                <w:color w:val="auto"/>
              </w:rPr>
              <w:t>$ Change</w:t>
            </w:r>
          </w:p>
        </w:tc>
        <w:tc>
          <w:tcPr>
            <w:tcW w:w="1580" w:type="dxa"/>
            <w:vAlign w:val="bottom"/>
          </w:tcPr>
          <w:p>
            <w:pPr>
              <w:jc w:val="right"/>
              <w:ind w:right="333"/>
              <w:spacing w:after="0"/>
              <w:rPr>
                <w:sz w:val="20"/>
                <w:szCs w:val="20"/>
                <w:color w:val="auto"/>
              </w:rPr>
            </w:pPr>
            <w:r>
              <w:rPr>
                <w:rFonts w:ascii="Arial" w:cs="Arial" w:eastAsia="Arial" w:hAnsi="Arial"/>
                <w:sz w:val="16"/>
                <w:szCs w:val="16"/>
                <w:b w:val="1"/>
                <w:bCs w:val="1"/>
                <w:color w:val="auto"/>
              </w:rPr>
              <w:t>% Change</w:t>
            </w:r>
          </w:p>
        </w:tc>
      </w:tr>
      <w:tr>
        <w:trPr>
          <w:trHeight w:val="226"/>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540" w:type="dxa"/>
            <w:vAlign w:val="bottom"/>
            <w:tcBorders>
              <w:top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310.8 %</w:t>
            </w: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540" w:type="dxa"/>
            <w:vAlign w:val="bottom"/>
          </w:tcPr>
          <w:p>
            <w:pPr>
              <w:jc w:val="right"/>
              <w:ind w:right="353"/>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0"/>
                <w:szCs w:val="20"/>
                <w:color w:val="auto"/>
              </w:rPr>
            </w:pPr>
          </w:p>
        </w:tc>
        <w:tc>
          <w:tcPr>
            <w:tcW w:w="460" w:type="dxa"/>
            <w:vAlign w:val="bottom"/>
          </w:tcPr>
          <w:p>
            <w:pPr>
              <w:jc w:val="right"/>
              <w:ind w:right="273"/>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3,877</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(3,236)</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(83.5)%</w:t>
            </w:r>
          </w:p>
        </w:tc>
      </w:tr>
    </w:tbl>
    <w:p>
      <w:pPr>
        <w:spacing w:after="0" w:line="241"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Company estimates its annual effective tax rate at the end of each quarterly period, and records the tax effect of certain discrete items in the interim period in which they occur, including changes in judgment about uncertain tax positions and deferred tax valuation allowances.</w:t>
      </w:r>
    </w:p>
    <w:p>
      <w:pPr>
        <w:spacing w:after="0" w:line="92"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Tax expense for the first quarter of fiscal 2024 was primarily attributable to tax expense for the U.S. entity and profitable foreign subsidiaries. Tax expense for the first quarter of fiscal 2023 was primarily attributable to tax expense for the U.S. entity and profitable foreign subsidiaries, including deferred tax expense associated with the acquisition of Redline in July 2022 and the subsequent multi-step restructuring, in which two Canadian Redline corporations converted to unlimited liability companies and then amalgamated by the end of September 2022.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Strategies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September 29, 2023, the Company’s total cash and cash equivalents were $35.5 million. Approximately $19.0 million was held in the United States. The remaining balance of $16.5 million was held by entities outside the United States. Of the amount of cash and cash equivalents held by the Company’s foreign subsidiaries on September 29, 2023, $15.6 million was held in jurisdictions where its undistributed earnings are indefinitely reinvested, and if repatriated, would be subject to foreign withholding taxes.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Operating cash flows is presented as net income adjusted for certain non-cash items and changes in operating assets and liabilities. Net cash provided by (used in) operating activities was $14.0 million for the first three months of fiscal 2024, compared with $(6.3) million in the prior year. The $20.3 million increase is primarily attributable to improvements in working capital and increased net income prior to non-cash adjustments compared to the prior year.</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Net cash used in investing activities was $0.7 million for the first three months of fiscal 2024, compared to $8.3 million in the prior year. The $7.6 million decrease is primarily due to non-recurring activity included in the prior year associated with the Redline acquisition partially offset by proceeds received on the sale of marketable securities.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Financing cash flows consist primarily of borrowings and repayments under the Company’s Credit Facility and proceeds from the exercise of employee stock options. Net cash provided by (used in) financing activities was $0.2 million for the first three months of fiscal 2024, compared with $(0.3) million in the prior year. The $0.5 million change is primarily due to less payments for taxes related to the net settlement of equity awards, partially offset by lower proceeds on the exercise of employee stock options.</w:t>
      </w:r>
    </w:p>
    <w:p>
      <w:pPr>
        <w:spacing w:after="0" w:line="13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of September 29, 2023, the Company’s principal sources of liquidity consisted of $35.5 million in cash and cash equivalents, $38.8 million of available credit under its Credit Facility, and future collections of receivables from customers. The Company regularly requires letters of credit from certain customers, and, from time to time, these letters of credit are discounted without recourse shortly after shipment occurs in order to meet immediate liquidity requirements and to reduce its credit and sovereign risk. Historically, the Company’s primary sources of liquidity have been cash flows from operations and credit facilities. Additionally, the Company has an effective shelf registration statement on Form S-3 allowing it to offer and sell, either individually or in combination, in one or more offerings, up to a total dollar amount of $200.0 million of any combination of the securities described in the shelf registration statement or a related prospectus supplement.</w:t>
      </w:r>
    </w:p>
    <w:p>
      <w:pPr>
        <w:spacing w:after="0" w:line="14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believes that its existing cash and cash equivalents, the available borrowings under its Credit Facility, the availability under its effective shelf registration statement and future cash collections from customers will be sufficient to provide for its anticipated requirements and plans for cash for at least the next 12 months. In addition, the Company believes these sources of liquidity will be sufficient to provide for its anticipated requirements and plans for cash beyond the next 12 months.</w:t>
      </w:r>
    </w:p>
    <w:p>
      <w:pPr>
        <w:spacing w:after="0" w:line="133"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Company borrowed and repaid $25.2 million against the Credit Facility during the first three months of fiscal 2024. As of September 29, 2023, the Company had no borrowings outstanding and was in compliance with all financial covenants contained in the Credit Facility.</w:t>
      </w:r>
    </w:p>
    <w:p>
      <w:pPr>
        <w:spacing w:after="0" w:line="9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September 29, 2023, the Company had commercial commitments outstanding of $60.5 million, that were not recorded on the unaudited condensed consolidated balance sheets. The Company does not believe, based on historical experience and information currently available, that it is probable that any significant amounts will be required to be paid on these performance guarantees in the future.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For information about the Company’s critical accounting estimates, see the “Critical Accounting Estimates” section of “Item 7. Management’s Discussion and Analysis of Financial Condition and Results of Operations” in its fiscal 2023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the normal course of doing business, the Company is exposed to risks associated with foreign currency exchange rates and changes in interest rates. The Company employs established policies and procedures governing the use of financial instruments to manage its exposure to such risks. Information about the Company’s market risk is presented in Part II, Item 7A in its fiscal 2023 Annual Report on Form 10-K. There have been no material changes to the Company’s market risk during the first three months of fiscal 2024.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7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conducts business globally in numerous currencies and are therefore exposed to foreign currency risks. From time to time, the Company uses derivative instruments to reduce the volatility of earnings and cash flows associated with changes in foreign currency exchange rates. The Company does not hold or issue derivatives for trading purposes or make speculative investments in foreign currencies.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4" w:name="page25"/>
    <w:bookmarkEnd w:id="24"/>
    <w:p>
      <w:pPr>
        <w:jc w:val="both"/>
        <w:ind w:firstLine="486"/>
        <w:spacing w:after="0" w:line="259" w:lineRule="auto"/>
        <w:rPr>
          <w:sz w:val="20"/>
          <w:szCs w:val="20"/>
          <w:color w:val="auto"/>
        </w:rPr>
      </w:pPr>
      <w:r>
        <w:rPr>
          <w:rFonts w:ascii="Arial" w:cs="Arial" w:eastAsia="Arial" w:hAnsi="Arial"/>
          <w:sz w:val="18"/>
          <w:szCs w:val="18"/>
          <w:color w:val="auto"/>
        </w:rPr>
        <w:t>The Company enters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 The Company did not have any foreign exchange forward contracts outstanding as of September 29, 2023.</w:t>
      </w:r>
    </w:p>
    <w:p>
      <w:pPr>
        <w:spacing w:after="0" w:line="13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Certain of the Company’s international business are transacted in non-U.S. dollar (“USD”) currencies. From time to time, the Company utilizes foreign currency hedging instruments to minimize the currency risk of non-USD transactions. The impact of translating the assets and liabilities of foreign operations to USD is included as a component of stockholders’ equity. As of September 29, 2023 and June 30, 2023, the cumulative translation adjustment decreased stockholders’ equity by $16.0 million and $16.0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Company’s exposure to market risk for changes in interest rates relates primarily to its cash equivalents and borrowings under its Credit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Cash Equivalents</w:t>
      </w:r>
    </w:p>
    <w:p>
      <w:pPr>
        <w:spacing w:after="0" w:line="17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Company had $35.5 million in total cash and cash equivalents as of September 29, 2023. Cash equivalents totaled $11.8 million as of September 29, 2023 and were comprised of money market funds and bank certificates of deposit. Cash equivalents have been recorded at fair value. Fair value is measured using inputs that fall into a three-level hierarchy that prioritizes the inputs used to measure fair value based on observability of such inputs. For more information on the fair value measurements of cash equivalents, please refer to Note 6. Fair Value Measurements of Assets and Liabilities of the Notes to unaudited condensed consolidated financial statements in this Quarterly Report on Form 10-Q.</w:t>
      </w:r>
    </w:p>
    <w:p>
      <w:pPr>
        <w:spacing w:after="0" w:line="12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Company’s cash equivalents earn interest at fixed rates; therefore, changes in interest rates will not generate a gain or loss on these investments unless they are sold prior to maturity. The weighted-average days to maturity for cash equivalents held as of September 29, 2023 was 35 days, and these investments had an average yield of approximately 4.3% per annum. A 10% change in interest rates on the Company’s cash equivalents is not expected to have a material impact on its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Borrowings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Company’s borrowings under the current Credit Facility bear interest at either: (a) Adjusted Term SOFR plus the applicable margin; or (b) the Base Rate plus the applicable margin. The pricing levels for interest rate margins are determined based on the Consolidated Total Leverage Ratio as determined and adjusted quarterly. As of September 29, 2023, the applicable margin on Adjusted Term SOFR and Base Rate borrowings was 2.75% and 1.75%, respectively.</w:t>
      </w:r>
    </w:p>
    <w:p>
      <w:pPr>
        <w:spacing w:after="0" w:line="13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10% change in interest rates on borrowings is not expected to have a material impact on the Company’s financial position, results of operations, or cash flows.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Based on management’s evaluation, with the participation of our President and CEO, and Chief Financial Officer (“CFO”), as of September 29, 2023, our CEO and CFO have concluded that our disclosure controls and procedures, as defined in Rules 13a-15(e) and 15d-15(e) under the Exchange Act, are effective to provide reasonable assurance that the information required to be disclosed in reports that we file or submit under the Exchange Act is accumulated and communicated to management, including our CEO and CFO, in a manner that allows for timely decisions regarding required disclosures and is recorded, processed, summarized, and reported within the time periods specified in the SEC’s rules and forms.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There were no changes to our internal controls over financial reporting as defined in Rules 13a-15(f) or 15d-15(f) that occurred during the quarter ended September 29, 2023 that have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Our management, including our CEO and CFO,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6" w:name="page27"/>
    <w:bookmarkEnd w:id="26"/>
    <w:p>
      <w:pPr>
        <w:spacing w:after="0" w:line="200" w:lineRule="exact"/>
        <w:rPr>
          <w:sz w:val="20"/>
          <w:szCs w:val="20"/>
          <w:color w:val="auto"/>
        </w:rPr>
      </w:pPr>
    </w:p>
    <w:p>
      <w:pPr>
        <w:spacing w:after="0" w:line="34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PART II.</w:t>
        <w:tab/>
        <w:t>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For a discussion of legal proceedings as of September 29, 2023, please refer to “Legal Proceedings” and “Contingent Liabilities” under Note 13. Commitments and Contingencies of the Notes to the unaudited condensed consolidated financial statements in this Quarterly Report on Form 10-Q, which are incorporated into this item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2023 Annual Report on Form 10-K filed with the SEC on August 30, 2023.</w:t>
      </w:r>
    </w:p>
    <w:p>
      <w:pPr>
        <w:spacing w:after="0" w:line="13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There have been no material changes from the risk factors described in our Annual Report,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In November 2021, the Company’s Board of Directors approved a stock repurchase program to purchase up to $10.0 million of the Company’s common stock. As of September 29, 2023, $7.3 million remains available under the stock repurchase program, and Aviat may choose to suspend or discontinue the repurchase program at any time. During the first quarter of fiscal 2024, the Company did not repurchase any shares of common stock.</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exhibits are filed or furnished herewith or are incorporated by reference to exhibits previously filed with the SEC:</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6000" w:type="dxa"/>
            <w:vAlign w:val="bottom"/>
            <w:gridSpan w:val="7"/>
          </w:tcPr>
          <w:p>
            <w:pPr>
              <w:ind w:left="600"/>
              <w:spacing w:after="0"/>
              <w:rPr>
                <w:sz w:val="20"/>
                <w:szCs w:val="20"/>
                <w:color w:val="auto"/>
              </w:rPr>
            </w:pPr>
            <w:r>
              <w:rPr>
                <w:rFonts w:ascii="Arial" w:cs="Arial" w:eastAsia="Arial" w:hAnsi="Arial"/>
                <w:sz w:val="14"/>
                <w:szCs w:val="14"/>
                <w:b w:val="1"/>
                <w:bCs w:val="1"/>
                <w:color w:val="auto"/>
              </w:rPr>
              <w:t>Descriptions</w:t>
            </w:r>
          </w:p>
        </w:tc>
      </w:tr>
      <w:tr>
        <w:trPr>
          <w:trHeight w:val="26"/>
        </w:trPr>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11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00" w:type="dxa"/>
            <w:vAlign w:val="bottom"/>
            <w:gridSpan w:val="8"/>
            <w:shd w:val="clear" w:color="auto" w:fill="CCEEFF"/>
          </w:tcPr>
          <w:p>
            <w:pPr>
              <w:spacing w:after="0" w:line="182" w:lineRule="exact"/>
              <w:rPr>
                <w:rFonts w:ascii="Arial" w:cs="Arial" w:eastAsia="Arial" w:hAnsi="Arial"/>
                <w:sz w:val="18"/>
                <w:szCs w:val="18"/>
                <w:color w:val="0000FF"/>
                <w:w w:val="92"/>
              </w:rPr>
            </w:pPr>
            <w:hyperlink r:id="rId39">
              <w:r>
                <w:rPr>
                  <w:rFonts w:ascii="Arial" w:cs="Arial" w:eastAsia="Arial" w:hAnsi="Arial"/>
                  <w:sz w:val="18"/>
                  <w:szCs w:val="18"/>
                  <w:color w:val="0000FF"/>
                  <w:w w:val="92"/>
                </w:rPr>
                <w:t>Amended and Restated Certificate of Incorporation of Aviat Networks, Inc., as amended (incorporated by reference to Exhibit 3.1 to the</w:t>
              </w:r>
            </w:hyperlink>
          </w:p>
        </w:tc>
      </w:tr>
      <w:tr>
        <w:trPr>
          <w:trHeight w:val="155"/>
        </w:trPr>
        <w:tc>
          <w:tcPr>
            <w:tcW w:w="1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960" w:type="dxa"/>
            <w:vAlign w:val="bottom"/>
            <w:tcBorders>
              <w:top w:val="single" w:sz="8" w:color="0000FF"/>
            </w:tcBorders>
            <w:gridSpan w:val="6"/>
            <w:shd w:val="clear" w:color="auto" w:fill="CCEEFF"/>
          </w:tcPr>
          <w:p>
            <w:pPr>
              <w:spacing w:after="0" w:line="156" w:lineRule="exact"/>
              <w:rPr>
                <w:rFonts w:ascii="Arial" w:cs="Arial" w:eastAsia="Arial" w:hAnsi="Arial"/>
                <w:sz w:val="18"/>
                <w:szCs w:val="18"/>
                <w:color w:val="0000FF"/>
              </w:rPr>
            </w:pPr>
            <w:hyperlink r:id="rId39">
              <w:r>
                <w:rPr>
                  <w:rFonts w:ascii="Arial" w:cs="Arial" w:eastAsia="Arial" w:hAnsi="Arial"/>
                  <w:sz w:val="18"/>
                  <w:szCs w:val="18"/>
                  <w:color w:val="0000FF"/>
                </w:rPr>
                <w:t>Current Report on Form 10-Q filed with the SEC on February 10, 2017, File No. 001-33278)</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0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08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800" w:type="dxa"/>
            <w:vAlign w:val="bottom"/>
            <w:tcBorders>
              <w:top w:val="single" w:sz="8" w:color="0000FF"/>
            </w:tcBorders>
            <w:shd w:val="clear" w:color="auto" w:fill="CCEEFF"/>
          </w:tcPr>
          <w:p>
            <w:pPr>
              <w:spacing w:after="0"/>
              <w:rPr>
                <w:sz w:val="2"/>
                <w:szCs w:val="2"/>
                <w:color w:val="auto"/>
              </w:rPr>
            </w:pPr>
          </w:p>
        </w:tc>
        <w:tc>
          <w:tcPr>
            <w:tcW w:w="3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140" w:type="dxa"/>
            <w:vAlign w:val="bottom"/>
          </w:tcPr>
          <w:p>
            <w:pPr>
              <w:ind w:left="20"/>
              <w:spacing w:after="0" w:line="189"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gridSpan w:val="8"/>
          </w:tcPr>
          <w:p>
            <w:pPr>
              <w:spacing w:after="0" w:line="189" w:lineRule="exact"/>
              <w:rPr>
                <w:rFonts w:ascii="Arial" w:cs="Arial" w:eastAsia="Arial" w:hAnsi="Arial"/>
                <w:sz w:val="18"/>
                <w:szCs w:val="18"/>
                <w:color w:val="0000FF"/>
                <w:w w:val="92"/>
              </w:rPr>
            </w:pPr>
            <w:hyperlink r:id="rId40">
              <w:r>
                <w:rPr>
                  <w:rFonts w:ascii="Arial" w:cs="Arial" w:eastAsia="Arial" w:hAnsi="Arial"/>
                  <w:sz w:val="18"/>
                  <w:szCs w:val="18"/>
                  <w:color w:val="0000FF"/>
                  <w:w w:val="92"/>
                </w:rPr>
                <w:t>Amended and Restated Bylaws of Aviat Networks, Inc. (incorporated by reference to Exhibit 3.1 to the Current Report on Form 8-K filed</w:t>
              </w:r>
            </w:hyperlink>
          </w:p>
        </w:tc>
      </w:tr>
      <w:tr>
        <w:trPr>
          <w:trHeight w:val="156"/>
        </w:trPr>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40">
              <w:r>
                <w:rPr>
                  <w:rFonts w:ascii="Arial" w:cs="Arial" w:eastAsia="Arial" w:hAnsi="Arial"/>
                  <w:sz w:val="18"/>
                  <w:szCs w:val="18"/>
                  <w:color w:val="0000FF"/>
                </w:rPr>
                <w:t>with the SEC on August 24, 2023, File No. 001-33278)</w:t>
              </w:r>
            </w:hyperlink>
          </w:p>
        </w:tc>
        <w:tc>
          <w:tcPr>
            <w:tcW w:w="20" w:type="dxa"/>
            <w:vAlign w:val="bottom"/>
          </w:tcPr>
          <w:p>
            <w:pPr>
              <w:spacing w:after="0"/>
              <w:rPr>
                <w:sz w:val="13"/>
                <w:szCs w:val="13"/>
                <w:color w:val="auto"/>
              </w:rPr>
            </w:pPr>
          </w:p>
        </w:tc>
      </w:tr>
      <w:tr>
        <w:trPr>
          <w:trHeight w:val="34"/>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800" w:type="dxa"/>
            <w:vAlign w:val="bottom"/>
            <w:tcBorders>
              <w:bottom w:val="single" w:sz="8" w:color="0000FF"/>
            </w:tcBorders>
            <w:gridSpan w:val="3"/>
            <w:shd w:val="clear" w:color="auto" w:fill="CCEEFF"/>
          </w:tcPr>
          <w:p>
            <w:pPr>
              <w:spacing w:after="0" w:line="189" w:lineRule="exact"/>
              <w:rPr>
                <w:sz w:val="20"/>
                <w:szCs w:val="20"/>
                <w:color w:val="auto"/>
              </w:rPr>
            </w:pPr>
            <w:r>
              <w:rPr>
                <w:rFonts w:ascii="Arial" w:cs="Arial" w:eastAsia="Arial" w:hAnsi="Arial"/>
                <w:sz w:val="18"/>
                <w:szCs w:val="18"/>
                <w:color w:val="0000FF"/>
                <w:w w:val="92"/>
              </w:rPr>
              <w:t>Rule 13a-14(a)/15d-14(a) Certification of President and Chief Executive Officer</w:t>
            </w:r>
          </w:p>
        </w:tc>
        <w:tc>
          <w:tcPr>
            <w:tcW w:w="4200" w:type="dxa"/>
            <w:vAlign w:val="bottom"/>
            <w:tcBorders>
              <w:bottom w:val="single" w:sz="8" w:color="CCEEFF"/>
            </w:tcBorders>
            <w:gridSpan w:val="5"/>
            <w:shd w:val="clear" w:color="auto" w:fill="CCEEFF"/>
          </w:tcPr>
          <w:p>
            <w:pPr>
              <w:spacing w:after="0"/>
              <w:rPr>
                <w:sz w:val="18"/>
                <w:szCs w:val="18"/>
                <w:color w:val="auto"/>
              </w:rPr>
            </w:pPr>
          </w:p>
        </w:tc>
      </w:tr>
      <w:tr>
        <w:trPr>
          <w:trHeight w:val="189"/>
        </w:trPr>
        <w:tc>
          <w:tcPr>
            <w:tcW w:w="1140" w:type="dxa"/>
            <w:vAlign w:val="bottom"/>
          </w:tcPr>
          <w:p>
            <w:pPr>
              <w:ind w:left="20"/>
              <w:spacing w:after="0" w:line="189"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0" w:type="dxa"/>
            <w:vAlign w:val="bottom"/>
            <w:gridSpan w:val="8"/>
          </w:tcPr>
          <w:p>
            <w:pPr>
              <w:spacing w:after="0" w:line="189" w:lineRule="exact"/>
              <w:rPr>
                <w:sz w:val="20"/>
                <w:szCs w:val="20"/>
                <w:color w:val="auto"/>
              </w:rPr>
            </w:pPr>
            <w:r>
              <w:rPr>
                <w:rFonts w:ascii="Arial" w:cs="Arial" w:eastAsia="Arial" w:hAnsi="Arial"/>
                <w:sz w:val="18"/>
                <w:szCs w:val="18"/>
                <w:color w:val="0000FF"/>
              </w:rPr>
              <w:t>Rule 13a-14(a)/15d-14(a) Certification of Chief Financial Officer</w:t>
            </w: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4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900" w:type="dxa"/>
            <w:vAlign w:val="bottom"/>
            <w:tcBorders>
              <w:bottom w:val="single" w:sz="8" w:color="0000FF"/>
            </w:tcBorders>
            <w:gridSpan w:val="4"/>
            <w:shd w:val="clear" w:color="auto" w:fill="CCEEFF"/>
          </w:tcPr>
          <w:p>
            <w:pPr>
              <w:spacing w:after="0" w:line="189" w:lineRule="exact"/>
              <w:rPr>
                <w:sz w:val="20"/>
                <w:szCs w:val="20"/>
                <w:color w:val="auto"/>
              </w:rPr>
            </w:pPr>
            <w:r>
              <w:rPr>
                <w:rFonts w:ascii="Arial" w:cs="Arial" w:eastAsia="Arial" w:hAnsi="Arial"/>
                <w:sz w:val="18"/>
                <w:szCs w:val="18"/>
                <w:color w:val="0000FF"/>
                <w:w w:val="93"/>
              </w:rPr>
              <w:t>Section 1350 Certification of Chief Executive Officer and Chief Financial Officer</w:t>
            </w:r>
          </w:p>
        </w:tc>
        <w:tc>
          <w:tcPr>
            <w:tcW w:w="4100" w:type="dxa"/>
            <w:vAlign w:val="bottom"/>
            <w:tcBorders>
              <w:bottom w:val="single" w:sz="8" w:color="CCEEFF"/>
            </w:tcBorders>
            <w:gridSpan w:val="4"/>
            <w:shd w:val="clear" w:color="auto" w:fill="CCEEFF"/>
          </w:tcPr>
          <w:p>
            <w:pPr>
              <w:spacing w:after="0"/>
              <w:rPr>
                <w:sz w:val="18"/>
                <w:szCs w:val="18"/>
                <w:color w:val="auto"/>
              </w:rPr>
            </w:pPr>
          </w:p>
        </w:tc>
      </w:tr>
      <w:tr>
        <w:trPr>
          <w:trHeight w:val="230"/>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229"/>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20" w:type="dxa"/>
            <w:vAlign w:val="bottom"/>
            <w:shd w:val="clear" w:color="auto" w:fill="CCEEFF"/>
          </w:tcPr>
          <w:p>
            <w:pPr>
              <w:spacing w:after="0"/>
              <w:rPr>
                <w:sz w:val="19"/>
                <w:szCs w:val="19"/>
                <w:color w:val="auto"/>
              </w:rPr>
            </w:pPr>
          </w:p>
        </w:tc>
        <w:tc>
          <w:tcPr>
            <w:tcW w:w="100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9"/>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20" w:type="dxa"/>
            <w:vAlign w:val="bottom"/>
            <w:shd w:val="clear" w:color="auto" w:fill="CCEEFF"/>
          </w:tcPr>
          <w:p>
            <w:pPr>
              <w:spacing w:after="0"/>
              <w:rPr>
                <w:sz w:val="19"/>
                <w:szCs w:val="19"/>
                <w:color w:val="auto"/>
              </w:rPr>
            </w:pPr>
          </w:p>
        </w:tc>
        <w:tc>
          <w:tcPr>
            <w:tcW w:w="100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29"/>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20" w:type="dxa"/>
            <w:vAlign w:val="bottom"/>
            <w:shd w:val="clear" w:color="auto" w:fill="CCEEFF"/>
          </w:tcPr>
          <w:p>
            <w:pPr>
              <w:spacing w:after="0"/>
              <w:rPr>
                <w:sz w:val="19"/>
                <w:szCs w:val="19"/>
                <w:color w:val="auto"/>
              </w:rPr>
            </w:pPr>
          </w:p>
        </w:tc>
        <w:tc>
          <w:tcPr>
            <w:tcW w:w="1000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260" w:hanging="1234"/>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 w:lineRule="exact"/>
        <w:rPr>
          <w:sz w:val="20"/>
          <w:szCs w:val="20"/>
          <w:color w:val="auto"/>
        </w:rPr>
      </w:pPr>
    </w:p>
    <w:p>
      <w:pPr>
        <w:ind w:left="1260" w:hanging="1234"/>
        <w:spacing w:after="0"/>
        <w:tabs>
          <w:tab w:leader="none" w:pos="1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AVIAT NETWORKS, INC.</w:t>
      </w:r>
    </w:p>
    <w:p>
      <w:pPr>
        <w:ind w:left="6060"/>
        <w:spacing w:after="0"/>
        <w:rPr>
          <w:sz w:val="20"/>
          <w:szCs w:val="20"/>
          <w:color w:val="auto"/>
        </w:rPr>
      </w:pPr>
      <w:r>
        <w:rPr>
          <w:rFonts w:ascii="Arial" w:cs="Arial" w:eastAsia="Arial" w:hAnsi="Arial"/>
          <w:sz w:val="18"/>
          <w:szCs w:val="18"/>
          <w:color w:val="auto"/>
        </w:rPr>
        <w:t>(Registrant)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2023</w:t>
      </w:r>
    </w:p>
    <w:p>
      <w:pPr>
        <w:spacing w:after="0" w:line="320" w:lineRule="exact"/>
        <w:rPr>
          <w:sz w:val="20"/>
          <w:szCs w:val="20"/>
          <w:color w:val="auto"/>
        </w:rPr>
      </w:pPr>
    </w:p>
    <w:p>
      <w:pPr>
        <w:ind w:left="5640"/>
        <w:spacing w:after="0"/>
        <w:tabs>
          <w:tab w:leader="none" w:pos="6100" w:val="left"/>
        </w:tabs>
        <w:rPr>
          <w:sz w:val="20"/>
          <w:szCs w:val="20"/>
          <w:color w:val="auto"/>
        </w:rPr>
      </w:pPr>
      <w:r>
        <w:rPr>
          <w:rFonts w:ascii="Arial" w:cs="Arial" w:eastAsia="Arial" w:hAnsi="Arial"/>
          <w:sz w:val="18"/>
          <w:szCs w:val="18"/>
          <w:color w:val="auto"/>
        </w:rPr>
        <w:t>By:</w:t>
        <w:tab/>
        <w:t>/s/ David M.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31750</wp:posOffset>
            </wp:positionV>
            <wp:extent cx="32658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22"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David M. Gray</w:t>
      </w:r>
    </w:p>
    <w:p>
      <w:pPr>
        <w:ind w:left="6120"/>
        <w:spacing w:after="0" w:line="232" w:lineRule="auto"/>
        <w:rPr>
          <w:sz w:val="20"/>
          <w:szCs w:val="20"/>
          <w:color w:val="auto"/>
        </w:rPr>
      </w:pPr>
      <w:r>
        <w:rPr>
          <w:rFonts w:ascii="Arial" w:cs="Arial" w:eastAsia="Arial" w:hAnsi="Arial"/>
          <w:sz w:val="17"/>
          <w:szCs w:val="17"/>
          <w:color w:val="auto"/>
        </w:rPr>
        <w:t>Senior Vice President and Chief Financial Officer (duly authorized</w:t>
      </w:r>
    </w:p>
    <w:p>
      <w:pPr>
        <w:ind w:left="61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336"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 Peter A. Smith, certify that:</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29, 2023, of Aviat Networks,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320"/>
        <w:spacing w:after="0" w:line="342" w:lineRule="auto"/>
        <w:tabs>
          <w:tab w:leader="none" w:pos="1291"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288"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291"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288"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Date: November 1, 2023</w:t>
            </w:r>
          </w:p>
        </w:tc>
        <w:tc>
          <w:tcPr>
            <w:tcW w:w="47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Peter A. Smith</w:t>
            </w:r>
          </w:p>
        </w:tc>
      </w:tr>
      <w:tr>
        <w:trPr>
          <w:trHeight w:val="222"/>
        </w:trPr>
        <w:tc>
          <w:tcPr>
            <w:tcW w:w="6300" w:type="dxa"/>
            <w:vAlign w:val="bottom"/>
          </w:tcPr>
          <w:p>
            <w:pPr>
              <w:spacing w:after="0"/>
              <w:rPr>
                <w:sz w:val="19"/>
                <w:szCs w:val="19"/>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3960" w:type="dxa"/>
            <w:vAlign w:val="bottom"/>
          </w:tcPr>
          <w:p>
            <w:pPr>
              <w:ind w:left="300"/>
              <w:spacing w:after="0"/>
              <w:rPr>
                <w:sz w:val="20"/>
                <w:szCs w:val="20"/>
                <w:color w:val="auto"/>
              </w:rPr>
            </w:pPr>
            <w:r>
              <w:rPr>
                <w:rFonts w:ascii="Arial" w:cs="Arial" w:eastAsia="Arial" w:hAnsi="Arial"/>
                <w:sz w:val="18"/>
                <w:szCs w:val="18"/>
                <w:color w:val="auto"/>
              </w:rPr>
              <w:t>Peter A. Smith</w:t>
            </w:r>
          </w:p>
        </w:tc>
      </w:tr>
      <w:tr>
        <w:trPr>
          <w:trHeight w:val="230"/>
        </w:trPr>
        <w:tc>
          <w:tcPr>
            <w:tcW w:w="63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3960" w:type="dxa"/>
            <w:vAlign w:val="bottom"/>
          </w:tcPr>
          <w:p>
            <w:pPr>
              <w:ind w:left="3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9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 David M. Gray, certify that:</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September 29, 2023, of Aviat Networks, Inc.;</w:t>
      </w:r>
    </w:p>
    <w:p>
      <w:pPr>
        <w:spacing w:after="0" w:line="17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91"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1300" w:hanging="320"/>
        <w:spacing w:after="0" w:line="263" w:lineRule="auto"/>
        <w:tabs>
          <w:tab w:leader="none" w:pos="1288"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1300" w:hanging="320"/>
        <w:spacing w:after="0" w:line="342" w:lineRule="auto"/>
        <w:tabs>
          <w:tab w:leader="none" w:pos="1291"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3" w:lineRule="auto"/>
        <w:tabs>
          <w:tab w:leader="none" w:pos="1288"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291"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288"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Date: November 1, 2023</w:t>
            </w:r>
          </w:p>
        </w:tc>
        <w:tc>
          <w:tcPr>
            <w:tcW w:w="5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David M. Gray</w:t>
            </w:r>
          </w:p>
        </w:tc>
      </w:tr>
      <w:tr>
        <w:trPr>
          <w:trHeight w:val="222"/>
        </w:trPr>
        <w:tc>
          <w:tcPr>
            <w:tcW w:w="5520" w:type="dxa"/>
            <w:vAlign w:val="bottom"/>
          </w:tcPr>
          <w:p>
            <w:pPr>
              <w:spacing w:after="0"/>
              <w:rPr>
                <w:sz w:val="19"/>
                <w:szCs w:val="19"/>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Name:</w:t>
            </w:r>
          </w:p>
        </w:tc>
        <w:tc>
          <w:tcPr>
            <w:tcW w:w="4840" w:type="dxa"/>
            <w:vAlign w:val="bottom"/>
          </w:tcPr>
          <w:p>
            <w:pPr>
              <w:ind w:left="180"/>
              <w:spacing w:after="0"/>
              <w:rPr>
                <w:sz w:val="20"/>
                <w:szCs w:val="20"/>
                <w:color w:val="auto"/>
              </w:rPr>
            </w:pPr>
            <w:r>
              <w:rPr>
                <w:rFonts w:ascii="Arial" w:cs="Arial" w:eastAsia="Arial" w:hAnsi="Arial"/>
                <w:sz w:val="18"/>
                <w:szCs w:val="18"/>
                <w:color w:val="auto"/>
              </w:rPr>
              <w:t>David M. Gray</w:t>
            </w:r>
          </w:p>
        </w:tc>
      </w:tr>
      <w:tr>
        <w:trPr>
          <w:trHeight w:val="230"/>
        </w:trPr>
        <w:tc>
          <w:tcPr>
            <w:tcW w:w="5520" w:type="dxa"/>
            <w:vAlign w:val="bottom"/>
          </w:tcPr>
          <w:p>
            <w:pPr>
              <w:spacing w:after="0"/>
              <w:rPr>
                <w:sz w:val="20"/>
                <w:szCs w:val="20"/>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Title:</w:t>
            </w:r>
          </w:p>
        </w:tc>
        <w:tc>
          <w:tcPr>
            <w:tcW w:w="4840" w:type="dxa"/>
            <w:vAlign w:val="bottom"/>
          </w:tcPr>
          <w:p>
            <w:pPr>
              <w:ind w:left="18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91" w:right="339" w:bottom="1440" w:gutter="0" w:footer="0" w:header="0"/>
        </w:sectPr>
      </w:pPr>
    </w:p>
    <w:bookmarkStart w:id="31" w:name="page32"/>
    <w:bookmarkEnd w:id="31"/>
    <w:p>
      <w:pPr>
        <w:ind w:left="10320"/>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line="323" w:lineRule="auto"/>
        <w:rPr>
          <w:sz w:val="20"/>
          <w:szCs w:val="20"/>
          <w:color w:val="auto"/>
        </w:rPr>
      </w:pPr>
      <w:r>
        <w:rPr>
          <w:rFonts w:ascii="Arial" w:cs="Arial" w:eastAsia="Arial" w:hAnsi="Arial"/>
          <w:sz w:val="18"/>
          <w:szCs w:val="18"/>
          <w:b w:val="1"/>
          <w:bCs w:val="1"/>
          <w:color w:val="auto"/>
        </w:rPr>
        <w:t>CERTIFICATIONS OF CHIEF EXECUTIVE OFFICER AND PRINCIPAL FINANCIAL OFFICER OF AVIAT NETWORKS, INC. PURSUANT TO TITLE 18 OF THE UNITED STATES CODE SECTION 1350, AS ADOPTED PURSUANT TO SECTION 906 OF THE SARBANES-OXLEY ACT OF 2002</w:t>
      </w:r>
    </w:p>
    <w:p>
      <w:pPr>
        <w:spacing w:after="0" w:line="3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September 29, 2023, as filed with the Securities and Exchange Commission on the date hereof (the “Report”), we, Peter A. Smith, President and Chief Executive Officer of Aviat Networks, and David M. Gray, Senior Vice President and Chief Financial Officer of Aviat Networks, hereby certify, pursuant to Section 906 of the Sarbanes-Oxley Act of 2002, 18 U.S.C. §1350, that:</w:t>
      </w:r>
    </w:p>
    <w:p>
      <w:pPr>
        <w:spacing w:after="0" w:line="14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21"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00" w:lineRule="exact"/>
        <w:rPr>
          <w:sz w:val="20"/>
          <w:szCs w:val="20"/>
          <w:color w:val="auto"/>
        </w:rPr>
      </w:pPr>
    </w:p>
    <w:p>
      <w:pPr>
        <w:spacing w:after="0" w:line="398"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5840" w:type="dxa"/>
            <w:vAlign w:val="bottom"/>
          </w:tcPr>
          <w:p>
            <w:pPr>
              <w:spacing w:after="0"/>
              <w:rPr>
                <w:sz w:val="20"/>
                <w:szCs w:val="20"/>
                <w:color w:val="auto"/>
              </w:rPr>
            </w:pPr>
            <w:r>
              <w:rPr>
                <w:rFonts w:ascii="Arial" w:cs="Arial" w:eastAsia="Arial" w:hAnsi="Arial"/>
                <w:sz w:val="18"/>
                <w:szCs w:val="18"/>
                <w:color w:val="auto"/>
              </w:rPr>
              <w:t>Date:</w:t>
            </w:r>
          </w:p>
        </w:tc>
        <w:tc>
          <w:tcPr>
            <w:tcW w:w="5080" w:type="dxa"/>
            <w:vAlign w:val="bottom"/>
          </w:tcPr>
          <w:p>
            <w:pPr>
              <w:spacing w:after="0"/>
              <w:rPr>
                <w:sz w:val="17"/>
                <w:szCs w:val="17"/>
                <w:color w:val="auto"/>
              </w:rPr>
            </w:pPr>
          </w:p>
        </w:tc>
      </w:tr>
      <w:tr>
        <w:trPr>
          <w:trHeight w:val="230"/>
        </w:trPr>
        <w:tc>
          <w:tcPr>
            <w:tcW w:w="5840" w:type="dxa"/>
            <w:vAlign w:val="bottom"/>
          </w:tcPr>
          <w:p>
            <w:pPr>
              <w:ind w:left="660"/>
              <w:spacing w:after="0"/>
              <w:rPr>
                <w:sz w:val="20"/>
                <w:szCs w:val="20"/>
                <w:color w:val="auto"/>
              </w:rPr>
            </w:pPr>
            <w:r>
              <w:rPr>
                <w:rFonts w:ascii="Arial" w:cs="Arial" w:eastAsia="Arial" w:hAnsi="Arial"/>
                <w:sz w:val="18"/>
                <w:szCs w:val="18"/>
                <w:color w:val="auto"/>
              </w:rPr>
              <w:t>November 1, 2023</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Peter A. Smith</w:t>
            </w:r>
          </w:p>
        </w:tc>
      </w:tr>
      <w:tr>
        <w:trPr>
          <w:trHeight w:val="222"/>
        </w:trPr>
        <w:tc>
          <w:tcPr>
            <w:tcW w:w="584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Name: Peter A. Smith</w:t>
            </w:r>
          </w:p>
        </w:tc>
      </w:tr>
      <w:tr>
        <w:trPr>
          <w:trHeight w:val="230"/>
        </w:trPr>
        <w:tc>
          <w:tcPr>
            <w:tcW w:w="58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Title: President and Chief Executive Officer</w:t>
            </w:r>
          </w:p>
        </w:tc>
      </w:tr>
      <w:tr>
        <w:trPr>
          <w:trHeight w:val="431"/>
        </w:trPr>
        <w:tc>
          <w:tcPr>
            <w:tcW w:w="5840" w:type="dxa"/>
            <w:vAlign w:val="bottom"/>
          </w:tcPr>
          <w:p>
            <w:pPr>
              <w:spacing w:after="0"/>
              <w:rPr>
                <w:sz w:val="20"/>
                <w:szCs w:val="20"/>
                <w:color w:val="auto"/>
              </w:rPr>
            </w:pPr>
            <w:r>
              <w:rPr>
                <w:rFonts w:ascii="Arial" w:cs="Arial" w:eastAsia="Arial" w:hAnsi="Arial"/>
                <w:sz w:val="18"/>
                <w:szCs w:val="18"/>
                <w:color w:val="auto"/>
              </w:rPr>
              <w:t>Date:</w:t>
            </w:r>
          </w:p>
        </w:tc>
        <w:tc>
          <w:tcPr>
            <w:tcW w:w="5080" w:type="dxa"/>
            <w:vAlign w:val="bottom"/>
          </w:tcPr>
          <w:p>
            <w:pPr>
              <w:spacing w:after="0"/>
              <w:rPr>
                <w:sz w:val="24"/>
                <w:szCs w:val="24"/>
                <w:color w:val="auto"/>
              </w:rPr>
            </w:pPr>
          </w:p>
        </w:tc>
      </w:tr>
      <w:tr>
        <w:trPr>
          <w:trHeight w:val="230"/>
        </w:trPr>
        <w:tc>
          <w:tcPr>
            <w:tcW w:w="5840" w:type="dxa"/>
            <w:vAlign w:val="bottom"/>
          </w:tcPr>
          <w:p>
            <w:pPr>
              <w:ind w:left="660"/>
              <w:spacing w:after="0"/>
              <w:rPr>
                <w:sz w:val="20"/>
                <w:szCs w:val="20"/>
                <w:color w:val="auto"/>
              </w:rPr>
            </w:pPr>
            <w:r>
              <w:rPr>
                <w:rFonts w:ascii="Arial" w:cs="Arial" w:eastAsia="Arial" w:hAnsi="Arial"/>
                <w:sz w:val="18"/>
                <w:szCs w:val="18"/>
                <w:color w:val="auto"/>
              </w:rPr>
              <w:t>November 1, 2023</w:t>
            </w: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M. Gray</w:t>
            </w:r>
          </w:p>
        </w:tc>
      </w:tr>
      <w:tr>
        <w:trPr>
          <w:trHeight w:val="222"/>
        </w:trPr>
        <w:tc>
          <w:tcPr>
            <w:tcW w:w="584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Name: David M. Gray</w:t>
            </w:r>
          </w:p>
        </w:tc>
      </w:tr>
      <w:tr>
        <w:trPr>
          <w:trHeight w:val="230"/>
        </w:trPr>
        <w:tc>
          <w:tcPr>
            <w:tcW w:w="5840" w:type="dxa"/>
            <w:vAlign w:val="bottom"/>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Title: Senior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39" Type="http://schemas.openxmlformats.org/officeDocument/2006/relationships/hyperlink" Target="http://www.sec.gov/Archives/edgar/data/1377789/000137778917000022/avnwexhibit31amendedandres.htm" TargetMode="External"/><Relationship Id="rId40" Type="http://schemas.openxmlformats.org/officeDocument/2006/relationships/hyperlink" Target="https://www.sec.gov/Archives/edgar/data/1377789/000137778923000020/amendedandrestatedbylaws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2023-11-01T15:28:18Z</dcterms:created>
  <dcterms:modified xsi:type="dcterms:W3CDTF">2023-11-01T15:28:18Z</dcterms:modified>
</cp:coreProperties>
</file>