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w:t>
      </w:r>
    </w:p>
    <w:p>
      <w:pPr>
        <w:pStyle w:val="TextBody"/>
        <w:bidi w:val="0"/>
        <w:spacing w:lineRule="auto" w:line="288" w:before="40" w:after="283"/>
        <w:jc w:val="center"/>
        <w:rPr>
          <w:rFonts w:ascii="Times New Roman;serif" w:hAnsi="Times New Roman;serif"/>
          <w:b/>
          <w:color w:val="000000"/>
          <w:sz w:val="32"/>
        </w:rPr>
      </w:pPr>
      <w:r>
        <w:rPr>
          <w:rFonts w:ascii="Times New Roman;serif" w:hAnsi="Times New Roman;serif"/>
          <w:b/>
          <w:color w:val="000000"/>
          <w:sz w:val="32"/>
        </w:rPr>
        <w:t>FORM 10-Q</w:t>
      </w:r>
    </w:p>
    <w:tbl>
      <w:tblPr>
        <w:tblW w:w="10205" w:type="dxa"/>
        <w:jc w:val="center"/>
        <w:tblInd w:w="0" w:type="dxa"/>
        <w:tblLayout w:type="fixed"/>
        <w:tblCellMar>
          <w:top w:w="28" w:type="dxa"/>
          <w:left w:w="28" w:type="dxa"/>
          <w:bottom w:w="28" w:type="dxa"/>
          <w:right w:w="28" w:type="dxa"/>
        </w:tblCellMar>
      </w:tblPr>
      <w:tblGrid>
        <w:gridCol w:w="159"/>
        <w:gridCol w:w="140"/>
        <w:gridCol w:w="140"/>
        <w:gridCol w:w="2857"/>
        <w:gridCol w:w="2857"/>
        <w:gridCol w:w="4052"/>
      </w:tblGrid>
      <w:tr>
        <w:trPr/>
        <w:tc>
          <w:tcPr>
            <w:tcW w:w="15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405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quarterly period ended September 26, 2025</w:t>
      </w:r>
    </w:p>
    <w:p>
      <w:pPr>
        <w:pStyle w:val="TextBody"/>
        <w:bidi w:val="0"/>
        <w:spacing w:lineRule="auto" w:line="288" w:before="60" w:after="283"/>
        <w:jc w:val="center"/>
        <w:rPr/>
      </w:pPr>
      <w:r>
        <w:rPr>
          <w:rFonts w:ascii="Times New Roman;serif" w:hAnsi="Times New Roman;serif"/>
          <w:b/>
          <w:color w:val="000000"/>
          <w:sz w:val="24"/>
        </w:rPr>
        <w:t>or</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24"/>
        </w:rPr>
      </w:pPr>
      <w:r>
        <w:rPr>
          <w:rFonts w:ascii="Times New Roman;serif" w:hAnsi="Times New Roman;serif"/>
          <w:b/>
          <w:color w:val="000000"/>
          <w:sz w:val="24"/>
        </w:rPr>
        <w:t>For the transition period from _______ to _______</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Commission File Number 001-33278</w:t>
      </w:r>
    </w:p>
    <w:p>
      <w:pPr>
        <w:pStyle w:val="TextBody"/>
        <w:bidi w:val="0"/>
        <w:spacing w:lineRule="auto" w:line="288" w:before="80" w:after="283"/>
        <w:jc w:val="center"/>
        <w:rPr>
          <w:rFonts w:ascii="Times New Roman;serif" w:hAnsi="Times New Roman;serif"/>
          <w:b/>
          <w:color w:val="000000"/>
          <w:sz w:val="12"/>
        </w:rPr>
      </w:pPr>
      <w:r>
        <w:rPr>
          <w:rFonts w:ascii="Times New Roman;serif" w:hAnsi="Times New Roman;serif"/>
          <w:b/>
          <w:color w:val="000000"/>
          <w:sz w:val="12"/>
        </w:rPr>
        <w:t>________________________________</w:t>
      </w:r>
    </w:p>
    <w:p>
      <w:pPr>
        <w:pStyle w:val="TextBody"/>
        <w:bidi w:val="0"/>
        <w:spacing w:lineRule="auto" w:line="288" w:before="80" w:after="283"/>
        <w:jc w:val="center"/>
        <w:rPr>
          <w:rFonts w:ascii="Times New Roman;serif" w:hAnsi="Times New Roman;serif"/>
          <w:b/>
          <w:color w:val="000000"/>
          <w:sz w:val="40"/>
        </w:rPr>
      </w:pPr>
      <w:r>
        <w:rPr>
          <w:rFonts w:ascii="Times New Roman;serif" w:hAnsi="Times New Roman;serif"/>
          <w:b/>
          <w:color w:val="000000"/>
          <w:sz w:val="40"/>
        </w:rPr>
        <w:t>AVIAT NETWORKS, INC.</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80" w:after="283"/>
        <w:jc w:val="center"/>
        <w:rPr>
          <w:rFonts w:ascii="Times New Roman;serif" w:hAnsi="Times New Roman;serif"/>
          <w:b/>
          <w:color w:val="000000"/>
          <w:sz w:val="12"/>
        </w:rPr>
      </w:pPr>
      <w:r>
        <w:rPr>
          <w:rFonts w:ascii="Times New Roman;serif" w:hAnsi="Times New Roman;serif"/>
          <w:b/>
          <w:color w:val="000000"/>
          <w:sz w:val="12"/>
        </w:rPr>
        <w:t>________________________________</w:t>
      </w:r>
    </w:p>
    <w:tbl>
      <w:tblPr>
        <w:tblW w:w="9175" w:type="dxa"/>
        <w:jc w:val="center"/>
        <w:tblInd w:w="0" w:type="dxa"/>
        <w:tblLayout w:type="fixed"/>
        <w:tblCellMar>
          <w:top w:w="28" w:type="dxa"/>
          <w:left w:w="28" w:type="dxa"/>
          <w:bottom w:w="28" w:type="dxa"/>
          <w:right w:w="28" w:type="dxa"/>
        </w:tblCellMar>
      </w:tblPr>
      <w:tblGrid>
        <w:gridCol w:w="1026"/>
        <w:gridCol w:w="904"/>
        <w:gridCol w:w="904"/>
        <w:gridCol w:w="516"/>
        <w:gridCol w:w="516"/>
        <w:gridCol w:w="516"/>
        <w:gridCol w:w="516"/>
        <w:gridCol w:w="516"/>
        <w:gridCol w:w="524"/>
        <w:gridCol w:w="109"/>
        <w:gridCol w:w="109"/>
        <w:gridCol w:w="109"/>
        <w:gridCol w:w="849"/>
        <w:gridCol w:w="849"/>
        <w:gridCol w:w="1212"/>
      </w:tblGrid>
      <w:tr>
        <w:trPr/>
        <w:tc>
          <w:tcPr>
            <w:tcW w:w="10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5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20-5961564</w:t>
            </w:r>
          </w:p>
        </w:tc>
      </w:tr>
      <w:tr>
        <w:trPr/>
        <w:tc>
          <w:tcPr>
            <w:tcW w:w="5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 Identification No.)</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200 Parker Drive, Suite C100A, </w:t>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Austin,</w:t>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78728</w:t>
            </w:r>
          </w:p>
        </w:tc>
      </w:tr>
      <w:tr>
        <w:trPr/>
        <w:tc>
          <w:tcPr>
            <w:tcW w:w="5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(408) 941-7100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80" w:after="283"/>
        <w:jc w:val="center"/>
        <w:rPr>
          <w:rFonts w:ascii="Times New Roman;serif" w:hAnsi="Times New Roman;serif"/>
          <w:b/>
          <w:color w:val="000000"/>
          <w:sz w:val="12"/>
        </w:rPr>
      </w:pPr>
      <w:r>
        <w:rPr>
          <w:rFonts w:ascii="Times New Roman;serif" w:hAnsi="Times New Roman;serif"/>
          <w:b/>
          <w:color w:val="000000"/>
          <w:sz w:val="12"/>
        </w:rPr>
        <w:t>________________________________</w:t>
      </w:r>
    </w:p>
    <w:p>
      <w:pPr>
        <w:pStyle w:val="TextBody"/>
        <w:bidi w:val="0"/>
        <w:spacing w:lineRule="auto" w:line="288" w:before="120" w:after="1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47" w:type="dxa"/>
        <w:jc w:val="center"/>
        <w:tblInd w:w="0" w:type="dxa"/>
        <w:tblLayout w:type="fixed"/>
        <w:tblCellMar>
          <w:top w:w="28" w:type="dxa"/>
          <w:left w:w="28" w:type="dxa"/>
          <w:bottom w:w="28" w:type="dxa"/>
          <w:right w:w="28" w:type="dxa"/>
        </w:tblCellMar>
      </w:tblPr>
      <w:tblGrid>
        <w:gridCol w:w="970"/>
        <w:gridCol w:w="852"/>
        <w:gridCol w:w="862"/>
        <w:gridCol w:w="564"/>
        <w:gridCol w:w="564"/>
        <w:gridCol w:w="566"/>
        <w:gridCol w:w="1130"/>
        <w:gridCol w:w="1130"/>
        <w:gridCol w:w="1609"/>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6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AVNW</w:t>
            </w:r>
          </w:p>
        </w:tc>
        <w:tc>
          <w:tcPr>
            <w:tcW w:w="38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Preferred Share Purchase Rights</w:t>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2" w:type="dxa"/>
        <w:jc w:val="center"/>
        <w:tblInd w:w="0" w:type="dxa"/>
        <w:tblLayout w:type="fixed"/>
        <w:tblCellMar>
          <w:top w:w="28" w:type="dxa"/>
          <w:left w:w="28" w:type="dxa"/>
          <w:bottom w:w="28" w:type="dxa"/>
          <w:right w:w="28" w:type="dxa"/>
        </w:tblCellMar>
      </w:tblPr>
      <w:tblGrid>
        <w:gridCol w:w="842"/>
        <w:gridCol w:w="741"/>
        <w:gridCol w:w="742"/>
        <w:gridCol w:w="109"/>
        <w:gridCol w:w="109"/>
        <w:gridCol w:w="109"/>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number of shares outstanding of the registrant’s common stock as of October 31, 2025 was 12,837,468.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Quarterly Period Ended September 26, 2025</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491" w:type="dxa"/>
        <w:jc w:val="center"/>
        <w:tblInd w:w="0" w:type="dxa"/>
        <w:tblLayout w:type="fixed"/>
        <w:tblCellMar>
          <w:top w:w="28" w:type="dxa"/>
          <w:left w:w="28" w:type="dxa"/>
          <w:bottom w:w="28" w:type="dxa"/>
          <w:right w:w="28" w:type="dxa"/>
        </w:tblCellMar>
      </w:tblPr>
      <w:tblGrid>
        <w:gridCol w:w="2892"/>
        <w:gridCol w:w="2541"/>
        <w:gridCol w:w="2547"/>
        <w:gridCol w:w="149"/>
        <w:gridCol w:w="149"/>
        <w:gridCol w:w="213"/>
      </w:tblGrid>
      <w:tr>
        <w:trPr/>
        <w:tc>
          <w:tcPr>
            <w:tcW w:w="2892"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c1c0ef53c74e7e8ae53dfb989a526f_10">
              <w:r>
                <w:rPr>
                  <w:rStyle w:val="InternetLink"/>
                  <w:rFonts w:ascii="Times New Roman;serif" w:hAnsi="Times New Roman;serif"/>
                  <w:b/>
                  <w:strike w:val="false"/>
                  <w:dstrike w:val="false"/>
                  <w:color w:val="0000FF"/>
                  <w:sz w:val="20"/>
                  <w:u w:val="none"/>
                  <w:effect w:val="none"/>
                </w:rPr>
                <w:t>Part I. Financial Information</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64c1c0ef53c74e7e8ae53dfb989a526f_10">
              <w:r>
                <w:rPr>
                  <w:rStyle w:val="InternetLink"/>
                  <w:rFonts w:ascii="Times New Roman;serif" w:hAnsi="Times New Roman;serif"/>
                  <w:b w:val="false"/>
                  <w:strike w:val="false"/>
                  <w:dstrike w:val="false"/>
                  <w:color w:val="0000FF"/>
                  <w:sz w:val="20"/>
                  <w:u w:val="none"/>
                  <w:effect w:val="none"/>
                </w:rPr>
                <w:t>3</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c1c0ef53c74e7e8ae53dfb989a526f_10">
              <w:r>
                <w:rPr>
                  <w:rStyle w:val="InternetLink"/>
                  <w:rFonts w:ascii="Times New Roman;serif" w:hAnsi="Times New Roman;serif"/>
                  <w:b w:val="false"/>
                  <w:strike w:val="false"/>
                  <w:dstrike w:val="false"/>
                  <w:color w:val="0000FF"/>
                  <w:sz w:val="20"/>
                  <w:u w:val="none"/>
                  <w:effect w:val="none"/>
                </w:rPr>
                <w:t>Item 1.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4c1c0ef53c74e7e8ae53dfb989a526f_13">
              <w:r>
                <w:rPr>
                  <w:rStyle w:val="InternetLink"/>
                  <w:rFonts w:ascii="Times New Roman;serif" w:hAnsi="Times New Roman;serif"/>
                  <w:b w:val="false"/>
                  <w:strike w:val="false"/>
                  <w:dstrike w:val="false"/>
                  <w:color w:val="0000FF"/>
                  <w:sz w:val="20"/>
                  <w:u w:val="none"/>
                  <w:effect w:val="none"/>
                </w:rPr>
                <w:t>3</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4c1c0ef53c74e7e8ae53dfb989a526f_16">
              <w:r>
                <w:rPr>
                  <w:rStyle w:val="InternetLink"/>
                  <w:rFonts w:ascii="Times New Roman;serif" w:hAnsi="Times New Roman;serif"/>
                  <w:b w:val="false"/>
                  <w:strike w:val="false"/>
                  <w:dstrike w:val="false"/>
                  <w:color w:val="0000FF"/>
                  <w:sz w:val="20"/>
                  <w:u w:val="none"/>
                  <w:effect w:val="none"/>
                </w:rPr>
                <w:t>Condensed Consolidated Statements of Operations (Unaudited)</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4c1c0ef53c74e7e8ae53dfb989a526f_16">
              <w:r>
                <w:rPr>
                  <w:rStyle w:val="InternetLink"/>
                  <w:rFonts w:ascii="Times New Roman;serif" w:hAnsi="Times New Roman;serif"/>
                  <w:b w:val="false"/>
                  <w:strike w:val="false"/>
                  <w:dstrike w:val="false"/>
                  <w:color w:val="0000FF"/>
                  <w:sz w:val="20"/>
                  <w:u w:val="none"/>
                  <w:effect w:val="none"/>
                </w:rPr>
                <w:t>3</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c1c0ef53c74e7e8ae53dfb989a526f_19">
              <w:r>
                <w:rPr>
                  <w:rStyle w:val="InternetLink"/>
                  <w:rFonts w:ascii="Times New Roman;serif" w:hAnsi="Times New Roman;serif"/>
                  <w:b w:val="false"/>
                  <w:strike w:val="false"/>
                  <w:dstrike w:val="false"/>
                  <w:color w:val="0000FF"/>
                  <w:sz w:val="20"/>
                  <w:u w:val="none"/>
                  <w:effect w:val="none"/>
                </w:rPr>
                <w:t>Condensed Consolidated Statements of Comprehensive Income (Loss)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4c1c0ef53c74e7e8ae53dfb989a526f_19">
              <w:r>
                <w:rPr>
                  <w:rStyle w:val="InternetLink"/>
                  <w:rFonts w:ascii="Times New Roman;serif" w:hAnsi="Times New Roman;serif"/>
                  <w:b w:val="false"/>
                  <w:strike w:val="false"/>
                  <w:dstrike w:val="false"/>
                  <w:color w:val="0000FF"/>
                  <w:sz w:val="20"/>
                  <w:u w:val="none"/>
                  <w:effect w:val="none"/>
                </w:rPr>
                <w:t>4</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4c1c0ef53c74e7e8ae53dfb989a526f_22">
              <w:r>
                <w:rPr>
                  <w:rStyle w:val="InternetLink"/>
                  <w:rFonts w:ascii="Times New Roman;serif" w:hAnsi="Times New Roman;serif"/>
                  <w:b w:val="false"/>
                  <w:strike w:val="false"/>
                  <w:dstrike w:val="false"/>
                  <w:color w:val="0000FF"/>
                  <w:sz w:val="20"/>
                  <w:u w:val="none"/>
                  <w:effect w:val="none"/>
                </w:rPr>
                <w:t>Condensed Consolidated Balance Sheets (Unaudited)</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4c1c0ef53c74e7e8ae53dfb989a526f_22">
              <w:r>
                <w:rPr>
                  <w:rStyle w:val="InternetLink"/>
                  <w:rFonts w:ascii="Times New Roman;serif" w:hAnsi="Times New Roman;serif"/>
                  <w:b w:val="false"/>
                  <w:strike w:val="false"/>
                  <w:dstrike w:val="false"/>
                  <w:color w:val="0000FF"/>
                  <w:sz w:val="20"/>
                  <w:u w:val="none"/>
                  <w:effect w:val="none"/>
                </w:rPr>
                <w:t>5</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4c1c0ef53c74e7e8ae53dfb989a526f_25">
              <w:r>
                <w:rPr>
                  <w:rStyle w:val="InternetLink"/>
                  <w:rFonts w:ascii="Times New Roman;serif" w:hAnsi="Times New Roman;serif"/>
                  <w:b w:val="false"/>
                  <w:strike w:val="false"/>
                  <w:dstrike w:val="false"/>
                  <w:color w:val="0000FF"/>
                  <w:sz w:val="20"/>
                  <w:u w:val="none"/>
                  <w:effect w:val="none"/>
                </w:rPr>
                <w:t>Condensed Consolidated Statements of Cash Flows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4c1c0ef53c74e7e8ae53dfb989a526f_25">
              <w:r>
                <w:rPr>
                  <w:rStyle w:val="InternetLink"/>
                  <w:rFonts w:ascii="Times New Roman;serif" w:hAnsi="Times New Roman;serif"/>
                  <w:b w:val="false"/>
                  <w:strike w:val="false"/>
                  <w:dstrike w:val="false"/>
                  <w:color w:val="0000FF"/>
                  <w:sz w:val="20"/>
                  <w:u w:val="none"/>
                  <w:effect w:val="none"/>
                </w:rPr>
                <w:t>6</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4c1c0ef53c74e7e8ae53dfb989a526f_28">
              <w:r>
                <w:rPr>
                  <w:rStyle w:val="InternetLink"/>
                  <w:rFonts w:ascii="Times New Roman;serif" w:hAnsi="Times New Roman;serif"/>
                  <w:b w:val="false"/>
                  <w:strike w:val="false"/>
                  <w:dstrike w:val="false"/>
                  <w:color w:val="0000FF"/>
                  <w:sz w:val="20"/>
                  <w:u w:val="none"/>
                  <w:effect w:val="none"/>
                </w:rPr>
                <w:t>Condensed Consolidated Statements of Equity (Unaudited)</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4c1c0ef53c74e7e8ae53dfb989a526f_28">
              <w:r>
                <w:rPr>
                  <w:rStyle w:val="InternetLink"/>
                  <w:rFonts w:ascii="Times New Roman;serif" w:hAnsi="Times New Roman;serif"/>
                  <w:b w:val="false"/>
                  <w:strike w:val="false"/>
                  <w:dstrike w:val="false"/>
                  <w:color w:val="0000FF"/>
                  <w:sz w:val="20"/>
                  <w:u w:val="none"/>
                  <w:effect w:val="none"/>
                </w:rPr>
                <w:t>7</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c1c0ef53c74e7e8ae53dfb989a526f_37">
              <w:r>
                <w:rPr>
                  <w:rStyle w:val="InternetLink"/>
                  <w:rFonts w:ascii="Times New Roman;serif" w:hAnsi="Times New Roman;serif"/>
                  <w:b w:val="false"/>
                  <w:strike w:val="false"/>
                  <w:dstrike w:val="false"/>
                  <w:color w:val="0000FF"/>
                  <w:sz w:val="20"/>
                  <w:u w:val="none"/>
                  <w:effect w:val="none"/>
                </w:rPr>
                <w:t>Notes to Condensed Consolidated 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4c1c0ef53c74e7e8ae53dfb989a526f_37">
              <w:r>
                <w:rPr>
                  <w:rStyle w:val="InternetLink"/>
                  <w:rFonts w:ascii="Times New Roman;serif" w:hAnsi="Times New Roman;serif"/>
                  <w:b w:val="false"/>
                  <w:strike w:val="false"/>
                  <w:dstrike w:val="false"/>
                  <w:color w:val="0000FF"/>
                  <w:sz w:val="20"/>
                  <w:u w:val="none"/>
                  <w:effect w:val="none"/>
                </w:rPr>
                <w:t>8</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c1c0ef53c74e7e8ae53dfb989a526f_94">
              <w:r>
                <w:rPr>
                  <w:rStyle w:val="InternetLink"/>
                  <w:rFonts w:ascii="Times New Roman;serif" w:hAnsi="Times New Roman;serif"/>
                  <w:b w:val="false"/>
                  <w:strike w:val="false"/>
                  <w:dstrike w:val="false"/>
                  <w:color w:val="0000FF"/>
                  <w:sz w:val="20"/>
                  <w:u w:val="none"/>
                  <w:effect w:val="none"/>
                </w:rPr>
                <w:t>Item 2. Management’s Discussion and Analysis of Financial Condition and Results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4c1c0ef53c74e7e8ae53dfb989a526f_94">
              <w:r>
                <w:rPr>
                  <w:rStyle w:val="InternetLink"/>
                  <w:rFonts w:ascii="Times New Roman;serif" w:hAnsi="Times New Roman;serif"/>
                  <w:b w:val="false"/>
                  <w:strike w:val="false"/>
                  <w:dstrike w:val="false"/>
                  <w:color w:val="0000FF"/>
                  <w:sz w:val="20"/>
                  <w:u w:val="none"/>
                  <w:effect w:val="none"/>
                </w:rPr>
                <w:t>24</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c1c0ef53c74e7e8ae53dfb989a526f_109">
              <w:r>
                <w:rPr>
                  <w:rStyle w:val="InternetLink"/>
                  <w:rFonts w:ascii="Times New Roman;serif" w:hAnsi="Times New Roman;serif"/>
                  <w:b w:val="false"/>
                  <w:strike w:val="false"/>
                  <w:dstrike w:val="false"/>
                  <w:color w:val="0000FF"/>
                  <w:sz w:val="20"/>
                  <w:u w:val="none"/>
                  <w:effect w:val="none"/>
                </w:rPr>
                <w:t>Item 3. 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4c1c0ef53c74e7e8ae53dfb989a526f_109">
              <w:r>
                <w:rPr>
                  <w:rStyle w:val="InternetLink"/>
                  <w:rFonts w:ascii="Times New Roman;serif" w:hAnsi="Times New Roman;serif"/>
                  <w:b w:val="false"/>
                  <w:strike w:val="false"/>
                  <w:dstrike w:val="false"/>
                  <w:color w:val="0000FF"/>
                  <w:sz w:val="20"/>
                  <w:u w:val="none"/>
                  <w:effect w:val="none"/>
                </w:rPr>
                <w:t>29</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c1c0ef53c74e7e8ae53dfb989a526f_112">
              <w:r>
                <w:rPr>
                  <w:rStyle w:val="InternetLink"/>
                  <w:rFonts w:ascii="Times New Roman;serif" w:hAnsi="Times New Roman;serif"/>
                  <w:b w:val="false"/>
                  <w:strike w:val="false"/>
                  <w:dstrike w:val="false"/>
                  <w:color w:val="0000FF"/>
                  <w:sz w:val="20"/>
                  <w:u w:val="none"/>
                  <w:effect w:val="none"/>
                </w:rPr>
                <w:t>Item 4. Controls and Procedures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4c1c0ef53c74e7e8ae53dfb989a526f_112">
              <w:r>
                <w:rPr>
                  <w:rStyle w:val="InternetLink"/>
                  <w:rFonts w:ascii="Times New Roman;serif" w:hAnsi="Times New Roman;serif"/>
                  <w:b w:val="false"/>
                  <w:strike w:val="false"/>
                  <w:dstrike w:val="false"/>
                  <w:color w:val="0000FF"/>
                  <w:sz w:val="20"/>
                  <w:u w:val="none"/>
                  <w:effect w:val="none"/>
                </w:rPr>
                <w:t>30</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c1c0ef53c74e7e8ae53dfb989a526f_115">
              <w:r>
                <w:rPr>
                  <w:rStyle w:val="InternetLink"/>
                  <w:rFonts w:ascii="Times New Roman;serif" w:hAnsi="Times New Roman;serif"/>
                  <w:b/>
                  <w:strike w:val="false"/>
                  <w:dstrike w:val="false"/>
                  <w:color w:val="0000FF"/>
                  <w:sz w:val="20"/>
                  <w:u w:val="none"/>
                  <w:effect w:val="none"/>
                </w:rPr>
                <w:t>Part II. 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4c1c0ef53c74e7e8ae53dfb989a526f_115">
              <w:r>
                <w:rPr>
                  <w:rStyle w:val="InternetLink"/>
                  <w:rFonts w:ascii="Times New Roman;serif" w:hAnsi="Times New Roman;serif"/>
                  <w:b w:val="false"/>
                  <w:strike w:val="false"/>
                  <w:dstrike w:val="false"/>
                  <w:color w:val="0000FF"/>
                  <w:sz w:val="20"/>
                  <w:u w:val="none"/>
                  <w:effect w:val="none"/>
                </w:rPr>
                <w:t>31</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c1c0ef53c74e7e8ae53dfb989a526f_118">
              <w:r>
                <w:rPr>
                  <w:rStyle w:val="InternetLink"/>
                  <w:rFonts w:ascii="Times New Roman;serif" w:hAnsi="Times New Roman;serif"/>
                  <w:b w:val="false"/>
                  <w:strike w:val="false"/>
                  <w:dstrike w:val="false"/>
                  <w:color w:val="0000FF"/>
                  <w:sz w:val="20"/>
                  <w:u w:val="none"/>
                  <w:effect w:val="none"/>
                </w:rPr>
                <w:t>Item 1. Legal Proceedings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4c1c0ef53c74e7e8ae53dfb989a526f_118">
              <w:r>
                <w:rPr>
                  <w:rStyle w:val="InternetLink"/>
                  <w:rFonts w:ascii="Times New Roman;serif" w:hAnsi="Times New Roman;serif"/>
                  <w:b w:val="false"/>
                  <w:strike w:val="false"/>
                  <w:dstrike w:val="false"/>
                  <w:color w:val="0000FF"/>
                  <w:sz w:val="20"/>
                  <w:u w:val="none"/>
                  <w:effect w:val="none"/>
                </w:rPr>
                <w:t>31</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c1c0ef53c74e7e8ae53dfb989a526f_121">
              <w:r>
                <w:rPr>
                  <w:rStyle w:val="InternetLink"/>
                  <w:rFonts w:ascii="Times New Roman;serif" w:hAnsi="Times New Roman;serif"/>
                  <w:b w:val="false"/>
                  <w:strike w:val="false"/>
                  <w:dstrike w:val="false"/>
                  <w:color w:val="0000FF"/>
                  <w:sz w:val="20"/>
                  <w:u w:val="none"/>
                  <w:effect w:val="none"/>
                </w:rPr>
                <w:t>Item 1A. 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4c1c0ef53c74e7e8ae53dfb989a526f_121">
              <w:r>
                <w:rPr>
                  <w:rStyle w:val="InternetLink"/>
                  <w:rFonts w:ascii="Times New Roman;serif" w:hAnsi="Times New Roman;serif"/>
                  <w:b w:val="false"/>
                  <w:strike w:val="false"/>
                  <w:dstrike w:val="false"/>
                  <w:color w:val="0000FF"/>
                  <w:sz w:val="20"/>
                  <w:u w:val="none"/>
                  <w:effect w:val="none"/>
                </w:rPr>
                <w:t>31</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c1c0ef53c74e7e8ae53dfb989a526f_124">
              <w:r>
                <w:rPr>
                  <w:rStyle w:val="InternetLink"/>
                  <w:rFonts w:ascii="Times New Roman;serif" w:hAnsi="Times New Roman;serif"/>
                  <w:b w:val="false"/>
                  <w:strike w:val="false"/>
                  <w:dstrike w:val="false"/>
                  <w:color w:val="0000FF"/>
                  <w:sz w:val="20"/>
                  <w:u w:val="none"/>
                  <w:effect w:val="none"/>
                </w:rPr>
                <w:t>Item 2. Unregistered Sales of Equity Securities and Use of Proceeds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4c1c0ef53c74e7e8ae53dfb989a526f_124">
              <w:r>
                <w:rPr>
                  <w:rStyle w:val="InternetLink"/>
                  <w:rFonts w:ascii="Times New Roman;serif" w:hAnsi="Times New Roman;serif"/>
                  <w:b w:val="false"/>
                  <w:strike w:val="false"/>
                  <w:dstrike w:val="false"/>
                  <w:color w:val="0000FF"/>
                  <w:sz w:val="20"/>
                  <w:u w:val="none"/>
                  <w:effect w:val="none"/>
                </w:rPr>
                <w:t>31</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c1c0ef53c74e7e8ae53dfb989a526f_127">
              <w:r>
                <w:rPr>
                  <w:rStyle w:val="InternetLink"/>
                  <w:rFonts w:ascii="Times New Roman;serif" w:hAnsi="Times New Roman;serif"/>
                  <w:b w:val="false"/>
                  <w:strike w:val="false"/>
                  <w:dstrike w:val="false"/>
                  <w:color w:val="0000FF"/>
                  <w:sz w:val="20"/>
                  <w:u w:val="none"/>
                  <w:effect w:val="none"/>
                </w:rPr>
                <w:t>Item 3. 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4c1c0ef53c74e7e8ae53dfb989a526f_127">
              <w:r>
                <w:rPr>
                  <w:rStyle w:val="InternetLink"/>
                  <w:rFonts w:ascii="Times New Roman;serif" w:hAnsi="Times New Roman;serif"/>
                  <w:b w:val="false"/>
                  <w:strike w:val="false"/>
                  <w:dstrike w:val="false"/>
                  <w:color w:val="0000FF"/>
                  <w:sz w:val="20"/>
                  <w:u w:val="none"/>
                  <w:effect w:val="none"/>
                </w:rPr>
                <w:t>31</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c1c0ef53c74e7e8ae53dfb989a526f_130">
              <w:r>
                <w:rPr>
                  <w:rStyle w:val="InternetLink"/>
                  <w:rFonts w:ascii="Times New Roman;serif" w:hAnsi="Times New Roman;serif"/>
                  <w:b w:val="false"/>
                  <w:strike w:val="false"/>
                  <w:dstrike w:val="false"/>
                  <w:color w:val="0000FF"/>
                  <w:sz w:val="20"/>
                  <w:u w:val="none"/>
                  <w:effect w:val="none"/>
                </w:rPr>
                <w:t>Item 4. Mine Safety Disclosures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4c1c0ef53c74e7e8ae53dfb989a526f_130">
              <w:r>
                <w:rPr>
                  <w:rStyle w:val="InternetLink"/>
                  <w:rFonts w:ascii="Times New Roman;serif" w:hAnsi="Times New Roman;serif"/>
                  <w:b w:val="false"/>
                  <w:strike w:val="false"/>
                  <w:dstrike w:val="false"/>
                  <w:color w:val="0000FF"/>
                  <w:sz w:val="20"/>
                  <w:u w:val="none"/>
                  <w:effect w:val="none"/>
                </w:rPr>
                <w:t>31</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c1c0ef53c74e7e8ae53dfb989a526f_133">
              <w:r>
                <w:rPr>
                  <w:rStyle w:val="InternetLink"/>
                  <w:rFonts w:ascii="Times New Roman;serif" w:hAnsi="Times New Roman;serif"/>
                  <w:b w:val="false"/>
                  <w:strike w:val="false"/>
                  <w:dstrike w:val="false"/>
                  <w:color w:val="0000FF"/>
                  <w:sz w:val="20"/>
                  <w:u w:val="none"/>
                  <w:effect w:val="none"/>
                </w:rPr>
                <w:t>Item 5. 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4c1c0ef53c74e7e8ae53dfb989a526f_133">
              <w:r>
                <w:rPr>
                  <w:rStyle w:val="InternetLink"/>
                  <w:rFonts w:ascii="Times New Roman;serif" w:hAnsi="Times New Roman;serif"/>
                  <w:b w:val="false"/>
                  <w:strike w:val="false"/>
                  <w:dstrike w:val="false"/>
                  <w:color w:val="0000FF"/>
                  <w:sz w:val="20"/>
                  <w:u w:val="none"/>
                  <w:effect w:val="none"/>
                </w:rPr>
                <w:t>31</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c1c0ef53c74e7e8ae53dfb989a526f_139">
              <w:r>
                <w:rPr>
                  <w:rStyle w:val="InternetLink"/>
                  <w:rFonts w:ascii="Times New Roman;serif" w:hAnsi="Times New Roman;serif"/>
                  <w:b w:val="false"/>
                  <w:strike w:val="false"/>
                  <w:dstrike w:val="false"/>
                  <w:color w:val="0000FF"/>
                  <w:sz w:val="20"/>
                  <w:u w:val="none"/>
                  <w:effect w:val="none"/>
                </w:rPr>
                <w:t>Item 6. Exhibits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4c1c0ef53c74e7e8ae53dfb989a526f_139">
              <w:r>
                <w:rPr>
                  <w:rStyle w:val="InternetLink"/>
                  <w:rFonts w:ascii="Times New Roman;serif" w:hAnsi="Times New Roman;serif"/>
                  <w:b w:val="false"/>
                  <w:strike w:val="false"/>
                  <w:dstrike w:val="false"/>
                  <w:color w:val="0000FF"/>
                  <w:sz w:val="20"/>
                  <w:u w:val="none"/>
                  <w:effect w:val="none"/>
                </w:rPr>
                <w:t>32</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c1c0ef53c74e7e8ae53dfb989a526f_142">
              <w:r>
                <w:rPr>
                  <w:rStyle w:val="InternetLink"/>
                  <w:rFonts w:ascii="Times New Roman;serif" w:hAnsi="Times New Roman;serif"/>
                  <w:b/>
                  <w:strike w:val="false"/>
                  <w:dstrike w:val="false"/>
                  <w:color w:val="0000FF"/>
                  <w:sz w:val="20"/>
                  <w:u w:val="none"/>
                  <w:effect w:val="non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4c1c0ef53c74e7e8ae53dfb989a526f_142">
              <w:r>
                <w:rPr>
                  <w:rStyle w:val="InternetLink"/>
                  <w:rFonts w:ascii="Times New Roman;serif" w:hAnsi="Times New Roman;serif"/>
                  <w:b w:val="false"/>
                  <w:strike w:val="false"/>
                  <w:dstrike w:val="false"/>
                  <w:color w:val="0000FF"/>
                  <w:sz w:val="20"/>
                  <w:u w:val="none"/>
                  <w:effect w:val="none"/>
                </w:rPr>
                <w:t>33</w:t>
              </w:r>
            </w:hyperlink>
          </w:p>
        </w:tc>
      </w:tr>
      <w:tr>
        <w:trPr/>
        <w:tc>
          <w:tcPr>
            <w:tcW w:w="798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erif" w:hAnsi="Times New Roman;serif"/>
          <w:b/>
          <w:color w:val="000000"/>
          <w:sz w:val="20"/>
        </w:rPr>
        <w:t>Item 1.</w:t>
      </w:r>
      <w:r>
        <w:rPr>
          <w:rFonts w:ascii="Times New Roman;serif" w:hAnsi="Times New Roman;serif"/>
          <w:b/>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157" w:type="dxa"/>
        <w:jc w:val="center"/>
        <w:tblInd w:w="0" w:type="dxa"/>
        <w:tblLayout w:type="fixed"/>
        <w:tblCellMar>
          <w:top w:w="28" w:type="dxa"/>
          <w:left w:w="28" w:type="dxa"/>
          <w:bottom w:w="28" w:type="dxa"/>
          <w:right w:w="28" w:type="dxa"/>
        </w:tblCellMar>
      </w:tblPr>
      <w:tblGrid>
        <w:gridCol w:w="1793"/>
        <w:gridCol w:w="1577"/>
        <w:gridCol w:w="1580"/>
        <w:gridCol w:w="243"/>
        <w:gridCol w:w="831"/>
        <w:gridCol w:w="125"/>
        <w:gridCol w:w="109"/>
        <w:gridCol w:w="109"/>
        <w:gridCol w:w="109"/>
        <w:gridCol w:w="227"/>
        <w:gridCol w:w="856"/>
        <w:gridCol w:w="117"/>
        <w:gridCol w:w="109"/>
        <w:gridCol w:w="109"/>
        <w:gridCol w:w="109"/>
        <w:gridCol w:w="154"/>
      </w:tblGrid>
      <w:tr>
        <w:trPr/>
        <w:tc>
          <w:tcPr>
            <w:tcW w:w="1793"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 share amounts)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107,320 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88,429 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revenues:</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71,657 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68,641 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 of common stock outstanding:</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Weighted-average shares outstanding: </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347" w:type="dxa"/>
        <w:jc w:val="center"/>
        <w:tblInd w:w="0" w:type="dxa"/>
        <w:tblLayout w:type="fixed"/>
        <w:tblCellMar>
          <w:top w:w="28" w:type="dxa"/>
          <w:left w:w="28" w:type="dxa"/>
          <w:bottom w:w="28" w:type="dxa"/>
          <w:right w:w="28" w:type="dxa"/>
        </w:tblCellMar>
      </w:tblPr>
      <w:tblGrid>
        <w:gridCol w:w="1501"/>
        <w:gridCol w:w="1316"/>
        <w:gridCol w:w="1322"/>
        <w:gridCol w:w="316"/>
        <w:gridCol w:w="721"/>
        <w:gridCol w:w="163"/>
        <w:gridCol w:w="109"/>
        <w:gridCol w:w="109"/>
        <w:gridCol w:w="109"/>
        <w:gridCol w:w="227"/>
        <w:gridCol w:w="856"/>
        <w:gridCol w:w="117"/>
        <w:gridCol w:w="109"/>
        <w:gridCol w:w="109"/>
        <w:gridCol w:w="109"/>
        <w:gridCol w:w="154"/>
      </w:tblGrid>
      <w:tr>
        <w:trPr/>
        <w:tc>
          <w:tcPr>
            <w:tcW w:w="150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Net change in cumulative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(9,726)</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69"/>
        <w:gridCol w:w="2271"/>
        <w:gridCol w:w="2276"/>
        <w:gridCol w:w="215"/>
        <w:gridCol w:w="842"/>
        <w:gridCol w:w="111"/>
        <w:gridCol w:w="109"/>
        <w:gridCol w:w="109"/>
        <w:gridCol w:w="109"/>
        <w:gridCol w:w="211"/>
        <w:gridCol w:w="826"/>
        <w:gridCol w:w="157"/>
      </w:tblGrid>
      <w:tr>
        <w:trPr/>
        <w:tc>
          <w:tcPr>
            <w:tcW w:w="2969"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and par value amounts)</w:t>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$5,004 and $3,583</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474,541 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463,575 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643,316 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and unearned revenue</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258,202 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282,196 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uncertain tax positions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379,680 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50.0 million shares authorized, none issued</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Common stock, $0.01 par value, 300.0 million shares authorized, 12.8 million and 12.7 million shares issued and outstanding as of September 26, 2025 and June 27, 2025, respectively</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0.2 million and 0.2 million shares as of September 26, 2025 and June 27, 2025, respectively</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867,318 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(577,010)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263,636 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263,183 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643,316 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633,296 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565" w:type="dxa"/>
        <w:jc w:val="center"/>
        <w:tblInd w:w="0" w:type="dxa"/>
        <w:tblLayout w:type="fixed"/>
        <w:tblCellMar>
          <w:top w:w="28" w:type="dxa"/>
          <w:left w:w="28" w:type="dxa"/>
          <w:bottom w:w="28" w:type="dxa"/>
          <w:right w:w="28" w:type="dxa"/>
        </w:tblCellMar>
      </w:tblPr>
      <w:tblGrid>
        <w:gridCol w:w="2465"/>
        <w:gridCol w:w="2161"/>
        <w:gridCol w:w="2168"/>
        <w:gridCol w:w="243"/>
        <w:gridCol w:w="831"/>
        <w:gridCol w:w="125"/>
        <w:gridCol w:w="109"/>
        <w:gridCol w:w="109"/>
        <w:gridCol w:w="109"/>
        <w:gridCol w:w="226"/>
        <w:gridCol w:w="854"/>
        <w:gridCol w:w="165"/>
      </w:tblGrid>
      <w:tr>
        <w:trPr/>
        <w:tc>
          <w:tcPr>
            <w:tcW w:w="2465"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7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w:t>
              <w:br/>
              <w:t>2024</w:t>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used in operating activities: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plant and equipment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uncollectible receivables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write-downs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(gain) on marketable securities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operating activities, net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and unearned revenue</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(11,742)</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(27,165)</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 held for sale</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net of cash acquired</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(21,175)</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revolver</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revolver</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term loan</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term loan</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deferred financing costs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taxes related to net settlement of equity awards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employee stock plans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cash equivalents, and restricted cash</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(12,758)</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beginning of period</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period</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52,176 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655"/>
        <w:gridCol w:w="275"/>
        <w:gridCol w:w="276"/>
        <w:gridCol w:w="330"/>
        <w:gridCol w:w="331"/>
        <w:gridCol w:w="196"/>
        <w:gridCol w:w="109"/>
        <w:gridCol w:w="109"/>
        <w:gridCol w:w="109"/>
        <w:gridCol w:w="196"/>
        <w:gridCol w:w="436"/>
        <w:gridCol w:w="109"/>
        <w:gridCol w:w="109"/>
        <w:gridCol w:w="109"/>
        <w:gridCol w:w="109"/>
        <w:gridCol w:w="109"/>
        <w:gridCol w:w="196"/>
        <w:gridCol w:w="572"/>
        <w:gridCol w:w="109"/>
        <w:gridCol w:w="109"/>
        <w:gridCol w:w="109"/>
        <w:gridCol w:w="109"/>
        <w:gridCol w:w="197"/>
        <w:gridCol w:w="755"/>
        <w:gridCol w:w="109"/>
        <w:gridCol w:w="109"/>
        <w:gridCol w:w="109"/>
        <w:gridCol w:w="109"/>
        <w:gridCol w:w="196"/>
        <w:gridCol w:w="753"/>
        <w:gridCol w:w="109"/>
        <w:gridCol w:w="109"/>
        <w:gridCol w:w="109"/>
        <w:gridCol w:w="109"/>
        <w:gridCol w:w="248"/>
        <w:gridCol w:w="840"/>
        <w:gridCol w:w="139"/>
        <w:gridCol w:w="109"/>
        <w:gridCol w:w="109"/>
        <w:gridCol w:w="109"/>
        <w:gridCol w:w="196"/>
        <w:gridCol w:w="751"/>
        <w:gridCol w:w="160"/>
      </w:tblGrid>
      <w:tr>
        <w:trPr/>
        <w:tc>
          <w:tcPr>
            <w:tcW w:w="6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26, 2025</w:t>
            </w:r>
          </w:p>
        </w:tc>
        <w:tc>
          <w:tcPr>
            <w:tcW w:w="1107" w:type="dxa"/>
            <w:gridSpan w:val="3"/>
            <w:tcBorders/>
          </w:tcPr>
          <w:p>
            <w:pPr>
              <w:pStyle w:val="TableContents"/>
              <w:bidi w:val="0"/>
              <w:spacing w:before="0" w:after="283"/>
              <w:jc w:val="left"/>
              <w:rPr>
                <w:sz w:val="4"/>
                <w:szCs w:val="4"/>
              </w:rPr>
            </w:pPr>
            <w:r>
              <w:rPr>
                <w:sz w:val="4"/>
                <w:szCs w:val="4"/>
              </w:rPr>
            </w:r>
          </w:p>
        </w:tc>
      </w:tr>
      <w:tr>
        <w:trPr/>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27,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12,740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866,119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(577,172)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(18,815)</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263,183</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plans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 related to vesting of equity awards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September 26, 2025</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12,802</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867,318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(577,010)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(19,724)</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263,636</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56"/>
        <w:gridCol w:w="276"/>
        <w:gridCol w:w="277"/>
        <w:gridCol w:w="330"/>
        <w:gridCol w:w="331"/>
        <w:gridCol w:w="196"/>
        <w:gridCol w:w="109"/>
        <w:gridCol w:w="109"/>
        <w:gridCol w:w="109"/>
        <w:gridCol w:w="196"/>
        <w:gridCol w:w="436"/>
        <w:gridCol w:w="109"/>
        <w:gridCol w:w="109"/>
        <w:gridCol w:w="109"/>
        <w:gridCol w:w="109"/>
        <w:gridCol w:w="109"/>
        <w:gridCol w:w="196"/>
        <w:gridCol w:w="572"/>
        <w:gridCol w:w="109"/>
        <w:gridCol w:w="109"/>
        <w:gridCol w:w="109"/>
        <w:gridCol w:w="109"/>
        <w:gridCol w:w="196"/>
        <w:gridCol w:w="751"/>
        <w:gridCol w:w="109"/>
        <w:gridCol w:w="109"/>
        <w:gridCol w:w="109"/>
        <w:gridCol w:w="109"/>
        <w:gridCol w:w="196"/>
        <w:gridCol w:w="754"/>
        <w:gridCol w:w="109"/>
        <w:gridCol w:w="109"/>
        <w:gridCol w:w="109"/>
        <w:gridCol w:w="109"/>
        <w:gridCol w:w="248"/>
        <w:gridCol w:w="841"/>
        <w:gridCol w:w="139"/>
        <w:gridCol w:w="109"/>
        <w:gridCol w:w="109"/>
        <w:gridCol w:w="109"/>
        <w:gridCol w:w="196"/>
        <w:gridCol w:w="751"/>
        <w:gridCol w:w="160"/>
      </w:tblGrid>
      <w:tr>
        <w:trPr/>
        <w:tc>
          <w:tcPr>
            <w:tcW w:w="65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9" w:type="dxa"/>
            <w:gridSpan w:val="3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27, 2024</w:t>
            </w:r>
          </w:p>
        </w:tc>
        <w:tc>
          <w:tcPr>
            <w:tcW w:w="1107" w:type="dxa"/>
            <w:gridSpan w:val="3"/>
            <w:tcBorders/>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28, 2024</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12,622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860,071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(578,513)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(19,320)</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255,885</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plans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 related to vesting of equity awards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September 27, 2024</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12,676</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861,023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(590,392)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(17,167)</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247,112</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 The Company and Basis of Presentation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The Company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Aviat Networks, Inc. (“Aviat,” the “Company,” “we,” “us,” and “our”) designs, manufactures, and sells wireless networking and access networking solutions and services to mobile and fixed telephone service providers, private network operators, government agencies, transportation and utility companies, public safety agencies and broadcast system operators across the globe. Aviat’s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and Aviat has made estimates, assumptions and judgments affecting the amounts reported in its unaudited condensed consolidated financial statements and the accompanying notes, as discussed in greater detail below. Accordingly, the statements do not include all information and footnotes required by U.S. GAAP for annual consolidated financial statements. In the opinion of the Company’s management, such interim financial statements reflect all adjustments (consisting of normal recurring adjustments) considered necessary for a fair statement of its financial position, results of operations and cash flows for such periods. The results for the three months ended September 26, 2025 are not necessarily indicative of the results that may be expected for the full fiscal year or future operating periods. The information included in this Quarterly Report on Form 10-Q should be read in conjunction with the consolidated financial statements and footnotes thereto included in Aviat’s Annual Report on Form 10-K for the fiscal year ended June 27, 2025.</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include the accounts of the Company and its wholly-owned and majority-owned subsidiaries. All intercompany transactions and accounts have been eliminated. Certain amounts in the financial statements have been reclassified for comparative purposes to conform to the current period financial statement presentation.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Aviat’s fiscal year includes 52 or 53 weeks and ends on the Friday nearest to June 30. The three months ended September 26, 2025 and September 27, 2024 both consisted of 13 weeks. Fiscal year 2026 contains 52 weeks and will end on June 26, 2026. Fiscal year 2025 contained 52 weeks and ended on June 27,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unaudited condensed consolidated financial statements in accordance with U.S. GAAP requires the Company to make estimates, assumptions and judgments affecting the amounts reported and related disclosures. Estimates are based upon historical factors, current circumstances and the experience and judgment of the Company’s management. The Company evaluates estimates and assumptions on an ongoing basis and may employ outside experts to assist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goodwill and identified intangible assets in business combinations, valuation allowances for deferred tax assets, uncertainties in income taxes, contingencies and recoverability of long-lived assets. Actual results may differ materially from estimates.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Company’s significant accounting policies as of and for the three months ended September 26, 2025, as compared to the significant accounting policies described in the Company’s Annual Report on Form 10-K for the fiscal year ended June 27,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80" w:after="283"/>
        <w:ind w:left="0" w:right="0" w:firstLine="540"/>
        <w:jc w:val="both"/>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In November 2023, the Financial Accounting Standards Board (“FASB”) issued Accounting Standards Update (“ASU”) 2023-07, Segment Reporting (Topic 280): </w:t>
      </w:r>
      <w:r>
        <w:rPr>
          <w:rFonts w:ascii="Times New Roman;serif" w:hAnsi="Times New Roman;serif"/>
          <w:b w:val="false"/>
          <w:i/>
          <w:color w:val="000000"/>
          <w:sz w:val="20"/>
        </w:rPr>
        <w:t>Improvements to Reportable Segment Disclosures</w:t>
      </w:r>
      <w:r>
        <w:rPr>
          <w:rFonts w:ascii="Times New Roman;serif" w:hAnsi="Times New Roman;serif"/>
          <w:b w:val="false"/>
          <w:color w:val="000000"/>
          <w:sz w:val="20"/>
        </w:rPr>
        <w:t>. The ASU expands reportable segment disclosure requirements, primarily through enhanced disclosures about significant segment expenses that are regularly presented to the chief operating decision maker. The disclosures required under ASU 2023-07 are also required for public entities with a single reportable segment. ASU 2023-07 is effective for the Company’s annual reporting beginning in fiscal 2025 and for interim periods beginning in fiscal 2026. The Company adopted ASU 2023-07 for the year ended June 27, 2025. The adoption of this standard did not have a material impact on the Company’s consolidated financial statements.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Accounting Standards Not Yet Adopted</w:t>
      </w:r>
    </w:p>
    <w:p>
      <w:pPr>
        <w:pStyle w:val="TextBody"/>
        <w:bidi w:val="0"/>
        <w:spacing w:lineRule="auto" w:line="288" w:before="180" w:after="283"/>
        <w:ind w:left="0" w:right="0" w:firstLine="540"/>
        <w:jc w:val="both"/>
        <w:rPr/>
      </w:pPr>
      <w:r>
        <w:rPr>
          <w:rFonts w:ascii="Times New Roman;serif" w:hAnsi="Times New Roman;serif"/>
          <w:b w:val="false"/>
          <w:color w:val="000000"/>
          <w:sz w:val="20"/>
        </w:rPr>
        <w:t>In September 2025, the FASB issued ASU 2025-06,</w:t>
      </w:r>
      <w:r>
        <w:rPr>
          <w:color w:val="000000"/>
        </w:rPr>
        <w:t xml:space="preserve">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which modernizes the accounting for internal-use software. The ASU requires entities to consider whether significant development uncertainty has been resolved before starting to capitalize software costs. ASU 2025-06 is effective for annual and interim reporting periods beginning after December 15, 2027, and can be applied prospectively, retrospectively, or using a modified transition method, with early adoption permitted. The Company is currently evaluating the impact of this ASU on its consolidated financial statements and disclosures.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In November 2024, the FASB issued ASU 2024-03 (Subtopic 220-40):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The ASU requires disclosures about specific types of expenses included in the expense captions presented on the face of the income statement as well as disclosures about selling expenses. ASU 2024-03 is effective for the Company’s annual reporting beginning in fiscal 2028 and for interim periods beginning in fiscal 2029. The Company is currently evaluating the impact of this ASU on its consolidated financial statements and disclosures.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In December 2023, the FASB issued ASU 2023-09, Income Taxes (Topic 740): </w:t>
      </w:r>
      <w:r>
        <w:rPr>
          <w:rFonts w:ascii="Times New Roman;serif" w:hAnsi="Times New Roman;serif"/>
          <w:b w:val="false"/>
          <w:i/>
          <w:color w:val="000000"/>
          <w:sz w:val="20"/>
        </w:rPr>
        <w:t>Improvements to Income Tax Disclosures</w:t>
      </w:r>
      <w:r>
        <w:rPr>
          <w:rFonts w:ascii="Times New Roman;serif" w:hAnsi="Times New Roman;serif"/>
          <w:b w:val="false"/>
          <w:color w:val="000000"/>
          <w:sz w:val="20"/>
        </w:rPr>
        <w:t>. The ASU enhances the transparency and usefulness of income tax information through improvements to disclosures primarily related to the rate reconciliation and income taxes paid information. ASU 2023-09 is effective for the Company’s annual reporting beginning in fiscal 2026. The Company is currently evaluating the impact of this ASU on its consolidated financial statements and disclosures.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ASUs issued by the FASB. The Company determined at this time that all other ASUs issued but not yet adopted are either not applicable or are expected to have a minimal impact on its financial position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Note 2. Net Income (Loss) Per Share of Common Stock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net income (loss) per share:</w:t>
      </w:r>
    </w:p>
    <w:tbl>
      <w:tblPr>
        <w:tblW w:w="8313" w:type="dxa"/>
        <w:jc w:val="center"/>
        <w:tblInd w:w="0" w:type="dxa"/>
        <w:tblLayout w:type="fixed"/>
        <w:tblCellMar>
          <w:top w:w="28" w:type="dxa"/>
          <w:left w:w="28" w:type="dxa"/>
          <w:bottom w:w="28" w:type="dxa"/>
          <w:right w:w="28" w:type="dxa"/>
        </w:tblCellMar>
      </w:tblPr>
      <w:tblGrid>
        <w:gridCol w:w="1792"/>
        <w:gridCol w:w="1574"/>
        <w:gridCol w:w="1583"/>
        <w:gridCol w:w="304"/>
        <w:gridCol w:w="737"/>
        <w:gridCol w:w="158"/>
        <w:gridCol w:w="109"/>
        <w:gridCol w:w="109"/>
        <w:gridCol w:w="109"/>
        <w:gridCol w:w="227"/>
        <w:gridCol w:w="856"/>
        <w:gridCol w:w="117"/>
        <w:gridCol w:w="109"/>
        <w:gridCol w:w="109"/>
        <w:gridCol w:w="109"/>
        <w:gridCol w:w="311"/>
      </w:tblGrid>
      <w:tr>
        <w:trPr/>
        <w:tc>
          <w:tcPr>
            <w:tcW w:w="1792"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2"/>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 share amounts)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Numerator: </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Denominator:</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Effect of potentially dilutive equivalent shares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diluted</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 of common stock outstanding:</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weighted-average equity awards that were excluded from the diluted net income (loss) per share calculations since they were anti-dilutive:</w:t>
      </w:r>
    </w:p>
    <w:tbl>
      <w:tblPr>
        <w:tblW w:w="7664" w:type="dxa"/>
        <w:jc w:val="center"/>
        <w:tblInd w:w="0" w:type="dxa"/>
        <w:tblLayout w:type="fixed"/>
        <w:tblCellMar>
          <w:top w:w="28" w:type="dxa"/>
          <w:left w:w="28" w:type="dxa"/>
          <w:bottom w:w="28" w:type="dxa"/>
          <w:right w:w="28" w:type="dxa"/>
        </w:tblCellMar>
      </w:tblPr>
      <w:tblGrid>
        <w:gridCol w:w="1523"/>
        <w:gridCol w:w="1337"/>
        <w:gridCol w:w="1340"/>
        <w:gridCol w:w="399"/>
        <w:gridCol w:w="399"/>
        <w:gridCol w:w="401"/>
        <w:gridCol w:w="195"/>
        <w:gridCol w:w="195"/>
        <w:gridCol w:w="195"/>
        <w:gridCol w:w="399"/>
        <w:gridCol w:w="399"/>
        <w:gridCol w:w="401"/>
        <w:gridCol w:w="109"/>
        <w:gridCol w:w="109"/>
        <w:gridCol w:w="109"/>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and performance stock units</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excluded</w:t>
            </w:r>
          </w:p>
        </w:tc>
        <w:tc>
          <w:tcPr>
            <w:tcW w:w="7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3. Revenue Recognition</w:t>
      </w:r>
    </w:p>
    <w:p>
      <w:pPr>
        <w:pStyle w:val="TextBody"/>
        <w:bidi w:val="0"/>
        <w:spacing w:lineRule="auto" w:line="288" w:before="264" w:after="283"/>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before="0" w:after="0"/>
        <w:jc w:val="left"/>
        <w:rPr/>
      </w:pPr>
      <w:r>
        <w:rPr/>
      </w:r>
    </w:p>
    <w:tbl>
      <w:tblPr>
        <w:tblW w:w="6213" w:type="dxa"/>
        <w:jc w:val="center"/>
        <w:tblInd w:w="0" w:type="dxa"/>
        <w:tblLayout w:type="fixed"/>
        <w:tblCellMar>
          <w:top w:w="28" w:type="dxa"/>
          <w:left w:w="28" w:type="dxa"/>
          <w:bottom w:w="28" w:type="dxa"/>
          <w:right w:w="28" w:type="dxa"/>
        </w:tblCellMar>
      </w:tblPr>
      <w:tblGrid>
        <w:gridCol w:w="1269"/>
        <w:gridCol w:w="1112"/>
        <w:gridCol w:w="1114"/>
        <w:gridCol w:w="221"/>
        <w:gridCol w:w="865"/>
        <w:gridCol w:w="114"/>
        <w:gridCol w:w="109"/>
        <w:gridCol w:w="109"/>
        <w:gridCol w:w="109"/>
        <w:gridCol w:w="211"/>
        <w:gridCol w:w="826"/>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Contract assets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commissions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Contract liabilities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and unearned revenue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 long-term</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Significant changes in contract balances may arise as a result of recognition over time for services, transfer of control for equipment, and periodic payments (both in arrears and in advance).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experience unforeseen events that could result in a change to the scope or price associated with an arrangement. When such events occur, the transaction price and measurement of progress for the performance obligation are updated and this change is recognized as a cumulative catch-up to revenue. Because of the nature and type of contracts, the timeframe to completion and satisfaction of current and future performance obligations can shift; however, this will have no impact on the Company’s future obligation to bill and collect.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26, 2025, the Company reported $82.2 million in advance payments and unearned revenue and long-term unearned revenue, of which approximately 90% is expected to be recognized as revenue in the next twelve months and the remainder thereafter. Approximately $22.0 million of revenue was recognized during the three months ended September 26, 2025, which was included in advance payments and unearned revenue at June 27, 2025.</w:t>
      </w:r>
    </w:p>
    <w:p>
      <w:pPr>
        <w:pStyle w:val="TextBody"/>
        <w:bidi w:val="0"/>
        <w:spacing w:lineRule="auto" w:line="288" w:before="264" w:after="283"/>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aggregate amount of transaction price allocated to unsatisfied (or partially unsatisfied) performance obligations was approximately $141.4 million at September 26, 2025 relating to long-term field service projects. Of this amount, approximately 50% is expected to be recognized as revenue during the next 12 months, with the remaining amount to be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4. Balance Sheet Components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provides a summary of cash, cash equivalents, and restricted cash reported within the unaudited condensed consolidated balance sheets that reconciles to the corresponding amount in the unaudited condensed consolidated statement of cash flows:</w:t>
      </w:r>
    </w:p>
    <w:p>
      <w:pPr>
        <w:pStyle w:val="TextBody"/>
        <w:bidi w:val="0"/>
        <w:spacing w:before="0" w:after="0"/>
        <w:jc w:val="left"/>
        <w:rPr/>
      </w:pPr>
      <w:r>
        <w:rPr/>
      </w:r>
    </w:p>
    <w:tbl>
      <w:tblPr>
        <w:tblW w:w="6751" w:type="dxa"/>
        <w:jc w:val="center"/>
        <w:tblInd w:w="0" w:type="dxa"/>
        <w:tblLayout w:type="fixed"/>
        <w:tblCellMar>
          <w:top w:w="28" w:type="dxa"/>
          <w:left w:w="28" w:type="dxa"/>
          <w:bottom w:w="28" w:type="dxa"/>
          <w:right w:w="28" w:type="dxa"/>
        </w:tblCellMar>
      </w:tblPr>
      <w:tblGrid>
        <w:gridCol w:w="1500"/>
        <w:gridCol w:w="1318"/>
        <w:gridCol w:w="1321"/>
        <w:gridCol w:w="243"/>
        <w:gridCol w:w="831"/>
        <w:gridCol w:w="125"/>
        <w:gridCol w:w="109"/>
        <w:gridCol w:w="109"/>
        <w:gridCol w:w="109"/>
        <w:gridCol w:w="211"/>
        <w:gridCol w:w="721"/>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long-term other assets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before="0" w:after="0"/>
        <w:jc w:val="left"/>
        <w:rPr/>
      </w:pPr>
      <w:r>
        <w:rPr/>
      </w:r>
    </w:p>
    <w:tbl>
      <w:tblPr>
        <w:tblW w:w="8086" w:type="dxa"/>
        <w:jc w:val="center"/>
        <w:tblInd w:w="0" w:type="dxa"/>
        <w:tblLayout w:type="fixed"/>
        <w:tblCellMar>
          <w:top w:w="28" w:type="dxa"/>
          <w:left w:w="28" w:type="dxa"/>
          <w:bottom w:w="28" w:type="dxa"/>
          <w:right w:w="28" w:type="dxa"/>
        </w:tblCellMar>
      </w:tblPr>
      <w:tblGrid>
        <w:gridCol w:w="1986"/>
        <w:gridCol w:w="1743"/>
        <w:gridCol w:w="1745"/>
        <w:gridCol w:w="243"/>
        <w:gridCol w:w="831"/>
        <w:gridCol w:w="125"/>
        <w:gridCol w:w="109"/>
        <w:gridCol w:w="109"/>
        <w:gridCol w:w="109"/>
        <w:gridCol w:w="211"/>
        <w:gridCol w:w="721"/>
        <w:gridCol w:w="154"/>
      </w:tblGrid>
      <w:tr>
        <w:trPr/>
        <w:tc>
          <w:tcPr>
            <w:tcW w:w="1986"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55,323 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 inventories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Consigned inventories included within raw materials and supplies</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23,239 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records charges to adjust inventories due to excess and obsolete inventory resulting from lower sales forecasts, product transitioning or discontinuance. The charges incurred during the three months ended September 26, 2025 and September 27, 2024 were included in cost of product sales as follows:</w:t>
      </w:r>
    </w:p>
    <w:tbl>
      <w:tblPr>
        <w:tblW w:w="6595" w:type="dxa"/>
        <w:jc w:val="center"/>
        <w:tblInd w:w="0" w:type="dxa"/>
        <w:tblLayout w:type="fixed"/>
        <w:tblCellMar>
          <w:top w:w="28" w:type="dxa"/>
          <w:left w:w="28" w:type="dxa"/>
          <w:bottom w:w="28" w:type="dxa"/>
          <w:right w:w="28" w:type="dxa"/>
        </w:tblCellMar>
      </w:tblPr>
      <w:tblGrid>
        <w:gridCol w:w="1229"/>
        <w:gridCol w:w="1079"/>
        <w:gridCol w:w="1081"/>
        <w:gridCol w:w="371"/>
        <w:gridCol w:w="635"/>
        <w:gridCol w:w="193"/>
        <w:gridCol w:w="109"/>
        <w:gridCol w:w="109"/>
        <w:gridCol w:w="109"/>
        <w:gridCol w:w="321"/>
        <w:gridCol w:w="710"/>
        <w:gridCol w:w="168"/>
        <w:gridCol w:w="109"/>
        <w:gridCol w:w="109"/>
        <w:gridCol w:w="109"/>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and obsolete inventory</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 inventory write-downs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charges</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Other Current Assets</w:t>
      </w:r>
    </w:p>
    <w:p>
      <w:pPr>
        <w:pStyle w:val="TextBody"/>
        <w:bidi w:val="0"/>
        <w:spacing w:before="0" w:after="0"/>
        <w:jc w:val="left"/>
        <w:rPr/>
      </w:pPr>
      <w:r>
        <w:rPr/>
      </w:r>
    </w:p>
    <w:tbl>
      <w:tblPr>
        <w:tblW w:w="5281" w:type="dxa"/>
        <w:jc w:val="center"/>
        <w:tblInd w:w="0" w:type="dxa"/>
        <w:tblLayout w:type="fixed"/>
        <w:tblCellMar>
          <w:top w:w="28" w:type="dxa"/>
          <w:left w:w="28" w:type="dxa"/>
          <w:bottom w:w="28" w:type="dxa"/>
          <w:right w:w="28" w:type="dxa"/>
        </w:tblCellMar>
      </w:tblPr>
      <w:tblGrid>
        <w:gridCol w:w="968"/>
        <w:gridCol w:w="849"/>
        <w:gridCol w:w="852"/>
        <w:gridCol w:w="243"/>
        <w:gridCol w:w="831"/>
        <w:gridCol w:w="125"/>
        <w:gridCol w:w="109"/>
        <w:gridCol w:w="109"/>
        <w:gridCol w:w="109"/>
        <w:gridCol w:w="211"/>
        <w:gridCol w:w="721"/>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manufacturing assets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assets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Property, Plant and Equipment, net</w:t>
      </w:r>
    </w:p>
    <w:p>
      <w:pPr>
        <w:pStyle w:val="TextBody"/>
        <w:bidi w:val="0"/>
        <w:spacing w:before="0" w:after="0"/>
        <w:jc w:val="left"/>
        <w:rPr/>
      </w:pPr>
      <w:r>
        <w:rPr/>
      </w:r>
    </w:p>
    <w:tbl>
      <w:tblPr>
        <w:tblW w:w="6181" w:type="dxa"/>
        <w:jc w:val="center"/>
        <w:tblInd w:w="0" w:type="dxa"/>
        <w:tblLayout w:type="fixed"/>
        <w:tblCellMar>
          <w:top w:w="28" w:type="dxa"/>
          <w:left w:w="28" w:type="dxa"/>
          <w:bottom w:w="28" w:type="dxa"/>
          <w:right w:w="28" w:type="dxa"/>
        </w:tblCellMar>
      </w:tblPr>
      <w:tblGrid>
        <w:gridCol w:w="1293"/>
        <w:gridCol w:w="1132"/>
        <w:gridCol w:w="1144"/>
        <w:gridCol w:w="243"/>
        <w:gridCol w:w="831"/>
        <w:gridCol w:w="125"/>
        <w:gridCol w:w="109"/>
        <w:gridCol w:w="109"/>
        <w:gridCol w:w="109"/>
        <w:gridCol w:w="211"/>
        <w:gridCol w:w="721"/>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equipment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gross</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81,954 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(63,188)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18,766 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Included in the total property, plant and equipment, gross were $11.6 million and $10.3 million of assets in progress which have not been placed in service as of September 26, 2025 and June 27, 2025, respectively.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plant and equipment, was $0.5 million and 1.3 million for the three months ended September 26, 2025 and September 27, 2024, respectively.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Accrued Expenses</w:t>
      </w:r>
    </w:p>
    <w:tbl>
      <w:tblPr>
        <w:tblW w:w="4951" w:type="dxa"/>
        <w:jc w:val="left"/>
        <w:tblInd w:w="0" w:type="dxa"/>
        <w:tblLayout w:type="fixed"/>
        <w:tblCellMar>
          <w:top w:w="28" w:type="dxa"/>
          <w:left w:w="28" w:type="dxa"/>
          <w:bottom w:w="28" w:type="dxa"/>
          <w:right w:w="28" w:type="dxa"/>
        </w:tblCellMar>
      </w:tblPr>
      <w:tblGrid>
        <w:gridCol w:w="847"/>
        <w:gridCol w:w="743"/>
        <w:gridCol w:w="749"/>
        <w:gridCol w:w="243"/>
        <w:gridCol w:w="831"/>
        <w:gridCol w:w="125"/>
        <w:gridCol w:w="109"/>
        <w:gridCol w:w="109"/>
        <w:gridCol w:w="109"/>
        <w:gridCol w:w="211"/>
        <w:gridCol w:w="721"/>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 costs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35,828 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accrues for the estimated cost to repair or replace products under warranty. Changes in the warranty liability were as follows:</w:t>
      </w:r>
    </w:p>
    <w:tbl>
      <w:tblPr>
        <w:tblW w:w="7106" w:type="dxa"/>
        <w:jc w:val="center"/>
        <w:tblInd w:w="0" w:type="dxa"/>
        <w:tblLayout w:type="fixed"/>
        <w:tblCellMar>
          <w:top w:w="28" w:type="dxa"/>
          <w:left w:w="28" w:type="dxa"/>
          <w:bottom w:w="28" w:type="dxa"/>
          <w:right w:w="28" w:type="dxa"/>
        </w:tblCellMar>
      </w:tblPr>
      <w:tblGrid>
        <w:gridCol w:w="1415"/>
        <w:gridCol w:w="1240"/>
        <w:gridCol w:w="1245"/>
        <w:gridCol w:w="270"/>
        <w:gridCol w:w="790"/>
        <w:gridCol w:w="139"/>
        <w:gridCol w:w="109"/>
        <w:gridCol w:w="109"/>
        <w:gridCol w:w="109"/>
        <w:gridCol w:w="270"/>
        <w:gridCol w:w="790"/>
        <w:gridCol w:w="139"/>
        <w:gridCol w:w="109"/>
        <w:gridCol w:w="109"/>
        <w:gridCol w:w="109"/>
        <w:gridCol w:w="154"/>
      </w:tblGrid>
      <w:tr>
        <w:trPr/>
        <w:tc>
          <w:tcPr>
            <w:tcW w:w="141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the beginning of the period</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provision recorded during the period</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in acquisition</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Consumption during the period</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the end of the period</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Advance Payments and Unearned Revenue</w:t>
      </w:r>
    </w:p>
    <w:p>
      <w:pPr>
        <w:pStyle w:val="TextBody"/>
        <w:bidi w:val="0"/>
        <w:spacing w:before="0" w:after="0"/>
        <w:jc w:val="left"/>
        <w:rPr/>
      </w:pPr>
      <w:r>
        <w:rPr/>
      </w:r>
    </w:p>
    <w:tbl>
      <w:tblPr>
        <w:tblW w:w="6542" w:type="dxa"/>
        <w:jc w:val="center"/>
        <w:tblInd w:w="0" w:type="dxa"/>
        <w:tblLayout w:type="fixed"/>
        <w:tblCellMar>
          <w:top w:w="28" w:type="dxa"/>
          <w:left w:w="28" w:type="dxa"/>
          <w:bottom w:w="28" w:type="dxa"/>
          <w:right w:w="28" w:type="dxa"/>
        </w:tblCellMar>
      </w:tblPr>
      <w:tblGrid>
        <w:gridCol w:w="1426"/>
        <w:gridCol w:w="1251"/>
        <w:gridCol w:w="1253"/>
        <w:gridCol w:w="243"/>
        <w:gridCol w:w="831"/>
        <w:gridCol w:w="125"/>
        <w:gridCol w:w="109"/>
        <w:gridCol w:w="109"/>
        <w:gridCol w:w="109"/>
        <w:gridCol w:w="211"/>
        <w:gridCol w:w="721"/>
        <w:gridCol w:w="154"/>
      </w:tblGrid>
      <w:tr>
        <w:trPr/>
        <w:tc>
          <w:tcPr>
            <w:tcW w:w="142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advance payments and unearned revenue</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Excluded from the balances above are $8.8 million and $8.1 million in long-term unearned revenue as of September 26, 2025 and June 27,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5. Fair Value Measurements of Assets and Liabilities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The Company maximizes the use of observable inputs and minimizes the use of unobservable inputs in measuring fair value and established a three-level fair value hierarchy that prioritizes the observable inputs used to measure fair value. The three levels of inputs used to measure fair value are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1 — Observable inputs such as quoted prices in active markets for identical assets or liabilities;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Level 2 — Observable market-based inputs or observable inputs that are corroborated by market data;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Level 3 — Unobservable inputs that are supported by little or no market activity and that are significant to the fair value of the assets or liabilities.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estimated fair values and valuation input levels of assets and liabilities that are measured at fair value on a recurring basis as of September 26, 2025 and June 27, 2025 were as follows:</w:t>
      </w:r>
    </w:p>
    <w:tbl>
      <w:tblPr>
        <w:tblW w:w="7237" w:type="dxa"/>
        <w:jc w:val="center"/>
        <w:tblInd w:w="0" w:type="dxa"/>
        <w:tblLayout w:type="fixed"/>
        <w:tblCellMar>
          <w:top w:w="28" w:type="dxa"/>
          <w:left w:w="28" w:type="dxa"/>
          <w:bottom w:w="28" w:type="dxa"/>
          <w:right w:w="28" w:type="dxa"/>
        </w:tblCellMar>
      </w:tblPr>
      <w:tblGrid>
        <w:gridCol w:w="848"/>
        <w:gridCol w:w="745"/>
        <w:gridCol w:w="747"/>
        <w:gridCol w:w="362"/>
        <w:gridCol w:w="1056"/>
        <w:gridCol w:w="187"/>
        <w:gridCol w:w="109"/>
        <w:gridCol w:w="109"/>
        <w:gridCol w:w="109"/>
        <w:gridCol w:w="260"/>
        <w:gridCol w:w="760"/>
        <w:gridCol w:w="134"/>
        <w:gridCol w:w="109"/>
        <w:gridCol w:w="109"/>
        <w:gridCol w:w="109"/>
        <w:gridCol w:w="434"/>
        <w:gridCol w:w="434"/>
        <w:gridCol w:w="616"/>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Inputs</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certificates of deposit</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Items are classified within Level 1 if quoted prices are available in active markets. The Company’s Level 1 items are primarily money market funds and marketable securities. As of September 26, 2025 and June 27, 2025, the money market funds were valued at $1.00 net asset value per share.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Items are classified within Level 2 if the observable inputs to quoted market prices, benchmark yields, reported trades, broker/dealer quotes or alternative pricing sources are available with reasonable levels of price transparency. The Company’s bank certificates of deposit are classified within Level 2. The carrying value of bank certificates of deposit approximates their fair value. The Company did not have any recurring assets or liabilities that were valued using significant unobservable inputs.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6. Credit Facility and Debt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entered into a Secured Credit Facility Agreement (the “Credit Facility”), dated May 9, 2023, amended as of November 22, 2023, October 18, 2024 and August 28, 2025, with Wells Fargo Bank, National Association, as administrative agent, swingline lender and issuing lender and Wells Fargo Securities LLC, Citigroup Global Markets Inc., and Regions Capital Markets as lenders. The Credit Facility provides for a $95.0 million revolving credit facility (the “Revolver”) and a $95.0 million Term Loan Facility (the “Term Loan”) with a maturity date of October 18, 2029. The $95.0 million Revolver can be borrowed with a $20.0 million sub-limit for letters of credit, and a $10.0 million swingline loan sub-limit. On August 28, 2025, the Company entered into an amendment under the Credit Facility to increase the Term Loan and Revolver commitments by $20 million for each instrument.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2023, the Company borrowed $50.0 million against the Term Loan to primarily settle the cash portion of the consideration associated with the NEC Transaction (as defined below). See Note 11. Acquisitions for further information.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26, 2025, the available credit under the Revolver was $72.1 million, reflecting the available limit of $80.0 million less outstanding letters of credit of $7.9 million. The Company borrowed and repaid $25.0 million against the Revolver during the three months ended September 26, 2025. The Company borrowed $20.0 million and repaid $0.9 million against the Term Loan during the three months ended September 26,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Company’s outstanding long-term debt as of September 26, 2025:</w:t>
      </w:r>
    </w:p>
    <w:tbl>
      <w:tblPr>
        <w:tblW w:w="5103" w:type="dxa"/>
        <w:jc w:val="center"/>
        <w:tblInd w:w="0" w:type="dxa"/>
        <w:tblLayout w:type="fixed"/>
        <w:tblCellMar>
          <w:top w:w="28" w:type="dxa"/>
          <w:left w:w="28" w:type="dxa"/>
          <w:bottom w:w="28" w:type="dxa"/>
          <w:right w:w="28" w:type="dxa"/>
        </w:tblCellMar>
      </w:tblPr>
      <w:tblGrid>
        <w:gridCol w:w="1300"/>
        <w:gridCol w:w="1141"/>
        <w:gridCol w:w="1144"/>
        <w:gridCol w:w="109"/>
        <w:gridCol w:w="109"/>
        <w:gridCol w:w="109"/>
        <w:gridCol w:w="211"/>
        <w:gridCol w:w="826"/>
        <w:gridCol w:w="154"/>
      </w:tblGrid>
      <w:tr>
        <w:trPr/>
        <w:tc>
          <w:tcPr>
            <w:tcW w:w="13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Outstanding borrowings under the Credit Facility bear interest at either: (a) Adjusted Term Secured Overnight Financing Rate (“SOFR”) plus the applicable margin; or (b) the Base Rate plus the applicable margin. The pricing levels for interest rate margins are determined based on the Consolidated Total Leverage Ratio as determined and adjusted quarterly. As of September 26, 2025, the applicable margin on Adjusted Term SOFR and Base Rate borrowings was 2.75% and 1.75%, respectively. The effective rate of interest on the outstanding Term Loan borrowings as of September 26, 2025 was 6.7%.</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Credit Facility requires the Company and its subsidiaries to maintain a fixed charge coverage ratio to be greater than 1.25 to 1.00 as of the last day of any fiscal quarter of the Company. The Credit Facility also requires that the Company maintain a maximum leverage ratio of 3.00 times EBITDA, with a step-down to 2.75 times EBITDA after four full quarters, and 2.50 times EBITDA after eight full quarters. The Credit Facility contains customary affirmative and negative covenants, including, among others, covenants limiting the ability of the Company and its subsidiaries to dispose of assets, permit a change in control, merge or consolidate, make acquisitions, incur indebtedness, grant liens, make investments, make certain restricted payments, and enter into transactions with affiliates, in each case subject to customary exceptions. As of September 26, 2025, the Company was in compliance with all financial covenants contained in the Credit Facility.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26, 2025, scheduled maturities of outstanding long-term debt by fiscal year are as follows:</w:t>
      </w:r>
    </w:p>
    <w:tbl>
      <w:tblPr>
        <w:tblW w:w="3197" w:type="dxa"/>
        <w:jc w:val="center"/>
        <w:tblInd w:w="0" w:type="dxa"/>
        <w:tblLayout w:type="fixed"/>
        <w:tblCellMar>
          <w:top w:w="28" w:type="dxa"/>
          <w:left w:w="28" w:type="dxa"/>
          <w:bottom w:w="28" w:type="dxa"/>
          <w:right w:w="28" w:type="dxa"/>
        </w:tblCellMar>
      </w:tblPr>
      <w:tblGrid>
        <w:gridCol w:w="609"/>
        <w:gridCol w:w="534"/>
        <w:gridCol w:w="536"/>
        <w:gridCol w:w="109"/>
        <w:gridCol w:w="109"/>
        <w:gridCol w:w="109"/>
        <w:gridCol w:w="211"/>
        <w:gridCol w:w="826"/>
        <w:gridCol w:w="154"/>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7. Restructuring</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restructuring related activities during the three months ended September 26, 2025:</w:t>
      </w:r>
    </w:p>
    <w:tbl>
      <w:tblPr>
        <w:tblW w:w="6060" w:type="dxa"/>
        <w:jc w:val="center"/>
        <w:tblInd w:w="0" w:type="dxa"/>
        <w:tblLayout w:type="fixed"/>
        <w:tblCellMar>
          <w:top w:w="28" w:type="dxa"/>
          <w:left w:w="28" w:type="dxa"/>
          <w:bottom w:w="28" w:type="dxa"/>
          <w:right w:w="28" w:type="dxa"/>
        </w:tblCellMar>
      </w:tblPr>
      <w:tblGrid>
        <w:gridCol w:w="1055"/>
        <w:gridCol w:w="926"/>
        <w:gridCol w:w="928"/>
        <w:gridCol w:w="602"/>
        <w:gridCol w:w="1757"/>
        <w:gridCol w:w="311"/>
        <w:gridCol w:w="109"/>
        <w:gridCol w:w="109"/>
        <w:gridCol w:w="109"/>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Employee Severance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27, 2025</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2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26, 2025</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26, 2025, the accrued restructuring balance of $1.1 million was included in other current liabilities on the unaudited condensed consolidated balance sheets. Included in the above were positions identified for termination that have not been executed from a restructuring perspective.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Fiscal 2025 Plans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fiscal 2025, the Company’s Board of Directors approved restructuring plans, primarily associated with reductions in workforce in certain of the Company’s operations to optimize skill sets and align cost structure. The fiscal 2025 plans are expected to be completed through the end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8. Stockholders’ Equity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2021, the Company’s Board of Directors approved a stock repurchase program to purchase up to $10.0 million of the Company’s common stock. As of September 26, 2025, $6.3 million remains available and Aviat may choose to suspend or discontinue the repurchase program at any time. Repurchased shares are recorded as treasury stock. During the first quarter of fiscal 2026, the Company did not repurchase any shares of its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 Incentive Programs</w:t>
      </w:r>
    </w:p>
    <w:p>
      <w:pPr>
        <w:pStyle w:val="TextBody"/>
        <w:bidi w:val="0"/>
        <w:spacing w:lineRule="auto" w:line="276"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26, 2025, the Company had one stock incentive plan for its employees and non-employee directors, the 2018 Incentive Plan (the “2018 Plan”). The 2018 Plan provides for the issuance of share-based awards in the form of stock options, stock appreciation rights, restricted stock awards and units, and performance share awards and units.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2018 Plan, option exercise prices are equal to the fair market value of Aviat common stock on the date the options are granted using the closing stock price. After vesting, options generally may be exercised within seven years after the date of grant.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annually to non-executive board members generally vest on the day before the annual stockholders’ meeting.</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Vesting of performance share awards and units is subject to the achievement of predetermined financial performance and share price criteria, and continued employment through the end of the applicable period.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26, 2025, the Company granted 174,155 restricted stock units and 128,629 performance share awards.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compensation cost for share-based payment awards on a straight-line basis over the requisite service period. For awards with a performance condition vesting feature, share-based compensation costs are recognized when achievement of the performance conditions is considered probable. Forfeitures are recognized as they occur.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compensation expense for share-based awards included in the unaudited condensed consolidated statements of operations was as follows:</w:t>
      </w:r>
    </w:p>
    <w:tbl>
      <w:tblPr>
        <w:tblW w:w="7885" w:type="dxa"/>
        <w:jc w:val="center"/>
        <w:tblInd w:w="0" w:type="dxa"/>
        <w:tblLayout w:type="fixed"/>
        <w:tblCellMar>
          <w:top w:w="28" w:type="dxa"/>
          <w:left w:w="28" w:type="dxa"/>
          <w:bottom w:w="28" w:type="dxa"/>
          <w:right w:w="28" w:type="dxa"/>
        </w:tblCellMar>
      </w:tblPr>
      <w:tblGrid>
        <w:gridCol w:w="1697"/>
        <w:gridCol w:w="1489"/>
        <w:gridCol w:w="1493"/>
        <w:gridCol w:w="270"/>
        <w:gridCol w:w="790"/>
        <w:gridCol w:w="139"/>
        <w:gridCol w:w="109"/>
        <w:gridCol w:w="109"/>
        <w:gridCol w:w="109"/>
        <w:gridCol w:w="270"/>
        <w:gridCol w:w="790"/>
        <w:gridCol w:w="139"/>
        <w:gridCol w:w="109"/>
        <w:gridCol w:w="109"/>
        <w:gridCol w:w="109"/>
        <w:gridCol w:w="154"/>
      </w:tblGrid>
      <w:tr>
        <w:trPr/>
        <w:tc>
          <w:tcPr>
            <w:tcW w:w="1697"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By Expense Category:</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By Type of Award:</w:t>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and performance share awards and units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26, 2025, there was approximately $0.5 million of total unrecognized compensation expense related to non-vested stock options granted which is expected to be recognized over a weighted-average period of 0.92 years. As of September 26, 2025, there was $12.8 million of total unrecognized compensation expense related to non-vested stock awards which is expected to be recognized over a weighted-average period of 2.06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9. Segment and Geographic Information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Aviat operates in one reportable business segment: the design, manufacturing, and sale of a range of wireless networking and access networking products, solutions, and services. Aviat conducts business globally and its sales and support activities are managed on a geographic basis. The Company’s Chief Executive Officer (“CEO”) is the Chief Operating Decision Maker (the “CODM”). The CODM manages the business primarily by function globally and reviews financial information on a consolidated basis, accompanied by disaggregated information about revenues by geographic region, for purposes of allocating resources and evaluating financial performance. The profitability of geographic regions is not a determining factor in allocating resources and the CODM does not evaluate profitability below the level of the consolidated company. Significant segment expenses are not analyzed by segment within the Company’s internal reporting. Significant segment expenses are presented in Aviat’s consolidated statement of operations.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reports revenue by region and country based on the location where its customers accept delivery of products and services. Revenue by region for the three months ended September 26, 2025 and September 27, 2024 was as follows:</w:t>
      </w:r>
    </w:p>
    <w:p>
      <w:pPr>
        <w:pStyle w:val="TextBody"/>
        <w:bidi w:val="0"/>
        <w:spacing w:before="0" w:after="0"/>
        <w:ind w:left="0" w:right="0" w:firstLine="540"/>
        <w:jc w:val="both"/>
        <w:rPr/>
      </w:pPr>
      <w:r>
        <w:rPr/>
      </w:r>
    </w:p>
    <w:tbl>
      <w:tblPr>
        <w:tblW w:w="5832" w:type="dxa"/>
        <w:jc w:val="center"/>
        <w:tblInd w:w="0" w:type="dxa"/>
        <w:tblLayout w:type="fixed"/>
        <w:tblCellMar>
          <w:top w:w="28" w:type="dxa"/>
          <w:left w:w="28" w:type="dxa"/>
          <w:bottom w:w="28" w:type="dxa"/>
          <w:right w:w="28" w:type="dxa"/>
        </w:tblCellMar>
      </w:tblPr>
      <w:tblGrid>
        <w:gridCol w:w="953"/>
        <w:gridCol w:w="835"/>
        <w:gridCol w:w="837"/>
        <w:gridCol w:w="221"/>
        <w:gridCol w:w="865"/>
        <w:gridCol w:w="114"/>
        <w:gridCol w:w="109"/>
        <w:gridCol w:w="109"/>
        <w:gridCol w:w="109"/>
        <w:gridCol w:w="243"/>
        <w:gridCol w:w="831"/>
        <w:gridCol w:w="125"/>
        <w:gridCol w:w="109"/>
        <w:gridCol w:w="109"/>
        <w:gridCol w:w="109"/>
        <w:gridCol w:w="154"/>
      </w:tblGrid>
      <w:tr>
        <w:trPr/>
        <w:tc>
          <w:tcPr>
            <w:tcW w:w="95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North America</w:t>
            </w:r>
            <w:r>
              <w:rPr>
                <w:color w:val="000000"/>
              </w:rPr>
              <w:t xml:space="preserve">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Africa and the Middle East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 and Asia Pacific</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107,320 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88,429 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both"/>
        <w:rPr/>
      </w:pPr>
      <w:r>
        <w:rPr/>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by country comprising more than 10% of total revenue for the three months ended September 26, 2025 and September 27, 2024 was as follows:</w:t>
      </w:r>
    </w:p>
    <w:p>
      <w:pPr>
        <w:pStyle w:val="TextBody"/>
        <w:bidi w:val="0"/>
        <w:spacing w:before="0" w:after="0"/>
        <w:jc w:val="both"/>
        <w:rPr/>
      </w:pPr>
      <w:r>
        <w:rPr/>
      </w:r>
    </w:p>
    <w:tbl>
      <w:tblPr>
        <w:tblW w:w="6242" w:type="dxa"/>
        <w:jc w:val="left"/>
        <w:tblInd w:w="0" w:type="dxa"/>
        <w:tblLayout w:type="fixed"/>
        <w:tblCellMar>
          <w:top w:w="28" w:type="dxa"/>
          <w:left w:w="28" w:type="dxa"/>
          <w:bottom w:w="28" w:type="dxa"/>
          <w:right w:w="28" w:type="dxa"/>
        </w:tblCellMar>
      </w:tblPr>
      <w:tblGrid>
        <w:gridCol w:w="1264"/>
        <w:gridCol w:w="1113"/>
        <w:gridCol w:w="1118"/>
        <w:gridCol w:w="211"/>
        <w:gridCol w:w="721"/>
        <w:gridCol w:w="109"/>
        <w:gridCol w:w="109"/>
        <w:gridCol w:w="109"/>
        <w:gridCol w:w="109"/>
        <w:gridCol w:w="280"/>
        <w:gridCol w:w="280"/>
        <w:gridCol w:w="819"/>
      </w:tblGrid>
      <w:tr>
        <w:trPr/>
        <w:tc>
          <w:tcPr>
            <w:tcW w:w="126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w:t>
              <w:br/>
              <w:t>Total Revenue</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Months Ended September 26, 2025</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Months Ended September 27, 2024</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26, 2025 revenues from one customer represented 12.7% of total revenue, and during the three months ended September 27, 2024 revenues from one customer represented 17.8% of total revenue.</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Long-lived assets, consisting primarily of net property, plant and equipment and operating lease right-of-use assets, by geographic areas based on physical location as of September 26, 2025 and September 27, 2024 were as follows:</w:t>
      </w:r>
    </w:p>
    <w:p>
      <w:pPr>
        <w:pStyle w:val="TextBody"/>
        <w:bidi w:val="0"/>
        <w:spacing w:before="0" w:after="0"/>
        <w:jc w:val="both"/>
        <w:rPr/>
      </w:pPr>
      <w:r>
        <w:rPr/>
      </w:r>
    </w:p>
    <w:tbl>
      <w:tblPr>
        <w:tblW w:w="4344" w:type="dxa"/>
        <w:jc w:val="left"/>
        <w:tblInd w:w="0" w:type="dxa"/>
        <w:tblLayout w:type="fixed"/>
        <w:tblCellMar>
          <w:top w:w="28" w:type="dxa"/>
          <w:left w:w="28" w:type="dxa"/>
          <w:bottom w:w="28" w:type="dxa"/>
          <w:right w:w="28" w:type="dxa"/>
        </w:tblCellMar>
      </w:tblPr>
      <w:tblGrid>
        <w:gridCol w:w="495"/>
        <w:gridCol w:w="434"/>
        <w:gridCol w:w="435"/>
        <w:gridCol w:w="264"/>
        <w:gridCol w:w="904"/>
        <w:gridCol w:w="136"/>
        <w:gridCol w:w="109"/>
        <w:gridCol w:w="109"/>
        <w:gridCol w:w="109"/>
        <w:gridCol w:w="262"/>
        <w:gridCol w:w="896"/>
        <w:gridCol w:w="191"/>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27,</w:t>
              <w:br/>
              <w:t>2024</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Slovenia</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15,548 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10. Income Taxes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 varies from the U.S. federal statutory rate of 21% primarily due to state taxes, losses in certain jurisdictions for which no tax benefit can be recognized, stock-based compensation and foreign operations that are subject to income taxes at different statutory rates. During interim periods, tax expense or benefit are accrued for jurisdictions that are anticipated to be profitable for fiscal 2026.</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determination of income taxes for the three months ended September 26, 2025 and September 27, 2024 was based on the Company’s estimated annual effective tax rate adjusted for losses in certain jurisdictions for which no tax benefit can be recognized. The tax expense for the three months ended September 26, 2025 was primarily related to U.S. and profitable foreign subsidiaries. The tax benefit for the three months ended September 27, 2024 was primarily resulting from year-to-date losses.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files income tax returns in the U.S., Singapore, and various state and foreign jurisdictions. The Company is currently under examination in Singapore for fiscal years 2015-2021 and in various other foreign jurisdictions. The Company remains subject to potential audits in the U.S. for fiscal years after 2021, and in Singapore for fiscal years after 2014. Additionally, all net operating losses and tax credits generated to date in these two jurisdictions are subject to adjustment.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Interest and penalties related to unrecognized tax benefits are accounted for as part of the provision for federal, foreign, and state income taxes. Such interest expense was not material for the three months ended September 26, 2025 and September 27, 2024.</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11, 2021, the U.S. enacted the American Rescue Plan Act of 2021 (“ARPA”) which expands Section 162(m) to cover the next five most highly compensated employees for the taxable year, in addition to the “covered employees” effective for taxable years beginning after December 31, 2026. The Company will continue to examine the elements of the ARPA and the impact it may have on future business.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At this time the Company does not expect a material effect on our consolidated financial statements, but will continue to examine the impacts of OBBBA on current and future business.</w:t>
      </w:r>
    </w:p>
    <w:p>
      <w:pPr>
        <w:pStyle w:val="TextBody"/>
        <w:bidi w:val="0"/>
        <w:spacing w:before="18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Acquisitions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4RF Limited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2, 2024, the Company acquired 4RF Limited (“4RF”), a New Zealand company. Aviat purchased all of the issued and outstanding shares of 4RF in an all-cash transaction for $18.2 million, net of $1.2 million cash acquired. 4RF is a leading provider of industrial wireless access solutions, including narrowband point-to-point/multi-point radios and Private LTE and 5G routers. The acquisition of 4RF allows Aviat to expand its product offering for the global industrial wireless access markets including Private LTE/5G.</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4RF acquisition was accounted for as a business combination using the acquisition method of accounting. During the fourth quarter of fiscal 2025, the Company finalized purchase accounting adjustments for the valuation of intangible and tangible assets acquired. The fair value of the acquired intangible assets are based on estimates and assumptions that are considered reasonable to the Company.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summary of the finalized purchase price allocation is as follows:</w:t>
      </w:r>
    </w:p>
    <w:tbl>
      <w:tblPr>
        <w:tblW w:w="4908" w:type="dxa"/>
        <w:jc w:val="center"/>
        <w:tblInd w:w="0" w:type="dxa"/>
        <w:tblLayout w:type="fixed"/>
        <w:tblCellMar>
          <w:top w:w="28" w:type="dxa"/>
          <w:left w:w="28" w:type="dxa"/>
          <w:bottom w:w="28" w:type="dxa"/>
          <w:right w:w="28" w:type="dxa"/>
        </w:tblCellMar>
      </w:tblPr>
      <w:tblGrid>
        <w:gridCol w:w="1267"/>
        <w:gridCol w:w="1113"/>
        <w:gridCol w:w="1115"/>
        <w:gridCol w:w="109"/>
        <w:gridCol w:w="109"/>
        <w:gridCol w:w="109"/>
        <w:gridCol w:w="211"/>
        <w:gridCol w:w="72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and unearned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final purchase price allocation was updated during the fourth quarter of fiscal 2025 for certain measurement period adjustments based on revised estimates of fair value, which primarily resulted in a $1.7 million decrease to inventories, a $1.1 million increase in other assets, a $0.4 million increase in identifiable intangible assets and a $0.3 million increase to goodwill. The goodwill from this acquisition is non-deductible for tax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NEC’s Wireless Transport Business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9, 2023, the Company entered into a Master Sale of Business Agreement (as amended on November 30, 2023, the “Purchase Agreement”) with NEC Corporation (“NEC”) to acquire NEC’s wireless transport business (the “NEC Transaction”). The Company completed the NEC Transaction on November 30, 2023.</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Prior to the acquisition date, NEC was a leader in wireless backhaul networks with an extensive installed base of their Pasolink series products. The completion of the NEC Transaction increases the scale of Aviat, enhances the Company’s product portfolio with a greater capability to innovate, and creates a more diversified business. The results of operations of the NEC Transaction have been included in the consolidated financial statements since the date of acquisition.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the consideration transferred at the closing of the NEC Transaction was comprised of (i) cash of $32.2 million, and (ii) the issuance of 736,750 shares or $22.3 million of common stock of the Company. The fair value of the shares issued was determined based on the closing market price of the Company’s common stock on the acquisition date. Aggregate consideration transferred at closing was approximately $54.5 million, which was subject to certain post-closing adjustments. The Company funded the cash portion of the consideration with Term Loan borrowings under its Credit Facility. Refer to Note 6. Credit Facility and Debt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second and fourth quarters of fiscal 2025, the Company transferred consideration of $5.8 million and $12.7 million, respectively, to settle the post-closing working capital adjustment.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NEC Transaction was accounted for as a business combination using the acquisition method of accounting. The Company has obtained final independent third-party valuations of the intangible and tangible assets acquired. The fair values of the acquired intangible assets are based on estimates and assumptions that are considered reasonable by the Company. As of the acquisition date, the Company has recorded the assets acquired and the liabilities assumed at their respective estimated fair values. The recognized goodwill is attributable to the workforce of the acquired business and expected synergies. The goodwill from this acquisition is expected to be fully deductible for tax purposes.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summary of the finalized purchase price allocation is as follows:</w:t>
      </w:r>
    </w:p>
    <w:tbl>
      <w:tblPr>
        <w:tblW w:w="4908" w:type="dxa"/>
        <w:jc w:val="center"/>
        <w:tblInd w:w="0" w:type="dxa"/>
        <w:tblLayout w:type="fixed"/>
        <w:tblCellMar>
          <w:top w:w="28" w:type="dxa"/>
          <w:left w:w="28" w:type="dxa"/>
          <w:bottom w:w="28" w:type="dxa"/>
          <w:right w:w="28" w:type="dxa"/>
        </w:tblCellMar>
      </w:tblPr>
      <w:tblGrid>
        <w:gridCol w:w="1268"/>
        <w:gridCol w:w="1112"/>
        <w:gridCol w:w="1115"/>
        <w:gridCol w:w="109"/>
        <w:gridCol w:w="109"/>
        <w:gridCol w:w="109"/>
        <w:gridCol w:w="211"/>
        <w:gridCol w:w="721"/>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and unearned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final purchase price allocation was updated during the second quarter of fiscal 2025 for certain measurement period adjustments based on revised estimates of fair value. Purchase price allocation adjustments during the measurement period primarily resulted in a $9.4 million decrease in accounts receivable, $6.3 million decrease in inventories, $5.3 million increase in identifiable intangible assets, and $10.0 million increase in goodwill.</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unaudited supplemental pro forma information has been presented as if the NEC Transaction had occurred at the beginning of fiscal 2023 and includes certain pro forma adjustments for interest expense, depreciation and amortization expense, the fair value of acquired inventory, and acquisition-related costs, net of income tax:</w:t>
      </w:r>
    </w:p>
    <w:tbl>
      <w:tblPr>
        <w:tblW w:w="3394" w:type="dxa"/>
        <w:jc w:val="center"/>
        <w:tblInd w:w="0" w:type="dxa"/>
        <w:tblLayout w:type="fixed"/>
        <w:tblCellMar>
          <w:top w:w="28" w:type="dxa"/>
          <w:left w:w="28" w:type="dxa"/>
          <w:bottom w:w="28" w:type="dxa"/>
          <w:right w:w="28" w:type="dxa"/>
        </w:tblCellMar>
      </w:tblPr>
      <w:tblGrid>
        <w:gridCol w:w="379"/>
        <w:gridCol w:w="334"/>
        <w:gridCol w:w="336"/>
        <w:gridCol w:w="109"/>
        <w:gridCol w:w="109"/>
        <w:gridCol w:w="109"/>
        <w:gridCol w:w="323"/>
        <w:gridCol w:w="1265"/>
        <w:gridCol w:w="167"/>
        <w:gridCol w:w="109"/>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135,702 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12. Commitments and Contingencies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Purchase Orders and Other Commitments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in the normal course of business, the Company may enter into purchasing agreements with its suppliers that require the Company to accept delivery of and remit full payment for (i) finished products that it has ordered, (ii) finished products that it requested be held as safety stock, and (iii) work in process started on its behalf, in the event it cancels or terminates the purchasing agreement. Because these agreements do not specify fixed or minimum quantities, do not specify minimum or variable price provisions, and do not specify the approximate timing of the transaction, and the Company has no present intention to cancel or terminate any of these agreements, the Company currently does not believe that it has any future liability under these agreements. As of September 26, 2025, the Company had outstanding purchase obligations with its suppliers or contract manufacturers of $46.6 million. In addition, the Company had purchase obligations of approximately $6.8 million associated with software as a service and software maintenance support.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Financial Guarantees and Commercial Commitments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Guarantees issued by banks, insurance companies, or other financial institutions are contingent commitments issued to guarantee performance under borrowing arrangements, such as bank overdraft facilities, tax and customs obligations, and similar transactions, or to ensure performance under customer or vendor contracts. The terms of the guarantees are generally equal to the remaining term of the related debt or other obligations and are generally limited to two years or less. As of September 26, 2025, the Company had no guarantees applicable to its debt arrangements.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September 26, 2025, the Company had commercial commitments outstanding of $33.7 million, that were not recorded on the unaudited condensed consolidated balance sheets. The Company does not believe, based on historical experience and information currently available, that it is probable that any significant amounts will be required to be paid on these performance guarantees in the future.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details of the Company’s commercial commitments:</w:t>
      </w:r>
    </w:p>
    <w:tbl>
      <w:tblPr>
        <w:tblW w:w="2967" w:type="dxa"/>
        <w:jc w:val="center"/>
        <w:tblInd w:w="0" w:type="dxa"/>
        <w:tblLayout w:type="fixed"/>
        <w:tblCellMar>
          <w:top w:w="28" w:type="dxa"/>
          <w:left w:w="28" w:type="dxa"/>
          <w:bottom w:w="28" w:type="dxa"/>
          <w:right w:w="28" w:type="dxa"/>
        </w:tblCellMar>
      </w:tblPr>
      <w:tblGrid>
        <w:gridCol w:w="506"/>
        <w:gridCol w:w="444"/>
        <w:gridCol w:w="445"/>
        <w:gridCol w:w="109"/>
        <w:gridCol w:w="109"/>
        <w:gridCol w:w="109"/>
        <w:gridCol w:w="242"/>
        <w:gridCol w:w="827"/>
        <w:gridCol w:w="176"/>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Indemnifications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terms of substantially all of the Company’s license agreements, it has agreed to defend and pay any final judgment against its customers arising from claims against such customers that the Company’s products infringe the intellectual property rights of a third party. As of September 26, 2025, the Company has not received any notice that any customer is subject to an infringement claim arising from the use of its products; the Company has not received any request to defend any customers from infringement claims arising from the use of its products; and the Company has not paid any final judgment on behalf of any customer related to an infringement claim arising from the use of its products. Because the outcome of infringement disputes is related to the specific facts of each case and given the lack of previous or current indemnification claims, the Company cannot estimate the maximum amount of potential future payments, if any, related to its indemnification provisions. As of September 26, 2025, the Company had not recorded any liabilities related to these indemnifications.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subject from time to time to disputes with customers concerning its products and services. From time to time, the Company may be involved in various other legal claims and litigation that arise in the normal course of its operations. The Company is aggressively defending all current litigation matters. Although there can be no assurances and the outcome of these matters is currently not determinable, the Company currently believes that none of these claims or proceedings are likely to have a material adverse effect on its financial position. There are many uncertainties associated with any litigation and these actions or other third-party claims against the Company may cause it to incur costly litigation and/or substantial settlement charges. As a result, the Company’s business, financial condition, results of operations, and cash flows could be adversely affected. The actual liability in any such matters may be materially different from the Company’s estimates, if any.</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13, 2025 and October 21, 2025, NEC issued letters of arbitration to the Company originally demanding $19 million of additional component purchases, which the Company believes is unfounded and not required under the Manufacturing Supply Agreement (“MSA”). NEC further demanded the escrow under the Master Sale of Business Agreement (“MSBA”). The NEC arbitration letters also included a demand for payment of the outstanding accounts payable balances which are reflected in Accounts payable of the Company’s consolidated balance sheets and disclosed in Note. 14 Related Party Transactions. As of September 26, 2025, the Company cannot predict the outcome of these matters. As such, no loss accrual is deemed necessary. The Company will continue to evaluate the proceedings and the expected outcome of this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records accruals for its outstanding legal proceedings, investigations or claims when it is probable that a liability will be incurred and the amount of loss can be reasonably estimated. The Company evaluates, at least on a quarterly basis, developments in legal proceedings, investigations or claims that could affect the amount of any accrual, as well as any developments that would result in a loss contingency to become both probable and reasonably estimable. The Company has not recorded any significant accrual for loss contingencies associated with such legal claims or litigation discussed above.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Contingent Liabilities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records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conditions if there is a reasonable possibility that a loss may have been incurred. Gain contingencies are not recorded until realized. The Company expenses all legal costs incurred to resolve regulatory, legal and tax matters as incurred.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2016, an enforcement action by the Indian Department of Revenue, Ministry of Finance was brought against Aviat’s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the acquisition of Telsima India in February 2009. In September 2019, the directors of Aviat India appeared before the Ministry of Finance Enforcement Directorate. The Company appeared before the Joint Director of Enforcement to review the transactions at issue in March 2024, and again on May 22, 2025 to provide additional information. No subsequent hearing date has been scheduled as of September 26, 2025. The Company has accrued an immaterial amount representing the estimated probable loss for which it would settle the matter. The Company currently cannot form an estimate of the range of loss in excess of its amounts already accrued. If the outcome of this matter is greater than the current immaterial amount accrued, the Company intends to dispute it vigorously.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Periodically, the Company reviews the status of each significant matter to assess the potential financial exposure. If a potential loss is considered probable and the amount can be reasonably estimated, the estimated loss is reflected in the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the consolidated financial statements.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additional information becomes available, the Company will reassess the potential liability related to its pending claims and litigation and may revise estimates accordingly. Such revisions in the estimates of the potential liabilities could have a material impact on the Company’s results of operations and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13. Goodwill and Intangible Assets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presents details of goodwill and intangible assets:</w:t>
      </w:r>
    </w:p>
    <w:tbl>
      <w:tblPr>
        <w:tblW w:w="4063" w:type="dxa"/>
        <w:jc w:val="center"/>
        <w:tblInd w:w="0" w:type="dxa"/>
        <w:tblLayout w:type="fixed"/>
        <w:tblCellMar>
          <w:top w:w="28" w:type="dxa"/>
          <w:left w:w="28" w:type="dxa"/>
          <w:bottom w:w="28" w:type="dxa"/>
          <w:right w:w="28" w:type="dxa"/>
        </w:tblCellMar>
      </w:tblPr>
      <w:tblGrid>
        <w:gridCol w:w="140"/>
        <w:gridCol w:w="123"/>
        <w:gridCol w:w="123"/>
        <w:gridCol w:w="123"/>
        <w:gridCol w:w="123"/>
        <w:gridCol w:w="123"/>
        <w:gridCol w:w="123"/>
        <w:gridCol w:w="123"/>
        <w:gridCol w:w="123"/>
        <w:gridCol w:w="109"/>
        <w:gridCol w:w="109"/>
        <w:gridCol w:w="109"/>
        <w:gridCol w:w="243"/>
        <w:gridCol w:w="831"/>
        <w:gridCol w:w="125"/>
        <w:gridCol w:w="109"/>
        <w:gridCol w:w="109"/>
        <w:gridCol w:w="109"/>
        <w:gridCol w:w="211"/>
        <w:gridCol w:w="721"/>
        <w:gridCol w:w="154"/>
      </w:tblGrid>
      <w:tr>
        <w:trPr/>
        <w:tc>
          <w:tcPr>
            <w:tcW w:w="1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11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19,482 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performs its annual goodwill impairment test on the first day of its fourth fiscal quarter. No indicators of impairment were identified during the current period that required the Company to perform an interim assessment or recoverability test.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7225" w:type="dxa"/>
        <w:jc w:val="center"/>
        <w:tblInd w:w="0" w:type="dxa"/>
        <w:tblLayout w:type="fixed"/>
        <w:tblCellMar>
          <w:top w:w="28" w:type="dxa"/>
          <w:left w:w="28" w:type="dxa"/>
          <w:bottom w:w="28" w:type="dxa"/>
          <w:right w:w="28" w:type="dxa"/>
        </w:tblCellMar>
      </w:tblPr>
      <w:tblGrid>
        <w:gridCol w:w="869"/>
        <w:gridCol w:w="762"/>
        <w:gridCol w:w="768"/>
        <w:gridCol w:w="109"/>
        <w:gridCol w:w="109"/>
        <w:gridCol w:w="109"/>
        <w:gridCol w:w="519"/>
        <w:gridCol w:w="519"/>
        <w:gridCol w:w="522"/>
        <w:gridCol w:w="109"/>
        <w:gridCol w:w="109"/>
        <w:gridCol w:w="109"/>
        <w:gridCol w:w="243"/>
        <w:gridCol w:w="831"/>
        <w:gridCol w:w="125"/>
        <w:gridCol w:w="109"/>
        <w:gridCol w:w="109"/>
        <w:gridCol w:w="109"/>
        <w:gridCol w:w="211"/>
        <w:gridCol w:w="721"/>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 except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428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gross intangible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Amortization of finite-lived intangibles for the three months ended September 26, 2025 was $0.7 million and $0.7 million, respectively, and is included in selling and administrative expenses. There were no impairment charges recorded for the three months ended September 26, 2025.</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26, 2025, the estimated future amortization expense of finite-lived intangible assets is as follows (in thousands):</w:t>
      </w:r>
    </w:p>
    <w:p>
      <w:pPr>
        <w:pStyle w:val="TextBody"/>
        <w:bidi w:val="0"/>
        <w:spacing w:before="0" w:after="0"/>
        <w:jc w:val="left"/>
        <w:rPr/>
      </w:pPr>
      <w:r>
        <w:rPr/>
      </w:r>
    </w:p>
    <w:tbl>
      <w:tblPr>
        <w:tblW w:w="3093" w:type="dxa"/>
        <w:jc w:val="center"/>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14. Related Party Transactions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NEC Corporation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30, 2023, the Company completed the NEC Transaction. See Note 11. Acquisitions for further information. A portion of the total consideration in the NEC Transaction included the issuance of 736,750 shares in Company common stock to NEC. The Company and NEC entered into a Registration Rights and Lock-Up Agreement, restricting NEC’s ability to transfer shares (the “Lock-Up”), except for certain limited exceptions as provided in the Registration Rights and Lock-Up Agreement, until one day after the one-year anniversary of the acquisition date (the “Initial Lock-Up Expiration Date”). Starting one day after the Initial Lock-Up Expiration Date, one-twelfth of the issued shares shall be released from the Lock-Up each month, such that all issued shares shall be released from Lock-Up by the two-year anniversary of the acquisition date. Pursuant to the Purchase Agreement, NEC has the right to nominate a director to the Company’s Board of Directors from the acquisition date and for a period of two years thereafter. As of September 26, 2025, NEC held approximately 5.8% of the Company’s outstanding common stock.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NEC Transaction and as of the acquisition date, the Company and NEC entered into agreements covering the performance of certain post-closing services and licensing arrangements. The agreements include arrangements covering manufacturing services and product supply, transition services, distribution services, research and development services, and licensing of trademark and intellectual property (“IP”).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Manufacturing and Supply Agreement includes arrangements for NEC to manufacture and supply Pasolink products on behalf of and to the Company and its customers. The transition services agreements include arrangements for the Company and NEC to provide and receive certain transition services, primarily associated with administrative functions. The distribution services agreements includes arrangements where NEC will provide distribution services on behalf of and to the Company and its customers in certain international markets and territories. The Research and Development Cooperating Agreement for Existing Products includes arrangements for NEC to provide the Company certain services relating to development work to maintain existing products of the NEC business. The licensing agreements include arrangements where the Company will grant NEC a non-exclusive license to certain Pasolink trademarks in Japan, and NEC will grant the Company a non-exclusive, worldwide (excluding Japan) license to certain NEC IP, including mobile backhaul-related patents. The licensing agreements are royalty-free and perpetual.</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summary of the related party activity between the Company and NEC is as follows:</w:t>
      </w:r>
    </w:p>
    <w:tbl>
      <w:tblPr>
        <w:tblW w:w="6946" w:type="dxa"/>
        <w:jc w:val="center"/>
        <w:tblInd w:w="0" w:type="dxa"/>
        <w:tblLayout w:type="fixed"/>
        <w:tblCellMar>
          <w:top w:w="28" w:type="dxa"/>
          <w:left w:w="28" w:type="dxa"/>
          <w:bottom w:w="28" w:type="dxa"/>
          <w:right w:w="28" w:type="dxa"/>
        </w:tblCellMar>
      </w:tblPr>
      <w:tblGrid>
        <w:gridCol w:w="1354"/>
        <w:gridCol w:w="1188"/>
        <w:gridCol w:w="1192"/>
        <w:gridCol w:w="348"/>
        <w:gridCol w:w="670"/>
        <w:gridCol w:w="181"/>
        <w:gridCol w:w="111"/>
        <w:gridCol w:w="111"/>
        <w:gridCol w:w="111"/>
        <w:gridCol w:w="321"/>
        <w:gridCol w:w="710"/>
        <w:gridCol w:w="168"/>
        <w:gridCol w:w="109"/>
        <w:gridCol w:w="109"/>
        <w:gridCol w:w="109"/>
        <w:gridCol w:w="154"/>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services received</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services received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inventories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outstanding related party balances with NEC included in the unaudited condensed consolidated balance sheets are as follows:</w:t>
      </w:r>
    </w:p>
    <w:tbl>
      <w:tblPr>
        <w:tblW w:w="5018" w:type="dxa"/>
        <w:jc w:val="center"/>
        <w:tblInd w:w="0" w:type="dxa"/>
        <w:tblLayout w:type="fixed"/>
        <w:tblCellMar>
          <w:top w:w="28" w:type="dxa"/>
          <w:left w:w="28" w:type="dxa"/>
          <w:bottom w:w="28" w:type="dxa"/>
          <w:right w:w="28" w:type="dxa"/>
        </w:tblCellMar>
      </w:tblPr>
      <w:tblGrid>
        <w:gridCol w:w="767"/>
        <w:gridCol w:w="673"/>
        <w:gridCol w:w="675"/>
        <w:gridCol w:w="109"/>
        <w:gridCol w:w="109"/>
        <w:gridCol w:w="109"/>
        <w:gridCol w:w="399"/>
        <w:gridCol w:w="399"/>
        <w:gridCol w:w="401"/>
        <w:gridCol w:w="109"/>
        <w:gridCol w:w="109"/>
        <w:gridCol w:w="109"/>
        <w:gridCol w:w="360"/>
        <w:gridCol w:w="361"/>
        <w:gridCol w:w="329"/>
      </w:tblGrid>
      <w:tr>
        <w:trPr/>
        <w:tc>
          <w:tcPr>
            <w:tcW w:w="7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32,833 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41,670 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without limitation statements of, about, concerning or regarding: our ability to maintain effective internal control over financial reporting and management systems and remediate material weaknesses;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the impact of tariffs, the adoption of trade restrictions affecting our products or suppliers, a United States withdrawal from or significant renegotiation of trade agreements, the occurrence of trade wars, the closing of border crossings, and other changes in trade regulations or relationships;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estimates reflecting the current beliefs of the senior management of Aviat Networks, Inc. (“Aviat,” the “Company,” “we,” “us,” and “our”).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Quarterly Report on Form 10-Q.</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“Item 1A. Risk Factors” in the Company’s fiscal 2025 Annual Report on Form 10-K filed with the SEC on September 10, 2025 for more information regarding factors that may cause its results to differ materially from those expressed or implied by the forward-looking statements contained in this Quarterly Report on Form 10-Q.</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Quarterly Report on Form 10-Q or, in the case of any document incorporated by reference, the date of that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 of Business; Operating Environment and Key Factors Impacting Fiscal 2026 and 2025 Results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(“MD&amp;A”) is intended to help the reader understand Aviat’s results of operations and financial condition. MD&amp;A is provided as a supplement to, and should be read in conjunction with, the Company’s unaudited condensed consolidated financial statements and accompanying notes. In the discussion herein, the fiscal year ending June 26, 2026 is referred to as “fiscal 2026” or “2026” and the fiscal year ended June 27, 2025 is referred to as “fiscal 2025” or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Aviat is a global supplier of microwave networking and access networking solutions, backed by an extensive suite of professional services and support. Aviat sells radios, routers, software and services integral to the functioning of data transport networks. Aviat has more than 3,000 customers and significant relationships with global service providers and private network operators. Aviat’s North America manufacturing base consists of a combination of contract manufacturing and assembly and testing operated in Austin, Texas by Aviat. Additionally, Aviat utilizes a contract manufacturer based in Asia for much of its international equipment demand. Aviat’s technology is underpinned by more than 500 patents. Aviat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competes on the basis of total cost of ownership, microwave radio expertise and solutions for mission critical communications. Aviat has a global presence.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Acquisitions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4RF Limited</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2, 2024, the Company acquired 4RF Limited (“4RF”), a New Zealand company. Aviat purchased all of the issued and outstanding shares of 4RF in an all-cash transaction for $18.2 million, net of $1.2 million cash acquired. 4RF is a leading provider of industrial wireless access solutions, including narrowband point-to-point/multi-point radios and Private LTE and 5G routers. The acquisition of 4RF allows Aviat to expand its product offering for the global industrial wireless access markets including Private LTE/5G. See Note 11. Acquisitions of the Notes to the unaudited consolidated financial statements in this Quarterly Report on Form 10-Q (the “Notes”) for further information.</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NEC’s Wireless Transport Business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9, 2023, the Company entered into a Master Sale of Business Agreement (as amended on November 30, 2023) with NEC Corporation (“NEC”), to acquire NEC’s wireless transport business (the “NEC Transaction”). The Company completed the NEC Transaction on November 30, 2023.</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Prior to the acquisition date, NEC was a leader in wireless backhaul networks with an extensive installed base of their Pasolink series products. The completion of the NEC Transaction increases the scale of Aviat, enhances the Company’s product portfolio with a greater capability to innovate, and creates a more diversified business. Refer to Note 11. Acquisitions of the Notes for further information.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the consideration transferred at the closing of the NEC Transaction was comprised of (i) cash of $32.2 million, and (ii) the issuance of 736,750 shares or $22.3 million of Company common stock. Aggregate consideration transferred at closing was approximately $54.5 million, which was subject to certain post-closing adjustments. In fiscal 2025, the Company transferred consideration of $18.6 million to settle the post-closing working capital adjustment. The Company funded the cash portion of the NEC Transaction with Term Loan borrowings under its Credit Facility. Refer to Note 6. Credit Facility and Debt of the Notes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80" w:after="283"/>
        <w:jc w:val="left"/>
        <w:rPr>
          <w:rFonts w:ascii="Times New Roman;serif" w:hAnsi="Times New Roman;serif"/>
          <w:b/>
          <w:color w:val="000000"/>
          <w:sz w:val="20"/>
        </w:rPr>
      </w:pPr>
      <w:r>
        <w:rPr>
          <w:rFonts w:ascii="Times New Roman;serif" w:hAnsi="Times New Roman;serif"/>
          <w:b/>
          <w:color w:val="000000"/>
          <w:sz w:val="20"/>
        </w:rPr>
        <w:t>Operations Review</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market for mobile backhaul continued to be the Company’s primary addressable market segment globally in the first three months of fiscal 2026. In North America, the Company supported 5G and long-term evolution (“LTE”) deployments of its mobile operator customers, public safety network deployments for state and local governments, and private network implementations for utilities and other customers. In international markets, the Company’s business continued to rely on a combination of customers increasing their capacity to handle subscriber growth and the ongoing build-out of some large LTE and 5G deployments. Aviat’s position continues to be to support its customers for 5G and LTE readiness and ensure that its technology roadmap is well aligned with evolving market requirements. Aviat’s strength in turnkey and after-sale support services is a differentiating factor that wins business for the Company and enables it to expand its business with existing customers. Additionally, Aviat operates an e-commerce platform that provides low-cost services, simple experience, and fast delivery to mobile operators and private network customers. In early 2025, new U.S. tariffs on foreign imports were proposed and introduced. Aviat will attempt to mitigate these tariffs by optimizing its sourcing and operations to minimize any cost impact. Aviat has and may continue to implement pricing actions to offset the impact of these tariffs. However, as disclosed above and in the “Risk Factors” section in Item 1A of its Annual Report on Form 10-K filed with the SEC on September 10, 2025, a number of factors could prevent the Company from achieving its objectives, including ongoing pricing pressures attributable to competition and macroeconomic conditions in the geographic markets that it serves.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manages its sales activities primarily on a geographic basis in North America and three international geographic regions: (1) Africa and the Middle East, (2) Europe, and (3) Latin America and Asia Pacific. Revenue by region for the three months ended September 26, 2025 and September 27, 2024 and the related changes were as follows:</w:t>
      </w:r>
    </w:p>
    <w:tbl>
      <w:tblPr>
        <w:tblW w:w="9546" w:type="dxa"/>
        <w:jc w:val="center"/>
        <w:tblInd w:w="0" w:type="dxa"/>
        <w:tblLayout w:type="fixed"/>
        <w:tblCellMar>
          <w:top w:w="28" w:type="dxa"/>
          <w:left w:w="28" w:type="dxa"/>
          <w:bottom w:w="28" w:type="dxa"/>
          <w:right w:w="28" w:type="dxa"/>
        </w:tblCellMar>
      </w:tblPr>
      <w:tblGrid>
        <w:gridCol w:w="912"/>
        <w:gridCol w:w="801"/>
        <w:gridCol w:w="806"/>
        <w:gridCol w:w="302"/>
        <w:gridCol w:w="1135"/>
        <w:gridCol w:w="168"/>
        <w:gridCol w:w="109"/>
        <w:gridCol w:w="109"/>
        <w:gridCol w:w="109"/>
        <w:gridCol w:w="330"/>
        <w:gridCol w:w="1090"/>
        <w:gridCol w:w="184"/>
        <w:gridCol w:w="109"/>
        <w:gridCol w:w="109"/>
        <w:gridCol w:w="109"/>
        <w:gridCol w:w="196"/>
        <w:gridCol w:w="646"/>
        <w:gridCol w:w="109"/>
        <w:gridCol w:w="109"/>
        <w:gridCol w:w="109"/>
        <w:gridCol w:w="109"/>
        <w:gridCol w:w="233"/>
        <w:gridCol w:w="233"/>
        <w:gridCol w:w="503"/>
        <w:gridCol w:w="109"/>
        <w:gridCol w:w="109"/>
        <w:gridCol w:w="109"/>
        <w:gridCol w:w="109"/>
        <w:gridCol w:w="109"/>
        <w:gridCol w:w="109"/>
        <w:gridCol w:w="109"/>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52,647 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42,225 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Africa and the Middle East</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 and Asia Pacific</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30,154 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107,320 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88,429 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 in North America increased by $10.4 million during the first quarter of fiscal 2026 compared with the same period of fiscal 2025 primarily due to increases in demand for product and services, of 54% and 15%, respectively, across mobile network operators and private network customers. This was partially offset by lower demand for software offerings decreasing by 15%.</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 in Africa and the Middle East increased by $2.3 million during the first quarter of fiscal 2026 compared with the same period of fiscal 2025. This was primarily due to increases in demand for services and products of 81% and 14%, respectively across mobile network operators and private network customers in Africa. This was partially offset by lower demand for software offerings by 17%.</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 in Europe increased by $2.0 million during the first quarter of fiscal 2026 compared with the same period of fiscal 2025. The increases were primarily due to increased demand for software offerings of 147% and higher product volumes across private network customers of 76%, partially offset by a 57% decrease in services revenue due to project timing.</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 in Latin America and Asia Pacific increased by $4.2 million during the first quarter of fiscal 2026 compared with the same period of fiscal 2025 primarily due to higher sales volumes of software offerings and an increase in demand for services of 289% and 20%, respectively, partially offset by a decrease of 34% on equipment sales.</w:t>
      </w:r>
    </w:p>
    <w:tbl>
      <w:tblPr>
        <w:tblW w:w="9695" w:type="dxa"/>
        <w:jc w:val="center"/>
        <w:tblInd w:w="0" w:type="dxa"/>
        <w:tblLayout w:type="fixed"/>
        <w:tblCellMar>
          <w:top w:w="28" w:type="dxa"/>
          <w:left w:w="28" w:type="dxa"/>
          <w:bottom w:w="28" w:type="dxa"/>
          <w:right w:w="28" w:type="dxa"/>
        </w:tblCellMar>
      </w:tblPr>
      <w:tblGrid>
        <w:gridCol w:w="912"/>
        <w:gridCol w:w="801"/>
        <w:gridCol w:w="806"/>
        <w:gridCol w:w="295"/>
        <w:gridCol w:w="1157"/>
        <w:gridCol w:w="152"/>
        <w:gridCol w:w="109"/>
        <w:gridCol w:w="109"/>
        <w:gridCol w:w="109"/>
        <w:gridCol w:w="325"/>
        <w:gridCol w:w="1112"/>
        <w:gridCol w:w="168"/>
        <w:gridCol w:w="109"/>
        <w:gridCol w:w="109"/>
        <w:gridCol w:w="109"/>
        <w:gridCol w:w="211"/>
        <w:gridCol w:w="721"/>
        <w:gridCol w:w="109"/>
        <w:gridCol w:w="109"/>
        <w:gridCol w:w="109"/>
        <w:gridCol w:w="109"/>
        <w:gridCol w:w="255"/>
        <w:gridCol w:w="256"/>
        <w:gridCol w:w="517"/>
        <w:gridCol w:w="109"/>
        <w:gridCol w:w="109"/>
        <w:gridCol w:w="109"/>
        <w:gridCol w:w="109"/>
        <w:gridCol w:w="109"/>
        <w:gridCol w:w="109"/>
        <w:gridCol w:w="109"/>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75,084 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107,320 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88,429 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 from product sales increased by 22.9% and revenue from services increased by 18.0% for the first quarter of fiscal 2026 compared with the same quarter of fiscal 2025. The changes were primarily due to the factors discussed above.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Gross Margin</w:t>
      </w:r>
    </w:p>
    <w:tbl>
      <w:tblPr>
        <w:tblW w:w="9695" w:type="dxa"/>
        <w:jc w:val="center"/>
        <w:tblInd w:w="0" w:type="dxa"/>
        <w:tblLayout w:type="fixed"/>
        <w:tblCellMar>
          <w:top w:w="28" w:type="dxa"/>
          <w:left w:w="28" w:type="dxa"/>
          <w:bottom w:w="28" w:type="dxa"/>
          <w:right w:w="28" w:type="dxa"/>
        </w:tblCellMar>
      </w:tblPr>
      <w:tblGrid>
        <w:gridCol w:w="912"/>
        <w:gridCol w:w="801"/>
        <w:gridCol w:w="806"/>
        <w:gridCol w:w="259"/>
        <w:gridCol w:w="1014"/>
        <w:gridCol w:w="332"/>
        <w:gridCol w:w="109"/>
        <w:gridCol w:w="109"/>
        <w:gridCol w:w="109"/>
        <w:gridCol w:w="281"/>
        <w:gridCol w:w="962"/>
        <w:gridCol w:w="361"/>
        <w:gridCol w:w="109"/>
        <w:gridCol w:w="109"/>
        <w:gridCol w:w="109"/>
        <w:gridCol w:w="211"/>
        <w:gridCol w:w="721"/>
        <w:gridCol w:w="109"/>
        <w:gridCol w:w="109"/>
        <w:gridCol w:w="109"/>
        <w:gridCol w:w="109"/>
        <w:gridCol w:w="255"/>
        <w:gridCol w:w="256"/>
        <w:gridCol w:w="517"/>
        <w:gridCol w:w="109"/>
        <w:gridCol w:w="109"/>
        <w:gridCol w:w="109"/>
        <w:gridCol w:w="109"/>
        <w:gridCol w:w="109"/>
        <w:gridCol w:w="109"/>
        <w:gridCol w:w="109"/>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107,320 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88,429 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71,657 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68,641 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35,663 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19,788 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revenue</w:t>
            </w:r>
          </w:p>
        </w:tc>
        <w:tc>
          <w:tcPr>
            <w:tcW w:w="12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3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margin %</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margin %</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Gross margin for the first quarter of fiscal 2026 increased by $15.9 million compared with the same quarter of fiscal 2025 primarily due to higher sales volumes on higher margin products, specifically software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Research and Development</w:t>
      </w:r>
    </w:p>
    <w:tbl>
      <w:tblPr>
        <w:tblW w:w="9739" w:type="dxa"/>
        <w:jc w:val="center"/>
        <w:tblInd w:w="0" w:type="dxa"/>
        <w:tblLayout w:type="fixed"/>
        <w:tblCellMar>
          <w:top w:w="28" w:type="dxa"/>
          <w:left w:w="28" w:type="dxa"/>
          <w:bottom w:w="28" w:type="dxa"/>
          <w:right w:w="28" w:type="dxa"/>
        </w:tblCellMar>
      </w:tblPr>
      <w:tblGrid>
        <w:gridCol w:w="912"/>
        <w:gridCol w:w="801"/>
        <w:gridCol w:w="806"/>
        <w:gridCol w:w="308"/>
        <w:gridCol w:w="900"/>
        <w:gridCol w:w="396"/>
        <w:gridCol w:w="109"/>
        <w:gridCol w:w="109"/>
        <w:gridCol w:w="109"/>
        <w:gridCol w:w="281"/>
        <w:gridCol w:w="962"/>
        <w:gridCol w:w="361"/>
        <w:gridCol w:w="109"/>
        <w:gridCol w:w="109"/>
        <w:gridCol w:w="109"/>
        <w:gridCol w:w="211"/>
        <w:gridCol w:w="691"/>
        <w:gridCol w:w="109"/>
        <w:gridCol w:w="109"/>
        <w:gridCol w:w="109"/>
        <w:gridCol w:w="109"/>
        <w:gridCol w:w="293"/>
        <w:gridCol w:w="293"/>
        <w:gridCol w:w="517"/>
        <w:gridCol w:w="109"/>
        <w:gridCol w:w="109"/>
        <w:gridCol w:w="109"/>
        <w:gridCol w:w="109"/>
        <w:gridCol w:w="109"/>
        <w:gridCol w:w="109"/>
        <w:gridCol w:w="109"/>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7,098 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10,408 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revenue</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$3.3 million compared with the same quarter of fiscal 2025 primarily due to cost management initiatives and synergies related to acquisitions.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Selling and Administrative</w:t>
      </w:r>
    </w:p>
    <w:tbl>
      <w:tblPr>
        <w:tblW w:w="9633" w:type="dxa"/>
        <w:jc w:val="center"/>
        <w:tblInd w:w="0" w:type="dxa"/>
        <w:tblLayout w:type="fixed"/>
        <w:tblCellMar>
          <w:top w:w="28" w:type="dxa"/>
          <w:left w:w="28" w:type="dxa"/>
          <w:bottom w:w="28" w:type="dxa"/>
          <w:right w:w="28" w:type="dxa"/>
        </w:tblCellMar>
      </w:tblPr>
      <w:tblGrid>
        <w:gridCol w:w="912"/>
        <w:gridCol w:w="801"/>
        <w:gridCol w:w="806"/>
        <w:gridCol w:w="281"/>
        <w:gridCol w:w="962"/>
        <w:gridCol w:w="361"/>
        <w:gridCol w:w="109"/>
        <w:gridCol w:w="109"/>
        <w:gridCol w:w="109"/>
        <w:gridCol w:w="281"/>
        <w:gridCol w:w="962"/>
        <w:gridCol w:w="361"/>
        <w:gridCol w:w="109"/>
        <w:gridCol w:w="109"/>
        <w:gridCol w:w="109"/>
        <w:gridCol w:w="211"/>
        <w:gridCol w:w="691"/>
        <w:gridCol w:w="109"/>
        <w:gridCol w:w="109"/>
        <w:gridCol w:w="109"/>
        <w:gridCol w:w="109"/>
        <w:gridCol w:w="239"/>
        <w:gridCol w:w="241"/>
        <w:gridCol w:w="517"/>
        <w:gridCol w:w="109"/>
        <w:gridCol w:w="109"/>
        <w:gridCol w:w="109"/>
        <w:gridCol w:w="109"/>
        <w:gridCol w:w="109"/>
        <w:gridCol w:w="109"/>
        <w:gridCol w:w="109"/>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23,376 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24,948 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revenue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Selling and administrative expenses decreased by $1.6 million for the first quarter of fiscal 2026 compared with the same quarter of fiscal 2025 primarily due to cost management initiatives.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Interest Expense, net</w:t>
      </w:r>
    </w:p>
    <w:tbl>
      <w:tblPr>
        <w:tblW w:w="9496" w:type="dxa"/>
        <w:jc w:val="center"/>
        <w:tblInd w:w="0" w:type="dxa"/>
        <w:tblLayout w:type="fixed"/>
        <w:tblCellMar>
          <w:top w:w="28" w:type="dxa"/>
          <w:left w:w="28" w:type="dxa"/>
          <w:bottom w:w="28" w:type="dxa"/>
          <w:right w:w="28" w:type="dxa"/>
        </w:tblCellMar>
      </w:tblPr>
      <w:tblGrid>
        <w:gridCol w:w="912"/>
        <w:gridCol w:w="801"/>
        <w:gridCol w:w="806"/>
        <w:gridCol w:w="362"/>
        <w:gridCol w:w="1056"/>
        <w:gridCol w:w="187"/>
        <w:gridCol w:w="109"/>
        <w:gridCol w:w="109"/>
        <w:gridCol w:w="109"/>
        <w:gridCol w:w="362"/>
        <w:gridCol w:w="1056"/>
        <w:gridCol w:w="187"/>
        <w:gridCol w:w="109"/>
        <w:gridCol w:w="109"/>
        <w:gridCol w:w="109"/>
        <w:gridCol w:w="225"/>
        <w:gridCol w:w="498"/>
        <w:gridCol w:w="118"/>
        <w:gridCol w:w="109"/>
        <w:gridCol w:w="109"/>
        <w:gridCol w:w="109"/>
        <w:gridCol w:w="255"/>
        <w:gridCol w:w="256"/>
        <w:gridCol w:w="517"/>
        <w:gridCol w:w="109"/>
        <w:gridCol w:w="109"/>
        <w:gridCol w:w="109"/>
        <w:gridCol w:w="109"/>
        <w:gridCol w:w="109"/>
        <w:gridCol w:w="109"/>
        <w:gridCol w:w="109"/>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by $0.6 million for the first quarter of fiscal 2026 compared with the same quarter of fiscal 2025 primarily due to interest expense incurred on incremental Term Loan borrowings compared to the prior year.</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Other Expense, net</w:t>
      </w:r>
    </w:p>
    <w:tbl>
      <w:tblPr>
        <w:tblW w:w="9494" w:type="dxa"/>
        <w:jc w:val="center"/>
        <w:tblInd w:w="0" w:type="dxa"/>
        <w:tblLayout w:type="fixed"/>
        <w:tblCellMar>
          <w:top w:w="28" w:type="dxa"/>
          <w:left w:w="28" w:type="dxa"/>
          <w:bottom w:w="28" w:type="dxa"/>
          <w:right w:w="28" w:type="dxa"/>
        </w:tblCellMar>
      </w:tblPr>
      <w:tblGrid>
        <w:gridCol w:w="912"/>
        <w:gridCol w:w="801"/>
        <w:gridCol w:w="806"/>
        <w:gridCol w:w="429"/>
        <w:gridCol w:w="950"/>
        <w:gridCol w:w="225"/>
        <w:gridCol w:w="109"/>
        <w:gridCol w:w="109"/>
        <w:gridCol w:w="109"/>
        <w:gridCol w:w="429"/>
        <w:gridCol w:w="950"/>
        <w:gridCol w:w="225"/>
        <w:gridCol w:w="109"/>
        <w:gridCol w:w="109"/>
        <w:gridCol w:w="109"/>
        <w:gridCol w:w="225"/>
        <w:gridCol w:w="498"/>
        <w:gridCol w:w="118"/>
        <w:gridCol w:w="109"/>
        <w:gridCol w:w="109"/>
        <w:gridCol w:w="109"/>
        <w:gridCol w:w="255"/>
        <w:gridCol w:w="256"/>
        <w:gridCol w:w="517"/>
        <w:gridCol w:w="109"/>
        <w:gridCol w:w="109"/>
        <w:gridCol w:w="109"/>
        <w:gridCol w:w="109"/>
        <w:gridCol w:w="109"/>
        <w:gridCol w:w="109"/>
        <w:gridCol w:w="109"/>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expense, net increased by $0.3 million for the first quarter of fiscal 2026 compared with the same quarter of fiscal 2025, primarily as a result of foreign exchange rate movement.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Income Taxes</w:t>
      </w:r>
    </w:p>
    <w:tbl>
      <w:tblPr>
        <w:tblW w:w="10205" w:type="dxa"/>
        <w:jc w:val="center"/>
        <w:tblInd w:w="0" w:type="dxa"/>
        <w:tblLayout w:type="fixed"/>
        <w:tblCellMar>
          <w:top w:w="28" w:type="dxa"/>
          <w:left w:w="28" w:type="dxa"/>
          <w:bottom w:w="28" w:type="dxa"/>
          <w:right w:w="28" w:type="dxa"/>
        </w:tblCellMar>
      </w:tblPr>
      <w:tblGrid>
        <w:gridCol w:w="1102"/>
        <w:gridCol w:w="968"/>
        <w:gridCol w:w="975"/>
        <w:gridCol w:w="338"/>
        <w:gridCol w:w="988"/>
        <w:gridCol w:w="174"/>
        <w:gridCol w:w="109"/>
        <w:gridCol w:w="109"/>
        <w:gridCol w:w="109"/>
        <w:gridCol w:w="288"/>
        <w:gridCol w:w="1081"/>
        <w:gridCol w:w="148"/>
        <w:gridCol w:w="109"/>
        <w:gridCol w:w="109"/>
        <w:gridCol w:w="109"/>
        <w:gridCol w:w="211"/>
        <w:gridCol w:w="721"/>
        <w:gridCol w:w="109"/>
        <w:gridCol w:w="109"/>
        <w:gridCol w:w="109"/>
        <w:gridCol w:w="109"/>
        <w:gridCol w:w="339"/>
        <w:gridCol w:w="341"/>
        <w:gridCol w:w="517"/>
        <w:gridCol w:w="109"/>
        <w:gridCol w:w="109"/>
        <w:gridCol w:w="109"/>
        <w:gridCol w:w="109"/>
        <w:gridCol w:w="109"/>
        <w:gridCol w:w="109"/>
        <w:gridCol w:w="109"/>
        <w:gridCol w:w="161"/>
      </w:tblGrid>
      <w:tr>
        <w:trPr/>
        <w:tc>
          <w:tcPr>
            <w:tcW w:w="11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6"/>
            <w:tcBorders/>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estimates its annual effective tax rate at the end of each quarterly period and records the tax effect of certain discrete items in the interim period in which they occur, including changes in judgment about uncertain tax positions and deferred tax valuation allowances.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tax benefit for the first three months of fiscal 2026 was primarily due to tax benefit resulting from year-to-date losses. The tax expense for the first three months of fiscal 2025 was primarily attributable to tax expense related to U.S. and profitable foreign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Liquidity, Capital Resources, and Financial Strategies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Sources of Cash</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26, 2025, the Company’s total cash and cash equivalents were $64.8 million. Approximately $22.7 million was held in the United States. The remaining balance of $42.2 million, or 65%, was held outside the United States.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cash flows is presented as net income (loss) adjusted for certain non-cash items and changes in operating assets and liabilities. Net cash used in operating activities was $(11.7) million for the first three months of fiscal 2026, compared with $(27.2) million in the prior year. The $15.4 million increase is primarily attributable to increases in net income and deferred taxes compared to the prior year.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$1.7 million for the first three months of fiscal 2026, compared to $21.2 million in the prior year. The $19.4 million decrease is primarily due to prior year acquisition payments associated with the NEC Transaction.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Financing cash flows consist primarily of borrowings and repayments under the Company’s Credit Facility and proceeds from the exercise of employee stock options. Net cash provided by financing activities was $18.5 million for the first three months of fiscal 2026, compared with $34.3 million in the prior year. The $(15.8) million decrease is primarily due to reduced Revolver net borrowings compared to the prior year of $35 million, which was partially offset by increased borrowings on the Term Loan of $20 million.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26, 2025, the Company’s principal sources of liquidity consisted of $64.8 million in cash and cash equivalents, $72.1 million of available credit under its Credit Facility, and future collections of receivables from customers. On August 28, 2025, the Company entered into an amendment under the Credit Facility to increase the Term Loan and Revolver commitments by $20 million for each instrument. The Company regularly requires letters of credit from certain customers, and, from time to time, these letters of credit are discounted without recourse shortly after shipment occurs in order to meet immediate liquidity requirements and to reduce its credit and sovereign risk. Historically, the Company’s primary sources of liquidity have been cash flows from operations and credit facilities.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believes that its existing cash and cash equivalents, the available borrowings under its Credit Facility and future cash collections from customers will be sufficient to provide for its anticipated requirements and plans for cash for at least the next 12 months. In addition, the Company believes these sources of liquidity will be sufficient to provide for its anticipated requirements and plans for cash beyond the next 12 months.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borrowed and repaid $25.0 million against the Revolver during the first three months of fiscal 2026 and had $15.0 million borrowings outstanding under the Revolver. As of September 26, 2025, the Company had $92.2 million outstanding under its Term Loan and during the first three months of fiscal 2026 borrowed $20.0 million and repaid $0.9 million against the Term Loan. As of September 26, 2025, the Company was in compliance with all financial covenants contained in the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information about the Company’s critical accounting estimates, see the “Critical Accounting Estimates” section of “Item 7. Management’s Discussion and Analysis of Financial Condition and Results of Operations” in its fiscal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normal course of doing business, the Company is exposed to risks associated with foreign currency exchange rates and changes in interest rates. The Company employs established policies and procedures governing the use of financial instruments to manage its exposure to such risks. Information about the Company’s market risk is presented in Part II, Item 7A in its fiscal 2025 Annual Report on Form 10-K. There have been no material changes to the Company’s market risk during the first three months of fiscal 2026.</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Exchange Rate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conducts business globally in numerous currencies and is therefore exposed to foreign currency risks. From time to time, the Company uses derivative instruments to reduce the volatility of earnings and cash flows associated with changes in foreign currency exchange rates. The Company does not hold or issue derivatives for trading purposes or make speculative investments in foreign currencies.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 The Company did not have any foreign exchange forward contracts outstanding as of September 26, 2025.</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of the Company’s international business are transacted in non-U.S. dollar (“USD”) currencies. From time to time, the Company utilizes foreign currency hedging instruments to minimize the currency risk of non-USD transactions. The impact of translating the assets and liabilities of foreign operations to USD is included as a component of stockholders’ equity. As of September 26, 2025 and June 27, 2025, the cumulative translation adjustment decreased stockholders’ equity by $19.7 million and $18.8 million, respectively.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exposure to market risk for changes in interest rates relates primarily to its cash equivalents and borrowings under its Credit Facility. Refer to Note 6. Credit Facility and Debt of the Notes for further information.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Exposure on Cash Equivalents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had $64.8 million in total cash and cash equivalents as of September 26, 2025. Cash equivalents totaled $7.8 million as of September 26, 2025 and were comprised of money market funds and bank certificates of deposit. Cash equivalents have been recorded at fair value. Fair value is measured using inputs that fall into a three-level hierarchy that prioritizes the inputs used to measure fair value based on observability of such inputs. For more information on the fair value measurements of cash equivalents, refer to Note 5. Fair Value Measurements of Assets and Liabilities of the Notes for further information.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cash equivalents earn interest at fixed rates; therefore, changes in interest rates will not generate a gain or loss on these investments unless they are sold prior to maturity. A 10% change in interest rates on the Company’s cash equivalents is not expected to have a material impact on its financial position, results of operations, or cash flows.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Exposure on Borrowings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borrowed and repaid $25.0 million against the Revolver during the first three months of fiscal 2026 and had $15.0 million borrowings outstanding under the Revolver. As of September 26, 2025, the Company had $92.2 million outstanding under its Term Loan and during the first three months of fiscal 2026 borrowed $20.0 million and repaid $0.9 million against the Term Loan. As of September 26, 2025, the Company was in compliance with all financial covenants contained in the Credit Facility.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borrowings under the current Credit Facility bear interest at either: (a) Adjusted Term SOFR plus the applicable margin; or (b) the Base Rate plus the applicable margin. The pricing levels for interest rate margins are determined based on the Consolidated Total Leverage Ratio as determined and adjusted quarterly. As of September 26, 2025, the applicable margin on Adjusted Term SOFR and Base Rate borrowings was 2.75% and 1.75%, respectively. The effective rate of interest on the outstanding Term Loan borrowings as of September 26, 2025 was 6.7%.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10% change in interest rates is estimated to have a $0.6 million impact on annual interest expense on the Company’s outstanding long-term debt as of September 26,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disclosed in the Company’s Annual Reports on Form 10-K for the fiscal years ended June 28, 2024, and June 27, 2025, the Company’s management concluded that our disclosure controls and procedures were not effective due to certain material weaknesses in internal control over financial reporting. Refer to Part II, Item 9A. Controls and Procedures in the Company’s Annual Reports on Form 10-K for the fiscal years ended June 28, 2024 and June 27, 2025, for further information.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fiscal 2025 and continuing into the first quarter of fiscal 2026, the Company implemented actions designed to improve our internal control over financial reporting and remediate these material weaknesses, including (i) providing training to the applicable control performers related to the importance of timely execution of control activities for which they are responsible; (ii) beginning the redesign of controls over the determination of the appropriate period for revenue recognition, controls over arrangements where revenue is recognized over time and controls related to the review and approval of journal entries, and (iii) implementing a formal monitoring program to perform the necessary evaluations to ascertain whether the components of internal control are present and functioning, including implementing corrective actions as necessary.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steps are subject to ongoing senior management review, as well as oversight by the audit committee of our Board of Directors. While significant progress has been made to remediate the material weaknesses, the material weaknesses will not be considered remediated until the associated controls operate effectively for a sufficient period of time and management concludes, through testing, that the controls are operating effectively. We will continue to monitor the design and effectiveness of these and other processes, procedures and controls and make further changes management deems appropriate.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our President and CEO, and Chief Financial Officer (“CFO”), completed an evaluation of the effectiveness of the design and operation of the disclosure controls and procedures as of September 26, 2025. The Company’s CEO and CFO have concluded that our disclosure controls and procedures, as defined in Rules 13a-15(e) and 15d-15(e) under the Exchange Act, were not effective as of September 26, 2025, due to the material weaknesses described above not being fully remediated as of the date of the evaluation.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Changes in Internal Controls over Financial Reporting</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Except as noted above, there were no changes to our internal controls over financial reporting as defined in Rules 13a-15(f) or 15d-15(f) that occurred during the quarter ended September 26, 2025 that have materially affected, or are reasonably likely to materially affect, our internal controls over financial reporting.</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Inherent Limitations on Effectiveness of Controls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management, including its CEO and CFO, does not expect that its disclosure controls and procedures or its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360" w:after="283"/>
        <w:jc w:val="center"/>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a discussion of legal proceedings as of September 26, 2025, please refer to “Legal Proceedings” and “Contingent Liabilities” under Note 12. Commitments and Contingencies of the Notes to the unaudited condensed consolidated financial statements in this Quarterly Report on Form 10-Q, which are incorporated into this item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Investors should carefully review and consider the information regarding certain factors which could materially affect our business, operating results, cash flows, and financial condition set forth under Item 1A, Risk Factors, in our fiscal 2025 Annual Report on Form 10-K filed with the SEC on September 10, 2025.</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described in our Annual Report,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2021, the Company’s Board of Directors approved a stock repurchase program to purchase up to $10.0 million of the Company’s common stock. As of September 26, 2025, $6.3 million remains available and Aviat may choose to suspend or discontinue the repurchase program at any time. Repurchased shares are recorded as treasury stock.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2026, the Company did not repurchase any shares of its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Insider Trading Arrangements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7, 2025, Erin Boase, General Counsel, Vice President Legal Affairs, adopted a new trading plan intended to satisfy the affirmative defense conditions of Rule 10b5-1(c) under the Exchange Act. The trading plan is intended to permit Ms. Boase to sell an aggregate of 11,770 shares. Ms. Boase’s plan was originally in effect until March 7, 2026; however, Ms. Boase’s plan terminated early on July 3, 2025, as all 11,770 shares under the plan were sold.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26, 2025, no other officers or directors adopted, modified, or terminated a “Rule 10b5-1 trading arrangement” or a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exhibits are filed or furnished herewith or are incorporated by reference to exhibits previously filed with the SEC:</w:t>
      </w:r>
    </w:p>
    <w:tbl>
      <w:tblPr>
        <w:tblW w:w="10205" w:type="dxa"/>
        <w:jc w:val="center"/>
        <w:tblInd w:w="0" w:type="dxa"/>
        <w:tblLayout w:type="fixed"/>
        <w:tblCellMar>
          <w:top w:w="28" w:type="dxa"/>
          <w:left w:w="28" w:type="dxa"/>
          <w:bottom w:w="28" w:type="dxa"/>
          <w:right w:w="28" w:type="dxa"/>
        </w:tblCellMar>
      </w:tblPr>
      <w:tblGrid>
        <w:gridCol w:w="337"/>
        <w:gridCol w:w="297"/>
        <w:gridCol w:w="299"/>
        <w:gridCol w:w="109"/>
        <w:gridCol w:w="109"/>
        <w:gridCol w:w="109"/>
        <w:gridCol w:w="2622"/>
        <w:gridCol w:w="2604"/>
        <w:gridCol w:w="3719"/>
      </w:tblGrid>
      <w:tr>
        <w:trPr/>
        <w:tc>
          <w:tcPr>
            <w:tcW w:w="3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719" w:type="dxa"/>
            <w:tcBorders/>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Descriptions</w:t>
            </w:r>
          </w:p>
        </w:tc>
      </w:tr>
      <w:tr>
        <w:trPr/>
        <w:tc>
          <w:tcPr>
            <w:tcW w:w="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Amended and Restated Certificate of Incorporation of Aviat Networks, Inc., as amended (incorporated by reference to Exhibit 3.1 to the Current Report on Form 8-K filed with the SEC on November 13, 2023, File No. 001-33278).</w:t>
              </w:r>
            </w:hyperlink>
          </w:p>
        </w:tc>
      </w:tr>
      <w:tr>
        <w:trPr/>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Amended and Restated Bylaws of Aviat Networks, Inc. (incorporated by reference to Exhibit 3.1 to the Current Report on Form 8-K filed with the SEC on August 24, 2023, File No. 001-33278).</w:t>
              </w:r>
            </w:hyperlink>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80"/>
                  <w:sz w:val="20"/>
                  <w:u w:val="single"/>
                </w:rPr>
                <w:t>T</w:t>
              </w:r>
            </w:hyperlink>
            <w:hyperlink r:id="rId5">
              <w:r>
                <w:rPr>
                  <w:rStyle w:val="InternetLink"/>
                  <w:rFonts w:ascii="Times New Roman;serif" w:hAnsi="Times New Roman;serif"/>
                  <w:b w:val="false"/>
                  <w:color w:val="000080"/>
                  <w:sz w:val="20"/>
                  <w:u w:val="single"/>
                </w:rPr>
                <w:t>hird Amendment to Credit Agreemen</w:t>
              </w:r>
            </w:hyperlink>
            <w:hyperlink r:id="rId6">
              <w:r>
                <w:rPr>
                  <w:rStyle w:val="InternetLink"/>
                  <w:rFonts w:ascii="Times New Roman;serif" w:hAnsi="Times New Roman;serif"/>
                  <w:b w:val="false"/>
                  <w:color w:val="000080"/>
                  <w:sz w:val="20"/>
                  <w:u w:val="single"/>
                </w:rPr>
                <w:t>t, dated August 28, 2025, by and among the Borrowers and the Lender (incorporated by reference to Exhibit 10.1 to the Current Report on Form 8-</w:t>
              </w:r>
            </w:hyperlink>
            <w:hyperlink r:id="rId7">
              <w:r>
                <w:rPr>
                  <w:rStyle w:val="InternetLink"/>
                  <w:rFonts w:ascii="Times New Roman;serif" w:hAnsi="Times New Roman;serif"/>
                  <w:b w:val="false"/>
                  <w:color w:val="000080"/>
                  <w:sz w:val="20"/>
                  <w:u w:val="single"/>
                </w:rPr>
                <w:t>K filed with the S</w:t>
              </w:r>
            </w:hyperlink>
            <w:hyperlink r:id="rId8">
              <w:r>
                <w:rPr>
                  <w:rStyle w:val="InternetLink"/>
                  <w:rFonts w:ascii="Times New Roman;serif" w:hAnsi="Times New Roman;serif"/>
                  <w:b w:val="false"/>
                  <w:color w:val="000080"/>
                  <w:sz w:val="20"/>
                  <w:u w:val="single"/>
                </w:rPr>
                <w:t>E</w:t>
              </w:r>
            </w:hyperlink>
            <w:hyperlink r:id="rId9">
              <w:r>
                <w:rPr>
                  <w:rStyle w:val="InternetLink"/>
                  <w:rFonts w:ascii="Times New Roman;serif" w:hAnsi="Times New Roman;serif"/>
                  <w:b w:val="false"/>
                  <w:color w:val="000080"/>
                  <w:sz w:val="20"/>
                  <w:u w:val="single"/>
                </w:rPr>
                <w:t>C on September 2, 2025, File No. 001-33278).</w:t>
              </w:r>
            </w:hyperlink>
          </w:p>
        </w:tc>
      </w:tr>
      <w:tr>
        <w:trPr/>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5afredicksonempagmt.htm">
              <w:r>
                <w:rPr>
                  <w:rStyle w:val="InternetLink"/>
                  <w:rFonts w:ascii="Times New Roman;serif" w:hAnsi="Times New Roman;serif"/>
                  <w:b w:val="false"/>
                  <w:color w:val="0000FF"/>
                  <w:sz w:val="20"/>
                  <w:u w:val="single"/>
                </w:rPr>
                <w:t>Employment Agreement, dated September 10, 2025, between the Company and Andrew Fredrickson</w:t>
              </w:r>
            </w:hyperlink>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fy26q1avnwform10-qex311.htm">
              <w:r>
                <w:rPr>
                  <w:rStyle w:val="InternetLink"/>
                  <w:rFonts w:ascii="Times New Roman;serif" w:hAnsi="Times New Roman;serif"/>
                  <w:b w:val="false"/>
                  <w:color w:val="0000FF"/>
                  <w:sz w:val="20"/>
                  <w:u w:val="single"/>
                </w:rPr>
                <w:t>Rule 13a-14(a)/15d-14(a) Certification of President and Chief Executive Officer</w:t>
              </w:r>
            </w:hyperlink>
          </w:p>
        </w:tc>
      </w:tr>
      <w:tr>
        <w:trPr/>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fy26q1avnwform10-qex312.htm">
              <w:r>
                <w:rPr>
                  <w:rStyle w:val="InternetLink"/>
                  <w:rFonts w:ascii="Times New Roman;serif" w:hAnsi="Times New Roman;serif"/>
                  <w:b w:val="false"/>
                  <w:color w:val="0000FF"/>
                  <w:sz w:val="20"/>
                  <w:u w:val="single"/>
                </w:rPr>
                <w:t>Rule 13a-14(a)/15d-14(a) Certification of Chief Financial Officer</w:t>
              </w:r>
            </w:hyperlink>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fy26q1avnwform10-qex321.htm">
              <w:r>
                <w:rPr>
                  <w:rStyle w:val="InternetLink"/>
                  <w:rFonts w:ascii="Times New Roman;serif" w:hAnsi="Times New Roman;serif"/>
                  <w:b w:val="false"/>
                  <w:color w:val="0000FF"/>
                  <w:sz w:val="20"/>
                  <w:u w:val="single"/>
                </w:rPr>
                <w:t>Section 1350 Certification of Chief Executive Officer and Chief Financial Officer</w:t>
              </w:r>
            </w:hyperlink>
          </w:p>
        </w:tc>
      </w:tr>
      <w:tr>
        <w:trPr/>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compensatory contract, arrangement or plan required to be filed as an exhibit pursuant to Item 15(b) of this report.</w:t>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Certain portions of this exhibit were redacted pursuant to Item 601(b)(10)(iv) of Regulation S-K.</w:t>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2326" w:type="dxa"/>
        <w:jc w:val="right"/>
        <w:tblInd w:w="0" w:type="dxa"/>
        <w:tblLayout w:type="fixed"/>
        <w:tblCellMar>
          <w:top w:w="28" w:type="dxa"/>
          <w:left w:w="28" w:type="dxa"/>
          <w:bottom w:w="28" w:type="dxa"/>
          <w:right w:w="28" w:type="dxa"/>
        </w:tblCellMar>
      </w:tblPr>
      <w:tblGrid>
        <w:gridCol w:w="745"/>
        <w:gridCol w:w="655"/>
        <w:gridCol w:w="926"/>
      </w:tblGrid>
      <w:tr>
        <w:trPr/>
        <w:tc>
          <w:tcPr>
            <w:tcW w:w="74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AVIAT NETWORKS, INC.</w:t>
              <w:br/>
              <w:t>(Registrant)</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4, 2025 </w:t>
      </w:r>
    </w:p>
    <w:tbl>
      <w:tblPr>
        <w:tblW w:w="4619" w:type="dxa"/>
        <w:jc w:val="right"/>
        <w:tblInd w:w="0" w:type="dxa"/>
        <w:tblLayout w:type="fixed"/>
        <w:tblCellMar>
          <w:top w:w="28" w:type="dxa"/>
          <w:left w:w="28" w:type="dxa"/>
          <w:bottom w:w="28" w:type="dxa"/>
          <w:right w:w="28" w:type="dxa"/>
        </w:tblCellMar>
      </w:tblPr>
      <w:tblGrid>
        <w:gridCol w:w="151"/>
        <w:gridCol w:w="134"/>
        <w:gridCol w:w="135"/>
        <w:gridCol w:w="1228"/>
        <w:gridCol w:w="1228"/>
        <w:gridCol w:w="174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Andrew Fredrickson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Andrew Fredrickson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and Interim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70" w:after="283"/>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lineRule="auto" w:line="288" w:before="238" w:after="283"/>
        <w:ind w:left="0" w:right="0" w:firstLine="720"/>
        <w:jc w:val="both"/>
        <w:rPr/>
      </w:pPr>
      <w:r>
        <w:rPr>
          <w:rFonts w:ascii="Times New Roman;serif" w:hAnsi="Times New Roman;serif"/>
          <w:b w:val="false"/>
          <w:color w:val="000000"/>
          <w:sz w:val="24"/>
        </w:rPr>
        <w:t>This Employment Agreement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and entered into as of September 10, 2025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by and between Aviat U.S.,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Andrew M. Fredrickson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u w:val="single"/>
        </w:rPr>
        <w:t>Employment</w:t>
      </w:r>
      <w:r>
        <w:rPr>
          <w:rFonts w:ascii="Times New Roman;serif" w:hAnsi="Times New Roman;serif"/>
          <w:b w:val="false"/>
          <w:color w:val="000000"/>
          <w:sz w:val="24"/>
        </w:rPr>
        <w:t>. During the period commencing on the Effective Date and for the duration of the Employment Period (as defined in Section 4 below), the Company shall employ Executive, and Executive shall serve as Interim Chief Financial Officer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pPr>
      <w:r>
        <w:rPr>
          <w:rFonts w:ascii="Times New Roman;serif" w:hAnsi="Times New Roman;serif"/>
          <w:b w:val="false"/>
          <w:color w:val="000000"/>
          <w:sz w:val="24"/>
        </w:rPr>
        <w:t>2.</w:t>
      </w:r>
      <w:r>
        <w:rPr>
          <w:rFonts w:ascii="Times New Roman;serif" w:hAnsi="Times New Roman;serif"/>
          <w:b/>
          <w:color w:val="000000"/>
          <w:sz w:val="24"/>
          <w:u w:val="single"/>
        </w:rPr>
        <w:t>Duties and Responsibilities of Executive</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(a)During the Employment Period, Executive shall devote Executive’s full business time and attention to the business of the Company and its Affiliates, as applicable, and will not hold any outside employment or consulting position (without prior approval of the Board/Chief Executive Officer). Executive’s duties pursuant to this Agreement will include those normally incidental to the position identified in Section 1 of this Agreement, as well as such additional duties as may be assigned to Executive by the Company from time to time.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(b)Executive represents and covenants that Executive is not the subject of or a party to any employment agreement, non-competition or non-solicitation covenant, non-disclosure agreement, or any other agreement, covenant, understanding, or restriction that would prohibit Executive from executing this Agreement and fully performing Executive’s duties and responsibilities hereunder, or would in any manner, directly or indirectly, limit or affect the duties and responsibilities that may now or in the future be assigned to Executive hereunder.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(c)Executive acknowledges and agrees that Executive owes the Company and its Affiliates fiduciary duties, including duties of care, loyalty, fidelity, and allegiance, such that Executive shall act at all times in the best interests of the Company and its Affiliates and shall not appropriate any business opportunity of the Company or its Affiliates for Executive. Executive agrees that the obligations described in this Agreement are in addition to, and not in lieu of, the obligations Executive owes the Company and its Affiliates under common law. The Executive and Company both acknowledge and agree that Executive may provide services (including as an executive, employee, director, or otherwise) to multiple Affiliates of the Company and, in providing such services, Executive will not be violating Executive’s obligations hereunder so long as Executive abides by the terms of Sections 7, 8, and 9 below in the course of performing such services.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(d)During the Employment Period, you will report directly to Peter A. Smith,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pPr>
      <w:r>
        <w:rPr>
          <w:rFonts w:ascii="Times New Roman;serif" w:hAnsi="Times New Roman;serif"/>
          <w:b w:val="false"/>
          <w:color w:val="000000"/>
          <w:sz w:val="24"/>
        </w:rPr>
        <w:t>3.</w:t>
      </w:r>
      <w:r>
        <w:rPr>
          <w:rFonts w:ascii="Times New Roman;serif" w:hAnsi="Times New Roman;serif"/>
          <w:b/>
          <w:color w:val="000000"/>
          <w:sz w:val="24"/>
          <w:u w:val="single"/>
        </w:rPr>
        <w:t>Compensation</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Salary Stipend</w:t>
      </w:r>
      <w:r>
        <w:rPr>
          <w:rFonts w:ascii="Times New Roman;serif" w:hAnsi="Times New Roman;serif"/>
          <w:b w:val="false"/>
          <w:color w:val="000000"/>
          <w:sz w:val="24"/>
        </w:rPr>
        <w:t>. During Employment Period, Executive’s annualized base salary shall be supplemented with $10,000 per month during the Employment Period (the “</w:t>
      </w:r>
      <w:r>
        <w:rPr>
          <w:rFonts w:ascii="Times New Roman;serif" w:hAnsi="Times New Roman;serif"/>
          <w:b w:val="false"/>
          <w:color w:val="000000"/>
          <w:sz w:val="24"/>
          <w:u w:val="single"/>
        </w:rPr>
        <w:t>Base</w:t>
      </w:r>
      <w:r>
        <w:rPr>
          <w:color w:val="000000"/>
        </w:rPr>
        <w:t xml:space="preserve"> </w:t>
      </w:r>
      <w:r>
        <w:rPr>
          <w:rFonts w:ascii="Times New Roman;serif" w:hAnsi="Times New Roman;serif"/>
          <w:b w:val="false"/>
          <w:color w:val="000000"/>
          <w:sz w:val="24"/>
          <w:u w:val="single"/>
        </w:rPr>
        <w:t>Salary Stipend</w:t>
      </w:r>
      <w:r>
        <w:rPr>
          <w:color w:val="000000"/>
        </w:rPr>
        <w:t>”</w:t>
      </w:r>
      <w:r>
        <w:rPr>
          <w:rFonts w:ascii="Times New Roman;serif" w:hAnsi="Times New Roman;serif"/>
          <w:b w:val="false"/>
          <w:color w:val="000000"/>
          <w:sz w:val="24"/>
        </w:rPr>
        <w:t>). The Base Salary Stipend shall be provided in consideration for Executive’s services under this Agreement, and payable on a not less than biweekly basis, in conformity with the Company’s customary payroll practices for executives as in effect from time to time and subject to all withholdings and deductions as detailed in Section 13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8" w:after="283"/>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u w:val="single"/>
        </w:rPr>
        <w:t>Term of Employment</w:t>
      </w:r>
      <w:r>
        <w:rPr>
          <w:rFonts w:ascii="Times New Roman;serif" w:hAnsi="Times New Roman;serif"/>
          <w:b w:val="false"/>
          <w:color w:val="000000"/>
          <w:sz w:val="24"/>
        </w:rPr>
        <w:t>. The current term of Executive’s employment under this Agreement is the period commencing on the Effective Date and ending upon the commencement of employment for the Chief Financial Officer Notwithstanding any other provision of this Agreement to the contrary, Executive’s employment pursuant to this Agreement may be terminated at any time in accordance with Section 6 of this Agreement. The period from the Effective Date through the expiration of this Agreement or, if sooner, the termination of Executive’s employment pursuant to this Agreement, regardless of the time or reason for such termination, shall be referred to herein as the “</w:t>
      </w:r>
      <w:r>
        <w:rPr>
          <w:rFonts w:ascii="Times New Roman;serif" w:hAnsi="Times New Roman;serif"/>
          <w:b w:val="false"/>
          <w:color w:val="000000"/>
          <w:sz w:val="24"/>
          <w:u w:val="single"/>
        </w:rPr>
        <w:t>Employment Period.</w:t>
      </w:r>
      <w:r>
        <w:rPr>
          <w:color w:val="000000"/>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4"/>
          <w:u w:val="single"/>
        </w:rPr>
        <w:t>Reimbursement of Business Expenses; Benefits</w:t>
      </w:r>
      <w:r>
        <w:rPr>
          <w:rFonts w:ascii="Times New Roman;serif" w:hAnsi="Times New Roman;serif"/>
          <w:b w:val="false"/>
          <w:color w:val="000000"/>
          <w:sz w:val="24"/>
        </w:rPr>
        <w:t>. Subject to the terms and conditions of this Agreement, Executive shall be entitled to the following reimbursements and benefits during the Employment Period: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Reimbursement of Business Expenses</w:t>
      </w:r>
      <w:r>
        <w:rPr>
          <w:rFonts w:ascii="Times New Roman;serif" w:hAnsi="Times New Roman;serif"/>
          <w:b w:val="false"/>
          <w:color w:val="000000"/>
          <w:sz w:val="24"/>
        </w:rPr>
        <w:t xml:space="preserve">. The Company agrees to reimburse Executive for Executive’s reasonable business-related expenses incurred in the performance of Executive’s duties under this Agreement;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Executive timely submits all documentation for such reimbursement, as required by Company policy in effect from time-to-time. Any reimbursement of expenses under this Section 5(a) or Section 12 shall be made by the Company upon or as soon as practicable following receipt of supporting documentation reasonably satisfactory to the Company (but in any event not later than the close of Executive’s taxable year following the taxable year in which the expense is incurred by Executive);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upon the termination of Executive’s employment with the Company, in no event shall any additional reimbursement be made prior to the date that is six months after the date of such termination (or, if earlier, prior to the date of Executive’s death) to the extent such payment delay is required under Section 409A(a)(2)(B)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In no event shall any reimbursement be made to Executive for such expenses incurred after the date that is five years after the date of the termination of Executive’s employment with the Company. Executive is not permitted to receive a payment in lieu of reimbursement under this Section 5(a) or Section 12.</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Benefits</w:t>
      </w:r>
      <w:r>
        <w:rPr>
          <w:rFonts w:ascii="Times New Roman;serif" w:hAnsi="Times New Roman;serif"/>
          <w:b w:val="false"/>
          <w:color w:val="000000"/>
          <w:sz w:val="24"/>
        </w:rPr>
        <w:t>. Executive shall be eligible to participate in the same benefit plans or fringe benefit policies or programs in which other similarly situated Company employees are eligible to participate, subject to applicable eligibility requirements and the terms and conditions of such plans, policies, and programs as in effect from time to time. The Company shall not, by reason of this Section 5(b), be obligated to institute, maintain, or refrain from changing, amending, or discontinuing, any such plans, policies, and programs, so long as such changes are similarly applicable to similarly situated Company employees generally.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pPr>
      <w:r>
        <w:rPr>
          <w:rFonts w:ascii="Times New Roman;serif" w:hAnsi="Times New Roman;serif"/>
          <w:b w:val="false"/>
          <w:color w:val="000000"/>
          <w:sz w:val="24"/>
        </w:rPr>
        <w:t>6.</w:t>
      </w:r>
      <w:r>
        <w:rPr>
          <w:rFonts w:ascii="Times New Roman;serif" w:hAnsi="Times New Roman;serif"/>
          <w:b/>
          <w:color w:val="000000"/>
          <w:sz w:val="24"/>
          <w:u w:val="single"/>
        </w:rPr>
        <w:t>Termination of Employment</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Company’s Right to Terminate Executive’s Employment for Cause</w:t>
      </w:r>
      <w:r>
        <w:rPr>
          <w:rFonts w:ascii="Times New Roman;serif" w:hAnsi="Times New Roman;serif"/>
          <w:b w:val="false"/>
          <w:color w:val="000000"/>
          <w:sz w:val="24"/>
        </w:rPr>
        <w:t>. The Company shall have the right to terminate Executive’s employment at any time for Cause. For purposes of this Agreement,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shall mean Executive’s:</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(i)material breach of any policy established by the Company or any of its Affiliates including but not limited to policies regarding bribery and harassment and any other policies applicable to Executive;</w:t>
      </w:r>
    </w:p>
    <w:p>
      <w:pPr>
        <w:pStyle w:val="TextBody"/>
        <w:bidi w:val="0"/>
        <w:spacing w:before="240" w:after="283"/>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9700"/>
                <wp:effectExtent l="0" t="0" r="0" b="0"/>
                <wp:wrapNone/>
                <wp:docPr id="35" name="Frame3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240" w:after="283"/>
        <w:ind w:left="0" w:right="0" w:firstLine="1440"/>
        <w:jc w:val="both"/>
        <w:rPr/>
      </w:pPr>
      <w:r>
        <w:rPr/>
      </w:r>
    </w:p>
    <w:p>
      <w:pPr>
        <w:pStyle w:val="TextBody"/>
        <w:bidi w:val="0"/>
        <w:spacing w:lineRule="auto" w:line="288" w:before="68"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(ii)engaging in acts of disloyalty to the Company or its Affiliates, including fraud, embezzlement, theft, commission of a felony, or proven dishonesty;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(iii)willful misconduct in the performance of, or willful failure to perform a material function of, Executive’s duties under this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Company’s Right to Terminate for Convenience</w:t>
      </w:r>
      <w:r>
        <w:rPr>
          <w:rFonts w:ascii="Times New Roman;serif" w:hAnsi="Times New Roman;serif"/>
          <w:b w:val="false"/>
          <w:color w:val="000000"/>
          <w:sz w:val="24"/>
        </w:rPr>
        <w:t>. The Company shall have the right to terminate Executive’s employment without Cause, with or without notice, at any time and for any reason or no reason at all.</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Executive’s Right to Terminate for Good Reason</w:t>
      </w:r>
      <w:r>
        <w:rPr>
          <w:rFonts w:ascii="Times New Roman;serif" w:hAnsi="Times New Roman;serif"/>
          <w:b w:val="false"/>
          <w:color w:val="000000"/>
          <w:sz w:val="24"/>
        </w:rPr>
        <w:t>. Executive shall have the right to terminate Executive’s employment with the Company at any time for Good Reason. For purposes of this Agreement,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shall mean: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 material diminution in Executive’s authority, duties, title, or responsibilities;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 material diminution in Executive’s Base Salary Stipend, Target Annual Bonus, or Target Annual LTIP Award;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relocation of the geographic location of Executive’s principal place of employment by more than 100 miles from the location of Executive’s principal place of employment as of the Effective Date;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(iv)the Company’s delivery of a written notice of non-renewal of this Agreement to Executive.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provisions of this Section 6(c) or any other provision of this Agreement to the contrary, any assertion by Executive of a termination for Good Reason shall not be effective unless all of the following conditions are satisfied: (A) the condition described in Section 6(c)(i), (ii), (iii), or (iv) giving rise to Executive’s termination of Executive’s employment must have arisen without Executive’s written consent; (B) Executive must provide written notice to the Company of such condition within 30 days of the date on which Executive knew of the existence of the condition; (C) the condition specified in such notice must remain uncorrected for 30 days after receipt of such notice by the Company; and (D) the date of Executive’s termination of Executive’s employment must occur within 30 days after the end of such cure period.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Death or Disability</w:t>
      </w:r>
      <w:r>
        <w:rPr>
          <w:rFonts w:ascii="Times New Roman;serif" w:hAnsi="Times New Roman;serif"/>
          <w:b w:val="false"/>
          <w:color w:val="000000"/>
          <w:sz w:val="24"/>
        </w:rPr>
        <w:t>. Executive’s employment with the Company shall terminate upon the death or Disability of Executive. For purposes of this Agreement, a “</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 xml:space="preserve">shall exist if Executive is unable to perform the essential functions of Executive’s position, with reasonable accommodation (if applicable), due to an illness or physical or mental impairment or other incapacity that continues for a period in excess of 90 days, whether consecutive or not, in any period of 365 consecutive days. The determination of a Disability will be made by the Company after obtaining an opinion from a doctor of the Company’s choosing. Executive agrees to provide such information and participate in such examinations as may be reasonably required by said doctor in order to form his or her opinion. If requested by the Company, Executive shall submit to a mental or physical examination to be performed by an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9700"/>
                <wp:effectExtent l="0" t="0" r="0" b="0"/>
                <wp:wrapNone/>
                <wp:docPr id="36" name="Frame3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independent physician selected by the Company to assist the Company in making such determination.</w:t>
      </w:r>
    </w:p>
    <w:p>
      <w:pPr>
        <w:pStyle w:val="TextBody"/>
        <w:bidi w:val="0"/>
        <w:spacing w:lineRule="auto" w:line="288" w:before="68"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Executive’s Right to Terminate for Convenience</w:t>
      </w:r>
      <w:r>
        <w:rPr>
          <w:rFonts w:ascii="Times New Roman;serif" w:hAnsi="Times New Roman;serif"/>
          <w:b w:val="false"/>
          <w:color w:val="000000"/>
          <w:sz w:val="24"/>
        </w:rPr>
        <w:t xml:space="preserve">. Executive shall have the right to terminate Executive’s employment with the Company for convenience at any time upon 60 days’ advance written notice to the Company;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if Executive provides a notice of termination pursuant to this Section 6(e), the Company may designate an earlier termination date than that specified in Executive’s notice. The Company’s designation of such an earlier date will not change the nature of Executive’s termination, which will still be deemed a voluntary resignation by Executive pursuant to this Section 6(e).</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Effect of Termination</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(i)If Executive’s employment hereunder shall terminate (1) pursuant to Section 4 as a result of a non-renewal of this Agreement by Executive or (2) pursuant to Section 6(a) or 6(e), then all compensation and all benefits to Executive hereunder shall terminate contemporaneously with such termination of employment, except that Executive shall be entitled to (x) payment of all earned, unpaid Base Salary Stipend and Executive’s underlying salary within 30 days of Executive’s last day of employment (which, for the avoidance of doubt, shall be earlier of the date that is 60 days following Executive’s notice of resignation or the Company’s designation of an earlier termination date, as applicable), or earlier if required by law, (y) reimbursement for all incurred but unreimbursed expenses for which Executive is entitled to reimbursement in accordance with Section 5(a) and Section 12, and (z) benefits to which Executive may be entitled pursuant to the terms of any plan or policy described in Section 5(b).</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(ii)If Executive’s employment terminates (1) pursuant to Section 6(b) or 6(c) or (2) due to Executive’s death or Disability pursuant to Section 6(d), then all compensation and all benefits to Executive hereunder shall terminate contemporaneously with such termination of employment, except that (I) Executive shall be entitled to receive the compensation and benefits described in clauses (x) through (z) of Section 6(f)(i); and (II) if Executive executes, on or before the Release Expiration Date (as defined below), and does not revoke within the time provided by the Company to do so, a release of all claims in a form satisfactory to the Company (which shall be substantially similar to the form of release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(the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xml:space="preserve">)), then,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Executive abides by the terms of Sections 7, 8, 9, 10, and 12:</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(A)The Company shall pay to Executive an amount (the “</w:t>
      </w:r>
      <w:r>
        <w:rPr>
          <w:rFonts w:ascii="Times New Roman;serif" w:hAnsi="Times New Roman;serif"/>
          <w:b w:val="false"/>
          <w:color w:val="000000"/>
          <w:sz w:val="24"/>
          <w:u w:val="single"/>
        </w:rPr>
        <w:t>Severance Payment</w:t>
      </w:r>
      <w:r>
        <w:rPr>
          <w:color w:val="000000"/>
        </w:rPr>
        <w:t>”</w:t>
      </w:r>
      <w:r>
        <w:rPr>
          <w:rFonts w:ascii="Times New Roman;serif" w:hAnsi="Times New Roman;serif"/>
          <w:b w:val="false"/>
          <w:color w:val="000000"/>
          <w:sz w:val="24"/>
        </w:rPr>
        <w:t>) equal to 26 weeks of pay to include the Base Salary Stipend and the Executives underlying salary and Executive’s prorated Annual Bonus as of the date of termination (or, if such termination occurs within three months preceeding or 12 months following a Change in Control (as defined below), the target bonus). The Severance Payment will be paid in a lump sum, subject to all applicable taxes on or before the Company’s first regularly scheduled pay date that is on or after the date that is 60 days after the date of termination.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(B)All outstanding awards granted to Executive pursuant to the LTIP prior to the termination date that remain unvested as of the date of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9700"/>
                <wp:effectExtent l="0" t="0" r="0" b="0"/>
                <wp:wrapNone/>
                <wp:docPr id="37" name="Frame3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termination shall remain unvested (or, if such termination occurs within three months preceeding or 12 months following a Change in Control time-based equity will be accelerated at 100% and Performance-based awards will be 100% accelerated for awards based on actual performance (if determinable) or target).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(C)If Executive timely and properly elects to continue coverage for Executive and Executive’s spouse and eligible dependents, if any, under the Company’s group health plans pursuant to the Consolidated Omnibus Budget Reconciliation Act of 1985, as amended (“</w:t>
      </w:r>
      <w:r>
        <w:rPr>
          <w:rFonts w:ascii="Times New Roman;serif" w:hAnsi="Times New Roman;serif"/>
          <w:b w:val="false"/>
          <w:color w:val="000000"/>
          <w:sz w:val="24"/>
          <w:u w:val="single"/>
        </w:rPr>
        <w:t>COBRA</w:t>
      </w:r>
      <w:r>
        <w:rPr>
          <w:color w:val="000000"/>
        </w:rPr>
        <w:t>”</w:t>
      </w:r>
      <w:r>
        <w:rPr>
          <w:rFonts w:ascii="Times New Roman;serif" w:hAnsi="Times New Roman;serif"/>
          <w:b w:val="false"/>
          <w:color w:val="000000"/>
          <w:sz w:val="24"/>
        </w:rPr>
        <w:t>), similar in the amounts and types of coverage provided by the Company to Executive prior to the termination date, then during the COBRA Continuation Period (as defined below), the Company shall promptly reimburse Executive on a monthly basis for the entire amount Executive pays to effect and continue such coverage (“</w:t>
      </w:r>
      <w:r>
        <w:rPr>
          <w:rFonts w:ascii="Times New Roman;serif" w:hAnsi="Times New Roman;serif"/>
          <w:b w:val="false"/>
          <w:color w:val="000000"/>
          <w:sz w:val="24"/>
          <w:u w:val="single"/>
        </w:rPr>
        <w:t>COBRA Benefit</w:t>
      </w:r>
      <w:r>
        <w:rPr>
          <w:color w:val="000000"/>
        </w:rPr>
        <w:t>”</w:t>
      </w:r>
      <w:r>
        <w:rPr>
          <w:rFonts w:ascii="Times New Roman;serif" w:hAnsi="Times New Roman;serif"/>
          <w:b w:val="false"/>
          <w:color w:val="000000"/>
          <w:sz w:val="24"/>
        </w:rPr>
        <w:t>). Each payment of the COBRA Benefit shall be paid to Executive on the Company’s first regularly scheduled pay date in the calendar month immediately following the calendar month in which Executive submits to the Company documentation of the applicable premium payment having been paid by Executive, which documentation shall be submitted by Executive to the Company within 30 days following the date on which the applicable premium payment is paid. Notwithstanding anything in the preceding provisions of this Section 6(f)(ii)(C) to the contrary, (x) the election of COBRA continuation coverage and the payment of any premiums due with respect to such COBRA continuation coverage will remain Executive’s sole responsibility, and the Company will assume no obligation for payment of any such premiums relating to such COBRA continuation coverage and (y) if the provision of the benefit described in this Section 6(f)(ii)(C) cannot be provided in the manner described above without penalty, tax, or other adverse impact on the Company, then the Company and Executive shall negotiate in good faith to determine an alternative manner in which the Company may provide a substantially equivalent benefit to Executive without such adverse impact on the Company.</w:t>
      </w:r>
    </w:p>
    <w:p>
      <w:pPr>
        <w:pStyle w:val="TextBody"/>
        <w:bidi w:val="0"/>
        <w:spacing w:lineRule="auto" w:line="288" w:before="240" w:after="283"/>
        <w:jc w:val="both"/>
        <w:rPr/>
      </w:pPr>
      <w:r>
        <w:rPr>
          <w:rFonts w:ascii="Times New Roman;serif" w:hAnsi="Times New Roman;serif"/>
          <w:b w:val="false"/>
          <w:color w:val="000000"/>
          <w:sz w:val="24"/>
        </w:rPr>
        <w:t>As used herein, the “</w:t>
      </w:r>
      <w:r>
        <w:rPr>
          <w:rFonts w:ascii="Times New Roman;serif" w:hAnsi="Times New Roman;serif"/>
          <w:b w:val="false"/>
          <w:color w:val="000000"/>
          <w:sz w:val="24"/>
          <w:u w:val="single"/>
        </w:rPr>
        <w:t>COBRA Continuation Period</w:t>
      </w:r>
      <w:r>
        <w:rPr>
          <w:color w:val="000000"/>
        </w:rPr>
        <w:t xml:space="preserve">” </w:t>
      </w:r>
      <w:r>
        <w:rPr>
          <w:rFonts w:ascii="Times New Roman;serif" w:hAnsi="Times New Roman;serif"/>
          <w:b w:val="false"/>
          <w:color w:val="000000"/>
          <w:sz w:val="24"/>
        </w:rPr>
        <w:t xml:space="preserve">shall mean the period beginning on the first day of the first calendar month following the date of termination and continuing for a number of months thereafter equal to one month (or, if such termination occurs within three months preceeding or 12 months following a Change in Control, one month);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COBRA Continuation Period shall immediately terminate upon the earlier of (1) the time Executive becomes eligible to be covered under a group health plan sponsored by another employer (and Executive shall promptly notify the Company in the event that Executive becomes so eligible) or (2) the date Executive is no longer eligible to receive COBRA continuation coverage. For purposes of this Section 6(f)(ii), in the event of Executive’s death, references to Executive (other than in Section 6(f)(ii)(C)) shall include Executive’s estate, and references to Executive in Section 6(f)(ii)(C) shall include Executive’s spouse and eligible dependents, if any, who are “qualified beneficiaries” (within the meaning of COBRA and the regulations thereunder) with respect to Executive’s death.</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(iii)</w:t>
      </w:r>
      <w:r>
        <w:rPr>
          <w:color w:val="000000"/>
        </w:rPr>
        <w:t xml:space="preserve"> </w:t>
      </w:r>
      <w:r>
        <w:rPr>
          <w:rFonts w:ascii="Times New Roman;serif" w:hAnsi="Times New Roman;serif"/>
          <w:b w:val="false"/>
          <w:color w:val="000000"/>
          <w:sz w:val="24"/>
        </w:rPr>
        <w:t xml:space="preserve">Executive acknowledges Executive’s understanding that if the Release is not executed and returned to the Company on or before the Release Expiration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9700"/>
                <wp:effectExtent l="0" t="0" r="0" b="0"/>
                <wp:wrapNone/>
                <wp:docPr id="38" name="Frame3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241" w:after="283"/>
        <w:jc w:val="both"/>
        <w:rPr/>
      </w:pPr>
      <w:r>
        <w:rPr>
          <w:rFonts w:ascii="Times New Roman;serif" w:hAnsi="Times New Roman;serif"/>
          <w:b w:val="false"/>
          <w:color w:val="000000"/>
          <w:sz w:val="24"/>
        </w:rPr>
        <w:t>and the required revocation period has not fully expired without revocation of the Release by Executive, then Executive shall not be entitled to any payments or benefits pursuant to Section 6(f)(ii). As used herein, the “</w:t>
      </w:r>
      <w:r>
        <w:rPr>
          <w:rFonts w:ascii="Times New Roman;serif" w:hAnsi="Times New Roman;serif"/>
          <w:b w:val="false"/>
          <w:color w:val="000000"/>
          <w:sz w:val="24"/>
          <w:u w:val="single"/>
        </w:rPr>
        <w:t>Release Expiration Date</w:t>
      </w:r>
      <w:r>
        <w:rPr>
          <w:color w:val="000000"/>
        </w:rPr>
        <w:t xml:space="preserve">” </w:t>
      </w:r>
      <w:r>
        <w:rPr>
          <w:rFonts w:ascii="Times New Roman;serif" w:hAnsi="Times New Roman;serif"/>
          <w:b w:val="false"/>
          <w:color w:val="000000"/>
          <w:sz w:val="24"/>
        </w:rPr>
        <w:t>is that date that is 21 days following the date upon which the Company delivers the Release to Executive (which shall occur no later than seven days after the date of termination) or, in the event that such termination of employment is “in connection with an exit incentive or other employment termination program” (as such phrase is defined in the Age Discrimination in Employment Act of 1967, as amended), the date that is 45 days following such delivery date.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(iv)</w:t>
      </w:r>
      <w:r>
        <w:rPr>
          <w:color w:val="000000"/>
        </w:rPr>
        <w:t xml:space="preserve"> </w:t>
      </w:r>
      <w:r>
        <w:rPr>
          <w:rFonts w:ascii="Times New Roman;serif" w:hAnsi="Times New Roman;serif"/>
          <w:b w:val="false"/>
          <w:color w:val="000000"/>
          <w:sz w:val="24"/>
        </w:rPr>
        <w:t>For purposes of this Agreement, a “</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shall mean the occurrence of one or more of the following transactions following the Effective Date: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(A)the sale or disposal by the Company of all or substantially all of its assets to any person other than an Affiliate of the Company;</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(B)the merger or consolidation of the Company with or into another partnership, corporation, or other entity, other than a merger or consolidation in which the equityholders in the Company immediately prior to such transaction retain a greater than 50% equity interest in the surviving entity; or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(C)the acquisition by any person or group (as defined in Section 13d(d)(3) of the Securities Exchange Act of 1934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of the beneficial ownership (as defined in Section 13d(d)(3) of the Exchange Act) of more than 50% of the equity of the Company entitled to vote in the election of the Company’s directors (or the persons performing the functions of directors).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Meaning of Termination of Employment</w:t>
      </w:r>
      <w:r>
        <w:rPr>
          <w:rFonts w:ascii="Times New Roman;serif" w:hAnsi="Times New Roman;serif"/>
          <w:b w:val="false"/>
          <w:color w:val="000000"/>
          <w:sz w:val="24"/>
        </w:rPr>
        <w:t>. For all purposes of this Agreement, Executive shall be considered to have terminated employment with the Company when Executive incurs a “</w:t>
      </w:r>
      <w:r>
        <w:rPr>
          <w:rFonts w:ascii="Times New Roman;serif" w:hAnsi="Times New Roman;serif"/>
          <w:b w:val="false"/>
          <w:color w:val="000000"/>
          <w:sz w:val="24"/>
          <w:u w:val="single"/>
        </w:rPr>
        <w:t>separation from service</w:t>
      </w:r>
      <w:r>
        <w:rPr>
          <w:color w:val="000000"/>
        </w:rPr>
        <w:t xml:space="preserve">” </w:t>
      </w:r>
      <w:r>
        <w:rPr>
          <w:rFonts w:ascii="Times New Roman;serif" w:hAnsi="Times New Roman;serif"/>
          <w:b w:val="false"/>
          <w:color w:val="000000"/>
          <w:sz w:val="24"/>
        </w:rPr>
        <w:t xml:space="preserve">with the Company within the meaning of Section 409A(a)(2)(A)(i) of the Code;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whether such a separation from service has occurred shall be determined based upon a reasonably anticipated permanent reduction in the level of bona fide services to be performed to no more than 25% of the average level of bona fide services provided in the immediately preceding 36 months.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4"/>
          <w:u w:val="single"/>
        </w:rPr>
        <w:t>Conflicts of Interest; Disclosure of Opportunities</w:t>
      </w:r>
      <w:r>
        <w:rPr>
          <w:rFonts w:ascii="Times New Roman;serif" w:hAnsi="Times New Roman;serif"/>
          <w:b w:val="false"/>
          <w:color w:val="000000"/>
          <w:sz w:val="24"/>
        </w:rPr>
        <w:t>. Executive agrees that Executive shall promptly disclose to the Board any conflict of interest involving Executive upon Executive becoming aware of such conflict.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4"/>
          <w:u w:val="single"/>
        </w:rPr>
        <w:t>Confidentiality</w:t>
      </w:r>
      <w:r>
        <w:rPr>
          <w:rFonts w:ascii="Times New Roman;serif" w:hAnsi="Times New Roman;serif"/>
          <w:b w:val="false"/>
          <w:color w:val="000000"/>
          <w:sz w:val="24"/>
        </w:rPr>
        <w:t>. Executive acknowledges and agrees that, in the course of Executive’s employment with the Company, Executive has been provided with and had access to (and, during the Employment Period, Executive will continue to be provided with, and have access to) valuable Confidential Information (as defined below). In consideration of Executive’s receipt of and access to such Confidential Information and in exchange for other valuable consideration provided hereunder, and as a condition of Executive’s employment hereunder, Executive agrees to comply with this Section 8.</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9700"/>
                <wp:effectExtent l="0" t="0" r="0" b="0"/>
                <wp:wrapNone/>
                <wp:docPr id="39" name="Frame3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(a)Executive covenants and agrees, both during the Employment Period and thereafter, that, except as expressly permitted by this Agreement or by directive of the Board, Executive shall not disclose any Confidential Information to any person and shall not use any Confidential Information except for the benefit of the Company or any of its Affiliates. Executive shall take all reasonable precautions to protect the physical security of all documents and other material containing Confidential Information (regardless of the medium on which the Confidential Information is stored). The covenants in this Section 8(a) shall apply to all Confidential Information, whether now known or later to become known to Executive during the Employment Period.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(b)Notwithstanding Section 8(a), Executive may make the following disclosures and uses of Confidential Information: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(i)disclosures to other executives or employees of the Company or its Affiliates who have a need to know the information in connection with the business of the Company or its Affiliates;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(ii)disclosures and uses that are incidental to Executive’s provision of services to the Company and its Affiliates consistent with the terms of this Agreement or that are approved by the Board;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(iii)disclosures for the purpose of complying with any applicable laws or regulatory requirements;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(iv)disclosures that Executive is legally compelled to make by deposition, interrogatory, request for documents, subpoena, civil investigative demand, order of a court of competent jurisdiction, or similar process, or otherwise by law.</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(c)Upon the end of Executive’s employment with the Company and at any other time upon request of the Company, Executive shall surrender and deliver to the Company all documents (including electronically stored information) and other material of any nature containing or pertaining to all Confidential Information in Executive’s possession and shall not retain any such document or other material. Within ten (10) days of any such request, Executive shall certify to the Company in writing that all such materials have been returned to the Company.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(d)All non-public information, designs, ideas, concepts, improvements, product developments, discoveries, and inventions, whether patentable or not, that are conceived, made, developed, or acquired by Executive, individually or in conjunction with others, during the period Executive is or has been employed or affiliated with the Company or any of its Affiliates (whether during business hours or otherwise and whether on the Company’s premises or otherwise) that relate to the Company’s or any of its Affiliates’ business or properties, products, or services (including all such information relating to corporate opportunities, business plans, trade secrets, strategies for developing business and market share, research, financial and sales data, pricing terms, evaluations, opinions, interpretations, acquisition prospects, the identity of customers or their requirements, the identity of key contacts within customers’ organizations or within the organization of acquisition prospects, or marketing and merchandising techniques, prospective names and marks) is defined as “</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 xml:space="preserve">Moreover, all documents, videotapes, written presentations, brochures, drawings, memoranda, notes, records,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9700"/>
                <wp:effectExtent l="0" t="0" r="0" b="0"/>
                <wp:wrapNone/>
                <wp:docPr id="40" name="Frame4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files, correspondence, manuals, models, specifications, computer programs, e-mail, voicemail,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or its Affiliates and be subject to the same restrictions on disclosure applicable to all Confidential Information pursuant to this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(e)Nothing in this Agreement shall prohibit or restrict Executive from lawfully (i) initiating communications directly with, cooperating with, providing information to, causing information to be provided to, or otherwise assisting in an investigation by any governmental or regulatory agency, entity, or official(s) (collectively, “</w:t>
      </w:r>
      <w:r>
        <w:rPr>
          <w:rFonts w:ascii="Times New Roman;serif" w:hAnsi="Times New Roman;serif"/>
          <w:b w:val="false"/>
          <w:color w:val="000000"/>
          <w:sz w:val="24"/>
          <w:u w:val="single"/>
        </w:rPr>
        <w:t>Governmental Authorities</w:t>
      </w:r>
      <w:r>
        <w:rPr>
          <w:color w:val="000000"/>
        </w:rPr>
        <w:t>”</w:t>
      </w:r>
      <w:r>
        <w:rPr>
          <w:rFonts w:ascii="Times New Roman;serif" w:hAnsi="Times New Roman;serif"/>
          <w:b w:val="false"/>
          <w:color w:val="000000"/>
          <w:sz w:val="24"/>
        </w:rPr>
        <w:t>) regarding a possible violation of any law, (ii) responding to any inquiry or legal process directed to Executive individually from any such Governmental Authorities, (iii) testifying, participating, or otherwise assisting in an action or proceeding by any such Governmental Authorities relating to a possible violation of law, or (iv) making any other disclosures that are protected under the whistleblower provisions of any applicable law. Additionally, pursuant to the federal Defend Trade Secrets Act of 2016, Executive shall not be held criminally or civilly liable under any federal or state trade secret law for the disclosure of a trade secret that (x) is made (A) in confidence to a federal, state, or local government official, either directly or indirectly, or to an attorney and (B) solely for the purpose of reporting or investigating a suspected violation of law, or (y) is made to Executive’s attorney in relation to a lawsuit for retaliation against Executive for reporting a suspected violation of law, or (z) is made in a complaint or other document filed in a lawsuit or other proceeding, if such filing is made under seal. Nor does this Agreement require Executive to obtain prior authorization from the Company or its Affiliates before engaging in any conduct described in this Section 8(e), or to notify the Company or its Affiliates that Executive has engaged in any such conduct.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pPr>
      <w:r>
        <w:rPr>
          <w:rFonts w:ascii="Times New Roman;serif" w:hAnsi="Times New Roman;serif"/>
          <w:b w:val="false"/>
          <w:color w:val="000000"/>
          <w:sz w:val="24"/>
        </w:rPr>
        <w:t>9.</w:t>
      </w:r>
      <w:r>
        <w:rPr>
          <w:rFonts w:ascii="Times New Roman;serif" w:hAnsi="Times New Roman;serif"/>
          <w:b/>
          <w:color w:val="000000"/>
          <w:sz w:val="24"/>
          <w:u w:val="single"/>
        </w:rPr>
        <w:t>Non-Competition; Non-Solicitation</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(a)The Company shall continue to provide Executive access to Confidential Information for use only during the period of Executive’s employment with the Company, and Executive acknowledges and agrees that the Company will be entrusting Executive, in Executive’s unique and special capacity, with continuing to develop the goodwill of the Company, and in consideration thereof and in consideration of the continued access to Confidential Information, and as a condition of Executive’s employment hereunder, Executive has voluntarily agreed to the covenants set forth in this Section 9. Executive further agrees and acknowledges that the limitations and restrictions set forth herein, including the geographical and temporal restrictions on certain competitive activities, are reasonable in all respects and are material and substantial parts of this Agreement intended and necessary to protect the Company’s legitimate business interests, including the preservation of its Confidential Information and goodwill.</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(b)Executive agrees that, during the period set forth in Section 9(c) below, Executive shall not, without the prior written approval of the Company, directly or indirectly, for Executive or on behalf of or in conjunction with any other person or entity of whatever nature: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(i)engage or participate within the Market Area in competition with the Company in any business in which either the Company or its Protected Affiliates engaged in, or had plans to become engaged in of which Executive was aware during the period of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9700"/>
                <wp:effectExtent l="0" t="0" r="0" b="0"/>
                <wp:wrapNone/>
                <wp:docPr id="41" name="Frame4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Executive’s employment with the Company or the period set forth in Section 9(c) below, which business includes the wireless backhaul industry (the “</w:t>
      </w:r>
      <w:r>
        <w:rPr>
          <w:rFonts w:ascii="Times New Roman;serif" w:hAnsi="Times New Roman;serif"/>
          <w:b w:val="false"/>
          <w:color w:val="000000"/>
          <w:sz w:val="24"/>
          <w:u w:val="single"/>
        </w:rPr>
        <w:t>Business</w:t>
      </w:r>
      <w:r>
        <w:rPr>
          <w:color w:val="000000"/>
        </w:rPr>
        <w:t>”</w:t>
      </w:r>
      <w:r>
        <w:rPr>
          <w:rFonts w:ascii="Times New Roman;serif" w:hAnsi="Times New Roman;serif"/>
          <w:b w:val="false"/>
          <w:color w:val="000000"/>
          <w:sz w:val="24"/>
        </w:rPr>
        <w:t>). As used herein, the term “</w:t>
      </w:r>
      <w:r>
        <w:rPr>
          <w:rFonts w:ascii="Times New Roman;serif" w:hAnsi="Times New Roman;serif"/>
          <w:b w:val="false"/>
          <w:color w:val="000000"/>
          <w:sz w:val="24"/>
          <w:u w:val="single"/>
        </w:rPr>
        <w:t>Protected Affiliates</w:t>
      </w:r>
      <w:r>
        <w:rPr>
          <w:color w:val="000000"/>
        </w:rPr>
        <w:t xml:space="preserve">” </w:t>
      </w:r>
      <w:r>
        <w:rPr>
          <w:rFonts w:ascii="Times New Roman;serif" w:hAnsi="Times New Roman;serif"/>
          <w:b w:val="false"/>
          <w:color w:val="000000"/>
          <w:sz w:val="24"/>
        </w:rPr>
        <w:t>means any Affiliate of the Company for which Executive provided services during the period of Executive’s employment with the Company, or about which Executive obtained Confidential Information during the period of Executive’s employment with the Company.</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(ii)appropriate any Business Opportunity of, or relating to, the Company or its Affiliates located in the Market Area, or engage in any activity that is detrimental to the Company or its Affiliates or that limits the Company’s or an Affiliate’s ability to fully exploit such Business Opportunities or prevents the benefits of such Business Opportunities from accruing to the Company or its Affiliates;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(iii)solicit any employee of the Company or its Affiliates to terminate his or her employment therewith.</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Timeframe of Non-Competition and Non-Solicitation Agreement</w:t>
      </w:r>
      <w:r>
        <w:rPr>
          <w:rFonts w:ascii="Times New Roman;serif" w:hAnsi="Times New Roman;serif"/>
          <w:b w:val="false"/>
          <w:color w:val="000000"/>
          <w:sz w:val="24"/>
        </w:rPr>
        <w:t>. Executive agrees that the covenants of this Section 9 shall be enforceable during the period that Executive is employed by the Company and for a period of one year following the date that Executive is no longer employed by the Company, regardless of the reason for such termination.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(d)Because of the difficulty of measuring economic losses to the Company and its Affiliates as a result of a breach of the foregoing covenants, and because of the immediate and irreparable damage that could be caused to the Company and its Affiliates for which they would have no other adequate remedy, Executive agrees that the foregoing covenant may be enforced by the Company and its Affiliates, in the event of breach by Executive, by injunctions and restraining orders and that such enforcement shall not be the Company’s and its Affiliates’ exclusive remedy for a breach but instead shall be in addition to all other rights and remedies available to the Company and its Affiliates, both at law and in equity.</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(e)The covenants in this Section 9 are severable and separate, and the unenforceability of any specific covenant (or any portion thereof) shall not affect the provisions of any other covenant (or any portion thereof). Moreover, in the event any court of competent jurisdiction or arbitrator, as applicable, shall determine that the scope, time, or territorial restrictions set forth in this Section 9 are unreasonable, then it is the intention of the parties that such restrictions be enforced to the fullest extent that the court or arbitrator deems reasonable, and this Agreement shall thereby be reformed.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(f)For purposes of this Section 9, the following terms shall have the following</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meanings: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u w:val="single"/>
        </w:rPr>
        <w:t>Business Opportunity</w:t>
      </w:r>
      <w:r>
        <w:rPr>
          <w:color w:val="000000"/>
        </w:rPr>
        <w:t xml:space="preserve">” </w:t>
      </w:r>
      <w:r>
        <w:rPr>
          <w:rFonts w:ascii="Times New Roman;serif" w:hAnsi="Times New Roman;serif"/>
          <w:b w:val="false"/>
          <w:color w:val="000000"/>
          <w:sz w:val="24"/>
        </w:rPr>
        <w:t>shall mean any commercial, investment, or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other business opportunity relating to the Business.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(ii)</w:t>
      </w:r>
      <w:r>
        <w:rPr>
          <w:color w:val="000000"/>
        </w:rPr>
        <w:t>“</w:t>
      </w:r>
      <w:r>
        <w:rPr>
          <w:rFonts w:ascii="Times New Roman;serif" w:hAnsi="Times New Roman;serif"/>
          <w:b w:val="false"/>
          <w:color w:val="000000"/>
          <w:sz w:val="24"/>
          <w:u w:val="single"/>
        </w:rPr>
        <w:t>Market Area</w:t>
      </w:r>
      <w:r>
        <w:rPr>
          <w:color w:val="000000"/>
        </w:rPr>
        <w:t xml:space="preserve">” </w:t>
      </w:r>
      <w:r>
        <w:rPr>
          <w:rFonts w:ascii="Times New Roman;serif" w:hAnsi="Times New Roman;serif"/>
          <w:b w:val="false"/>
          <w:color w:val="000000"/>
          <w:sz w:val="24"/>
        </w:rPr>
        <w:t>shall mean any location or geographic area within 75 miles of a location where the Company or its Affiliates conducts Business, or has plans to conduct Business of which Executive is aware, during the period of Executive’s employment with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9700"/>
                <wp:effectExtent l="0" t="0" r="0" b="0"/>
                <wp:wrapNone/>
                <wp:docPr id="42" name="Frame4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(g)All of the covenants in this Section 9 shall be construed as an agreement independent of any other provision in this Agreement, and the existence of any claim or cause of action of Executive against the Company, whether predicated on this Agreement or otherwise, shall not constitute a defense to the enforcement by the Company of such covenants.</w:t>
      </w:r>
    </w:p>
    <w:p>
      <w:pPr>
        <w:pStyle w:val="TextBody"/>
        <w:bidi w:val="0"/>
        <w:spacing w:lineRule="auto" w:line="288" w:before="241" w:after="283"/>
        <w:ind w:left="0" w:right="0" w:firstLine="720"/>
        <w:jc w:val="both"/>
        <w:rPr/>
      </w:pPr>
      <w:r>
        <w:rPr>
          <w:rFonts w:ascii="Times New Roman;serif" w:hAnsi="Times New Roman;serif"/>
          <w:b w:val="false"/>
          <w:color w:val="000000"/>
          <w:sz w:val="24"/>
        </w:rPr>
        <w:t>10.</w:t>
      </w:r>
      <w:r>
        <w:rPr>
          <w:rFonts w:ascii="Times New Roman;serif" w:hAnsi="Times New Roman;serif"/>
          <w:b/>
          <w:color w:val="000000"/>
          <w:sz w:val="24"/>
          <w:u w:val="single"/>
        </w:rPr>
        <w:t>Ownership of Intellectual Property</w:t>
      </w:r>
      <w:r>
        <w:rPr>
          <w:rFonts w:ascii="Times New Roman;serif" w:hAnsi="Times New Roman;serif"/>
          <w:b w:val="false"/>
          <w:color w:val="000000"/>
          <w:sz w:val="24"/>
        </w:rPr>
        <w:t>. Executive agrees that the Company or its applicable Affiliate shall own, and Executive hereby assigns, all right, title, and interest (including patent rights, copyrights, trade secret rights, mask work rights, trademark rights, and all other intellectual and industrial property rights of any sort throughout the world) relating to any and all inventions (whether or not patentable), works of authorship, mask works, designs, know-how, ideas, and information authored, created, contributed to, made, or conceived or reduced to practice, in whole or in part, by Executive during the period that Executive is or has been employed or affiliated with the Company or any of its Affiliates that either (a) relate, at the time of conception, reduction to practice, creation, derivation, or development, to the Company’s or any of its Affiliates’ business or actual or anticipated research or development, or (b) were developed on any amount of the Company’s time or with the use of any of the Company’s or its Affiliates’ equipment, supplies, facilities, or trade secret information (all of the foregoing collectively referred to herein as “</w:t>
      </w:r>
      <w:r>
        <w:rPr>
          <w:rFonts w:ascii="Times New Roman;serif" w:hAnsi="Times New Roman;serif"/>
          <w:b w:val="false"/>
          <w:color w:val="000000"/>
          <w:sz w:val="24"/>
          <w:u w:val="single"/>
        </w:rPr>
        <w:t>Company Intellectual Property</w:t>
      </w:r>
      <w:r>
        <w:rPr>
          <w:color w:val="000000"/>
        </w:rPr>
        <w:t>”</w:t>
      </w:r>
      <w:r>
        <w:rPr>
          <w:rFonts w:ascii="Times New Roman;serif" w:hAnsi="Times New Roman;serif"/>
          <w:b w:val="false"/>
          <w:color w:val="000000"/>
          <w:sz w:val="24"/>
        </w:rPr>
        <w:t>), and Executive will promptly disclose all Company Intellectual Property to the Company. All of Executive’s works of authorship and associated copyrights created during the period that Executive is or has been employed by the Company or any of its Affiliates and in the scope of Executive’s employment shall be deemed to be “</w:t>
      </w:r>
      <w:r>
        <w:rPr>
          <w:rFonts w:ascii="Times New Roman;serif" w:hAnsi="Times New Roman;serif"/>
          <w:b w:val="false"/>
          <w:color w:val="000000"/>
          <w:sz w:val="24"/>
          <w:u w:val="single"/>
        </w:rPr>
        <w:t>works</w:t>
      </w:r>
      <w:r>
        <w:rPr>
          <w:color w:val="000000"/>
        </w:rPr>
        <w:t xml:space="preserve"> </w:t>
      </w:r>
      <w:r>
        <w:rPr>
          <w:rFonts w:ascii="Times New Roman;serif" w:hAnsi="Times New Roman;serif"/>
          <w:b w:val="false"/>
          <w:color w:val="000000"/>
          <w:sz w:val="24"/>
          <w:u w:val="single"/>
        </w:rPr>
        <w:t>made for hire</w:t>
      </w:r>
      <w:r>
        <w:rPr>
          <w:color w:val="000000"/>
        </w:rPr>
        <w:t xml:space="preserve">” </w:t>
      </w:r>
      <w:r>
        <w:rPr>
          <w:rFonts w:ascii="Times New Roman;serif" w:hAnsi="Times New Roman;serif"/>
          <w:b w:val="false"/>
          <w:color w:val="000000"/>
          <w:sz w:val="24"/>
        </w:rPr>
        <w:t>within the meaning of the Copyright Act. Executive agrees to perform, during and after the Employment Period, all reasonable acts deemed necessary by the Company to assist the Company or its applicable Affiliate, at the Company’s or such Affiliate’s expense, in obtaining and enforcing its rights throughout the world in the Company Intellectual Property. Such acts may include, but are not limited to,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19"/>
        <w:jc w:val="left"/>
        <w:rPr/>
      </w:pPr>
      <w:r>
        <w:rPr>
          <w:rFonts w:ascii="Times New Roman;serif" w:hAnsi="Times New Roman;serif"/>
          <w:b w:val="false"/>
          <w:color w:val="000000"/>
          <w:sz w:val="24"/>
        </w:rPr>
        <w:t>11.</w:t>
      </w:r>
      <w:r>
        <w:rPr>
          <w:rFonts w:ascii="Times New Roman;serif" w:hAnsi="Times New Roman;serif"/>
          <w:b/>
          <w:color w:val="000000"/>
          <w:sz w:val="24"/>
          <w:u w:val="single"/>
        </w:rPr>
        <w:t>Arbitration</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(a)Subject to Section 11(d), any dispute, controversy, or claim between Executive and the Company or any of its Affiliates arising out of or relating to this Agreement or Executive’s employment with the Company or services provided to any Affiliate of the Company will be finally settled by arbitration in [Austin, Texas] before, and in accordance with the rules for the resolution of employment disputes then in effect of, the American Arbitration Association (“</w:t>
      </w:r>
      <w:r>
        <w:rPr>
          <w:rFonts w:ascii="Times New Roman;serif" w:hAnsi="Times New Roman;serif"/>
          <w:b w:val="false"/>
          <w:color w:val="000000"/>
          <w:sz w:val="24"/>
          <w:u w:val="single"/>
        </w:rPr>
        <w:t>AAA</w:t>
      </w:r>
      <w:r>
        <w:rPr>
          <w:color w:val="000000"/>
        </w:rPr>
        <w:t>”</w:t>
      </w:r>
      <w:r>
        <w:rPr>
          <w:rFonts w:ascii="Times New Roman;serif" w:hAnsi="Times New Roman;serif"/>
          <w:b w:val="false"/>
          <w:color w:val="000000"/>
          <w:sz w:val="24"/>
        </w:rPr>
        <w:t>). The arbitration award shall be final and binding on both parties.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(b)Any arbitration conducted under this Section 11 shall be heard by a single arbitrator (the “</w:t>
      </w:r>
      <w:r>
        <w:rPr>
          <w:rFonts w:ascii="Times New Roman;serif" w:hAnsi="Times New Roman;serif"/>
          <w:b w:val="false"/>
          <w:color w:val="000000"/>
          <w:sz w:val="24"/>
          <w:u w:val="single"/>
        </w:rPr>
        <w:t>Arbitrator</w:t>
      </w:r>
      <w:r>
        <w:rPr>
          <w:color w:val="000000"/>
        </w:rPr>
        <w:t>”</w:t>
      </w:r>
      <w:r>
        <w:rPr>
          <w:rFonts w:ascii="Times New Roman;serif" w:hAnsi="Times New Roman;serif"/>
          <w:b w:val="false"/>
          <w:color w:val="000000"/>
          <w:sz w:val="24"/>
        </w:rPr>
        <w:t xml:space="preserve">) selected in accordance with the then-applicable rules of the AAA. The Arbitrator shall expeditiously (and, if possible, within 90 days after the selection of the Arbitrator) hear and decide all matters concerning the dispute. Except as expressly provided to the contrary in this Agreement, the Arbitrator shall have the power to (i) gather such materials, information, testimony, and evidence as the Arbitrator deems relevant to the dispute before him or her (and each party will provide such materials, information, testimony, and evidence requested by the Arbitrator, except to the extent any information so requested is proprietary,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9700"/>
                <wp:effectExtent l="0" t="0" r="0" b="0"/>
                <wp:wrapNone/>
                <wp:docPr id="43" name="Frame4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 xml:space="preserve">subject to a third-party confidentiality restriction, or to an attorney-client or other privilege), and (ii) grant injunctive relief and enforce specific performance. The decision of the Arbitrator shall be rendered in writing, be final and binding upon the disputing parties, and the parties agree that judgment upon the award may be entered by any court of competent jurisdiction;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the parties agree that the Arbitrator and any court enforcing the award of the Arbitrator shall not have the right or authority to award punitive or exemplary damages to any disputing party.</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(c)Each side shall share equally the cost of the arbitration and bear its own costs and attorneys’ fees incurred in connection with any arbitration, unless the Arbitrator determines that compelling reasons exist for allocating all or a portion of such costs and fees to the other side.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(d)Notwithstanding Section 11(a), an application for emergency or temporary injunctive relief by either party (including any such application to enforce the provisions of Sections 8, 9, or 10 herein) shall not be subject to arbitration under this Section 11;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remainder of any such dispute (beyond the application for emergency or temporary injunctive relief) shall be subject to arbitration under this Section.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(e)By entering into this Agreement and entering into the arbitration provisions of this Section 11, THE PARTIES EXPRESSLY ACKNOWLEDGE AND AGREE THAT THEY ARE KNOWINGLY, VOLUNTARILY, AND INTENTIONALLY WAIVING THEIR RIGHTS TO A JURY TRIAL.</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(f)Nothing in this Section 11 shall prohibit a party to this Agreement from (i) instituting litigation to enforce any arbitration award or (ii) joining another party to this Agreement in a litigation initiated by a person or entity that is not a party to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u w:val="single"/>
        </w:rPr>
        <w:t>Defense of Claims</w:t>
      </w:r>
      <w:r>
        <w:rPr>
          <w:rFonts w:ascii="Times New Roman;serif" w:hAnsi="Times New Roman;serif"/>
          <w:b w:val="false"/>
          <w:color w:val="000000"/>
          <w:sz w:val="24"/>
        </w:rPr>
        <w:t>. Executive agrees that, during the Employment Period and thereafter, upon reasonable request from the Company, Executive will cooperate with the Company or its Affiliates in the defense of any claims or actions that may be made by or against the Company or its Affiliates that relate to Executive’s actual or prior areas of responsibility, except if Executive’s reasonable interests are adverse to the Company or its Affiliate(s), as applicable, in such claim or action. The Company agrees to pay or reimburse Executive for all of Executive’s reasonable travel and other direct expenses incurred, or to be reasonably incurred, to comply with Executive’s obligations under this Section 12, provided Executive provides reasonable documentation of same and obtains the Company’s prior approval for incurring such expenses.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u w:val="single"/>
        </w:rPr>
        <w:t>Withholdings</w:t>
      </w:r>
      <w:r>
        <w:rPr>
          <w:rFonts w:ascii="Times New Roman;serif" w:hAnsi="Times New Roman;serif"/>
          <w:b w:val="false"/>
          <w:color w:val="000000"/>
          <w:sz w:val="24"/>
        </w:rPr>
        <w:t>. The Company may withhold and deduct from any payments made or to be made pursuant to this Agreement (a) all federal, state, local, and other taxes as may be required pursuant to any law or governmental regulation or ruling and (b) any deductions consented to in writing by Executive.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u w:val="single"/>
        </w:rPr>
        <w:t>Title and Headings; Construction</w:t>
      </w:r>
      <w:r>
        <w:rPr>
          <w:rFonts w:ascii="Times New Roman;serif" w:hAnsi="Times New Roman;serif"/>
          <w:b w:val="false"/>
          <w:color w:val="000000"/>
          <w:sz w:val="24"/>
        </w:rPr>
        <w:t xml:space="preserve">. Titles and headings to Sections hereof are for the purpose of reference only and shall in no way limit, define, or otherwise affect the provisions hereof. Any and all Exhibits or Attachments referred to in this Agreement are, by such reference, incorporated herein and made a part hereof for all purposes. The words “herein,” “hereof,” “hereunder,” and other compounds of the word “here” shall refer to the entire Agreement and not to any particular provision hereof. The use herein of the word “including” following any general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9700"/>
                <wp:effectExtent l="0" t="0" r="0" b="0"/>
                <wp:wrapNone/>
                <wp:docPr id="44" name="Frame4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Unless the context requires otherwise, all references herein to an agreement, instrument, or other document shall be deemed to refer to such agreement, instrument, or other document as amended, supplemented, modified, and restated from time to time to the extent permitted by the provisions thereof. All references to “dollars” or “$” in this Agreement refer to United States dollars. Wherever the context so requires, the masculine gender includes the feminine or neuter, and the singular number includes the plural and conversely.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u w:val="single"/>
        </w:rPr>
        <w:t>Applicable Law; Submission to Jurisdiction</w:t>
      </w:r>
      <w:r>
        <w:rPr>
          <w:rFonts w:ascii="Times New Roman;serif" w:hAnsi="Times New Roman;serif"/>
          <w:b w:val="false"/>
          <w:color w:val="000000"/>
          <w:sz w:val="24"/>
        </w:rPr>
        <w:t>. This Agreement shall in all respects be construed according to the laws of the State of Delaware without regard to the conflict of law principles thereof. With respect to any claim or dispute related to or arising under this Agreement, the parties hereby consent to the arbitration provisions of Section 11 above and recognize and agree that should any resort to a court be necessary and permitted under this Agreement, then they consent to the exclusive jurisdiction, forum, and venue of the state and federal courts located in Delaware.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4"/>
          <w:u w:val="single"/>
        </w:rPr>
        <w:t>Entire Agreement and Amendment</w:t>
      </w:r>
      <w:r>
        <w:rPr>
          <w:rFonts w:ascii="Times New Roman;serif" w:hAnsi="Times New Roman;serif"/>
          <w:b w:val="false"/>
          <w:color w:val="000000"/>
          <w:sz w:val="24"/>
        </w:rPr>
        <w:t>. This Agreement contains the entire agreement of the parties with respect to the matters covered herein; moreover, this Agreement supersedes all prior and contemporaneous agreements and understandings, oral or written, between the parties hereto concerning the subject matter hereof. Without limiting the scope of the preceding sentence, except as otherwise expressly provided in this Section 16, all understandings and agreements preceding the Effective Date and relating to the subject matter hereof are hereby null and void and of no further force or effect, and this Agreement shall supersede all other agreements, written or oral, that purport to govern the terms of Executive’s employment (including Executive’s compensation) with the Company or any of its Affiliates. Notwithstanding anything in the preceding provisions of this Section 16 to the contrary, the parties expressly acknowledge and agree that this Agreement does not supersede or replace, but instead complements and is in addition to, all equity compensation agreements that may be entered into on or after the Effective Date between Executive and the Company or any of its Affiliates. This Agreement may be amended only by a written instrument executed by both parties hereto.</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17.</w:t>
      </w:r>
      <w:r>
        <w:rPr>
          <w:rFonts w:ascii="Times New Roman;serif" w:hAnsi="Times New Roman;serif"/>
          <w:b/>
          <w:color w:val="000000"/>
          <w:sz w:val="24"/>
          <w:u w:val="single"/>
        </w:rPr>
        <w:t>Waiver of Breach</w:t>
      </w:r>
      <w:r>
        <w:rPr>
          <w:rFonts w:ascii="Times New Roman;serif" w:hAnsi="Times New Roman;serif"/>
          <w:b w:val="false"/>
          <w:color w:val="000000"/>
          <w:sz w:val="24"/>
        </w:rPr>
        <w:t>. Any waiver of this Agreement must be executed by the party to be bound by such waiver. No 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 while such breach continues.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18.</w:t>
      </w:r>
      <w:r>
        <w:rPr>
          <w:rFonts w:ascii="Times New Roman;serif" w:hAnsi="Times New Roman;serif"/>
          <w:b/>
          <w:color w:val="000000"/>
          <w:sz w:val="24"/>
          <w:u w:val="single"/>
        </w:rPr>
        <w:t>Assignment</w:t>
      </w:r>
      <w:r>
        <w:rPr>
          <w:rFonts w:ascii="Times New Roman;serif" w:hAnsi="Times New Roman;serif"/>
          <w:b w:val="false"/>
          <w:color w:val="000000"/>
          <w:sz w:val="24"/>
        </w:rPr>
        <w:t xml:space="preserve">. This Agreement is personal to Executive, and neither this Agreement nor any rights or obligations hereunder shall be assignable or otherwise transferred by Executive. The Company may assign this Agreement to any Affiliate or successor (whether by merger, purchase, or otherwise) to all or substantially all of the equity, assets, or businesses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9700"/>
                <wp:effectExtent l="0" t="0" r="0" b="0"/>
                <wp:wrapNone/>
                <wp:docPr id="45" name="Frame4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Company, if such Affiliate or successor expressly agrees to assume the obligations of the Company hereunder. For the avoidance of doubt, the Company may assign its rights and obligations hereunder to any successor or any of its Affiliates including in conjunction with any corporate restructuring, simplification, or reorganization. In the event of any such assignment, the Company’s assignee shall have all rights and obligations of, and shall be deemed to be, the “Company” hereunder.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19.</w:t>
      </w:r>
      <w:r>
        <w:rPr>
          <w:rFonts w:ascii="Times New Roman;serif" w:hAnsi="Times New Roman;serif"/>
          <w:b/>
          <w:color w:val="000000"/>
          <w:sz w:val="24"/>
          <w:u w:val="single"/>
        </w:rPr>
        <w:t>Affiliates</w:t>
      </w:r>
      <w:r>
        <w:rPr>
          <w:rFonts w:ascii="Times New Roman;serif" w:hAnsi="Times New Roman;serif"/>
          <w:b w:val="false"/>
          <w:color w:val="000000"/>
          <w:sz w:val="24"/>
        </w:rPr>
        <w:t>. For purposes of this Agreement, the term “</w:t>
      </w:r>
      <w:r>
        <w:rPr>
          <w:rFonts w:ascii="Times New Roman;serif" w:hAnsi="Times New Roman;serif"/>
          <w:b w:val="false"/>
          <w:color w:val="000000"/>
          <w:sz w:val="24"/>
          <w:u w:val="single"/>
        </w:rPr>
        <w:t>Affiliates</w:t>
      </w:r>
      <w:r>
        <w:rPr>
          <w:color w:val="000000"/>
        </w:rPr>
        <w:t xml:space="preserve">” </w:t>
      </w:r>
      <w:r>
        <w:rPr>
          <w:rFonts w:ascii="Times New Roman;serif" w:hAnsi="Times New Roman;serif"/>
          <w:b w:val="false"/>
          <w:color w:val="000000"/>
          <w:sz w:val="24"/>
        </w:rPr>
        <w:t>is defined as any person or entity Controlling, Controlled by, or Under Common Control with the Company. The term “</w:t>
      </w:r>
      <w:r>
        <w:rPr>
          <w:rFonts w:ascii="Times New Roman;serif" w:hAnsi="Times New Roman;serif"/>
          <w:b w:val="false"/>
          <w:color w:val="000000"/>
          <w:sz w:val="24"/>
          <w:u w:val="single"/>
        </w:rPr>
        <w:t>Control</w:t>
      </w:r>
      <w:r>
        <w:rPr>
          <w:rFonts w:ascii="Times New Roman;serif" w:hAnsi="Times New Roman;serif"/>
          <w:b w:val="false"/>
          <w:color w:val="000000"/>
          <w:sz w:val="24"/>
        </w:rPr>
        <w:t>,” including the correlative terms “</w:t>
      </w:r>
      <w:r>
        <w:rPr>
          <w:rFonts w:ascii="Times New Roman;serif" w:hAnsi="Times New Roman;serif"/>
          <w:b w:val="false"/>
          <w:color w:val="000000"/>
          <w:sz w:val="24"/>
          <w:u w:val="single"/>
        </w:rPr>
        <w:t>Controlling</w:t>
      </w:r>
      <w:r>
        <w:rPr>
          <w:rFonts w:ascii="Times New Roman;serif" w:hAnsi="Times New Roman;serif"/>
          <w:b w:val="false"/>
          <w:color w:val="000000"/>
          <w:sz w:val="24"/>
        </w:rPr>
        <w:t>,” “</w:t>
      </w:r>
      <w:r>
        <w:rPr>
          <w:rFonts w:ascii="Times New Roman;serif" w:hAnsi="Times New Roman;serif"/>
          <w:b w:val="false"/>
          <w:color w:val="000000"/>
          <w:sz w:val="24"/>
          <w:u w:val="single"/>
        </w:rPr>
        <w:t>Controlled By</w:t>
      </w:r>
      <w:r>
        <w:rPr>
          <w:rFonts w:ascii="Times New Roman;serif" w:hAnsi="Times New Roman;serif"/>
          <w:b w:val="false"/>
          <w:color w:val="000000"/>
          <w:sz w:val="24"/>
        </w:rPr>
        <w:t>,” and “</w:t>
      </w:r>
      <w:r>
        <w:rPr>
          <w:rFonts w:ascii="Times New Roman;serif" w:hAnsi="Times New Roman;serif"/>
          <w:b w:val="false"/>
          <w:color w:val="000000"/>
          <w:sz w:val="24"/>
          <w:u w:val="single"/>
        </w:rPr>
        <w:t>Under</w:t>
      </w:r>
      <w:r>
        <w:rPr>
          <w:color w:val="000000"/>
        </w:rPr>
        <w:t xml:space="preserve"> </w:t>
      </w:r>
      <w:r>
        <w:rPr>
          <w:rFonts w:ascii="Times New Roman;serif" w:hAnsi="Times New Roman;serif"/>
          <w:b w:val="false"/>
          <w:color w:val="000000"/>
          <w:sz w:val="24"/>
          <w:u w:val="single"/>
        </w:rPr>
        <w:t>Common Control with</w:t>
      </w:r>
      <w:r>
        <w:rPr>
          <w:rFonts w:ascii="Times New Roman;serif" w:hAnsi="Times New Roman;serif"/>
          <w:b w:val="false"/>
          <w:color w:val="000000"/>
          <w:sz w:val="24"/>
        </w:rPr>
        <w:t>,” means possession, directly or indirectly, of the power to direct or cause the direction of management or policies (whether through ownership of securities or any partnership or other ownership interest, by contract, or otherwise) of a person or entity. For the purposes of the preceding sentence, Control shall be deemed to exist when a person or entity possesses, directly or indirectly, through one or more intermediaries (a) in the case of a corporation, more than 50% of the outstanding voting securities thereof, (b) in the case of a limited liability company, partnership, limited partnership, or joint venture, the right to more than 50% of the distributions therefrom (including liquidating distributions), or (c) in the case of any other person or entity, more than 50% of the economic or beneficial interest therein.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20.</w:t>
      </w:r>
      <w:r>
        <w:rPr>
          <w:rFonts w:ascii="Times New Roman;serif" w:hAnsi="Times New Roman;serif"/>
          <w:b/>
          <w:color w:val="000000"/>
          <w:sz w:val="24"/>
          <w:u w:val="single"/>
        </w:rPr>
        <w:t>Notices</w:t>
      </w:r>
      <w:r>
        <w:rPr>
          <w:rFonts w:ascii="Times New Roman;serif" w:hAnsi="Times New Roman;serif"/>
          <w:b w:val="false"/>
          <w:color w:val="000000"/>
          <w:sz w:val="24"/>
        </w:rPr>
        <w:t>. Notices provided for in this Agreement shall be in writing and shall be deemed to have been duly received (a) when delivered in person, (b) on the first business day after such notice is sent by air express overnight courier service, or (c) on the third business day following deposit in the United States mail, registered or certified mail, return receipt requested, postage prepaid and addressed, in each case, to the following address, as applicable:</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(1)If to the Company, addressed to:</w:t>
      </w:r>
    </w:p>
    <w:tbl>
      <w:tblPr>
        <w:tblW w:w="5174" w:type="dxa"/>
        <w:jc w:val="left"/>
        <w:tblInd w:w="0" w:type="dxa"/>
        <w:tblLayout w:type="fixed"/>
        <w:tblCellMar>
          <w:top w:w="28" w:type="dxa"/>
          <w:left w:w="28" w:type="dxa"/>
          <w:bottom w:w="28" w:type="dxa"/>
          <w:right w:w="28" w:type="dxa"/>
        </w:tblCellMar>
      </w:tblPr>
      <w:tblGrid>
        <w:gridCol w:w="1656"/>
        <w:gridCol w:w="1454"/>
        <w:gridCol w:w="2064"/>
      </w:tblGrid>
      <w:tr>
        <w:trPr/>
        <w:tc>
          <w:tcPr>
            <w:tcW w:w="1656"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Aviat Networks, Inc.</w:t>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200 Parker Dr. Ste 100A Austin </w:t>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Texas 78728</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Attention: Human Resources and Legal Departments</w:t>
            </w:r>
          </w:p>
        </w:tc>
      </w:tr>
    </w:tbl>
    <w:p>
      <w:pPr>
        <w:pStyle w:val="TextBody"/>
        <w:bidi w:val="0"/>
        <w:spacing w:lineRule="auto" w:line="288" w:before="240"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(2)If to Executive, addressed to the most recent address the Company has in its employment records for Executive.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21.</w:t>
      </w:r>
      <w:r>
        <w:rPr>
          <w:rFonts w:ascii="Times New Roman;serif" w:hAnsi="Times New Roman;serif"/>
          <w:b/>
          <w:color w:val="000000"/>
          <w:sz w:val="24"/>
          <w:u w:val="single"/>
        </w:rPr>
        <w:t>Counterparts</w:t>
      </w:r>
      <w:r>
        <w:rPr>
          <w:rFonts w:ascii="Times New Roman;serif" w:hAnsi="Times New Roman;serif"/>
          <w:b w:val="false"/>
          <w:color w:val="000000"/>
          <w:sz w:val="24"/>
        </w:rPr>
        <w:t>. This Agreement may be executed in any number of counterparts, including by facsimile or “.pdf” or similar electronic format,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22.</w:t>
      </w:r>
      <w:r>
        <w:rPr>
          <w:rFonts w:ascii="Times New Roman;serif" w:hAnsi="Times New Roman;serif"/>
          <w:b/>
          <w:color w:val="000000"/>
          <w:sz w:val="24"/>
          <w:u w:val="single"/>
        </w:rPr>
        <w:t>Deemed Resignations</w:t>
      </w:r>
      <w:r>
        <w:rPr>
          <w:rFonts w:ascii="Times New Roman;serif" w:hAnsi="Times New Roman;serif"/>
          <w:b w:val="false"/>
          <w:color w:val="000000"/>
          <w:sz w:val="24"/>
        </w:rPr>
        <w:t xml:space="preserve">. Unless otherwise agreed to in writing by the Company and Executive prior to the termination of Executive’s employment, any termination of Executive’s employment shall constitute (a) an automatic resignation of Executive as an officer of the Company and each other Affiliate of the Company, as applicable, (b) an automatic resignation of Executive from the board of directors (or similar governing body) of the Company and each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9700"/>
                <wp:effectExtent l="0" t="0" r="0" b="0"/>
                <wp:wrapNone/>
                <wp:docPr id="46" name="Frame4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other Affiliate of the Company, as applicable, and (c) an automatic resignation from the board of directors or any similar governing body of any corporation, limited liability entity, or other entity in which the Company or any Affiliate holds an equity interest and with respect to which board or similar governing body Executive serves as the Company’s or such Affiliate’s designee or other representative (if applicable).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23.</w:t>
      </w:r>
      <w:r>
        <w:rPr>
          <w:rFonts w:ascii="Times New Roman;serif" w:hAnsi="Times New Roman;serif"/>
          <w:b/>
          <w:color w:val="000000"/>
          <w:sz w:val="24"/>
          <w:u w:val="single"/>
        </w:rPr>
        <w:t>Effect of Termination</w:t>
      </w:r>
      <w:r>
        <w:rPr>
          <w:rFonts w:ascii="Times New Roman;serif" w:hAnsi="Times New Roman;serif"/>
          <w:b w:val="false"/>
          <w:color w:val="000000"/>
          <w:sz w:val="24"/>
        </w:rPr>
        <w:t>. The provisions of Sections 6(f), 7-12, 22, and 24 and those provisions necessary to interpret and enforce them, shall survive any termination of the employment relationship between Executive and the Company.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24.</w:t>
      </w:r>
      <w:r>
        <w:rPr>
          <w:rFonts w:ascii="Times New Roman;serif" w:hAnsi="Times New Roman;serif"/>
          <w:b/>
          <w:color w:val="000000"/>
          <w:sz w:val="24"/>
          <w:u w:val="single"/>
        </w:rPr>
        <w:t>Third-Party Beneficiaries</w:t>
      </w:r>
      <w:r>
        <w:rPr>
          <w:rFonts w:ascii="Times New Roman;serif" w:hAnsi="Times New Roman;serif"/>
          <w:b w:val="false"/>
          <w:color w:val="000000"/>
          <w:sz w:val="24"/>
        </w:rPr>
        <w:t>. Each Affiliate of the Company shall be a third-party beneficiary of Executive’s obligations under Sections 7, 8, 9, 10, and 22 and shall be entitled to enforce such obligations as if a party hereto.</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25.</w:t>
      </w:r>
      <w:r>
        <w:rPr>
          <w:rFonts w:ascii="Times New Roman;serif" w:hAnsi="Times New Roman;serif"/>
          <w:b/>
          <w:color w:val="000000"/>
          <w:sz w:val="24"/>
          <w:u w:val="single"/>
        </w:rPr>
        <w:t>Severability</w:t>
      </w:r>
      <w:r>
        <w:rPr>
          <w:rFonts w:ascii="Times New Roman;serif" w:hAnsi="Times New Roman;serif"/>
          <w:b w:val="false"/>
          <w:color w:val="000000"/>
          <w:sz w:val="24"/>
        </w:rPr>
        <w:t>. Subject to Section 9(e), if an arbitrator or court of competent jurisdiction determines that any provision of this Agreement (or part thereof) is invalid or unenforceable, then the invalidity or unenforceability of that provision (or part thereof) shall not affect the validity or enforceability of any other provision (or part thereof) of this Agreement, and all other provisions (or part thereof) shall remain in full force and effect.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26.</w:t>
      </w:r>
      <w:r>
        <w:rPr>
          <w:rFonts w:ascii="Times New Roman;serif" w:hAnsi="Times New Roman;serif"/>
          <w:b/>
          <w:color w:val="000000"/>
          <w:sz w:val="24"/>
          <w:u w:val="single"/>
        </w:rPr>
        <w:t>Section 409A</w:t>
      </w:r>
      <w:r>
        <w:rPr>
          <w:rFonts w:ascii="Times New Roman;serif" w:hAnsi="Times New Roman;serif"/>
          <w:b w:val="false"/>
          <w:color w:val="000000"/>
          <w:sz w:val="24"/>
        </w:rPr>
        <w:t>. Notwithstanding any provision of this Agreement to the contrary, all provisions of this Agreement are intended to comply with Section 409A of the Code, and the applicable Treasury regulations and administrative guidance issued thereunder (collectively,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Notwithstanding any provision in this Agreement to the contrary, if any payment or benefit provided for herein would be subject to additional taxes and interest under Section 409A if Executive’s receipt of such payment or benefit is not delayed until the earlier of (i) the date of Executive’s death or (ii) the date that is six months after the date of termination (such date, the “</w:t>
      </w:r>
      <w:r>
        <w:rPr>
          <w:rFonts w:ascii="Times New Roman;serif" w:hAnsi="Times New Roman;serif"/>
          <w:b w:val="false"/>
          <w:color w:val="000000"/>
          <w:sz w:val="24"/>
          <w:u w:val="single"/>
        </w:rPr>
        <w:t>Section 409A Payment Date</w:t>
      </w:r>
      <w:r>
        <w:rPr>
          <w:color w:val="000000"/>
        </w:rPr>
        <w:t>”</w:t>
      </w:r>
      <w:r>
        <w:rPr>
          <w:rFonts w:ascii="Times New Roman;serif" w:hAnsi="Times New Roman;serif"/>
          <w:b w:val="false"/>
          <w:color w:val="000000"/>
          <w:sz w:val="24"/>
        </w:rPr>
        <w:t>), then such payment or benefit shall not be provided to Executive (or Executive’s estate, if applicable) until the Section 409A Payment Date. Notwithstanding the foregoing, the Company makes no representations that the payments and benefits provided under this Agreement are exempt from, or compliant with, Section 409A and in no event shall the Company or any of its Affiliates be liable for all or any portion of any taxes, penalties, interest, or other expenses that may be incurred by Executive on account of non-compliance with Section 409A.</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27.</w:t>
      </w:r>
      <w:r>
        <w:rPr>
          <w:rFonts w:ascii="Times New Roman;serif" w:hAnsi="Times New Roman;serif"/>
          <w:b/>
          <w:color w:val="000000"/>
          <w:sz w:val="24"/>
          <w:u w:val="single"/>
        </w:rPr>
        <w:t>Clawback</w:t>
      </w:r>
      <w:r>
        <w:rPr>
          <w:rFonts w:ascii="Times New Roman;serif" w:hAnsi="Times New Roman;serif"/>
          <w:b w:val="false"/>
          <w:color w:val="000000"/>
          <w:sz w:val="24"/>
        </w:rPr>
        <w:t xml:space="preserve">. To the extent required by Company policy, applicable law, government regulation, or any applicable securities exchange listing standards, amounts paid or payable under this Agreement or the LTIP shall be subject to the provisions of any applicable clawback policies or procedures adopted by the Company or any Affiliate of the Company including pursuant to applicable law, government regulation, or applicable securities exchange listing requirements, which clawback policies or procedures may provide for forfeiture and/or recoupment of amounts paid or payable under this Agreement or the LTIP. The Company and its Affiliates reserve the right, without the consent of Executive, to adopt any such clawback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9700"/>
                <wp:effectExtent l="0" t="0" r="0" b="0"/>
                <wp:wrapNone/>
                <wp:docPr id="47" name="Frame4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policies and procedures that are consistent with the preceding sentence, including such policies and procedures applicable to this Agreement and the LTIP with retroactive effect.</w:t>
      </w:r>
    </w:p>
    <w:p>
      <w:pPr>
        <w:pStyle w:val="TextBody"/>
        <w:bidi w:val="0"/>
        <w:spacing w:lineRule="auto" w:line="288" w:before="241" w:after="283"/>
        <w:jc w:val="left"/>
        <w:rPr/>
      </w:pPr>
      <w:r>
        <w:rPr>
          <w:rFonts w:ascii="Times New Roman;serif" w:hAnsi="Times New Roman;serif"/>
          <w:b w:val="false"/>
          <w:color w:val="000000"/>
          <w:sz w:val="24"/>
        </w:rPr>
        <w:t>[</w:t>
      </w:r>
      <w:r>
        <w:rPr>
          <w:rFonts w:ascii="Times New Roman;serif" w:hAnsi="Times New Roman;serif"/>
          <w:b w:val="false"/>
          <w:i/>
          <w:color w:val="000000"/>
          <w:sz w:val="24"/>
        </w:rPr>
        <w:t>The remainder of this page was left blank intentionally; the 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9700"/>
                <wp:effectExtent l="0" t="0" r="0" b="0"/>
                <wp:wrapNone/>
                <wp:docPr id="48" name="Frame4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79" w:after="283"/>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Executive and the Company each have caused this Agreement to be executed in its name and on its behalf, effective for all purposes as provided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4680"/>
        <w:jc w:val="left"/>
        <w:rPr>
          <w:rFonts w:ascii="Times New Roman;serif" w:hAnsi="Times New Roman;serif"/>
          <w:b/>
          <w:color w:val="000000"/>
          <w:sz w:val="24"/>
        </w:rPr>
      </w:pPr>
      <w:r>
        <w:rPr>
          <w:rFonts w:ascii="Times New Roman;serif" w:hAnsi="Times New Roman;serif"/>
          <w:b/>
          <w:color w:val="000000"/>
          <w:sz w:val="24"/>
        </w:rPr>
        <w:t>EXECUTIVE</w:t>
      </w:r>
    </w:p>
    <w:p>
      <w:pPr>
        <w:pStyle w:val="TextBody"/>
        <w:bidi w:val="0"/>
        <w:spacing w:before="16" w:after="283"/>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/s/ Andrew M. Fredrickson </w:t>
      </w:r>
    </w:p>
    <w:tbl>
      <w:tblPr>
        <w:tblW w:w="2459" w:type="dxa"/>
        <w:jc w:val="left"/>
        <w:tblInd w:w="0" w:type="dxa"/>
        <w:tblLayout w:type="fixed"/>
        <w:tblCellMar>
          <w:top w:w="28" w:type="dxa"/>
          <w:left w:w="28" w:type="dxa"/>
          <w:bottom w:w="28" w:type="dxa"/>
          <w:right w:w="28" w:type="dxa"/>
        </w:tblCellMar>
      </w:tblPr>
      <w:tblGrid>
        <w:gridCol w:w="787"/>
        <w:gridCol w:w="691"/>
        <w:gridCol w:w="981"/>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Andrew M. Fredrickson</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58" w:after="283"/>
        <w:jc w:val="left"/>
        <w:rPr/>
      </w:pPr>
      <w:r>
        <w:rPr/>
      </w:r>
    </w:p>
    <w:p>
      <w:pPr>
        <w:pStyle w:val="TextBody"/>
        <w:bidi w:val="0"/>
        <w:spacing w:lineRule="auto" w:line="288" w:before="1" w:after="283"/>
        <w:jc w:val="left"/>
        <w:rPr>
          <w:rFonts w:ascii="Times New Roman;serif" w:hAnsi="Times New Roman;serif"/>
          <w:b/>
          <w:color w:val="000000"/>
          <w:sz w:val="24"/>
        </w:rPr>
      </w:pPr>
      <w:r>
        <w:rPr>
          <w:rFonts w:ascii="Times New Roman;serif" w:hAnsi="Times New Roman;serif"/>
          <w:b/>
          <w:color w:val="000000"/>
          <w:sz w:val="24"/>
        </w:rPr>
        <w:t>Aviat U.S., Inc.</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Peter A. Smith    </w:t>
      </w:r>
    </w:p>
    <w:tbl>
      <w:tblPr>
        <w:tblW w:w="3419" w:type="dxa"/>
        <w:jc w:val="left"/>
        <w:tblInd w:w="0" w:type="dxa"/>
        <w:tblLayout w:type="fixed"/>
        <w:tblCellMar>
          <w:top w:w="28" w:type="dxa"/>
          <w:left w:w="28" w:type="dxa"/>
          <w:bottom w:w="28" w:type="dxa"/>
          <w:right w:w="28" w:type="dxa"/>
        </w:tblCellMar>
      </w:tblPr>
      <w:tblGrid>
        <w:gridCol w:w="1096"/>
        <w:gridCol w:w="962"/>
        <w:gridCol w:w="1361"/>
      </w:tblGrid>
      <w:tr>
        <w:trPr/>
        <w:tc>
          <w:tcPr>
            <w:tcW w:w="109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Peter A. Smith</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President,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Employment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15975"/>
                <wp:effectExtent l="0" t="0" r="0" b="0"/>
                <wp:wrapNone/>
                <wp:docPr id="49" name="Frame4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2610" w:type="dxa"/>
                              <w:jc w:val="center"/>
                              <w:tblInd w:w="0" w:type="dxa"/>
                              <w:tblLayout w:type="fixed"/>
                              <w:tblCellMar>
                                <w:top w:w="28" w:type="dxa"/>
                                <w:left w:w="28" w:type="dxa"/>
                                <w:bottom w:w="28" w:type="dxa"/>
                                <w:right w:w="28" w:type="dxa"/>
                              </w:tblCellMar>
                            </w:tblPr>
                            <w:tblGrid>
                              <w:gridCol w:w="835"/>
                              <w:gridCol w:w="734"/>
                              <w:gridCol w:w="1041"/>
                            </w:tblGrid>
                            <w:tr>
                              <w:trPr/>
                              <w:tc>
                                <w:tcPr>
                                  <w:tcW w:w="835" w:type="dxa"/>
                                  <w:tcBorders/>
                                  <w:vAlign w:val="center"/>
                                </w:tcPr>
                                <w:p>
                                  <w:pPr>
                                    <w:pStyle w:val="TableContents"/>
                                    <w:bidi w:val="0"/>
                                    <w:spacing w:before="0" w:after="283"/>
                                    <w:jc w:val="left"/>
                                    <w:rPr>
                                      <w:sz w:val="4"/>
                                      <w:szCs w:val="4"/>
                                    </w:rPr>
                                  </w:pPr>
                                  <w:r>
                                    <w:rPr>
                                      <w:sz w:val="4"/>
                                      <w:szCs w:val="4"/>
                                    </w:rPr>
                                  </w:r>
                                  <w:r>
                                    <w:br w:type="page"/>
                                  </w:r>
                                </w:p>
                              </w:tc>
                              <w:tc>
                                <w:tcPr>
                                  <w:tcW w:w="73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4"/>
                                    </w:rPr>
                                  </w:pPr>
                                  <w:r>
                                    <w:rPr>
                                      <w:rFonts w:ascii="Times New Roman;serif" w:hAnsi="Times New Roman;serif"/>
                                      <w:b w:val="false"/>
                                      <w:color w:val="000000"/>
                                      <w:sz w:val="24"/>
                                    </w:rPr>
                                    <w:t>(Andrew M. Fredrickson)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2610" w:type="dxa"/>
                        <w:jc w:val="center"/>
                        <w:tblInd w:w="0" w:type="dxa"/>
                        <w:tblLayout w:type="fixed"/>
                        <w:tblCellMar>
                          <w:top w:w="28" w:type="dxa"/>
                          <w:left w:w="28" w:type="dxa"/>
                          <w:bottom w:w="28" w:type="dxa"/>
                          <w:right w:w="28" w:type="dxa"/>
                        </w:tblCellMar>
                      </w:tblPr>
                      <w:tblGrid>
                        <w:gridCol w:w="835"/>
                        <w:gridCol w:w="734"/>
                        <w:gridCol w:w="1041"/>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4"/>
                              </w:rPr>
                            </w:pPr>
                            <w:r>
                              <w:rPr>
                                <w:rFonts w:ascii="Times New Roman;serif" w:hAnsi="Times New Roman;serif"/>
                                <w:b w:val="false"/>
                                <w:color w:val="000000"/>
                                <w:sz w:val="24"/>
                              </w:rPr>
                              <w:t>(Andrew M. Fredrickson)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FORM OF RELEASE AGREEMENT</w:t>
      </w:r>
    </w:p>
    <w:p>
      <w:pPr>
        <w:pStyle w:val="TextBody"/>
        <w:bidi w:val="0"/>
        <w:spacing w:lineRule="auto" w:line="288" w:before="60" w:after="60"/>
        <w:ind w:left="0" w:right="0" w:firstLine="720"/>
        <w:jc w:val="both"/>
        <w:rPr/>
      </w:pPr>
      <w:r>
        <w:rPr>
          <w:rFonts w:ascii="Times New Roman;serif" w:hAnsi="Times New Roman;serif"/>
          <w:b w:val="false"/>
          <w:color w:val="000000"/>
          <w:sz w:val="24"/>
        </w:rPr>
        <w:t>This Release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constitutes the release referred to in that certain Employment Agreement (the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 dated as of February __, 2024, by and between Andrew M. Fredrickson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and Aviat U.S.,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Capitalized terms used but not defined herein shall have the meanings assigned to them in the Employment Agreement.</w:t>
      </w:r>
    </w:p>
    <w:p>
      <w:pPr>
        <w:pStyle w:val="TextBody"/>
        <w:bidi w:val="0"/>
        <w:spacing w:lineRule="auto" w:line="288" w:before="240" w:after="60"/>
        <w:ind w:left="0" w:right="0" w:firstLine="1440"/>
        <w:jc w:val="both"/>
        <w:rPr/>
      </w:pPr>
      <w:r>
        <w:rPr>
          <w:rFonts w:ascii="Times New Roman;serif" w:hAnsi="Times New Roman;serif"/>
          <w:b w:val="false"/>
          <w:color w:val="000000"/>
          <w:sz w:val="24"/>
        </w:rPr>
        <w:t>(a)For good and valuable consideration, including the Company’s provision of certain severance payments (or a portion thereof) to Executive in accordance with Section 6(f)(ii) of the Employment Agreement, Executive hereby releases, discharges, and forever acquits (A) the Company, its subsidiaries and all of its other Affiliates and (B) the past, present, and future stockholders, officers, members, partners, directors, managers, employees, agents, attorneys, heirs, representatives, successors, and assigns of the entities specified in clause (A) above, in their personal and representative capacities (collectively, the “</w:t>
      </w:r>
      <w:r>
        <w:rPr>
          <w:rFonts w:ascii="Times New Roman;serif" w:hAnsi="Times New Roman;serif"/>
          <w:b w:val="false"/>
          <w:color w:val="000000"/>
          <w:sz w:val="24"/>
          <w:u w:val="single"/>
        </w:rPr>
        <w:t>Company Parties</w:t>
      </w:r>
      <w:r>
        <w:rPr>
          <w:color w:val="000000"/>
        </w:rPr>
        <w:t>”</w:t>
      </w:r>
      <w:r>
        <w:rPr>
          <w:rFonts w:ascii="Times New Roman;serif" w:hAnsi="Times New Roman;serif"/>
          <w:b w:val="false"/>
          <w:color w:val="000000"/>
          <w:sz w:val="24"/>
        </w:rPr>
        <w:t>), from liability for, and hereby waives, any and all claims, damages, or causes of action of any kind related to Executive’s employment with any Company Party, the termination of such employment, and any other acts or omissions related to any matter on or prior to the date of the execution of this Agreement including, without limitation, (1) any alleged violation through the date of this Agreement of: (i) the Age Discrimination in Employment Act of 1967, as amended (including as amended by the Older Workers Benefit Protection Act); (ii) Title VII of the Civil Rights Act of 1964, as amended; (iii) the Civil Rights Act of 1991; (iv) Sections 1981 through 1988 of Title 42 of the United States Code, as amended; (v) the Employee Retirement Income Security Act of 1974, as amended; (vi) the Immigration Reform Control Act, as amended; (vii) the Americans with Disabilities Act of 1990, as amended; (viii) the National Labor Relations Act, as amended; (ix) the Occupational Safety and Health Act, as amended; (x) the Family and Medical Leave Act of 1993; (xi) any federal, state, or local anti-discrimination law; (xii) any federal, state, or local wage and hour law; (xiii) any other local, state, or federal law, regulation, or ordinance; and (xiv) any public policy, contract, tort, or common law claim; (2) any allegation for costs, fees, or other expenses including attorneys’ fees incurred in or with respect to a Released Claim; (3) any and all rights, benefits, or claims Executive may have under any employment contract, incentive compensation plan, or equity incentive plan with any Company Party or to any ownership interest in any Company Party except as expressly provided: (I) in Section 6(f)(ii) of the Employment Agreement; and (II) pursuant to the terms of any equity compensation agreement between Executive and a Company Party (including any Award Agreement (as defined in the LTIP) relating to an award granted to Executive pursuant to the LTIP), and (4) any claim for compensation or benefits of any kind not expressly set forth in the Employment Agreement or any equity compensation agreement (collectively, the “</w:t>
      </w:r>
      <w:r>
        <w:rPr>
          <w:rFonts w:ascii="Times New Roman;serif" w:hAnsi="Times New Roman;serif"/>
          <w:b w:val="false"/>
          <w:color w:val="000000"/>
          <w:sz w:val="24"/>
          <w:u w:val="single"/>
        </w:rPr>
        <w:t>Released</w:t>
      </w:r>
      <w:r>
        <w:rPr>
          <w:color w:val="000000"/>
        </w:rPr>
        <w:t xml:space="preserve"> </w:t>
      </w:r>
      <w:r>
        <w:rPr>
          <w:rFonts w:ascii="Times New Roman;serif" w:hAnsi="Times New Roman;serif"/>
          <w:b w:val="false"/>
          <w:color w:val="000000"/>
          <w:sz w:val="24"/>
          <w:u w:val="single"/>
        </w:rPr>
        <w:t>Claims</w:t>
      </w:r>
      <w:r>
        <w:rPr>
          <w:color w:val="000000"/>
        </w:rPr>
        <w:t>”</w:t>
      </w:r>
      <w:r>
        <w:rPr>
          <w:rFonts w:ascii="Times New Roman;serif" w:hAnsi="Times New Roman;serif"/>
          <w:b w:val="false"/>
          <w:color w:val="000000"/>
          <w:sz w:val="24"/>
        </w:rPr>
        <w:t xml:space="preserve">). In no event shall the Released Claims include (a) any claim that arises after the date Executive signs this Agreement, (b) any claim to vested benefits under an employee benefit plan or equity compensation plan, or (c) any claims for contractual payments under Section 5(a) or Section 6(f)(ii) of the Employment Agreement. This Agreement is not intended to indicate that any such claims exist or that, if they do exist, they are meritorious. Rather, Executive is simply agreeing that, in exchange for the consideration recited in the first sentence of this paragraph, any and all potential claims of this nature that Executive may have against the Company Parties, regardless of whether they actually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9700"/>
                <wp:effectExtent l="0" t="0" r="0" b="0"/>
                <wp:wrapNone/>
                <wp:docPr id="50" name="Frame5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A-1</w:t>
                      </w:r>
                    </w:p>
                  </w:txbxContent>
                </v:textbox>
                <w10:wrap type="none"/>
              </v:rect>
            </w:pict>
          </mc:Fallback>
        </mc:AlternateContent>
      </w:r>
    </w:p>
    <w:p>
      <w:pPr>
        <w:pStyle w:val="TextBody"/>
        <w:bidi w:val="0"/>
        <w:spacing w:lineRule="auto" w:line="288" w:before="240" w:after="60"/>
        <w:jc w:val="both"/>
        <w:rPr/>
      </w:pPr>
      <w:r>
        <w:rPr>
          <w:rFonts w:ascii="Times New Roman;serif" w:hAnsi="Times New Roman;serif"/>
          <w:b w:val="false"/>
          <w:color w:val="000000"/>
          <w:sz w:val="24"/>
        </w:rPr>
        <w:t>exist, are expressly settled, compromised, and waived. By signing this Agreement, Executive is bound by it. Anyone who succeeds to Executive’s rights and responsibilities, such as heirs or the executor of Executive’s estate, is also bound by this Agreement. This release also applies to any claims brought by any person or agency or class action under which Executive may have a right or benefit. Notwithstanding the release of liability contained herein, nothing in this Agreement prevents Executive from filing any non-legally waivable claim (including a challenge to the validity of this Agreement) with the Equal Employment Opportunity Commission, National Labor Relations Board, Occupational Safety and Health Administration, Securities and Exchange Commission, Financial Industry Regulatory Authority (FINRA), or any other federal, state, or local governmental agency, authority, or commission (each, a “</w:t>
      </w:r>
      <w:r>
        <w:rPr>
          <w:rFonts w:ascii="Times New Roman;serif" w:hAnsi="Times New Roman;serif"/>
          <w:b w:val="false"/>
          <w:color w:val="000000"/>
          <w:sz w:val="24"/>
          <w:u w:val="single"/>
        </w:rPr>
        <w:t>Governmental Agency</w:t>
      </w:r>
      <w:r>
        <w:rPr>
          <w:color w:val="000000"/>
        </w:rPr>
        <w:t>”</w:t>
      </w:r>
      <w:r>
        <w:rPr>
          <w:rFonts w:ascii="Times New Roman;serif" w:hAnsi="Times New Roman;serif"/>
          <w:b w:val="false"/>
          <w:color w:val="000000"/>
          <w:sz w:val="24"/>
        </w:rPr>
        <w:t xml:space="preserve">) or participating in any investigation or proceeding conducted by any Governmental Agency. Executive understands that this Agreement does not limit Executive’s ability to communicate with any Governmental Agency or otherwise participate in any investigation or proceeding that may be conducted by any Governmental Agency (including by providing documents or other information to a Governmental Agency) without notice to the Company or any other Company Party. This Agreement does not limit Executive’s right to receive an award from a Governmental Agency for information provided to a Governmental Agency. </w:t>
      </w:r>
      <w:r>
        <w:rPr>
          <w:rFonts w:ascii="Times New Roman;serif" w:hAnsi="Times New Roman;serif"/>
          <w:b/>
          <w:color w:val="000000"/>
          <w:sz w:val="24"/>
        </w:rPr>
        <w:t>THIS RELEASE INCLUDES MATTERS ATTRIBUTABLE TO THE SOLE OR PARTIAL NEGLIGENCE (WHETHER GROSS OR SIMPLE) OR OTHER FAULT</w:t>
      </w:r>
      <w:r>
        <w:rPr>
          <w:rFonts w:ascii="Times New Roman;serif" w:hAnsi="Times New Roman;serif"/>
          <w:b w:val="false"/>
          <w:color w:val="000000"/>
          <w:sz w:val="24"/>
        </w:rPr>
        <w:t xml:space="preserve">, </w:t>
      </w:r>
      <w:r>
        <w:rPr>
          <w:rFonts w:ascii="Times New Roman;serif" w:hAnsi="Times New Roman;serif"/>
          <w:b/>
          <w:color w:val="000000"/>
          <w:sz w:val="24"/>
        </w:rPr>
        <w:t>INCLUDING STRICT LIABILITY</w:t>
      </w:r>
      <w:r>
        <w:rPr>
          <w:rFonts w:ascii="Times New Roman;serif" w:hAnsi="Times New Roman;serif"/>
          <w:b w:val="false"/>
          <w:color w:val="000000"/>
          <w:sz w:val="24"/>
        </w:rPr>
        <w:t xml:space="preserve">, </w:t>
      </w:r>
      <w:r>
        <w:rPr>
          <w:rFonts w:ascii="Times New Roman;serif" w:hAnsi="Times New Roman;serif"/>
          <w:b/>
          <w:color w:val="000000"/>
          <w:sz w:val="24"/>
        </w:rPr>
        <w:t>OF ANY OF THE COMPANY PARTIES.</w:t>
      </w:r>
    </w:p>
    <w:p>
      <w:pPr>
        <w:pStyle w:val="TextBody"/>
        <w:bidi w:val="0"/>
        <w:spacing w:lineRule="auto" w:line="288" w:before="240" w:after="6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(b)Executive agrees not to bring or join any lawsuit or arbitration proceeding against any of the Company Parties in any court relating to any of the Released Claims. Executive represents that Executive has not brought or joined any lawsuit or filed any charge or claim against any of the Company Parties in any court or before any government agency and has made no assignment of any rights Executive has asserted or may have against any of the Company Parties to any person or entity, in each case, with respect to any Released Claims.</w:t>
      </w:r>
    </w:p>
    <w:p>
      <w:pPr>
        <w:pStyle w:val="TextBody"/>
        <w:bidi w:val="0"/>
        <w:spacing w:lineRule="auto" w:line="288" w:before="240" w:after="6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(c)By executing and delivering this Agreement, Executive acknowledges that:</w:t>
      </w:r>
    </w:p>
    <w:p>
      <w:pPr>
        <w:pStyle w:val="TextBody"/>
        <w:bidi w:val="0"/>
        <w:spacing w:lineRule="auto" w:line="288" w:before="240" w:after="6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(i)Executive has carefully read this Agreement;</w:t>
      </w:r>
    </w:p>
    <w:p>
      <w:pPr>
        <w:pStyle w:val="TextBody"/>
        <w:bidi w:val="0"/>
        <w:spacing w:lineRule="auto" w:line="288" w:before="240" w:after="60"/>
        <w:ind w:left="0" w:right="0" w:firstLine="1440"/>
        <w:jc w:val="both"/>
        <w:rPr/>
      </w:pPr>
      <w:r>
        <w:rPr>
          <w:rFonts w:ascii="Times New Roman;serif" w:hAnsi="Times New Roman;serif"/>
          <w:b w:val="false"/>
          <w:color w:val="000000"/>
          <w:sz w:val="24"/>
        </w:rPr>
        <w:t>(ii)Executive has had at least [twenty-one (21)] [forty-five (45)] days to consider this Agreement before the execution and delivery hereof to the Company [</w:t>
      </w:r>
      <w:r>
        <w:rPr>
          <w:rFonts w:ascii="Times New Roman;serif" w:hAnsi="Times New Roman;serif"/>
          <w:b w:val="false"/>
          <w:i/>
          <w:color w:val="000000"/>
          <w:sz w:val="24"/>
        </w:rPr>
        <w:t>to be added if 45 days applies</w:t>
      </w:r>
      <w:r>
        <w:rPr>
          <w:rFonts w:ascii="Times New Roman;serif" w:hAnsi="Times New Roman;serif"/>
          <w:b w:val="false"/>
          <w:color w:val="000000"/>
          <w:sz w:val="24"/>
        </w:rPr>
        <w:t>: , and Executive acknowledges that attached to this Agreement are (1) a list of the positions and ages of those employees selected for termination (or participation in the exit incentive or other employment termination program); (2) a list of the ages of those employees not selected for termination (or participation in such program); and (3) information about the unit affected by the employment termination program of which Executive’s termination was a part, including any eligibility factors for such program and any time limits applicable to such program];</w:t>
      </w:r>
    </w:p>
    <w:p>
      <w:pPr>
        <w:pStyle w:val="TextBody"/>
        <w:bidi w:val="0"/>
        <w:spacing w:lineRule="auto" w:line="288" w:before="240" w:after="6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(iii)Executive has been advised, and hereby is advised in writing, that Executive may, at Executive’s option, discuss this Agreement with an attorney of Executive’s choice and that Executive has had adequate opportunity to do so;</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9700"/>
                <wp:effectExtent l="0" t="0" r="0" b="0"/>
                <wp:wrapNone/>
                <wp:docPr id="51" name="Frame5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A-2</w:t>
                      </w:r>
                    </w:p>
                  </w:txbxContent>
                </v:textbox>
                <w10:wrap type="none"/>
              </v:rect>
            </w:pict>
          </mc:Fallback>
        </mc:AlternateContent>
      </w:r>
    </w:p>
    <w:p>
      <w:pPr>
        <w:pStyle w:val="TextBody"/>
        <w:bidi w:val="0"/>
        <w:spacing w:lineRule="auto" w:line="288" w:before="240" w:after="6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(iv)Executive fully understands the final and binding effect of this Agreement; the only promises made to Executive to sign this Agreement are those stated in the Employment Agreement and herein; and Executive is signing this Agreement knowingly, voluntarily, and of Executive’s own free will, and that Executive understands and agrees to each of the terms of this Agreement; and</w:t>
      </w:r>
    </w:p>
    <w:p>
      <w:pPr>
        <w:pStyle w:val="TextBody"/>
        <w:bidi w:val="0"/>
        <w:spacing w:lineRule="auto" w:line="288" w:before="240" w:after="6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(v)With the exception of any sums that Executive may be owed pursuant to Section 6(f)(ii) of the Employment Agreement, Executive has been paid all wages and other compensation to which Executive is entitled under the Agreement and received all leaves (paid and unpaid) to which Executive was entitled during the period of Executive’s employment with the Company.</w:t>
      </w:r>
    </w:p>
    <w:p>
      <w:pPr>
        <w:pStyle w:val="TextBody"/>
        <w:bidi w:val="0"/>
        <w:spacing w:lineRule="auto" w:line="288" w:before="240" w:after="60"/>
        <w:ind w:left="0" w:right="0" w:firstLine="720"/>
        <w:jc w:val="both"/>
        <w:rPr/>
      </w:pPr>
      <w:r>
        <w:rPr>
          <w:rFonts w:ascii="Times New Roman;serif" w:hAnsi="Times New Roman;serif"/>
          <w:b w:val="false"/>
          <w:color w:val="000000"/>
          <w:sz w:val="24"/>
        </w:rPr>
        <w:t>Notwithstanding the initial effectiveness of this Agreement, Executive may revoke the delivery (and therefore the effectiveness) of this Agreement within the seven-day period beginning on the date Executive delivers this Agreement to the Company (such seven-day period being referred to herein as the “</w:t>
      </w:r>
      <w:r>
        <w:rPr>
          <w:rFonts w:ascii="Times New Roman;serif" w:hAnsi="Times New Roman;serif"/>
          <w:b w:val="false"/>
          <w:color w:val="000000"/>
          <w:sz w:val="24"/>
          <w:u w:val="single"/>
        </w:rPr>
        <w:t>Release Revocation Period</w:t>
      </w:r>
      <w:r>
        <w:rPr>
          <w:color w:val="000000"/>
        </w:rPr>
        <w:t>”</w:t>
      </w:r>
      <w:r>
        <w:rPr>
          <w:rFonts w:ascii="Times New Roman;serif" w:hAnsi="Times New Roman;serif"/>
          <w:b w:val="false"/>
          <w:color w:val="000000"/>
          <w:sz w:val="24"/>
        </w:rPr>
        <w:t xml:space="preserve">). To be effective, such revocation must be in writing signed by Executive and must be delivered to the General Counsel of the Company before 11:59 p.m., eastern time, on the last day of the Release Revocation Period. If an effective revocation is delivered in the foregoing manner and timeframe, this Agreement shall be of no force or effect and shall be null and void </w:t>
      </w:r>
      <w:r>
        <w:rPr>
          <w:rFonts w:ascii="Times New Roman;serif" w:hAnsi="Times New Roman;serif"/>
          <w:b w:val="false"/>
          <w:color w:val="000000"/>
          <w:sz w:val="24"/>
          <w:u w:val="single"/>
        </w:rPr>
        <w:t>ab initio</w:t>
      </w:r>
      <w:r>
        <w:rPr>
          <w:rFonts w:ascii="Times New Roman;serif" w:hAnsi="Times New Roman;serif"/>
          <w:b w:val="false"/>
          <w:color w:val="000000"/>
          <w:sz w:val="24"/>
        </w:rPr>
        <w:t>. No consideration shall be paid if this Agreement is revoked by Executive in the foregoing manner.</w:t>
      </w:r>
    </w:p>
    <w:p>
      <w:pPr>
        <w:pStyle w:val="TextBody"/>
        <w:bidi w:val="0"/>
        <w:spacing w:lineRule="auto" w:line="288" w:before="240" w:after="60"/>
        <w:jc w:val="both"/>
        <w:rPr>
          <w:rFonts w:ascii="Times New Roman;serif" w:hAnsi="Times New Roman;serif"/>
          <w:b w:val="false"/>
          <w:color w:val="000000"/>
          <w:sz w:val="24"/>
        </w:rPr>
      </w:pPr>
      <w:r>
        <w:rPr>
          <w:rFonts w:ascii="Times New Roman;serif" w:hAnsi="Times New Roman;serif"/>
          <w:b w:val="false"/>
          <w:color w:val="000000"/>
          <w:sz w:val="24"/>
        </w:rPr>
        <w:t>Executed on this 10th day of September 2025.</w:t>
      </w:r>
    </w:p>
    <w:p>
      <w:pPr>
        <w:pStyle w:val="TextBody"/>
        <w:bidi w:val="0"/>
        <w:spacing w:before="0" w:after="0"/>
        <w:jc w:val="left"/>
        <w:rPr/>
      </w:pPr>
      <w:r>
        <w:rPr/>
      </w:r>
    </w:p>
    <w:p>
      <w:pPr>
        <w:pStyle w:val="TextBody"/>
        <w:bidi w:val="0"/>
        <w:spacing w:before="46" w:after="283"/>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Andrew M. Fredrickson</w:t>
      </w:r>
    </w:p>
    <w:tbl>
      <w:tblPr>
        <w:tblW w:w="2459" w:type="dxa"/>
        <w:jc w:val="left"/>
        <w:tblInd w:w="0" w:type="dxa"/>
        <w:tblLayout w:type="fixed"/>
        <w:tblCellMar>
          <w:top w:w="28" w:type="dxa"/>
          <w:left w:w="28" w:type="dxa"/>
          <w:bottom w:w="28" w:type="dxa"/>
          <w:right w:w="28" w:type="dxa"/>
        </w:tblCellMar>
      </w:tblPr>
      <w:tblGrid>
        <w:gridCol w:w="787"/>
        <w:gridCol w:w="691"/>
        <w:gridCol w:w="981"/>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Andrew M. Fredrickson</w:t>
            </w:r>
          </w:p>
        </w:tc>
      </w:tr>
    </w:tbl>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9700"/>
                <wp:effectExtent l="0" t="0" r="0" b="0"/>
                <wp:wrapNone/>
                <wp:docPr id="52" name="Frame5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SECTION 302(a)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Peter A. Smith,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fiscal quarter ended September 26, 2025, of Aviat Networks, Inc.;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489"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209"/>
        <w:gridCol w:w="209"/>
        <w:gridCol w:w="211"/>
        <w:gridCol w:w="164"/>
        <w:gridCol w:w="164"/>
        <w:gridCol w:w="164"/>
        <w:gridCol w:w="935"/>
        <w:gridCol w:w="935"/>
        <w:gridCol w:w="133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4, 2025</w:t>
            </w:r>
          </w:p>
        </w:tc>
        <w:tc>
          <w:tcPr>
            <w:tcW w:w="43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A. Smith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A. Smith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SECTION 302(a)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Andrew Fredrickson,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fiscal quarter ended September 26, 2025, of Aviat Networks, Inc.;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7648"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215"/>
        <w:gridCol w:w="215"/>
        <w:gridCol w:w="215"/>
        <w:gridCol w:w="215"/>
        <w:gridCol w:w="215"/>
        <w:gridCol w:w="215"/>
        <w:gridCol w:w="1228"/>
        <w:gridCol w:w="1228"/>
        <w:gridCol w:w="17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4, 2025</w:t>
            </w:r>
          </w:p>
        </w:tc>
        <w:tc>
          <w:tcPr>
            <w:tcW w:w="54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Fredrickson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Fredrickson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Interim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6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CERTIFICATIONS OF CHIEF EXECUTIVE OFFICER AND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PRINCIPAL FINANCIAL OFFICER OF AVIAT NETWORKS,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TITLE 18 OF THE UNITED STATES CODE SECTION 1350,</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180" w:after="6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filing of the Quarterly Report on Form 10-Q of Aviat Networks, Inc. (“Aviat Networks”) for the fiscal quarter ended September 26, 2025, as filed with the Securities and Exchange Commission on the date hereof (the “Report”), we, Peter A. Smith, President and Chief Executive Officer of Aviat Networks, and Andrew Fredrickson, Vice President and Interim Chief Financial Officer of Aviat Networks, hereby certify, pursuant to Section 906 of the Sarbanes-Oxley Act of 2002, 18 U.S.C. §1350,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Aviat Networks as of the dates and for the periods expressed in the Report.</w:t>
      </w:r>
    </w:p>
    <w:p>
      <w:pPr>
        <w:pStyle w:val="TextBody"/>
        <w:bidi w:val="0"/>
        <w:spacing w:before="0" w:after="200"/>
        <w:jc w:val="left"/>
        <w:rPr/>
      </w:pPr>
      <w:r>
        <w:rPr/>
      </w:r>
    </w:p>
    <w:tbl>
      <w:tblPr>
        <w:tblW w:w="5803" w:type="dxa"/>
        <w:jc w:val="center"/>
        <w:tblInd w:w="0" w:type="dxa"/>
        <w:tblLayout w:type="fixed"/>
        <w:tblCellMar>
          <w:top w:w="28" w:type="dxa"/>
          <w:left w:w="28" w:type="dxa"/>
          <w:bottom w:w="28" w:type="dxa"/>
          <w:right w:w="28" w:type="dxa"/>
        </w:tblCellMar>
      </w:tblPr>
      <w:tblGrid>
        <w:gridCol w:w="389"/>
        <w:gridCol w:w="342"/>
        <w:gridCol w:w="342"/>
        <w:gridCol w:w="342"/>
        <w:gridCol w:w="342"/>
        <w:gridCol w:w="342"/>
        <w:gridCol w:w="1079"/>
        <w:gridCol w:w="1079"/>
        <w:gridCol w:w="1546"/>
      </w:tblGrid>
      <w:tr>
        <w:trPr/>
        <w:tc>
          <w:tcPr>
            <w:tcW w:w="3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20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A. Smith</w:t>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Peter A. Smith</w:t>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ind w:left="0" w:right="0" w:hanging="630"/>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tbl>
      <w:tblPr>
        <w:tblW w:w="6793" w:type="dxa"/>
        <w:jc w:val="center"/>
        <w:tblInd w:w="0" w:type="dxa"/>
        <w:tblLayout w:type="fixed"/>
        <w:tblCellMar>
          <w:top w:w="28" w:type="dxa"/>
          <w:left w:w="28" w:type="dxa"/>
          <w:bottom w:w="28" w:type="dxa"/>
          <w:right w:w="28" w:type="dxa"/>
        </w:tblCellMar>
      </w:tblPr>
      <w:tblGrid>
        <w:gridCol w:w="389"/>
        <w:gridCol w:w="342"/>
        <w:gridCol w:w="342"/>
        <w:gridCol w:w="342"/>
        <w:gridCol w:w="342"/>
        <w:gridCol w:w="342"/>
        <w:gridCol w:w="1373"/>
        <w:gridCol w:w="1373"/>
        <w:gridCol w:w="1948"/>
      </w:tblGrid>
      <w:tr>
        <w:trPr/>
        <w:tc>
          <w:tcPr>
            <w:tcW w:w="3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r>
      <w:tr>
        <w:trPr/>
        <w:tc>
          <w:tcPr>
            <w:tcW w:w="20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Fredrickson</w:t>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Andrew Fredrickson</w:t>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ind w:left="0" w:right="0" w:hanging="630"/>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Vice President and Interim Chief Financial Officer</w:t>
            </w:r>
          </w:p>
        </w:tc>
      </w:tr>
    </w:tbl>
    <w:p>
      <w:pPr>
        <w:pStyle w:val="TextBody"/>
        <w:bidi w:val="0"/>
        <w:spacing w:before="80" w:after="283"/>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7789/000137778923000047/amendedrestatedcertificate.htm" TargetMode="External"/><Relationship Id="rId3" Type="http://schemas.openxmlformats.org/officeDocument/2006/relationships/hyperlink" Target="https://www.sec.gov/Archives/edgar/data/1377789/000137778923000020/amendedandrestatedbylaws08.htm" TargetMode="External"/><Relationship Id="rId4" Type="http://schemas.openxmlformats.org/officeDocument/2006/relationships/hyperlink" Target="https://www.sec.gov/Archives/edgar/data/1377789/000137778925000040/thirdamendmentincremental-.htm" TargetMode="External"/><Relationship Id="rId5" Type="http://schemas.openxmlformats.org/officeDocument/2006/relationships/hyperlink" Target="https://www.sec.gov/Archives/edgar/data/1377789/000137778925000040/thirdamendmentincremental-.htm" TargetMode="External"/><Relationship Id="rId6" Type="http://schemas.openxmlformats.org/officeDocument/2006/relationships/hyperlink" Target="https://www.sec.gov/Archives/edgar/data/1377789/000137778925000040/thirdamendmentincremental-.htm" TargetMode="External"/><Relationship Id="rId7" Type="http://schemas.openxmlformats.org/officeDocument/2006/relationships/hyperlink" Target="https://www.sec.gov/Archives/edgar/data/1377789/000137778925000040/thirdamendmentincremental-.htm" TargetMode="External"/><Relationship Id="rId8" Type="http://schemas.openxmlformats.org/officeDocument/2006/relationships/hyperlink" Target="https://www.sec.gov/Archives/edgar/data/1377789/000137778925000040/thirdamendmentincremental-.htm" TargetMode="External"/><Relationship Id="rId9" Type="http://schemas.openxmlformats.org/officeDocument/2006/relationships/hyperlink" Target="https://www.sec.gov/Archives/edgar/data/1377789/000137778925000040/thirdamendmentincremental-.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23934</Words>
  <Characters>133777</Characters>
  <CharactersWithSpaces>156459</CharactersWithSpaces>
  <Paragraphs>1934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