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pPr>
      <w:r>
        <w:rPr>
          <w:rFonts w:ascii="Times New Roman;sans-serif" w:hAnsi="Times New Roman;sans-serif"/>
          <w:b/>
          <w:color w:val="000000"/>
          <w:sz w:val="24"/>
        </w:rPr>
        <w:t>Washington, D.C. 20549</w:t>
      </w:r>
      <w:r>
        <w:rPr>
          <w:color w:val="000000"/>
        </w:rPr>
        <w:t> </w:t>
      </w:r>
    </w:p>
    <w:p>
      <w:pPr>
        <w:pStyle w:val="TextBody"/>
        <w:bidi w:val="0"/>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p>
      <w:pPr>
        <w:pStyle w:val="TextBody"/>
        <w:bidi w:val="0"/>
        <w:spacing w:lineRule="auto" w:line="288" w:before="4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10205" w:type="dxa"/>
        <w:jc w:val="center"/>
        <w:tblInd w:w="0" w:type="dxa"/>
        <w:tblLayout w:type="fixed"/>
        <w:tblCellMar>
          <w:top w:w="28" w:type="dxa"/>
          <w:left w:w="28" w:type="dxa"/>
          <w:bottom w:w="28" w:type="dxa"/>
          <w:right w:w="28" w:type="dxa"/>
        </w:tblCellMar>
      </w:tblPr>
      <w:tblGrid>
        <w:gridCol w:w="159"/>
        <w:gridCol w:w="140"/>
        <w:gridCol w:w="140"/>
        <w:gridCol w:w="2857"/>
        <w:gridCol w:w="2857"/>
        <w:gridCol w:w="4052"/>
      </w:tblGrid>
      <w:tr>
        <w:trPr/>
        <w:tc>
          <w:tcPr>
            <w:tcW w:w="15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c>
          <w:tcPr>
            <w:tcW w:w="405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c>
      </w:tr>
      <w:tr>
        <w:trPr/>
        <w:tc>
          <w:tcPr>
            <w:tcW w:w="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 the quarterly period ended December 27, 2024</w:t>
      </w:r>
    </w:p>
    <w:p>
      <w:pPr>
        <w:pStyle w:val="TextBody"/>
        <w:bidi w:val="0"/>
        <w:spacing w:lineRule="auto" w:line="288" w:before="60" w:after="283"/>
        <w:jc w:val="center"/>
        <w:rPr/>
      </w:pPr>
      <w:r>
        <w:rPr>
          <w:rFonts w:ascii="Times New Roman;sans-serif" w:hAnsi="Times New Roman;sans-serif"/>
          <w:b/>
          <w:color w:val="000000"/>
          <w:sz w:val="24"/>
        </w:rPr>
        <w:t>or</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4"/>
        </w:rPr>
      </w:pPr>
      <w:r>
        <w:rPr>
          <w:rFonts w:ascii="Times New Roman;sans-serif" w:hAnsi="Times New Roman;sans-serif"/>
          <w:b/>
          <w:color w:val="000000"/>
          <w:sz w:val="24"/>
        </w:rPr>
        <w:t>For the transition period from _______ to _______</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Commission File Number 001-33278</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p>
      <w:pPr>
        <w:pStyle w:val="TextBody"/>
        <w:bidi w:val="0"/>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AVIAT NETWORKS, INC.</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tbl>
      <w:tblPr>
        <w:tblW w:w="9175" w:type="dxa"/>
        <w:jc w:val="center"/>
        <w:tblInd w:w="0" w:type="dxa"/>
        <w:tblLayout w:type="fixed"/>
        <w:tblCellMar>
          <w:top w:w="28" w:type="dxa"/>
          <w:left w:w="28" w:type="dxa"/>
          <w:bottom w:w="28" w:type="dxa"/>
          <w:right w:w="28" w:type="dxa"/>
        </w:tblCellMar>
      </w:tblPr>
      <w:tblGrid>
        <w:gridCol w:w="1026"/>
        <w:gridCol w:w="904"/>
        <w:gridCol w:w="904"/>
        <w:gridCol w:w="516"/>
        <w:gridCol w:w="516"/>
        <w:gridCol w:w="516"/>
        <w:gridCol w:w="516"/>
        <w:gridCol w:w="516"/>
        <w:gridCol w:w="524"/>
        <w:gridCol w:w="109"/>
        <w:gridCol w:w="109"/>
        <w:gridCol w:w="109"/>
        <w:gridCol w:w="849"/>
        <w:gridCol w:w="849"/>
        <w:gridCol w:w="1212"/>
      </w:tblGrid>
      <w:tr>
        <w:trPr/>
        <w:tc>
          <w:tcPr>
            <w:tcW w:w="102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20-5961564</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 Identification No.)</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200 Parker Drive, Suite C100A, </w:t>
            </w:r>
          </w:p>
        </w:tc>
        <w:tc>
          <w:tcPr>
            <w:tcW w:w="1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Austin,</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78728</w:t>
            </w:r>
          </w:p>
        </w:tc>
      </w:tr>
      <w:tr>
        <w:trPr/>
        <w:tc>
          <w:tcPr>
            <w:tcW w:w="5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(408) 941-7100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(Registrant’s telephone number, including area code)</w:t>
      </w:r>
    </w:p>
    <w:p>
      <w:pPr>
        <w:pStyle w:val="TextBody"/>
        <w:bidi w:val="0"/>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________________________________</w:t>
      </w:r>
    </w:p>
    <w:p>
      <w:pPr>
        <w:pStyle w:val="TextBody"/>
        <w:bidi w:val="0"/>
        <w:spacing w:lineRule="auto" w:line="288" w:before="120" w:after="14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47" w:type="dxa"/>
        <w:jc w:val="center"/>
        <w:tblInd w:w="0" w:type="dxa"/>
        <w:tblLayout w:type="fixed"/>
        <w:tblCellMar>
          <w:top w:w="28" w:type="dxa"/>
          <w:left w:w="28" w:type="dxa"/>
          <w:bottom w:w="28" w:type="dxa"/>
          <w:right w:w="28" w:type="dxa"/>
        </w:tblCellMar>
      </w:tblPr>
      <w:tblGrid>
        <w:gridCol w:w="970"/>
        <w:gridCol w:w="852"/>
        <w:gridCol w:w="862"/>
        <w:gridCol w:w="564"/>
        <w:gridCol w:w="564"/>
        <w:gridCol w:w="566"/>
        <w:gridCol w:w="1130"/>
        <w:gridCol w:w="1130"/>
        <w:gridCol w:w="1609"/>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268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6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AVNW</w:t>
            </w:r>
          </w:p>
        </w:tc>
        <w:tc>
          <w:tcPr>
            <w:tcW w:w="3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Preferred Share Purchase Rights</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62" w:type="dxa"/>
        <w:jc w:val="center"/>
        <w:tblInd w:w="0" w:type="dxa"/>
        <w:tblLayout w:type="fixed"/>
        <w:tblCellMar>
          <w:top w:w="28" w:type="dxa"/>
          <w:left w:w="28" w:type="dxa"/>
          <w:bottom w:w="28" w:type="dxa"/>
          <w:right w:w="28" w:type="dxa"/>
        </w:tblCellMar>
      </w:tblPr>
      <w:tblGrid>
        <w:gridCol w:w="842"/>
        <w:gridCol w:w="741"/>
        <w:gridCol w:w="742"/>
        <w:gridCol w:w="109"/>
        <w:gridCol w:w="109"/>
        <w:gridCol w:w="109"/>
        <w:gridCol w:w="109"/>
        <w:gridCol w:w="109"/>
        <w:gridCol w:w="109"/>
        <w:gridCol w:w="769"/>
        <w:gridCol w:w="769"/>
        <w:gridCol w:w="773"/>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outstanding of the registrant’s common stock as of February 3, 2025 was 12,683,983.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1" w:type="dxa"/>
                            <w:gridSpan w:val="9"/>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December 27, 2024</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90" w:type="dxa"/>
        <w:jc w:val="center"/>
        <w:tblInd w:w="0" w:type="dxa"/>
        <w:tblLayout w:type="fixed"/>
        <w:tblCellMar>
          <w:top w:w="28" w:type="dxa"/>
          <w:left w:w="28" w:type="dxa"/>
          <w:bottom w:w="28" w:type="dxa"/>
          <w:right w:w="28" w:type="dxa"/>
        </w:tblCellMar>
      </w:tblPr>
      <w:tblGrid>
        <w:gridCol w:w="2892"/>
        <w:gridCol w:w="2541"/>
        <w:gridCol w:w="2546"/>
        <w:gridCol w:w="149"/>
        <w:gridCol w:w="149"/>
        <w:gridCol w:w="213"/>
      </w:tblGrid>
      <w:tr>
        <w:trPr/>
        <w:tc>
          <w:tcPr>
            <w:tcW w:w="2892"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0">
              <w:r>
                <w:rPr>
                  <w:rStyle w:val="InternetLink"/>
                  <w:rFonts w:ascii="Times New Roman;sans-serif" w:hAnsi="Times New Roman;sans-serif"/>
                  <w:b/>
                  <w:strike w:val="false"/>
                  <w:dstrike w:val="false"/>
                  <w:color w:val="0000FF"/>
                  <w:sz w:val="20"/>
                  <w:u w:val="none"/>
                  <w:effect w:val="none"/>
                </w:rPr>
                <w:t>Part I.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e0c09e8290d24e3a9d8f21784f2b6fb9_10">
              <w:r>
                <w:rPr>
                  <w:rStyle w:val="InternetLink"/>
                  <w:rFonts w:ascii="Times New Roman;sans-serif" w:hAnsi="Times New Roman;sans-serif"/>
                  <w:b w:val="false"/>
                  <w:strike w:val="false"/>
                  <w:dstrike w:val="false"/>
                  <w:color w:val="0000FF"/>
                  <w:sz w:val="20"/>
                  <w:u w:val="none"/>
                  <w:effect w:val="non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0">
              <w:r>
                <w:rPr>
                  <w:rStyle w:val="InternetLink"/>
                  <w:rFonts w:ascii="Times New Roman;sans-serif" w:hAnsi="Times New Roman;sans-serif"/>
                  <w:b w:val="false"/>
                  <w:strike w:val="false"/>
                  <w:dstrike w:val="false"/>
                  <w:color w:val="0000FF"/>
                  <w:sz w:val="20"/>
                  <w:u w:val="none"/>
                  <w:effect w:val="non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3">
              <w:r>
                <w:rPr>
                  <w:rStyle w:val="InternetLink"/>
                  <w:rFonts w:ascii="Times New Roman;sans-serif" w:hAnsi="Times New Roman;sans-serif"/>
                  <w:b w:val="false"/>
                  <w:strike w:val="false"/>
                  <w:dstrike w:val="false"/>
                  <w:color w:val="0000FF"/>
                  <w:sz w:val="20"/>
                  <w:u w:val="none"/>
                  <w:effect w:val="none"/>
                </w:rPr>
                <w:t>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0c09e8290d24e3a9d8f21784f2b6fb9_16">
              <w:r>
                <w:rPr>
                  <w:rStyle w:val="InternetLink"/>
                  <w:rFonts w:ascii="Times New Roman;sans-serif" w:hAnsi="Times New Roman;sans-serif"/>
                  <w:b w:val="false"/>
                  <w:strike w:val="false"/>
                  <w:dstrike w:val="false"/>
                  <w:color w:val="0000FF"/>
                  <w:sz w:val="20"/>
                  <w:u w:val="none"/>
                  <w:effect w:val="none"/>
                </w:rPr>
                <w:t>Condensed Consolidated Statements of Operations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6">
              <w:r>
                <w:rPr>
                  <w:rStyle w:val="InternetLink"/>
                  <w:rFonts w:ascii="Times New Roman;sans-serif" w:hAnsi="Times New Roman;sans-serif"/>
                  <w:b w:val="false"/>
                  <w:strike w:val="false"/>
                  <w:dstrike w:val="false"/>
                  <w:color w:val="0000FF"/>
                  <w:sz w:val="20"/>
                  <w:u w:val="none"/>
                  <w:effect w:val="non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9">
              <w:r>
                <w:rPr>
                  <w:rStyle w:val="InternetLink"/>
                  <w:rFonts w:ascii="Times New Roman;sans-serif" w:hAnsi="Times New Roman;sans-serif"/>
                  <w:b w:val="false"/>
                  <w:strike w:val="false"/>
                  <w:dstrike w:val="false"/>
                  <w:color w:val="0000FF"/>
                  <w:sz w:val="20"/>
                  <w:u w:val="none"/>
                  <w:effect w:val="none"/>
                </w:rPr>
                <w:t>Condensed Consolidated Statements of Comprehensive Income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9">
              <w:r>
                <w:rPr>
                  <w:rStyle w:val="InternetLink"/>
                  <w:rFonts w:ascii="Times New Roman;sans-serif" w:hAnsi="Times New Roman;sans-serif"/>
                  <w:b w:val="false"/>
                  <w:strike w:val="false"/>
                  <w:dstrike w:val="false"/>
                  <w:color w:val="0000FF"/>
                  <w:sz w:val="20"/>
                  <w:u w:val="none"/>
                  <w:effect w:val="none"/>
                </w:rPr>
                <w:t>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0c09e8290d24e3a9d8f21784f2b6fb9_22">
              <w:r>
                <w:rPr>
                  <w:rStyle w:val="InternetLink"/>
                  <w:rFonts w:ascii="Times New Roman;sans-serif" w:hAnsi="Times New Roman;sans-serif"/>
                  <w:b w:val="false"/>
                  <w:strike w:val="false"/>
                  <w:dstrike w:val="false"/>
                  <w:color w:val="0000FF"/>
                  <w:sz w:val="20"/>
                  <w:u w:val="none"/>
                  <w:effect w:val="none"/>
                </w:rPr>
                <w:t>Condensed Consolidated Balance Sheets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22">
              <w:r>
                <w:rPr>
                  <w:rStyle w:val="InternetLink"/>
                  <w:rFonts w:ascii="Times New Roman;sans-serif" w:hAnsi="Times New Roman;sans-serif"/>
                  <w:b w:val="false"/>
                  <w:strike w:val="false"/>
                  <w:dstrike w:val="false"/>
                  <w:color w:val="0000FF"/>
                  <w:sz w:val="20"/>
                  <w:u w:val="none"/>
                  <w:effect w:val="none"/>
                </w:rPr>
                <w:t>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0c09e8290d24e3a9d8f21784f2b6fb9_25">
              <w:r>
                <w:rPr>
                  <w:rStyle w:val="InternetLink"/>
                  <w:rFonts w:ascii="Times New Roman;sans-serif" w:hAnsi="Times New Roman;sans-serif"/>
                  <w:b w:val="false"/>
                  <w:strike w:val="false"/>
                  <w:dstrike w:val="false"/>
                  <w:color w:val="0000FF"/>
                  <w:sz w:val="20"/>
                  <w:u w:val="none"/>
                  <w:effect w:val="none"/>
                </w:rPr>
                <w:t>Condensed Consolidated Statements of Cash Flows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25">
              <w:r>
                <w:rPr>
                  <w:rStyle w:val="InternetLink"/>
                  <w:rFonts w:ascii="Times New Roman;sans-serif" w:hAnsi="Times New Roman;sans-serif"/>
                  <w:b w:val="false"/>
                  <w:strike w:val="false"/>
                  <w:dstrike w:val="false"/>
                  <w:color w:val="0000FF"/>
                  <w:sz w:val="20"/>
                  <w:u w:val="none"/>
                  <w:effect w:val="none"/>
                </w:rPr>
                <w:t>6</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e0c09e8290d24e3a9d8f21784f2b6fb9_28">
              <w:r>
                <w:rPr>
                  <w:rStyle w:val="InternetLink"/>
                  <w:rFonts w:ascii="Times New Roman;sans-serif" w:hAnsi="Times New Roman;sans-serif"/>
                  <w:b w:val="false"/>
                  <w:strike w:val="false"/>
                  <w:dstrike w:val="false"/>
                  <w:color w:val="0000FF"/>
                  <w:sz w:val="20"/>
                  <w:u w:val="none"/>
                  <w:effect w:val="none"/>
                </w:rPr>
                <w:t>Condensed Consolidated Statements of Equity (Unaudited)</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28">
              <w:r>
                <w:rPr>
                  <w:rStyle w:val="InternetLink"/>
                  <w:rFonts w:ascii="Times New Roman;sans-serif" w:hAnsi="Times New Roman;sans-serif"/>
                  <w:b w:val="false"/>
                  <w:strike w:val="false"/>
                  <w:dstrike w:val="false"/>
                  <w:color w:val="0000FF"/>
                  <w:sz w:val="20"/>
                  <w:u w:val="none"/>
                  <w:effect w:val="none"/>
                </w:rPr>
                <w:t>7</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37">
              <w:r>
                <w:rPr>
                  <w:rStyle w:val="InternetLink"/>
                  <w:rFonts w:ascii="Times New Roman;sans-serif" w:hAnsi="Times New Roman;sans-serif"/>
                  <w:b w:val="false"/>
                  <w:strike w:val="false"/>
                  <w:dstrike w:val="false"/>
                  <w:color w:val="0000FF"/>
                  <w:sz w:val="20"/>
                  <w:u w:val="none"/>
                  <w:effect w:val="none"/>
                </w:rPr>
                <w:t>Notes to Condensed Consolidated Financial Statements (Unaudited)</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37">
              <w:r>
                <w:rPr>
                  <w:rStyle w:val="InternetLink"/>
                  <w:rFonts w:ascii="Times New Roman;sans-serif" w:hAnsi="Times New Roman;sans-serif"/>
                  <w:b w:val="false"/>
                  <w:strike w:val="false"/>
                  <w:dstrike w:val="false"/>
                  <w:color w:val="0000FF"/>
                  <w:sz w:val="20"/>
                  <w:u w:val="none"/>
                  <w:effect w:val="none"/>
                </w:rPr>
                <w:t>9</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94">
              <w:r>
                <w:rPr>
                  <w:rStyle w:val="InternetLink"/>
                  <w:rFonts w:ascii="Times New Roman;sans-serif" w:hAnsi="Times New Roman;sans-serif"/>
                  <w:b w:val="false"/>
                  <w:strike w:val="false"/>
                  <w:dstrike w:val="false"/>
                  <w:color w:val="0000FF"/>
                  <w:sz w:val="20"/>
                  <w:u w:val="none"/>
                  <w:effect w:val="none"/>
                </w:rPr>
                <w:t>Item 2. Management’s Discussion and Analysis of Financial Condition and Results of Operations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94">
              <w:r>
                <w:rPr>
                  <w:rStyle w:val="InternetLink"/>
                  <w:rFonts w:ascii="Times New Roman;sans-serif" w:hAnsi="Times New Roman;sans-serif"/>
                  <w:b w:val="false"/>
                  <w:strike w:val="false"/>
                  <w:dstrike w:val="false"/>
                  <w:color w:val="0000FF"/>
                  <w:sz w:val="20"/>
                  <w:u w:val="none"/>
                  <w:effect w:val="none"/>
                </w:rPr>
                <w:t>26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09">
              <w:r>
                <w:rPr>
                  <w:rStyle w:val="InternetLink"/>
                  <w:rFonts w:ascii="Times New Roman;sans-serif" w:hAnsi="Times New Roman;sans-serif"/>
                  <w:b w:val="false"/>
                  <w:strike w:val="false"/>
                  <w:dstrike w:val="false"/>
                  <w:color w:val="0000FF"/>
                  <w:sz w:val="20"/>
                  <w:u w:val="none"/>
                  <w:effect w:val="non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09">
              <w:r>
                <w:rPr>
                  <w:rStyle w:val="InternetLink"/>
                  <w:rFonts w:ascii="Times New Roman;sans-serif" w:hAnsi="Times New Roman;sans-serif"/>
                  <w:b w:val="false"/>
                  <w:strike w:val="false"/>
                  <w:dstrike w:val="false"/>
                  <w:color w:val="0000FF"/>
                  <w:sz w:val="20"/>
                  <w:u w:val="none"/>
                  <w:effect w:val="none"/>
                </w:rPr>
                <w:t>31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12">
              <w:r>
                <w:rPr>
                  <w:rStyle w:val="InternetLink"/>
                  <w:rFonts w:ascii="Times New Roman;sans-serif" w:hAnsi="Times New Roman;sans-serif"/>
                  <w:b w:val="false"/>
                  <w:strike w:val="false"/>
                  <w:dstrike w:val="false"/>
                  <w:color w:val="0000FF"/>
                  <w:sz w:val="20"/>
                  <w:u w:val="none"/>
                  <w:effect w:val="none"/>
                </w:rPr>
                <w:t>Item 4. 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12">
              <w:r>
                <w:rPr>
                  <w:rStyle w:val="InternetLink"/>
                  <w:rFonts w:ascii="Times New Roman;sans-serif" w:hAnsi="Times New Roman;sans-serif"/>
                  <w:b w:val="false"/>
                  <w:strike w:val="false"/>
                  <w:dstrike w:val="false"/>
                  <w:color w:val="0000FF"/>
                  <w:sz w:val="20"/>
                  <w:u w:val="none"/>
                  <w:effect w:val="none"/>
                </w:rPr>
                <w:t>32</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15">
              <w:r>
                <w:rPr>
                  <w:rStyle w:val="InternetLink"/>
                  <w:rFonts w:ascii="Times New Roman;sans-serif" w:hAnsi="Times New Roman;sans-serif"/>
                  <w:b/>
                  <w:strike w:val="false"/>
                  <w:dstrike w:val="false"/>
                  <w:color w:val="0000FF"/>
                  <w:sz w:val="20"/>
                  <w:u w:val="none"/>
                  <w:effect w:val="none"/>
                </w:rPr>
                <w:t>Part II.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15">
              <w:r>
                <w:rPr>
                  <w:rStyle w:val="InternetLink"/>
                  <w:rFonts w:ascii="Times New Roman;sans-serif" w:hAnsi="Times New Roman;sans-serif"/>
                  <w:b w:val="false"/>
                  <w:strike w:val="false"/>
                  <w:dstrike w:val="false"/>
                  <w:color w:val="0000FF"/>
                  <w:sz w:val="20"/>
                  <w:u w:val="none"/>
                  <w:effect w:val="none"/>
                </w:rPr>
                <w:t>33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18">
              <w:r>
                <w:rPr>
                  <w:rStyle w:val="InternetLink"/>
                  <w:rFonts w:ascii="Times New Roman;sans-serif" w:hAnsi="Times New Roman;sans-serif"/>
                  <w:b w:val="false"/>
                  <w:strike w:val="false"/>
                  <w:dstrike w:val="false"/>
                  <w:color w:val="0000FF"/>
                  <w:sz w:val="20"/>
                  <w:u w:val="none"/>
                  <w:effect w:val="none"/>
                </w:rPr>
                <w:t>Item 1. Legal Proceedings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18">
              <w:r>
                <w:rPr>
                  <w:rStyle w:val="InternetLink"/>
                  <w:rFonts w:ascii="Times New Roman;sans-serif" w:hAnsi="Times New Roman;sans-serif"/>
                  <w:b w:val="false"/>
                  <w:strike w:val="false"/>
                  <w:dstrike w:val="false"/>
                  <w:color w:val="0000FF"/>
                  <w:sz w:val="20"/>
                  <w:u w:val="none"/>
                  <w:effect w:val="none"/>
                </w:rPr>
                <w:t>33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21">
              <w:r>
                <w:rPr>
                  <w:rStyle w:val="InternetLink"/>
                  <w:rFonts w:ascii="Times New Roman;sans-serif" w:hAnsi="Times New Roman;sans-serif"/>
                  <w:b w:val="false"/>
                  <w:strike w:val="false"/>
                  <w:dstrike w:val="false"/>
                  <w:color w:val="0000FF"/>
                  <w:sz w:val="20"/>
                  <w:u w:val="none"/>
                  <w:effect w:val="none"/>
                </w:rPr>
                <w:t>Item 1A. Risk Factors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21">
              <w:r>
                <w:rPr>
                  <w:rStyle w:val="InternetLink"/>
                  <w:rFonts w:ascii="Times New Roman;sans-serif" w:hAnsi="Times New Roman;sans-serif"/>
                  <w:b w:val="false"/>
                  <w:strike w:val="false"/>
                  <w:dstrike w:val="false"/>
                  <w:color w:val="0000FF"/>
                  <w:sz w:val="20"/>
                  <w:u w:val="none"/>
                  <w:effect w:val="none"/>
                </w:rPr>
                <w:t>33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24">
              <w:r>
                <w:rPr>
                  <w:rStyle w:val="InternetLink"/>
                  <w:rFonts w:ascii="Times New Roman;sans-serif" w:hAnsi="Times New Roman;sans-serif"/>
                  <w:b w:val="false"/>
                  <w:strike w:val="false"/>
                  <w:dstrike w:val="false"/>
                  <w:color w:val="0000FF"/>
                  <w:sz w:val="20"/>
                  <w:u w:val="none"/>
                  <w:effect w:val="none"/>
                </w:rPr>
                <w:t>Item 2. Unregistered Sales of Equity Securities and Use of Proceeds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24">
              <w:r>
                <w:rPr>
                  <w:rStyle w:val="InternetLink"/>
                  <w:rFonts w:ascii="Times New Roman;sans-serif" w:hAnsi="Times New Roman;sans-serif"/>
                  <w:b w:val="false"/>
                  <w:strike w:val="false"/>
                  <w:dstrike w:val="false"/>
                  <w:color w:val="0000FF"/>
                  <w:sz w:val="20"/>
                  <w:u w:val="none"/>
                  <w:effect w:val="none"/>
                </w:rPr>
                <w:t>33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27">
              <w:r>
                <w:rPr>
                  <w:rStyle w:val="InternetLink"/>
                  <w:rFonts w:ascii="Times New Roman;sans-serif" w:hAnsi="Times New Roman;sans-serif"/>
                  <w:b w:val="false"/>
                  <w:strike w:val="false"/>
                  <w:dstrike w:val="false"/>
                  <w:color w:val="0000FF"/>
                  <w:sz w:val="20"/>
                  <w:u w:val="none"/>
                  <w:effect w:val="none"/>
                </w:rPr>
                <w:t>Item 3. Defaults upon Senior Securities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27">
              <w:r>
                <w:rPr>
                  <w:rStyle w:val="InternetLink"/>
                  <w:rFonts w:ascii="Times New Roman;sans-serif" w:hAnsi="Times New Roman;sans-serif"/>
                  <w:b w:val="false"/>
                  <w:strike w:val="false"/>
                  <w:dstrike w:val="false"/>
                  <w:color w:val="0000FF"/>
                  <w:sz w:val="20"/>
                  <w:u w:val="none"/>
                  <w:effect w:val="none"/>
                </w:rPr>
                <w:t>33</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30">
              <w:r>
                <w:rPr>
                  <w:rStyle w:val="InternetLink"/>
                  <w:rFonts w:ascii="Times New Roman;sans-serif" w:hAnsi="Times New Roman;sans-serif"/>
                  <w:b w:val="false"/>
                  <w:strike w:val="false"/>
                  <w:dstrike w:val="false"/>
                  <w:color w:val="0000FF"/>
                  <w:sz w:val="20"/>
                  <w:u w:val="none"/>
                  <w:effect w:val="none"/>
                </w:rPr>
                <w:t>Item 4. Mine Safety Disclosures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30">
              <w:r>
                <w:rPr>
                  <w:rStyle w:val="InternetLink"/>
                  <w:rFonts w:ascii="Times New Roman;sans-serif" w:hAnsi="Times New Roman;sans-serif"/>
                  <w:b w:val="false"/>
                  <w:strike w:val="false"/>
                  <w:dstrike w:val="false"/>
                  <w:color w:val="0000FF"/>
                  <w:sz w:val="20"/>
                  <w:u w:val="none"/>
                  <w:effect w:val="none"/>
                </w:rPr>
                <w:t>33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33">
              <w:r>
                <w:rPr>
                  <w:rStyle w:val="InternetLink"/>
                  <w:rFonts w:ascii="Times New Roman;sans-serif" w:hAnsi="Times New Roman;sans-serif"/>
                  <w:b w:val="false"/>
                  <w:strike w:val="false"/>
                  <w:dstrike w:val="false"/>
                  <w:color w:val="0000FF"/>
                  <w:sz w:val="20"/>
                  <w:u w:val="none"/>
                  <w:effect w:val="none"/>
                </w:rPr>
                <w:t>Item 5. Other Information</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33">
              <w:r>
                <w:rPr>
                  <w:rStyle w:val="InternetLink"/>
                  <w:rFonts w:ascii="Times New Roman;sans-serif" w:hAnsi="Times New Roman;sans-serif"/>
                  <w:b w:val="false"/>
                  <w:strike w:val="false"/>
                  <w:dstrike w:val="false"/>
                  <w:color w:val="0000FF"/>
                  <w:sz w:val="20"/>
                  <w:u w:val="none"/>
                  <w:effect w:val="none"/>
                </w:rPr>
                <w:t>34</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39">
              <w:r>
                <w:rPr>
                  <w:rStyle w:val="InternetLink"/>
                  <w:rFonts w:ascii="Times New Roman;sans-serif" w:hAnsi="Times New Roman;sans-serif"/>
                  <w:b w:val="false"/>
                  <w:strike w:val="false"/>
                  <w:dstrike w:val="false"/>
                  <w:color w:val="0000FF"/>
                  <w:sz w:val="20"/>
                  <w:u w:val="none"/>
                  <w:effect w:val="none"/>
                </w:rPr>
                <w:t>Item 6. Exhibits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39">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42">
              <w:r>
                <w:rPr>
                  <w:rStyle w:val="InternetLink"/>
                  <w:rFonts w:ascii="Times New Roman;sans-serif" w:hAnsi="Times New Roman;sans-serif"/>
                  <w:b/>
                  <w:strike w:val="false"/>
                  <w:dstrike w:val="false"/>
                  <w:color w:val="0000FF"/>
                  <w:sz w:val="20"/>
                  <w:u w:val="none"/>
                  <w:effect w:val="none"/>
                </w:rPr>
                <w:t>Signatures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42">
              <w:r>
                <w:rPr>
                  <w:rStyle w:val="InternetLink"/>
                  <w:rFonts w:ascii="Times New Roman;sans-serif" w:hAnsi="Times New Roman;sans-serif"/>
                  <w:b w:val="false"/>
                  <w:strike w:val="false"/>
                  <w:dstrike w:val="false"/>
                  <w:color w:val="0000FF"/>
                  <w:sz w:val="20"/>
                  <w:u w:val="none"/>
                  <w:effect w:val="none"/>
                </w:rPr>
                <w:t>36</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0c09e8290d24e3a9d8f21784f2b6fb9_139">
              <w:r>
                <w:rPr>
                  <w:rStyle w:val="InternetLink"/>
                  <w:rFonts w:ascii="Times New Roman;sans-serif" w:hAnsi="Times New Roman;sans-serif"/>
                  <w:b/>
                  <w:strike w:val="false"/>
                  <w:dstrike w:val="false"/>
                  <w:color w:val="0000FF"/>
                  <w:sz w:val="20"/>
                  <w:u w:val="none"/>
                  <w:effect w:val="none"/>
                </w:rPr>
                <w:t>Exhibit Index</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0c09e8290d24e3a9d8f21784f2b6fb9_142">
              <w:r>
                <w:rPr>
                  <w:rStyle w:val="InternetLink"/>
                  <w:rFonts w:ascii="Times New Roman;sans-serif" w:hAnsi="Times New Roman;sans-serif"/>
                  <w:b w:val="false"/>
                  <w:strike w:val="false"/>
                  <w:dstrike w:val="false"/>
                  <w:color w:val="0000FF"/>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pPr>
      <w:r>
        <w:rPr>
          <w:rFonts w:ascii="Times New Roman;sans-serif" w:hAnsi="Times New Roman;sans-serif"/>
          <w:b/>
          <w:color w:val="000000"/>
          <w:sz w:val="20"/>
        </w:rPr>
        <w:t>Item 1.</w:t>
      </w:r>
      <w:r>
        <w:rPr>
          <w:rFonts w:ascii="Times New Roman;sans-serif" w:hAnsi="Times New Roman;sans-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79"/>
        <w:gridCol w:w="1477"/>
        <w:gridCol w:w="1480"/>
        <w:gridCol w:w="227"/>
        <w:gridCol w:w="779"/>
        <w:gridCol w:w="117"/>
        <w:gridCol w:w="109"/>
        <w:gridCol w:w="109"/>
        <w:gridCol w:w="109"/>
        <w:gridCol w:w="227"/>
        <w:gridCol w:w="779"/>
        <w:gridCol w:w="117"/>
        <w:gridCol w:w="109"/>
        <w:gridCol w:w="109"/>
        <w:gridCol w:w="109"/>
        <w:gridCol w:w="211"/>
        <w:gridCol w:w="826"/>
        <w:gridCol w:w="109"/>
        <w:gridCol w:w="109"/>
        <w:gridCol w:w="109"/>
        <w:gridCol w:w="109"/>
        <w:gridCol w:w="211"/>
        <w:gridCol w:w="826"/>
        <w:gridCol w:w="159"/>
      </w:tblGrid>
      <w:tr>
        <w:trPr/>
        <w:tc>
          <w:tcPr>
            <w:tcW w:w="167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before income taxes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of common stock outstanding:</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Weighted-average shares outstanding: </w:t>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23" w:type="dxa"/>
        <w:jc w:val="center"/>
        <w:tblInd w:w="0" w:type="dxa"/>
        <w:tblLayout w:type="fixed"/>
        <w:tblCellMar>
          <w:top w:w="28" w:type="dxa"/>
          <w:left w:w="28" w:type="dxa"/>
          <w:bottom w:w="28" w:type="dxa"/>
          <w:right w:w="28" w:type="dxa"/>
        </w:tblCellMar>
      </w:tblPr>
      <w:tblGrid>
        <w:gridCol w:w="1501"/>
        <w:gridCol w:w="1316"/>
        <w:gridCol w:w="1322"/>
        <w:gridCol w:w="257"/>
        <w:gridCol w:w="750"/>
        <w:gridCol w:w="132"/>
        <w:gridCol w:w="109"/>
        <w:gridCol w:w="109"/>
        <w:gridCol w:w="109"/>
        <w:gridCol w:w="257"/>
        <w:gridCol w:w="750"/>
        <w:gridCol w:w="132"/>
        <w:gridCol w:w="109"/>
        <w:gridCol w:w="109"/>
        <w:gridCol w:w="109"/>
        <w:gridCol w:w="238"/>
        <w:gridCol w:w="779"/>
        <w:gridCol w:w="123"/>
        <w:gridCol w:w="109"/>
        <w:gridCol w:w="109"/>
        <w:gridCol w:w="109"/>
        <w:gridCol w:w="255"/>
        <w:gridCol w:w="744"/>
        <w:gridCol w:w="186"/>
      </w:tblGrid>
      <w:tr>
        <w:trPr/>
        <w:tc>
          <w:tcPr>
            <w:tcW w:w="1501"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 income:</w:t>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cumulative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12"/>
        <w:gridCol w:w="2361"/>
        <w:gridCol w:w="2367"/>
        <w:gridCol w:w="211"/>
        <w:gridCol w:w="826"/>
        <w:gridCol w:w="109"/>
        <w:gridCol w:w="109"/>
        <w:gridCol w:w="109"/>
        <w:gridCol w:w="109"/>
        <w:gridCol w:w="211"/>
        <w:gridCol w:w="826"/>
        <w:gridCol w:w="155"/>
      </w:tblGrid>
      <w:tr>
        <w:trPr/>
        <w:tc>
          <w:tcPr>
            <w:tcW w:w="281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share and par value amounts)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$2,483 and $1,854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405,223 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uncertain tax positions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279,338 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12)</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50.0 million shares authorized, none issued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300.0 million shares authorized, 12.7 million and 12.6 million shares issued and outstanding as of December 27, 2024 and June 28, 2024,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0.2 million and 0.2 million shares as of December 27, 2024 and June 28, 2024,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860,071 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(578,513)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255,885 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535,223 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62"/>
        <w:gridCol w:w="2398"/>
        <w:gridCol w:w="2403"/>
        <w:gridCol w:w="229"/>
        <w:gridCol w:w="785"/>
        <w:gridCol w:w="118"/>
        <w:gridCol w:w="109"/>
        <w:gridCol w:w="109"/>
        <w:gridCol w:w="109"/>
        <w:gridCol w:w="228"/>
        <w:gridCol w:w="783"/>
        <w:gridCol w:w="172"/>
      </w:tblGrid>
      <w:tr>
        <w:trPr/>
        <w:tc>
          <w:tcPr>
            <w:tcW w:w="2762"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income to net cash (used in) provided by operating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property, plant and equipment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uncollectible receivables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write-downs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operating activities,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plant and equipment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 held for sale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net of cash acquired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revolver</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term loan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financing costs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deferred consideration for acquisitions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repurchase of common stock - treasury shares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taxes related to net settlement of equity awards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plans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18,617 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50,296 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(decrease) increase in cash, cash equivalents, and restricted cash</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beginning of period</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cash equivalents, and restricted cash, end of period</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cash flow information</w:t>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connection with acquisition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655"/>
        <w:gridCol w:w="275"/>
        <w:gridCol w:w="276"/>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7"/>
        <w:gridCol w:w="755"/>
        <w:gridCol w:w="109"/>
        <w:gridCol w:w="109"/>
        <w:gridCol w:w="109"/>
        <w:gridCol w:w="109"/>
        <w:gridCol w:w="196"/>
        <w:gridCol w:w="753"/>
        <w:gridCol w:w="109"/>
        <w:gridCol w:w="109"/>
        <w:gridCol w:w="109"/>
        <w:gridCol w:w="109"/>
        <w:gridCol w:w="248"/>
        <w:gridCol w:w="840"/>
        <w:gridCol w:w="139"/>
        <w:gridCol w:w="109"/>
        <w:gridCol w:w="109"/>
        <w:gridCol w:w="109"/>
        <w:gridCol w:w="196"/>
        <w:gridCol w:w="751"/>
        <w:gridCol w:w="160"/>
      </w:tblGrid>
      <w:tr>
        <w:trPr/>
        <w:tc>
          <w:tcPr>
            <w:tcW w:w="6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27, 2024</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27,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12,676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861,023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(590,392)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(17,167)</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247,112</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27, 2024</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12,684</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862,918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(585,897)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(20,583)</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249,587</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56"/>
        <w:gridCol w:w="276"/>
        <w:gridCol w:w="277"/>
        <w:gridCol w:w="330"/>
        <w:gridCol w:w="331"/>
        <w:gridCol w:w="196"/>
        <w:gridCol w:w="109"/>
        <w:gridCol w:w="109"/>
        <w:gridCol w:w="109"/>
        <w:gridCol w:w="196"/>
        <w:gridCol w:w="436"/>
        <w:gridCol w:w="109"/>
        <w:gridCol w:w="109"/>
        <w:gridCol w:w="109"/>
        <w:gridCol w:w="109"/>
        <w:gridCol w:w="109"/>
        <w:gridCol w:w="196"/>
        <w:gridCol w:w="572"/>
        <w:gridCol w:w="109"/>
        <w:gridCol w:w="109"/>
        <w:gridCol w:w="109"/>
        <w:gridCol w:w="109"/>
        <w:gridCol w:w="196"/>
        <w:gridCol w:w="751"/>
        <w:gridCol w:w="109"/>
        <w:gridCol w:w="109"/>
        <w:gridCol w:w="109"/>
        <w:gridCol w:w="109"/>
        <w:gridCol w:w="196"/>
        <w:gridCol w:w="754"/>
        <w:gridCol w:w="109"/>
        <w:gridCol w:w="109"/>
        <w:gridCol w:w="109"/>
        <w:gridCol w:w="109"/>
        <w:gridCol w:w="248"/>
        <w:gridCol w:w="841"/>
        <w:gridCol w:w="139"/>
        <w:gridCol w:w="109"/>
        <w:gridCol w:w="109"/>
        <w:gridCol w:w="109"/>
        <w:gridCol w:w="196"/>
        <w:gridCol w:w="751"/>
        <w:gridCol w:w="160"/>
      </w:tblGrid>
      <w:tr>
        <w:trPr/>
        <w:tc>
          <w:tcPr>
            <w:tcW w:w="65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9" w:type="dxa"/>
            <w:gridSpan w:val="3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December 29, 2023</w:t>
            </w:r>
          </w:p>
        </w:tc>
        <w:tc>
          <w:tcPr>
            <w:tcW w:w="1107" w:type="dxa"/>
            <w:gridSpan w:val="3"/>
            <w:tcBorders/>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29,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11,719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832,060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(15,971)</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224,343</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in connection with acquisition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29, 2023</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12,521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856,735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(583,932)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(15,426)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251,023</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73"/>
        <w:gridCol w:w="297"/>
        <w:gridCol w:w="298"/>
        <w:gridCol w:w="330"/>
        <w:gridCol w:w="331"/>
        <w:gridCol w:w="196"/>
        <w:gridCol w:w="109"/>
        <w:gridCol w:w="109"/>
        <w:gridCol w:w="109"/>
        <w:gridCol w:w="196"/>
        <w:gridCol w:w="436"/>
        <w:gridCol w:w="109"/>
        <w:gridCol w:w="109"/>
        <w:gridCol w:w="109"/>
        <w:gridCol w:w="109"/>
        <w:gridCol w:w="197"/>
        <w:gridCol w:w="577"/>
        <w:gridCol w:w="109"/>
        <w:gridCol w:w="109"/>
        <w:gridCol w:w="109"/>
        <w:gridCol w:w="109"/>
        <w:gridCol w:w="196"/>
        <w:gridCol w:w="751"/>
        <w:gridCol w:w="109"/>
        <w:gridCol w:w="109"/>
        <w:gridCol w:w="109"/>
        <w:gridCol w:w="109"/>
        <w:gridCol w:w="198"/>
        <w:gridCol w:w="761"/>
        <w:gridCol w:w="110"/>
        <w:gridCol w:w="109"/>
        <w:gridCol w:w="109"/>
        <w:gridCol w:w="109"/>
        <w:gridCol w:w="255"/>
        <w:gridCol w:w="864"/>
        <w:gridCol w:w="143"/>
        <w:gridCol w:w="109"/>
        <w:gridCol w:w="109"/>
        <w:gridCol w:w="109"/>
        <w:gridCol w:w="196"/>
        <w:gridCol w:w="751"/>
        <w:gridCol w:w="160"/>
      </w:tblGrid>
      <w:tr>
        <w:trPr/>
        <w:tc>
          <w:tcPr>
            <w:tcW w:w="6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27, 2024</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28,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12,622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860,071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(578,513)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(19,320)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255,885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27, 2024</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12,684</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(6,978)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862,918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(585,897)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(20,583)</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249,587</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673"/>
        <w:gridCol w:w="297"/>
        <w:gridCol w:w="298"/>
        <w:gridCol w:w="330"/>
        <w:gridCol w:w="331"/>
        <w:gridCol w:w="196"/>
        <w:gridCol w:w="109"/>
        <w:gridCol w:w="109"/>
        <w:gridCol w:w="109"/>
        <w:gridCol w:w="196"/>
        <w:gridCol w:w="436"/>
        <w:gridCol w:w="109"/>
        <w:gridCol w:w="109"/>
        <w:gridCol w:w="109"/>
        <w:gridCol w:w="109"/>
        <w:gridCol w:w="197"/>
        <w:gridCol w:w="577"/>
        <w:gridCol w:w="109"/>
        <w:gridCol w:w="109"/>
        <w:gridCol w:w="109"/>
        <w:gridCol w:w="109"/>
        <w:gridCol w:w="196"/>
        <w:gridCol w:w="751"/>
        <w:gridCol w:w="109"/>
        <w:gridCol w:w="109"/>
        <w:gridCol w:w="109"/>
        <w:gridCol w:w="109"/>
        <w:gridCol w:w="198"/>
        <w:gridCol w:w="761"/>
        <w:gridCol w:w="110"/>
        <w:gridCol w:w="109"/>
        <w:gridCol w:w="109"/>
        <w:gridCol w:w="109"/>
        <w:gridCol w:w="255"/>
        <w:gridCol w:w="864"/>
        <w:gridCol w:w="143"/>
        <w:gridCol w:w="109"/>
        <w:gridCol w:w="109"/>
        <w:gridCol w:w="109"/>
        <w:gridCol w:w="196"/>
        <w:gridCol w:w="751"/>
        <w:gridCol w:w="160"/>
      </w:tblGrid>
      <w:tr>
        <w:trPr/>
        <w:tc>
          <w:tcPr>
            <w:tcW w:w="67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December 29, 2023</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11,518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830,048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(589,273)</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(16,004)</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218,739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plans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taxes related to vesting of equity awards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repurchase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issued in connection with acquisition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29, 2023</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12,521</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(6,479)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856,735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(583,932)</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(15,426)</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251,023</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10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AVIAT NETWORKS,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The Company and Basis of Presentation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statement of its financial position, results of operations and cash flows for such periods. The results for the six months ended December 27, 2024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28, 2024.</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Aviat’s fiscal year includes 52 or 53 weeks and ends on the Friday nearest to June 30. The three months ended December 27, 2024 and December 29, 2023 both consisted of 13 weeks. Fiscal year 2025 contains 52 weeks and will end on June 27, 2025. Fiscal year 2024 contained 52 weeks and ended on June 28,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Revisions to Prior Period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third quarter of fiscal 2024, the Company identified certain errors in the quarterly financial statements for fiscal 2024.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pPr>
      <w:r>
        <w:rPr>
          <w:rFonts w:ascii="Times New Roman;sans-serif" w:hAnsi="Times New Roman;sans-serif"/>
          <w:b w:val="false"/>
          <w:color w:val="000000"/>
          <w:sz w:val="20"/>
        </w:rPr>
        <w:t>statements. As a result, the Company has revised the prior period financial statements and related disclosures to correct the errors for comparability across all periods presented herein. Refer to Note 15. Revisions to Prior Period Consolidated Financial Statements of the Notes to this Form 10-Q, and Note 1. The Company and Summary of Significant Accounting Policies and Part II, Item 9B. Other Information of the Company’s Annual Report on Form 10-K for the fiscal year ended June 28, 2024</w:t>
      </w:r>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Company’s significant accounting policies as of and for the six months ended December 27, 2024, as compared to the significant accounting policies described in the Company’s Annual Report on Form 10-K for the fiscal year ended June 28,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Accounting Standards Not Yet Adopted</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 xml:space="preserve">In November 2024, the Financial Accounting Standards Board (“FASB”) issued Accounting Standards Update (“ASU”) 2024-03 (Subtopic 220-40): </w:t>
      </w:r>
      <w:r>
        <w:rPr>
          <w:rFonts w:ascii="Times New Roman;sans-serif" w:hAnsi="Times New Roman;sans-serif"/>
          <w:b w:val="false"/>
          <w:i/>
          <w:color w:val="000000"/>
          <w:sz w:val="20"/>
        </w:rPr>
        <w:t>Disaggregation of Income Statement Expenses</w:t>
      </w:r>
      <w:r>
        <w:rPr>
          <w:rFonts w:ascii="Times New Roman;sans-serif" w:hAnsi="Times New Roman;sans-serif"/>
          <w:b w:val="false"/>
          <w:color w:val="000000"/>
          <w:sz w:val="20"/>
        </w:rPr>
        <w:t>. The ASU requires disclosures about specific types of expenses included in the expense captions presented on the face of the income statement as well as disclosures about selling expenses. ASU 2024-03 is effective for the Company’s annual reporting beginning in fiscal 2028 and for interim periods beginning in fiscal 2029. The Company is currently evaluating the impact of this ASU on its consolidated financial statements and disclosures.</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 xml:space="preserve">In December 2023, the FASB ASU 2023-09, Income Taxes (Topic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 and disclosures.</w:t>
      </w:r>
    </w:p>
    <w:p>
      <w:pPr>
        <w:pStyle w:val="TextBody"/>
        <w:bidi w:val="0"/>
        <w:spacing w:lineRule="auto" w:line="288" w:before="180" w:after="283"/>
        <w:ind w:left="0" w:right="0" w:firstLine="540"/>
        <w:jc w:val="both"/>
        <w:rPr/>
      </w:pPr>
      <w:r>
        <w:rPr>
          <w:rFonts w:ascii="Times New Roman;sans-serif" w:hAnsi="Times New Roman;sans-serif"/>
          <w:b w:val="false"/>
          <w:color w:val="000000"/>
          <w:sz w:val="20"/>
        </w:rPr>
        <w:t xml:space="preserve">In November 2023, the FASB issued ASU 2023-07, Segment Reporting (Topic 280): </w:t>
      </w:r>
      <w:r>
        <w:rPr>
          <w:rFonts w:ascii="Times New Roman;sans-serif" w:hAnsi="Times New Roman;sans-serif"/>
          <w:b w:val="false"/>
          <w:i/>
          <w:color w:val="000000"/>
          <w:sz w:val="20"/>
        </w:rPr>
        <w:t>Improvements to Reportable Segment Disclosures</w:t>
      </w:r>
      <w:r>
        <w:rPr>
          <w:rFonts w:ascii="Times New Roman;sans-serif" w:hAnsi="Times New Roman;sans-serif"/>
          <w:b w:val="false"/>
          <w:color w:val="000000"/>
          <w:sz w:val="20"/>
        </w:rPr>
        <w:t>.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is currently evaluating the impact of the ASU on its consolidated financial statements and disclosures.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2. Net Income (Loss) Per Share of Common Stock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computation of basic and diluted net income (loss) per share:</w:t>
      </w:r>
    </w:p>
    <w:tbl>
      <w:tblPr>
        <w:tblW w:w="10205" w:type="dxa"/>
        <w:jc w:val="center"/>
        <w:tblInd w:w="0" w:type="dxa"/>
        <w:tblLayout w:type="fixed"/>
        <w:tblCellMar>
          <w:top w:w="28" w:type="dxa"/>
          <w:left w:w="28" w:type="dxa"/>
          <w:bottom w:w="28" w:type="dxa"/>
          <w:right w:w="28" w:type="dxa"/>
        </w:tblCellMar>
      </w:tblPr>
      <w:tblGrid>
        <w:gridCol w:w="1732"/>
        <w:gridCol w:w="1479"/>
        <w:gridCol w:w="1474"/>
        <w:gridCol w:w="253"/>
        <w:gridCol w:w="738"/>
        <w:gridCol w:w="130"/>
        <w:gridCol w:w="109"/>
        <w:gridCol w:w="109"/>
        <w:gridCol w:w="109"/>
        <w:gridCol w:w="253"/>
        <w:gridCol w:w="738"/>
        <w:gridCol w:w="130"/>
        <w:gridCol w:w="109"/>
        <w:gridCol w:w="109"/>
        <w:gridCol w:w="109"/>
        <w:gridCol w:w="235"/>
        <w:gridCol w:w="766"/>
        <w:gridCol w:w="121"/>
        <w:gridCol w:w="109"/>
        <w:gridCol w:w="109"/>
        <w:gridCol w:w="109"/>
        <w:gridCol w:w="251"/>
        <w:gridCol w:w="733"/>
        <w:gridCol w:w="191"/>
      </w:tblGrid>
      <w:tr>
        <w:trPr/>
        <w:tc>
          <w:tcPr>
            <w:tcW w:w="1732"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Numerator: </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basic</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Effect of potentially dilutive equivalent shares</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diluted</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share of common stock outstanding:</w:t>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weighted-average equity awards that were excluded from the diluted net income (loss) per share calculations since they were anti-dilutive:</w:t>
      </w:r>
    </w:p>
    <w:tbl>
      <w:tblPr>
        <w:tblW w:w="10205" w:type="dxa"/>
        <w:jc w:val="center"/>
        <w:tblInd w:w="0" w:type="dxa"/>
        <w:tblLayout w:type="fixed"/>
        <w:tblCellMar>
          <w:top w:w="28" w:type="dxa"/>
          <w:left w:w="28" w:type="dxa"/>
          <w:bottom w:w="28" w:type="dxa"/>
          <w:right w:w="28" w:type="dxa"/>
        </w:tblCellMar>
      </w:tblPr>
      <w:tblGrid>
        <w:gridCol w:w="1519"/>
        <w:gridCol w:w="1333"/>
        <w:gridCol w:w="1336"/>
        <w:gridCol w:w="378"/>
        <w:gridCol w:w="378"/>
        <w:gridCol w:w="380"/>
        <w:gridCol w:w="194"/>
        <w:gridCol w:w="194"/>
        <w:gridCol w:w="194"/>
        <w:gridCol w:w="378"/>
        <w:gridCol w:w="378"/>
        <w:gridCol w:w="380"/>
        <w:gridCol w:w="109"/>
        <w:gridCol w:w="109"/>
        <w:gridCol w:w="109"/>
        <w:gridCol w:w="378"/>
        <w:gridCol w:w="378"/>
        <w:gridCol w:w="380"/>
        <w:gridCol w:w="168"/>
        <w:gridCol w:w="168"/>
        <w:gridCol w:w="168"/>
        <w:gridCol w:w="345"/>
        <w:gridCol w:w="345"/>
        <w:gridCol w:w="506"/>
      </w:tblGrid>
      <w:tr>
        <w:trPr/>
        <w:tc>
          <w:tcPr>
            <w:tcW w:w="151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performance stock units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excluded</w:t>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3. Revenue Recognition</w:t>
      </w:r>
    </w:p>
    <w:p>
      <w:pPr>
        <w:pStyle w:val="TextBody"/>
        <w:bidi w:val="0"/>
        <w:spacing w:lineRule="auto" w:line="288" w:before="264" w:after="283"/>
        <w:jc w:val="left"/>
        <w:rPr>
          <w:rFonts w:ascii="Times New Roman;sans-serif" w:hAnsi="Times New Roman;sans-serif"/>
          <w:b/>
          <w:i/>
          <w:color w:val="000000"/>
          <w:sz w:val="20"/>
        </w:rPr>
      </w:pPr>
      <w:r>
        <w:rPr>
          <w:rFonts w:ascii="Times New Roman;sans-serif" w:hAnsi="Times New Roman;sans-serif"/>
          <w:b/>
          <w:i/>
          <w:color w:val="000000"/>
          <w:sz w:val="20"/>
        </w:rPr>
        <w:t>Contract Balances, Performance Obligations, and Backlog</w:t>
      </w:r>
    </w:p>
    <w:p>
      <w:pPr>
        <w:pStyle w:val="TextBody"/>
        <w:bidi w:val="0"/>
        <w:spacing w:before="0" w:after="0"/>
        <w:jc w:val="left"/>
        <w:rPr/>
      </w:pPr>
      <w:r>
        <w:rPr/>
      </w:r>
    </w:p>
    <w:tbl>
      <w:tblPr>
        <w:tblW w:w="6159" w:type="dxa"/>
        <w:jc w:val="center"/>
        <w:tblInd w:w="0" w:type="dxa"/>
        <w:tblLayout w:type="fixed"/>
        <w:tblCellMar>
          <w:top w:w="28" w:type="dxa"/>
          <w:left w:w="28" w:type="dxa"/>
          <w:bottom w:w="28" w:type="dxa"/>
          <w:right w:w="28" w:type="dxa"/>
        </w:tblCellMar>
      </w:tblPr>
      <w:tblGrid>
        <w:gridCol w:w="1269"/>
        <w:gridCol w:w="1112"/>
        <w:gridCol w:w="1114"/>
        <w:gridCol w:w="211"/>
        <w:gridCol w:w="826"/>
        <w:gridCol w:w="109"/>
        <w:gridCol w:w="109"/>
        <w:gridCol w:w="109"/>
        <w:gridCol w:w="109"/>
        <w:gridCol w:w="211"/>
        <w:gridCol w:w="82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Contract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Contract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 long-term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 contract balances may arise as a result of recognition over time for services, transfer of control for equipment, and periodic payments (both in arrears and in advance).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Company reported $79.4 million in advance payments and unearned revenue and long-term unearned revenue, of which approximately 70% is expected to be recognized as revenue in the next twelve months and the remainder thereafter. Approximately $16.6 million and $33.2 million of revenue was recognized during the three and six months ended December 27, 2024, respectively, which was included in advance payments and unearned revenue at June 28, 2024.</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amount of transaction price allocated to unsatisfied (or partially unsatisfied) performance obligations was approximately $150.9 million at December 27, 2024 relating to our long-term field service projects. Of this amount, approximately 50% is expected to be recognized as revenue during the next 12 months, with the remaining amount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4. Balance Sheet Components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summary of cash, cash equivalents, and restricted cash reported within the unaudited condensed consolidated balance sheets that reconciles to the corresponding amount in the unaudited condensed consolidated statement of cash flows:</w:t>
      </w:r>
    </w:p>
    <w:p>
      <w:pPr>
        <w:pStyle w:val="TextBody"/>
        <w:bidi w:val="0"/>
        <w:spacing w:before="0" w:after="0"/>
        <w:jc w:val="left"/>
        <w:rPr/>
      </w:pPr>
      <w:r>
        <w:rPr/>
      </w:r>
    </w:p>
    <w:tbl>
      <w:tblPr>
        <w:tblW w:w="6692" w:type="dxa"/>
        <w:jc w:val="center"/>
        <w:tblInd w:w="0" w:type="dxa"/>
        <w:tblLayout w:type="fixed"/>
        <w:tblCellMar>
          <w:top w:w="28" w:type="dxa"/>
          <w:left w:w="28" w:type="dxa"/>
          <w:bottom w:w="28" w:type="dxa"/>
          <w:right w:w="28" w:type="dxa"/>
        </w:tblCellMar>
      </w:tblPr>
      <w:tblGrid>
        <w:gridCol w:w="1500"/>
        <w:gridCol w:w="1318"/>
        <w:gridCol w:w="1321"/>
        <w:gridCol w:w="231"/>
        <w:gridCol w:w="790"/>
        <w:gridCol w:w="119"/>
        <w:gridCol w:w="109"/>
        <w:gridCol w:w="109"/>
        <w:gridCol w:w="109"/>
        <w:gridCol w:w="211"/>
        <w:gridCol w:w="72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long-term other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53,494 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before="0" w:after="0"/>
        <w:jc w:val="left"/>
        <w:rPr/>
      </w:pPr>
      <w:r>
        <w:rPr/>
      </w:r>
    </w:p>
    <w:tbl>
      <w:tblPr>
        <w:tblW w:w="8027" w:type="dxa"/>
        <w:jc w:val="center"/>
        <w:tblInd w:w="0" w:type="dxa"/>
        <w:tblLayout w:type="fixed"/>
        <w:tblCellMar>
          <w:top w:w="28" w:type="dxa"/>
          <w:left w:w="28" w:type="dxa"/>
          <w:bottom w:w="28" w:type="dxa"/>
          <w:right w:w="28" w:type="dxa"/>
        </w:tblCellMar>
      </w:tblPr>
      <w:tblGrid>
        <w:gridCol w:w="1986"/>
        <w:gridCol w:w="1743"/>
        <w:gridCol w:w="1745"/>
        <w:gridCol w:w="231"/>
        <w:gridCol w:w="790"/>
        <w:gridCol w:w="119"/>
        <w:gridCol w:w="109"/>
        <w:gridCol w:w="109"/>
        <w:gridCol w:w="109"/>
        <w:gridCol w:w="211"/>
        <w:gridCol w:w="721"/>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products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inventories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Consigned inventories included within raw materials and supplies</w:t>
            </w:r>
          </w:p>
        </w:tc>
        <w:tc>
          <w:tcPr>
            <w:tcW w:w="2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10,870 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charges to adjust inventories due to excess and obsolete inventory resulting from lower sales forecasts, product transitioning or discontinuance. The charges incurred during the three and six months ended December 27, 2024 and December 29, 2023 were included in cost of product sales as follows:</w:t>
      </w:r>
    </w:p>
    <w:tbl>
      <w:tblPr>
        <w:tblW w:w="8972" w:type="dxa"/>
        <w:jc w:val="center"/>
        <w:tblInd w:w="0" w:type="dxa"/>
        <w:tblLayout w:type="fixed"/>
        <w:tblCellMar>
          <w:top w:w="28" w:type="dxa"/>
          <w:left w:w="28" w:type="dxa"/>
          <w:bottom w:w="28" w:type="dxa"/>
          <w:right w:w="28" w:type="dxa"/>
        </w:tblCellMar>
      </w:tblPr>
      <w:tblGrid>
        <w:gridCol w:w="1229"/>
        <w:gridCol w:w="1079"/>
        <w:gridCol w:w="1081"/>
        <w:gridCol w:w="305"/>
        <w:gridCol w:w="675"/>
        <w:gridCol w:w="159"/>
        <w:gridCol w:w="109"/>
        <w:gridCol w:w="109"/>
        <w:gridCol w:w="109"/>
        <w:gridCol w:w="305"/>
        <w:gridCol w:w="675"/>
        <w:gridCol w:w="159"/>
        <w:gridCol w:w="109"/>
        <w:gridCol w:w="109"/>
        <w:gridCol w:w="109"/>
        <w:gridCol w:w="257"/>
        <w:gridCol w:w="750"/>
        <w:gridCol w:w="132"/>
        <w:gridCol w:w="109"/>
        <w:gridCol w:w="109"/>
        <w:gridCol w:w="109"/>
        <w:gridCol w:w="255"/>
        <w:gridCol w:w="744"/>
        <w:gridCol w:w="186"/>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obsolete inventory</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service inventory write-downs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charges</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Current Assets</w:t>
      </w:r>
    </w:p>
    <w:p>
      <w:pPr>
        <w:pStyle w:val="TextBody"/>
        <w:bidi w:val="0"/>
        <w:spacing w:before="0" w:after="0"/>
        <w:jc w:val="left"/>
        <w:rPr/>
      </w:pPr>
      <w:r>
        <w:rPr/>
      </w:r>
    </w:p>
    <w:tbl>
      <w:tblPr>
        <w:tblW w:w="5222" w:type="dxa"/>
        <w:jc w:val="center"/>
        <w:tblInd w:w="0" w:type="dxa"/>
        <w:tblLayout w:type="fixed"/>
        <w:tblCellMar>
          <w:top w:w="28" w:type="dxa"/>
          <w:left w:w="28" w:type="dxa"/>
          <w:bottom w:w="28" w:type="dxa"/>
          <w:right w:w="28" w:type="dxa"/>
        </w:tblCellMar>
      </w:tblPr>
      <w:tblGrid>
        <w:gridCol w:w="968"/>
        <w:gridCol w:w="849"/>
        <w:gridCol w:w="852"/>
        <w:gridCol w:w="231"/>
        <w:gridCol w:w="790"/>
        <w:gridCol w:w="119"/>
        <w:gridCol w:w="109"/>
        <w:gridCol w:w="109"/>
        <w:gridCol w:w="109"/>
        <w:gridCol w:w="211"/>
        <w:gridCol w:w="721"/>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manufacturing assets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assets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 net</w:t>
      </w:r>
    </w:p>
    <w:p>
      <w:pPr>
        <w:pStyle w:val="TextBody"/>
        <w:bidi w:val="0"/>
        <w:spacing w:before="0" w:after="0"/>
        <w:jc w:val="left"/>
        <w:rPr/>
      </w:pPr>
      <w:r>
        <w:rPr/>
      </w:r>
    </w:p>
    <w:tbl>
      <w:tblPr>
        <w:tblW w:w="6017" w:type="dxa"/>
        <w:jc w:val="center"/>
        <w:tblInd w:w="0" w:type="dxa"/>
        <w:tblLayout w:type="fixed"/>
        <w:tblCellMar>
          <w:top w:w="28" w:type="dxa"/>
          <w:left w:w="28" w:type="dxa"/>
          <w:bottom w:w="28" w:type="dxa"/>
          <w:right w:w="28" w:type="dxa"/>
        </w:tblCellMar>
      </w:tblPr>
      <w:tblGrid>
        <w:gridCol w:w="1293"/>
        <w:gridCol w:w="1132"/>
        <w:gridCol w:w="1144"/>
        <w:gridCol w:w="231"/>
        <w:gridCol w:w="790"/>
        <w:gridCol w:w="119"/>
        <w:gridCol w:w="109"/>
        <w:gridCol w:w="109"/>
        <w:gridCol w:w="109"/>
        <w:gridCol w:w="211"/>
        <w:gridCol w:w="61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leasehold improvements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gross</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(63,957)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plant and equipment, net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total property, plant and equipment, gross were $7.0 million and $4.1 million of assets in progress which have not been placed in service as of December 27, 2024 and June 28, 2024, respectively.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expense related to property, plant and equipment, was as follows:</w:t>
      </w:r>
    </w:p>
    <w:tbl>
      <w:tblPr>
        <w:tblW w:w="6754" w:type="dxa"/>
        <w:jc w:val="center"/>
        <w:tblInd w:w="0" w:type="dxa"/>
        <w:tblLayout w:type="fixed"/>
        <w:tblCellMar>
          <w:top w:w="28" w:type="dxa"/>
          <w:left w:w="28" w:type="dxa"/>
          <w:bottom w:w="28" w:type="dxa"/>
          <w:right w:w="28" w:type="dxa"/>
        </w:tblCellMar>
      </w:tblPr>
      <w:tblGrid>
        <w:gridCol w:w="424"/>
        <w:gridCol w:w="372"/>
        <w:gridCol w:w="375"/>
        <w:gridCol w:w="257"/>
        <w:gridCol w:w="750"/>
        <w:gridCol w:w="132"/>
        <w:gridCol w:w="109"/>
        <w:gridCol w:w="109"/>
        <w:gridCol w:w="109"/>
        <w:gridCol w:w="305"/>
        <w:gridCol w:w="675"/>
        <w:gridCol w:w="159"/>
        <w:gridCol w:w="109"/>
        <w:gridCol w:w="109"/>
        <w:gridCol w:w="109"/>
        <w:gridCol w:w="257"/>
        <w:gridCol w:w="750"/>
        <w:gridCol w:w="132"/>
        <w:gridCol w:w="109"/>
        <w:gridCol w:w="109"/>
        <w:gridCol w:w="109"/>
        <w:gridCol w:w="255"/>
        <w:gridCol w:w="744"/>
        <w:gridCol w:w="186"/>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Accrued Expenses</w:t>
      </w:r>
    </w:p>
    <w:tbl>
      <w:tblPr>
        <w:tblW w:w="4892" w:type="dxa"/>
        <w:jc w:val="left"/>
        <w:tblInd w:w="0" w:type="dxa"/>
        <w:tblLayout w:type="fixed"/>
        <w:tblCellMar>
          <w:top w:w="28" w:type="dxa"/>
          <w:left w:w="28" w:type="dxa"/>
          <w:bottom w:w="28" w:type="dxa"/>
          <w:right w:w="28" w:type="dxa"/>
        </w:tblCellMar>
      </w:tblPr>
      <w:tblGrid>
        <w:gridCol w:w="847"/>
        <w:gridCol w:w="743"/>
        <w:gridCol w:w="749"/>
        <w:gridCol w:w="231"/>
        <w:gridCol w:w="790"/>
        <w:gridCol w:w="119"/>
        <w:gridCol w:w="109"/>
        <w:gridCol w:w="109"/>
        <w:gridCol w:w="109"/>
        <w:gridCol w:w="211"/>
        <w:gridCol w:w="721"/>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and benefits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fees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Commissions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38,163 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accrues for the estimated cost to repair or replace products under warranty. Changes in the warranty liability were as follows:</w:t>
      </w:r>
    </w:p>
    <w:tbl>
      <w:tblPr>
        <w:tblW w:w="9483" w:type="dxa"/>
        <w:jc w:val="center"/>
        <w:tblInd w:w="0" w:type="dxa"/>
        <w:tblLayout w:type="fixed"/>
        <w:tblCellMar>
          <w:top w:w="28" w:type="dxa"/>
          <w:left w:w="28" w:type="dxa"/>
          <w:bottom w:w="28" w:type="dxa"/>
          <w:right w:w="28" w:type="dxa"/>
        </w:tblCellMar>
      </w:tblPr>
      <w:tblGrid>
        <w:gridCol w:w="1415"/>
        <w:gridCol w:w="1240"/>
        <w:gridCol w:w="1245"/>
        <w:gridCol w:w="257"/>
        <w:gridCol w:w="750"/>
        <w:gridCol w:w="132"/>
        <w:gridCol w:w="109"/>
        <w:gridCol w:w="109"/>
        <w:gridCol w:w="109"/>
        <w:gridCol w:w="257"/>
        <w:gridCol w:w="750"/>
        <w:gridCol w:w="132"/>
        <w:gridCol w:w="109"/>
        <w:gridCol w:w="109"/>
        <w:gridCol w:w="109"/>
        <w:gridCol w:w="257"/>
        <w:gridCol w:w="750"/>
        <w:gridCol w:w="132"/>
        <w:gridCol w:w="109"/>
        <w:gridCol w:w="109"/>
        <w:gridCol w:w="109"/>
        <w:gridCol w:w="255"/>
        <w:gridCol w:w="744"/>
        <w:gridCol w:w="186"/>
      </w:tblGrid>
      <w:tr>
        <w:trPr/>
        <w:tc>
          <w:tcPr>
            <w:tcW w:w="141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the beginning of the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provision recorded during the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in acquisition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Consumption during the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the end of the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Advance Payments and Unearned Revenue</w:t>
      </w:r>
    </w:p>
    <w:p>
      <w:pPr>
        <w:pStyle w:val="TextBody"/>
        <w:bidi w:val="0"/>
        <w:spacing w:before="0" w:after="0"/>
        <w:jc w:val="left"/>
        <w:rPr/>
      </w:pPr>
      <w:r>
        <w:rPr/>
      </w:r>
    </w:p>
    <w:tbl>
      <w:tblPr>
        <w:tblW w:w="6483" w:type="dxa"/>
        <w:jc w:val="center"/>
        <w:tblInd w:w="0" w:type="dxa"/>
        <w:tblLayout w:type="fixed"/>
        <w:tblCellMar>
          <w:top w:w="28" w:type="dxa"/>
          <w:left w:w="28" w:type="dxa"/>
          <w:bottom w:w="28" w:type="dxa"/>
          <w:right w:w="28" w:type="dxa"/>
        </w:tblCellMar>
      </w:tblPr>
      <w:tblGrid>
        <w:gridCol w:w="1426"/>
        <w:gridCol w:w="1251"/>
        <w:gridCol w:w="1253"/>
        <w:gridCol w:w="231"/>
        <w:gridCol w:w="790"/>
        <w:gridCol w:w="119"/>
        <w:gridCol w:w="109"/>
        <w:gridCol w:w="109"/>
        <w:gridCol w:w="109"/>
        <w:gridCol w:w="211"/>
        <w:gridCol w:w="721"/>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revenue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advance payments and unearned revenue</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Excluded from the balances above are $8.3 million and $7.4 million in long-term unearned revenue as of December 27, 2024 and June 28,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5. Fair Value Measurements of Assets and Liabilities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Level 1 — Observable inputs such as quoted prices in active markets for identical assets or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2 — Observable market-based inputs or observable inputs that are corroborated by market data;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Level 3 — Unobservable inputs that are supported by little or no market activity and that are significant to the fair value of the assets or liabilities.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and valuation input levels of assets and liabilities that are measured at fair value on a recurring basis as of December 27, 2024 and June 28, 2024 were as follows:</w:t>
      </w:r>
    </w:p>
    <w:tbl>
      <w:tblPr>
        <w:tblW w:w="7177" w:type="dxa"/>
        <w:jc w:val="center"/>
        <w:tblInd w:w="0" w:type="dxa"/>
        <w:tblLayout w:type="fixed"/>
        <w:tblCellMar>
          <w:top w:w="28" w:type="dxa"/>
          <w:left w:w="28" w:type="dxa"/>
          <w:bottom w:w="28" w:type="dxa"/>
          <w:right w:w="28" w:type="dxa"/>
        </w:tblCellMar>
      </w:tblPr>
      <w:tblGrid>
        <w:gridCol w:w="848"/>
        <w:gridCol w:w="745"/>
        <w:gridCol w:w="747"/>
        <w:gridCol w:w="348"/>
        <w:gridCol w:w="1017"/>
        <w:gridCol w:w="180"/>
        <w:gridCol w:w="109"/>
        <w:gridCol w:w="109"/>
        <w:gridCol w:w="109"/>
        <w:gridCol w:w="260"/>
        <w:gridCol w:w="760"/>
        <w:gridCol w:w="134"/>
        <w:gridCol w:w="109"/>
        <w:gridCol w:w="109"/>
        <w:gridCol w:w="109"/>
        <w:gridCol w:w="434"/>
        <w:gridCol w:w="434"/>
        <w:gridCol w:w="616"/>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Valuation Inputs</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certificates of deposit</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Level 2</w:t>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Items are classified within Level 1 if quoted prices are available in active markets. The Company’s Level 1 items are primarily money market funds and marketable securities. As of December 27, 2024 and June 28, 2024, the money market funds were valued at $1.00 net asset value per share.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 2. The carrying value of bank certificates of deposit approximates their fair value. The Company did not have any recurring assets or liabilities that were valued using significant unobservable inputs.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6. Credit Facility and Debt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Secured Credit Facility Agreement (the “Credit Facility”), dated May 9, 2023, amended as of November 22, 2023 and October 18, 2024, with Wells Fargo Bank, National Association, as administrative agent, swingline lender and issuing lender and Wells Fargo Securities LLC, Citigroup Global Markets Inc., and Regions Capital Markets as lenders. The Credit Facility provides for a $75.0 million revolving credit facility (the “Revolver”) and a $75.0 million Term Loan Facility (the “Term Loan”) with a maturity date of October 18, 2029. The $75.0 million Revolver can be borrowed with a $10.0 million sub-limit for letters of credit, and a $10.0 million swingline loan sub-limit.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borrowed $50.0 million against the Term Loan to primarily settle the cash portion of the consideration associated with the NEC Transaction (as defined below). See Note 11. Acquisitions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available credit under the Revolver was $66.7 million, reflecting the available limit of $75.0 million less outstanding letters of credit of $8.3 million. The Company borrowed and repaid $35.0 million against the Revolver during the six months ended December 27, 2024. The Company borrowed $75.0 million and repaid $48.8 million against the Term Loan during the six months ended December 27,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Company’s outstanding long-term debt as of December 27, 2024:</w:t>
      </w:r>
    </w:p>
    <w:tbl>
      <w:tblPr>
        <w:tblW w:w="4998" w:type="dxa"/>
        <w:jc w:val="center"/>
        <w:tblInd w:w="0" w:type="dxa"/>
        <w:tblLayout w:type="fixed"/>
        <w:tblCellMar>
          <w:top w:w="28" w:type="dxa"/>
          <w:left w:w="28" w:type="dxa"/>
          <w:bottom w:w="28" w:type="dxa"/>
          <w:right w:w="28" w:type="dxa"/>
        </w:tblCellMar>
      </w:tblPr>
      <w:tblGrid>
        <w:gridCol w:w="1300"/>
        <w:gridCol w:w="1141"/>
        <w:gridCol w:w="1144"/>
        <w:gridCol w:w="109"/>
        <w:gridCol w:w="109"/>
        <w:gridCol w:w="109"/>
        <w:gridCol w:w="211"/>
        <w:gridCol w:w="721"/>
        <w:gridCol w:w="154"/>
      </w:tblGrid>
      <w:tr>
        <w:trPr/>
        <w:tc>
          <w:tcPr>
            <w:tcW w:w="13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December 27, 2024, the applicable margin on Adjusted Term SOFR and Base Rate borrowings was 2.75% and 1.75%, respectively. The effective rate of interest on the outstanding Term Loan borrowings as of December 27, 2024 was 7.2%.</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December 27, 2024, the Company was in compliance with all financial covenants contained in the Credit Facility.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scheduled maturities of outstanding long-term debt by fiscal year are as follows:</w:t>
      </w:r>
    </w:p>
    <w:tbl>
      <w:tblPr>
        <w:tblW w:w="3092" w:type="dxa"/>
        <w:jc w:val="center"/>
        <w:tblInd w:w="0" w:type="dxa"/>
        <w:tblLayout w:type="fixed"/>
        <w:tblCellMar>
          <w:top w:w="28" w:type="dxa"/>
          <w:left w:w="28" w:type="dxa"/>
          <w:bottom w:w="28" w:type="dxa"/>
          <w:right w:w="28" w:type="dxa"/>
        </w:tblCellMar>
      </w:tblPr>
      <w:tblGrid>
        <w:gridCol w:w="609"/>
        <w:gridCol w:w="534"/>
        <w:gridCol w:w="536"/>
        <w:gridCol w:w="109"/>
        <w:gridCol w:w="109"/>
        <w:gridCol w:w="109"/>
        <w:gridCol w:w="211"/>
        <w:gridCol w:w="721"/>
        <w:gridCol w:w="154"/>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7. Restructuring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restructuring related activities during the six months ended December 27, 2024:</w:t>
      </w:r>
    </w:p>
    <w:tbl>
      <w:tblPr>
        <w:tblW w:w="8819" w:type="dxa"/>
        <w:jc w:val="center"/>
        <w:tblInd w:w="0" w:type="dxa"/>
        <w:tblLayout w:type="fixed"/>
        <w:tblCellMar>
          <w:top w:w="28" w:type="dxa"/>
          <w:left w:w="28" w:type="dxa"/>
          <w:bottom w:w="28" w:type="dxa"/>
          <w:right w:w="28" w:type="dxa"/>
        </w:tblCellMar>
      </w:tblPr>
      <w:tblGrid>
        <w:gridCol w:w="1055"/>
        <w:gridCol w:w="926"/>
        <w:gridCol w:w="928"/>
        <w:gridCol w:w="602"/>
        <w:gridCol w:w="1757"/>
        <w:gridCol w:w="311"/>
        <w:gridCol w:w="109"/>
        <w:gridCol w:w="109"/>
        <w:gridCol w:w="109"/>
        <w:gridCol w:w="465"/>
        <w:gridCol w:w="897"/>
        <w:gridCol w:w="243"/>
        <w:gridCol w:w="109"/>
        <w:gridCol w:w="109"/>
        <w:gridCol w:w="109"/>
        <w:gridCol w:w="211"/>
        <w:gridCol w:w="61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Employee Severance and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Facilities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28, 2024</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27, 2024</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net</w:t>
            </w:r>
          </w:p>
        </w:tc>
        <w:tc>
          <w:tcPr>
            <w:tcW w:w="235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3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27, 2024</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accrued restructuring balance of $0.7 million was included in other current liabilities on the unaudited condensed consolidated balance sheets. Included in the above were positions identified for termination that have not been executed from a restructuring perspective.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Fiscal 2025 Plans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2025, the Company’s Board of Directors approved restructuring plans, primarily associated with reductions in workforce in certain of the Company’s operations to optimize skill sets and align cost structure. The fiscal 2025 plans are expected to be completed through the end of fiscal 2025.</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Prior Years’ Plans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2024, the Company’s Board of Directors approved restructuring plans, primarily associated with the NEC Transaction (as defined below) and reductions in workforce in certain of the Company’s operations to optimize skill sets and align cost structure. The fiscal 2024 plans are expected to be completed through the end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8. Stockholders’ Equity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approved a stock repurchase program to purchase up to $10.0 million of the Company’s common stock. As of December 27, 2024, $6.4 million remains available and Aviat may choose to suspend or discontinue the repurchase program at any time. Repurchased shares are recorded as treasury stock. During the second quarter of fiscal 2025, the Company repurchased 34,600 shares of its common stock in the open market for an aggregate purchase price, including commissions, of $0.5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Incentive Programs</w:t>
      </w:r>
    </w:p>
    <w:p>
      <w:pPr>
        <w:pStyle w:val="TextBody"/>
        <w:bidi w:val="0"/>
        <w:spacing w:lineRule="auto" w:line="276"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Vesting of performance share awards and units is subject to the achievement of predetermined financial performance and share price criteria, and continued employment through the end of the applicable period.</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December 27, 2024, the Company granted 264,788 restricted stock units and 162,170 performance share awards.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expense for share-based awards included in the unaudited condensed consolidated statements of operations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84"/>
        <w:gridCol w:w="1472"/>
        <w:gridCol w:w="1476"/>
        <w:gridCol w:w="256"/>
        <w:gridCol w:w="748"/>
        <w:gridCol w:w="131"/>
        <w:gridCol w:w="109"/>
        <w:gridCol w:w="109"/>
        <w:gridCol w:w="109"/>
        <w:gridCol w:w="256"/>
        <w:gridCol w:w="748"/>
        <w:gridCol w:w="131"/>
        <w:gridCol w:w="109"/>
        <w:gridCol w:w="109"/>
        <w:gridCol w:w="109"/>
        <w:gridCol w:w="256"/>
        <w:gridCol w:w="748"/>
        <w:gridCol w:w="131"/>
        <w:gridCol w:w="109"/>
        <w:gridCol w:w="109"/>
        <w:gridCol w:w="109"/>
        <w:gridCol w:w="254"/>
        <w:gridCol w:w="742"/>
        <w:gridCol w:w="191"/>
      </w:tblGrid>
      <w:tr>
        <w:trPr/>
        <w:tc>
          <w:tcPr>
            <w:tcW w:w="168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4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Expense Category:</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By Type of Award:</w:t>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and performance share awards and units</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there was approximately $1.5 million of total unrecognized compensation expense related to non-vested stock options granted which is expected to be recognized over a weighted-average period of 1.4 years. As of December 27, 2024, there was $12.7 million of total unrecognized compensation expense related to non-vested stock awards which is expected to be recognized over a weighted-average period of 2.0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9. Segment and Geographic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 operates in one reportable business segment: the design, manufacturing, and sale of wireless networking products, solutions, and services. The Company’s financial performance is regularly reviewed by its chief operating decision maker who is its Chief Executive Officer (“CEO”).</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reports revenue by region and country based on the location where its customers accept delivery of products and services. Revenue by region for the three and six months ended December 27, 2024 and December 29, 2023 was as follows:</w:t>
      </w:r>
    </w:p>
    <w:p>
      <w:pPr>
        <w:pStyle w:val="TextBody"/>
        <w:bidi w:val="0"/>
        <w:spacing w:before="0" w:after="0"/>
        <w:ind w:left="0" w:right="0" w:firstLine="540"/>
        <w:jc w:val="both"/>
        <w:rPr/>
      </w:pPr>
      <w:r>
        <w:rPr/>
      </w:r>
    </w:p>
    <w:tbl>
      <w:tblPr>
        <w:tblW w:w="8229" w:type="dxa"/>
        <w:jc w:val="center"/>
        <w:tblInd w:w="0" w:type="dxa"/>
        <w:tblLayout w:type="fixed"/>
        <w:tblCellMar>
          <w:top w:w="28" w:type="dxa"/>
          <w:left w:w="28" w:type="dxa"/>
          <w:bottom w:w="28" w:type="dxa"/>
          <w:right w:w="28" w:type="dxa"/>
        </w:tblCellMar>
      </w:tblPr>
      <w:tblGrid>
        <w:gridCol w:w="953"/>
        <w:gridCol w:w="835"/>
        <w:gridCol w:w="837"/>
        <w:gridCol w:w="211"/>
        <w:gridCol w:w="826"/>
        <w:gridCol w:w="109"/>
        <w:gridCol w:w="109"/>
        <w:gridCol w:w="109"/>
        <w:gridCol w:w="109"/>
        <w:gridCol w:w="231"/>
        <w:gridCol w:w="790"/>
        <w:gridCol w:w="119"/>
        <w:gridCol w:w="109"/>
        <w:gridCol w:w="109"/>
        <w:gridCol w:w="109"/>
        <w:gridCol w:w="211"/>
        <w:gridCol w:w="826"/>
        <w:gridCol w:w="109"/>
        <w:gridCol w:w="109"/>
        <w:gridCol w:w="109"/>
        <w:gridCol w:w="109"/>
        <w:gridCol w:w="211"/>
        <w:gridCol w:w="826"/>
        <w:gridCol w:w="154"/>
      </w:tblGrid>
      <w:tr>
        <w:trPr/>
        <w:tc>
          <w:tcPr>
            <w:tcW w:w="95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North America</w:t>
            </w:r>
            <w:r>
              <w:rPr>
                <w:color w:val="000000"/>
              </w:rPr>
              <w:t xml:space="preser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 and the Middle 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 and Asia 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 varies from the U.S. federal statutory rate of 21% primarily due to U.S. global intangible low-taxed income inclusion (GILTI), state taxes, stock-based compensation and foreign operations that are subject to income taxes at different statutory rates. During interim periods, tax expense or benefit are accrued for jurisdictions that are anticipated to be profitable for fiscal 2025.</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determination of income taxes for the six months ended December 27, 2024 and December 29, 2023 was based on the Company’s estimated annual effective tax rate adjusted for losses in certain jurisdictions for which no tax benefit can be recognized. The tax benefit for the six months ended December 27, 2024 was primarily due to tax benefit resulting from year-to-date losses. The tax expense for the six months ended December 29, 2023 was primarily due to tax expense related to U.S. and profitable foreign subsidiaries.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number of years with open tax audits which vary from jurisdiction to jurisdiction. The major tax jurisdictions that are open and subject to potential audits include the U.S., Singapore, Ghana, Kenya, Nigeria, Saudi Arabia and Tanzania. The earliest years for these jurisdictions are as follows: U.S. - 2003; Singapore - 2015; Ghana – 2016; Kenya – 2023; Nigeria – 2006; Saudi Arabia – 2019 and Tanzania - 2017.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and penalties related to unrecognized tax benefits are accounted for as part of the provision for federal, foreign, and state income taxes. Such interest expense was not material for the six months ended December 27, 2024 and December 29, 2023.</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The Company will continue to evaluate the applicability and effect of the IRA as more guidance is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Acquisitions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4RF Limited</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4RF acquisition was accounted for as a business combination using the acquisition method of accounting. The Company is in the process of obtaining independent third-party valuations of the intangible and tangible assets acquired. The fair values of the acquired intangible assets are based on estimates and assumptions that are considered reasonable to the Company.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preliminary purchase price allocation is as follows:</w:t>
      </w:r>
    </w:p>
    <w:tbl>
      <w:tblPr>
        <w:tblW w:w="4908" w:type="dxa"/>
        <w:jc w:val="center"/>
        <w:tblInd w:w="0" w:type="dxa"/>
        <w:tblLayout w:type="fixed"/>
        <w:tblCellMar>
          <w:top w:w="28" w:type="dxa"/>
          <w:left w:w="28" w:type="dxa"/>
          <w:bottom w:w="28" w:type="dxa"/>
          <w:right w:w="28" w:type="dxa"/>
        </w:tblCellMar>
      </w:tblPr>
      <w:tblGrid>
        <w:gridCol w:w="1267"/>
        <w:gridCol w:w="1113"/>
        <w:gridCol w:w="1115"/>
        <w:gridCol w:w="109"/>
        <w:gridCol w:w="109"/>
        <w:gridCol w:w="109"/>
        <w:gridCol w:w="211"/>
        <w:gridCol w:w="72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preliminary purchase price allocation has been updated for certain measurement period adjustments based on revised estimates of fair value, which primarily resulted in a $2.0 million decrease in inventories, a $1.2 million increase in identifiable finite-lived intangible assets acquired and a $0.5 million increase to goodwill. The preliminary purchase price allocation is subject to adjustment based on the Company obtaining final independent third-party valuations and determining fair value and final allocations of purchase price to the identifiable assets acquired and liabilities assumed. The goodwill from this acquisition is non-deductible for tax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NEC’s Wireless Transport Business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 (the “Closing Date”).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Closing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Closing Date.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Closing Date. Aggregate consideration transferred at closing was approximately $54.5 million, which was subject to certain post-closing adjustments. The Company funded the cash portion of the consideration transferred at closing primarily with Term Loan borrowings under its Credit Facility. See Note 6. Credit Facility and Debt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2025, the Company transferred consideration of $5.8 million to settle a portion of the post-closing working capital adjustment. As of December 27, 2024, the Company recorded accruals of approximately $13.2 million in estimated additional cash consideration, which is included in other current liabilities on the unaudited condensed consolidated balance sheets. The additional consideration is primarily related to the settlement of the remaining post-closing working capital adjustment.</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NEC Transaction was accounted for as a business combination using the acquisition method of accounting. The Company has obtained final independent third-party valuations of the intangible and tangible assets acquired. The fair values of the acquired intangible assets are based on estimates and assumptions that are considered reasonable by the Company. As of the acquisition date, the Company has recorded the assets acquired and the liabilities assumed at their respective estimated fair values. The recognized goodwill is attributable to the workforce of the acquired business and expected synergies. The goodwill from this acquisition is expected to be fully deductible for tax purposes.</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final purchase price allocation is as follows:</w:t>
      </w:r>
    </w:p>
    <w:tbl>
      <w:tblPr>
        <w:tblW w:w="4908" w:type="dxa"/>
        <w:jc w:val="center"/>
        <w:tblInd w:w="0" w:type="dxa"/>
        <w:tblLayout w:type="fixed"/>
        <w:tblCellMar>
          <w:top w:w="28" w:type="dxa"/>
          <w:left w:w="28" w:type="dxa"/>
          <w:bottom w:w="28" w:type="dxa"/>
          <w:right w:w="28" w:type="dxa"/>
        </w:tblCellMar>
      </w:tblPr>
      <w:tblGrid>
        <w:gridCol w:w="1268"/>
        <w:gridCol w:w="1112"/>
        <w:gridCol w:w="1115"/>
        <w:gridCol w:w="109"/>
        <w:gridCol w:w="109"/>
        <w:gridCol w:w="109"/>
        <w:gridCol w:w="211"/>
        <w:gridCol w:w="721"/>
        <w:gridCol w:w="154"/>
      </w:tblGrid>
      <w:tr>
        <w:trPr/>
        <w:tc>
          <w:tcPr>
            <w:tcW w:w="126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payments and 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final purchase price allocation has been updated for certain measurement period adjustments based on revised estimates of fair value, which primarily resulted in a $3.1 million increase in other liabilities and a $2.5 million increase to goodwill.</w:t>
      </w:r>
    </w:p>
    <w:p>
      <w:pPr>
        <w:pStyle w:val="TextBody"/>
        <w:bidi w:val="0"/>
        <w:spacing w:lineRule="auto" w:line="288" w:before="18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supplemental pro forma information has been presented as if the NEC Transaction occurred at the beginning of fiscal 2023 and includes certain pro forma adjustments for interest expense, depreciation and amortization expense, the fair value of acquired inventory, and transaction costs, net of income tax: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5047" w:type="dxa"/>
        <w:jc w:val="center"/>
        <w:tblInd w:w="0" w:type="dxa"/>
        <w:tblLayout w:type="fixed"/>
        <w:tblCellMar>
          <w:top w:w="28" w:type="dxa"/>
          <w:left w:w="28" w:type="dxa"/>
          <w:bottom w:w="28" w:type="dxa"/>
          <w:right w:w="28" w:type="dxa"/>
        </w:tblCellMar>
      </w:tblPr>
      <w:tblGrid>
        <w:gridCol w:w="379"/>
        <w:gridCol w:w="334"/>
        <w:gridCol w:w="336"/>
        <w:gridCol w:w="109"/>
        <w:gridCol w:w="109"/>
        <w:gridCol w:w="109"/>
        <w:gridCol w:w="323"/>
        <w:gridCol w:w="1265"/>
        <w:gridCol w:w="167"/>
        <w:gridCol w:w="109"/>
        <w:gridCol w:w="109"/>
        <w:gridCol w:w="109"/>
        <w:gridCol w:w="281"/>
        <w:gridCol w:w="1103"/>
        <w:gridCol w:w="205"/>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129,812 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265,514 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information presented above is for informational purposes only and is not necessarily indicative of the operating results that would have occurred if the NEC Transaction occurred at the beginning of fiscal 2023, nor is it necessarily indicative of future operating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Purchase Orders and Other Commitments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in the normal course of business, the Company may enter into purchasing agreements with its suppliers that require the Company to accept delivery of and remit full payment for (i) finished products that it has ordered, (ii) finished products that it requested be held as safety stock, and (iii)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December 27, 2024, the Company had outstanding purchase obligations with its suppliers or contract manufacturers of $60.6 million. In addition, the Company had purchase obligations of approximately $5.9 million associated with software as a service and software maintenance support.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Financial Guarantees and Commercial Commitments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December 27, 2024, the Company had no guarantees applicable to its debt arrangements.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27, 2024, the Company had commercial commitments outstanding of $23.3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details of the Company’s commercial commitments:</w:t>
      </w:r>
    </w:p>
    <w:tbl>
      <w:tblPr>
        <w:tblW w:w="2907" w:type="dxa"/>
        <w:jc w:val="center"/>
        <w:tblInd w:w="0" w:type="dxa"/>
        <w:tblLayout w:type="fixed"/>
        <w:tblCellMar>
          <w:top w:w="28" w:type="dxa"/>
          <w:left w:w="28" w:type="dxa"/>
          <w:bottom w:w="28" w:type="dxa"/>
          <w:right w:w="28" w:type="dxa"/>
        </w:tblCellMar>
      </w:tblPr>
      <w:tblGrid>
        <w:gridCol w:w="506"/>
        <w:gridCol w:w="444"/>
        <w:gridCol w:w="445"/>
        <w:gridCol w:w="109"/>
        <w:gridCol w:w="109"/>
        <w:gridCol w:w="109"/>
        <w:gridCol w:w="230"/>
        <w:gridCol w:w="787"/>
        <w:gridCol w:w="168"/>
      </w:tblGrid>
      <w:tr>
        <w:trPr/>
        <w:tc>
          <w:tcPr>
            <w:tcW w:w="5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23,271 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Indemnifications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December 27, 2024,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indemnification provisions. As of December 27, 2024, the Company had not recorded any liabilities related to these indemnifications.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Contingent Liabilities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directors of Aviat India appeared before the Ministry of Finance Enforcement Directorate. In March 2024, the Company appeared before the Joint Director of Enforcement to review the transactions at issue. No subsequent hearing date has been scheduled as of December 27, 2024.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13. Goodwill and Intangible Assets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presents details of goodwill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99" w:type="dxa"/>
        <w:jc w:val="center"/>
        <w:tblInd w:w="0" w:type="dxa"/>
        <w:tblLayout w:type="fixed"/>
        <w:tblCellMar>
          <w:top w:w="28" w:type="dxa"/>
          <w:left w:w="28" w:type="dxa"/>
          <w:bottom w:w="28" w:type="dxa"/>
          <w:right w:w="28" w:type="dxa"/>
        </w:tblCellMar>
      </w:tblPr>
      <w:tblGrid>
        <w:gridCol w:w="140"/>
        <w:gridCol w:w="123"/>
        <w:gridCol w:w="123"/>
        <w:gridCol w:w="123"/>
        <w:gridCol w:w="123"/>
        <w:gridCol w:w="123"/>
        <w:gridCol w:w="123"/>
        <w:gridCol w:w="123"/>
        <w:gridCol w:w="123"/>
        <w:gridCol w:w="109"/>
        <w:gridCol w:w="109"/>
        <w:gridCol w:w="109"/>
        <w:gridCol w:w="231"/>
        <w:gridCol w:w="790"/>
        <w:gridCol w:w="119"/>
        <w:gridCol w:w="109"/>
        <w:gridCol w:w="109"/>
        <w:gridCol w:w="109"/>
        <w:gridCol w:w="211"/>
        <w:gridCol w:w="616"/>
        <w:gridCol w:w="154"/>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112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$10.1 million increase for the six months ended December 27, 2024 is associated with the purchase price allocations for the 4RF acquisition and the NEC Transaction. Refer to Note 11. Acquisitions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pStyle w:val="TextBody"/>
        <w:bidi w:val="0"/>
        <w:spacing w:before="0" w:after="0"/>
        <w:jc w:val="left"/>
        <w:rPr/>
      </w:pPr>
      <w:r>
        <w:rPr/>
      </w:r>
    </w:p>
    <w:tbl>
      <w:tblPr>
        <w:tblW w:w="7122" w:type="dxa"/>
        <w:jc w:val="center"/>
        <w:tblInd w:w="0" w:type="dxa"/>
        <w:tblLayout w:type="fixed"/>
        <w:tblCellMar>
          <w:top w:w="28" w:type="dxa"/>
          <w:left w:w="28" w:type="dxa"/>
          <w:bottom w:w="28" w:type="dxa"/>
          <w:right w:w="28" w:type="dxa"/>
        </w:tblCellMar>
      </w:tblPr>
      <w:tblGrid>
        <w:gridCol w:w="854"/>
        <w:gridCol w:w="749"/>
        <w:gridCol w:w="752"/>
        <w:gridCol w:w="109"/>
        <w:gridCol w:w="109"/>
        <w:gridCol w:w="109"/>
        <w:gridCol w:w="519"/>
        <w:gridCol w:w="519"/>
        <w:gridCol w:w="522"/>
        <w:gridCol w:w="109"/>
        <w:gridCol w:w="109"/>
        <w:gridCol w:w="109"/>
        <w:gridCol w:w="231"/>
        <w:gridCol w:w="790"/>
        <w:gridCol w:w="119"/>
        <w:gridCol w:w="109"/>
        <w:gridCol w:w="109"/>
        <w:gridCol w:w="109"/>
        <w:gridCol w:w="211"/>
        <w:gridCol w:w="721"/>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Useful 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28,</w:t>
              <w:br/>
              <w:t>2024</w:t>
            </w:r>
          </w:p>
        </w:tc>
      </w:tr>
      <w:tr>
        <w:trPr/>
        <w:tc>
          <w:tcPr>
            <w:tcW w:w="42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 —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 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gross intangible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finite-lived intangibles for the three and six months ended December 27, 2024 was $0.8 million and $1.3 million, respectively, and is included in selling and administrative expenses. There were no impairment charges recorded for the three and six months ended December 27, 2024.</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estimated future amortization expense of finite-lived intangible assets is as follows (in thousands):</w:t>
      </w:r>
    </w:p>
    <w:p>
      <w:pPr>
        <w:pStyle w:val="TextBody"/>
        <w:bidi w:val="0"/>
        <w:spacing w:before="0" w:after="0"/>
        <w:jc w:val="left"/>
        <w:rPr/>
      </w:pPr>
      <w:r>
        <w:rPr/>
      </w:r>
    </w:p>
    <w:tbl>
      <w:tblPr>
        <w:tblW w:w="3093" w:type="dxa"/>
        <w:jc w:val="center"/>
        <w:tblInd w:w="0" w:type="dxa"/>
        <w:tblLayout w:type="fixed"/>
        <w:tblCellMar>
          <w:top w:w="28" w:type="dxa"/>
          <w:left w:w="28" w:type="dxa"/>
          <w:bottom w:w="28" w:type="dxa"/>
          <w:right w:w="28" w:type="dxa"/>
        </w:tblCellMar>
      </w:tblPr>
      <w:tblGrid>
        <w:gridCol w:w="608"/>
        <w:gridCol w:w="534"/>
        <w:gridCol w:w="538"/>
        <w:gridCol w:w="109"/>
        <w:gridCol w:w="109"/>
        <w:gridCol w:w="109"/>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Note 14. Related Party Transactions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NEC Corporation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2023 (the “Closing Date”), the Company completed the NEC Transaction. See Note 11.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Closing Date (the “Initial Lock-Up Expiration Date”). Starting one day after the Initial Lock-Up Expiration Date, one-twelfth of the issued shares shall be released from the Lock-Up each month, such that all issued shares shall be released from Lock-Up by the two-year anniversary of the Closing Date. Pursuant to the Purchase Agreement, NEC had the right to nominate a director to the Company’s Board of Directors from the Closing Date and for a period of two years thereafter. NEC’s nominee for director was elected to the Company’s Board of Directors at the Company’s 2024 Annual Meeting of Stockholders held in November 2024. As of December 27, 2024, NEC held approximately 5.8% of the Company’s outstanding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NEC Transaction and as of the Closing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Manufacturing and Supply Agreement includes arrangements for NEC to manufacture and supply Pasolink products on behalf of and to the Company and its customers. The transition services agreements include arrangements for the Company and NEC to provide and receive certain transition services, primarily associated with administrative functions. The distribution services agreements includes arrangements where NEC will provide distribution services on behalf of and to the Company and its customers in certain international markets and territories. The Research and Development Cooperating Agreement for Existing Products includes arrangements for NEC to provide the Company certain services relating to development work to maintain existing products of the NEC business.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related party activity between the Company and NEC is as follows:</w:t>
      </w:r>
    </w:p>
    <w:tbl>
      <w:tblPr>
        <w:tblW w:w="9317" w:type="dxa"/>
        <w:jc w:val="center"/>
        <w:tblInd w:w="0" w:type="dxa"/>
        <w:tblLayout w:type="fixed"/>
        <w:tblCellMar>
          <w:top w:w="28" w:type="dxa"/>
          <w:left w:w="28" w:type="dxa"/>
          <w:bottom w:w="28" w:type="dxa"/>
          <w:right w:w="28" w:type="dxa"/>
        </w:tblCellMar>
      </w:tblPr>
      <w:tblGrid>
        <w:gridCol w:w="1354"/>
        <w:gridCol w:w="1188"/>
        <w:gridCol w:w="1192"/>
        <w:gridCol w:w="257"/>
        <w:gridCol w:w="750"/>
        <w:gridCol w:w="132"/>
        <w:gridCol w:w="109"/>
        <w:gridCol w:w="109"/>
        <w:gridCol w:w="109"/>
        <w:gridCol w:w="257"/>
        <w:gridCol w:w="750"/>
        <w:gridCol w:w="132"/>
        <w:gridCol w:w="109"/>
        <w:gridCol w:w="109"/>
        <w:gridCol w:w="109"/>
        <w:gridCol w:w="257"/>
        <w:gridCol w:w="750"/>
        <w:gridCol w:w="132"/>
        <w:gridCol w:w="109"/>
        <w:gridCol w:w="109"/>
        <w:gridCol w:w="109"/>
        <w:gridCol w:w="255"/>
        <w:gridCol w:w="744"/>
        <w:gridCol w:w="186"/>
      </w:tblGrid>
      <w:tr>
        <w:trPr/>
        <w:tc>
          <w:tcPr>
            <w:tcW w:w="135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w:t>
              <w:br/>
              <w:t>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services received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services received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Company’s outstanding related party balances with NEC included in the unaudited condensed consolidated balance sheets are as follows:</w:t>
      </w:r>
    </w:p>
    <w:tbl>
      <w:tblPr>
        <w:tblW w:w="3423" w:type="dxa"/>
        <w:jc w:val="center"/>
        <w:tblInd w:w="0" w:type="dxa"/>
        <w:tblLayout w:type="fixed"/>
        <w:tblCellMar>
          <w:top w:w="28" w:type="dxa"/>
          <w:left w:w="28" w:type="dxa"/>
          <w:bottom w:w="28" w:type="dxa"/>
          <w:right w:w="28" w:type="dxa"/>
        </w:tblCellMar>
      </w:tblPr>
      <w:tblGrid>
        <w:gridCol w:w="767"/>
        <w:gridCol w:w="673"/>
        <w:gridCol w:w="675"/>
        <w:gridCol w:w="109"/>
        <w:gridCol w:w="109"/>
        <w:gridCol w:w="109"/>
        <w:gridCol w:w="211"/>
        <w:gridCol w:w="616"/>
        <w:gridCol w:w="154"/>
      </w:tblGrid>
      <w:tr>
        <w:trPr/>
        <w:tc>
          <w:tcPr>
            <w:tcW w:w="76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15. Revisions to Prior Period Consolidated Financial Statements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 The Company and Basis of Presentation, subsequent to the third quarter of fiscal 2024, the Company identified certain errors in the quarterly financial statements for fiscal 2024 related to estimated total contract costs and progress to completion for an over-time arrangement. The Company identified additional errors impacting the quarterly financial statements for fiscal 2024 related to the recognition of revenue prior to performance obligations being met and related to journal entries recorded in error. In accordance with ASC 250, Accounting Changes and Error Corrections and Staff Accounting Bulletins (“SAB”) No. 99, Materiality and No. 108, Considering the Effects of Prior Year Misstatements when Quantifying Misstatements in Current Year Financial Statements, the Company evaluated the materiality of the errors and determined that the impacts were not material, individually or in the aggregate, to the Company’s previously issued consolidated financial statements. The Company has revised the prior period financial statements and related disclosures for the second quarter of fiscal 2024 to correct the errors. A summary of the corrections to the impacted financial statement line items in the Company’s previously issued Consolidated Statements of Operations, Comprehensive Income, Equity and Cash Flows for the three and six months ended December 29, 2023 is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tbl>
      <w:tblPr>
        <w:tblW w:w="11247" w:type="dxa"/>
        <w:jc w:val="center"/>
        <w:tblInd w:w="0" w:type="dxa"/>
        <w:tblLayout w:type="fixed"/>
        <w:tblCellMar>
          <w:top w:w="28" w:type="dxa"/>
          <w:left w:w="28" w:type="dxa"/>
          <w:bottom w:w="28" w:type="dxa"/>
          <w:right w:w="28" w:type="dxa"/>
        </w:tblCellMar>
      </w:tblPr>
      <w:tblGrid>
        <w:gridCol w:w="1055"/>
        <w:gridCol w:w="927"/>
        <w:gridCol w:w="929"/>
        <w:gridCol w:w="211"/>
        <w:gridCol w:w="721"/>
        <w:gridCol w:w="109"/>
        <w:gridCol w:w="109"/>
        <w:gridCol w:w="109"/>
        <w:gridCol w:w="109"/>
        <w:gridCol w:w="253"/>
        <w:gridCol w:w="757"/>
        <w:gridCol w:w="131"/>
        <w:gridCol w:w="109"/>
        <w:gridCol w:w="109"/>
        <w:gridCol w:w="109"/>
        <w:gridCol w:w="211"/>
        <w:gridCol w:w="721"/>
        <w:gridCol w:w="109"/>
        <w:gridCol w:w="109"/>
        <w:gridCol w:w="109"/>
        <w:gridCol w:w="109"/>
        <w:gridCol w:w="211"/>
        <w:gridCol w:w="826"/>
        <w:gridCol w:w="109"/>
        <w:gridCol w:w="109"/>
        <w:gridCol w:w="109"/>
        <w:gridCol w:w="109"/>
        <w:gridCol w:w="253"/>
        <w:gridCol w:w="757"/>
        <w:gridCol w:w="131"/>
        <w:gridCol w:w="109"/>
        <w:gridCol w:w="109"/>
        <w:gridCol w:w="109"/>
        <w:gridCol w:w="211"/>
        <w:gridCol w:w="826"/>
        <w:gridCol w:w="154"/>
      </w:tblGrid>
      <w:tr>
        <w:trPr/>
        <w:tc>
          <w:tcPr>
            <w:tcW w:w="105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December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December 29, 2023</w:t>
            </w:r>
          </w:p>
        </w:tc>
      </w:tr>
      <w:tr>
        <w:trPr/>
        <w:tc>
          <w:tcPr>
            <w:tcW w:w="29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 share amounts)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revenues: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share of common stock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91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tbl>
      <w:tblPr>
        <w:tblW w:w="10205" w:type="dxa"/>
        <w:jc w:val="center"/>
        <w:tblInd w:w="0" w:type="dxa"/>
        <w:tblLayout w:type="fixed"/>
        <w:tblCellMar>
          <w:top w:w="28" w:type="dxa"/>
          <w:left w:w="28" w:type="dxa"/>
          <w:bottom w:w="28" w:type="dxa"/>
          <w:right w:w="28" w:type="dxa"/>
        </w:tblCellMar>
      </w:tblPr>
      <w:tblGrid>
        <w:gridCol w:w="593"/>
        <w:gridCol w:w="520"/>
        <w:gridCol w:w="523"/>
        <w:gridCol w:w="302"/>
        <w:gridCol w:w="882"/>
        <w:gridCol w:w="157"/>
        <w:gridCol w:w="109"/>
        <w:gridCol w:w="109"/>
        <w:gridCol w:w="109"/>
        <w:gridCol w:w="253"/>
        <w:gridCol w:w="757"/>
        <w:gridCol w:w="131"/>
        <w:gridCol w:w="109"/>
        <w:gridCol w:w="109"/>
        <w:gridCol w:w="109"/>
        <w:gridCol w:w="216"/>
        <w:gridCol w:w="632"/>
        <w:gridCol w:w="111"/>
        <w:gridCol w:w="109"/>
        <w:gridCol w:w="109"/>
        <w:gridCol w:w="109"/>
        <w:gridCol w:w="302"/>
        <w:gridCol w:w="882"/>
        <w:gridCol w:w="157"/>
        <w:gridCol w:w="109"/>
        <w:gridCol w:w="109"/>
        <w:gridCol w:w="109"/>
        <w:gridCol w:w="253"/>
        <w:gridCol w:w="757"/>
        <w:gridCol w:w="131"/>
        <w:gridCol w:w="109"/>
        <w:gridCol w:w="109"/>
        <w:gridCol w:w="109"/>
        <w:gridCol w:w="216"/>
        <w:gridCol w:w="631"/>
        <w:gridCol w:w="164"/>
      </w:tblGrid>
      <w:tr>
        <w:trPr/>
        <w:tc>
          <w:tcPr>
            <w:tcW w:w="59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December 29,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December 29, 2023</w:t>
            </w:r>
          </w:p>
        </w:tc>
      </w:tr>
      <w:tr>
        <w:trPr/>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3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tbl>
      <w:tblPr>
        <w:tblW w:w="10205" w:type="dxa"/>
        <w:jc w:val="center"/>
        <w:tblInd w:w="0" w:type="dxa"/>
        <w:tblLayout w:type="fixed"/>
        <w:tblCellMar>
          <w:top w:w="28" w:type="dxa"/>
          <w:left w:w="28" w:type="dxa"/>
          <w:bottom w:w="28" w:type="dxa"/>
          <w:right w:w="28" w:type="dxa"/>
        </w:tblCellMar>
      </w:tblPr>
      <w:tblGrid>
        <w:gridCol w:w="2027"/>
        <w:gridCol w:w="1740"/>
        <w:gridCol w:w="1732"/>
        <w:gridCol w:w="419"/>
        <w:gridCol w:w="1225"/>
        <w:gridCol w:w="218"/>
        <w:gridCol w:w="109"/>
        <w:gridCol w:w="109"/>
        <w:gridCol w:w="109"/>
        <w:gridCol w:w="253"/>
        <w:gridCol w:w="757"/>
        <w:gridCol w:w="131"/>
        <w:gridCol w:w="109"/>
        <w:gridCol w:w="109"/>
        <w:gridCol w:w="109"/>
        <w:gridCol w:w="225"/>
        <w:gridCol w:w="657"/>
        <w:gridCol w:w="167"/>
      </w:tblGrid>
      <w:tr>
        <w:trPr/>
        <w:tc>
          <w:tcPr>
            <w:tcW w:w="2027"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0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December 29, 2023</w:t>
            </w:r>
          </w:p>
        </w:tc>
      </w:tr>
      <w:tr>
        <w:trPr/>
        <w:tc>
          <w:tcPr>
            <w:tcW w:w="5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Revised</w:t>
            </w:r>
          </w:p>
        </w:tc>
      </w:tr>
      <w:tr>
        <w:trPr/>
        <w:tc>
          <w:tcPr>
            <w:tcW w:w="5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5499"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 (unaudited)</w:t>
      </w:r>
    </w:p>
    <w:tbl>
      <w:tblPr>
        <w:tblW w:w="10166" w:type="dxa"/>
        <w:jc w:val="center"/>
        <w:tblInd w:w="0" w:type="dxa"/>
        <w:tblLayout w:type="fixed"/>
        <w:tblCellMar>
          <w:top w:w="28" w:type="dxa"/>
          <w:left w:w="28" w:type="dxa"/>
          <w:bottom w:w="28" w:type="dxa"/>
          <w:right w:w="28" w:type="dxa"/>
        </w:tblCellMar>
      </w:tblPr>
      <w:tblGrid>
        <w:gridCol w:w="916"/>
        <w:gridCol w:w="808"/>
        <w:gridCol w:w="811"/>
        <w:gridCol w:w="109"/>
        <w:gridCol w:w="109"/>
        <w:gridCol w:w="109"/>
        <w:gridCol w:w="109"/>
        <w:gridCol w:w="109"/>
        <w:gridCol w:w="1666"/>
        <w:gridCol w:w="109"/>
        <w:gridCol w:w="109"/>
        <w:gridCol w:w="109"/>
        <w:gridCol w:w="360"/>
        <w:gridCol w:w="360"/>
        <w:gridCol w:w="360"/>
        <w:gridCol w:w="382"/>
        <w:gridCol w:w="1582"/>
        <w:gridCol w:w="212"/>
        <w:gridCol w:w="212"/>
        <w:gridCol w:w="212"/>
        <w:gridCol w:w="109"/>
        <w:gridCol w:w="109"/>
        <w:gridCol w:w="109"/>
        <w:gridCol w:w="196"/>
        <w:gridCol w:w="73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0" w:type="dxa"/>
            <w:gridSpan w:val="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December 29,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c>
          <w:tcPr>
            <w:tcW w:w="4013" w:type="dxa"/>
            <w:gridSpan w:val="11"/>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(583,909)</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(581,019)</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Revised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September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(585,716)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224,343 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2176" w:type="dxa"/>
            <w:gridSpan w:val="3"/>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(583,932)</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964" w:type="dxa"/>
        <w:jc w:val="center"/>
        <w:tblInd w:w="0" w:type="dxa"/>
        <w:tblLayout w:type="fixed"/>
        <w:tblCellMar>
          <w:top w:w="28" w:type="dxa"/>
          <w:left w:w="28" w:type="dxa"/>
          <w:bottom w:w="28" w:type="dxa"/>
          <w:right w:w="28" w:type="dxa"/>
        </w:tblCellMar>
      </w:tblPr>
      <w:tblGrid>
        <w:gridCol w:w="905"/>
        <w:gridCol w:w="798"/>
        <w:gridCol w:w="801"/>
        <w:gridCol w:w="109"/>
        <w:gridCol w:w="109"/>
        <w:gridCol w:w="109"/>
        <w:gridCol w:w="109"/>
        <w:gridCol w:w="109"/>
        <w:gridCol w:w="1666"/>
        <w:gridCol w:w="109"/>
        <w:gridCol w:w="109"/>
        <w:gridCol w:w="109"/>
        <w:gridCol w:w="359"/>
        <w:gridCol w:w="359"/>
        <w:gridCol w:w="361"/>
        <w:gridCol w:w="357"/>
        <w:gridCol w:w="1479"/>
        <w:gridCol w:w="198"/>
        <w:gridCol w:w="198"/>
        <w:gridCol w:w="198"/>
        <w:gridCol w:w="109"/>
        <w:gridCol w:w="109"/>
        <w:gridCol w:w="109"/>
        <w:gridCol w:w="196"/>
        <w:gridCol w:w="73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9" w:type="dxa"/>
            <w:gridSpan w:val="8"/>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 December 29, 2023</w:t>
            </w:r>
          </w:p>
        </w:tc>
        <w:tc>
          <w:tcPr>
            <w:tcW w:w="1413"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Equity</w:t>
            </w:r>
          </w:p>
        </w:tc>
        <w:tc>
          <w:tcPr>
            <w:tcW w:w="3843" w:type="dxa"/>
            <w:gridSpan w:val="11"/>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Previously Reported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(587,914)</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(581,019)</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As Revised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(589,273)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2034" w:type="dxa"/>
            <w:gridSpan w:val="3"/>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29,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(583,932)</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240" w:after="283"/>
        <w:jc w:val="center"/>
        <w:rPr/>
      </w:pPr>
      <w:r>
        <w:rPr/>
      </w:r>
    </w:p>
    <w:tbl>
      <w:tblPr>
        <w:tblW w:w="202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11"/>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ability to maintain effective internal control over financial reporting and management systems and remediate material weaknesses;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See “Item 1A. Risk Factors” in the Company’s fiscal 2024 Annual Report on Form 10-K filed with the SEC on October 4, 2024 for more information regarding factors that may cause its results to differ materially from those expressed or implied by the forward-looking statements contained in this Quarterly Report on Form 10-Q.</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 of Business; Operating Environment and Key Factors Impacting Fiscal 2025 and 2024 Results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June 27, 2025 is referred to as “fiscal 2025” or “2025” and the fiscal year ended June 28, 2024 is referred to as “fiscal 2024” or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 competes on the basis of total cost of ownership, microwave radio expertise and solutions for mission critical communications. Aviat has a global presence.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4RF Limited</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 See Note 11. Acquisitions of the Notes to the unaudited consolidated financial statements in this Quarterly Report on Form 10-Q (the “Notes”) for further information.</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NEC’s Wireless Transport Business</w:t>
      </w:r>
    </w:p>
    <w:p>
      <w:pPr>
        <w:pStyle w:val="TextBody"/>
        <w:bidi w:val="0"/>
        <w:spacing w:lineRule="auto" w:line="288" w:before="180" w:after="18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2023, the Company completed the acquisition of NEC Corporation’s (“NEC”) wireless transport business (the “NEC Transaction”). 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See Note 11. Acquisitions of the Notes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consideration transferred at the closing of the NEC Transaction was comprised of (i) cash of $32.2 million, and (ii) the issuance of 736,750 shares or $22.3 million of Company common stock. Aggregate consideration transferred at closing was approximately $54.5 million, which was subject to certain post-closing adjustments. In the second quarter of fiscal 2025, the Company transferred consideration of $5.8 million to settle a portion of the post-closing working capital adjustment. The Company estimates additional cash consideration of approximately $13.2 million will be transferred to NEC, primarily related to settlement of the remaining post-closing working capital adjustment.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80" w:after="283"/>
        <w:jc w:val="left"/>
        <w:rPr>
          <w:rFonts w:ascii="Times New Roman;sans-serif" w:hAnsi="Times New Roman;sans-serif"/>
          <w:b/>
          <w:color w:val="000000"/>
          <w:sz w:val="20"/>
        </w:rPr>
      </w:pPr>
      <w:r>
        <w:rPr>
          <w:rFonts w:ascii="Times New Roman;sans-serif" w:hAnsi="Times New Roman;sans-serif"/>
          <w:b/>
          <w:color w:val="000000"/>
          <w:sz w:val="20"/>
        </w:rPr>
        <w:t>Operations Review</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for mobile backhaul continued to be the Company’s primary addressable market segment globally in the first six months of fiscal 2025.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However, as disclosed above and in the “Risk Factors” section in Item 1A of its Annual Report on Form 10-K filed with the SEC on October 4, 2024, a number of factors could prevent the Company from achieving its objectives, including ongoing pricing pressures attributable to competition and macroeconomic conditions in the geographic markets that it serves.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Revisions to Prior Period Consolidated Financial Statements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third quarter of fiscal 2024, the Company identified certain errors in the quarterly financial statements for fiscal 2024. The Company evaluated the materiality of the errors and determined that the impacts were not material, individually or in the aggregate, to the Company’s previously issued consolidated financial statements for any of the prior reporting periods in which they occurred. The Company has revised the prior period financial statements for fiscal 2024 to correct the errors. The revisions ensure comparability across all periods presented herein. Refer to Note 1. The Company and Basis of Presentation and Note 15. Revisions to Prior Period Consolidated Financial Statements of the Notes for further information.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its sales activities primarily on a geographic basis in North America and three international geographic regions: (1) Africa and the Middle East, (2) Europe, and (3) Latin America and Asia Pacific. Revenue by region for the three and six months ended December 27, 2024 and December 29, 2023 and the related changes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1214" w:type="dxa"/>
        <w:jc w:val="center"/>
        <w:tblInd w:w="0" w:type="dxa"/>
        <w:tblLayout w:type="fixed"/>
        <w:tblCellMar>
          <w:top w:w="28" w:type="dxa"/>
          <w:left w:w="28" w:type="dxa"/>
          <w:bottom w:w="28" w:type="dxa"/>
          <w:right w:w="28" w:type="dxa"/>
        </w:tblCellMar>
      </w:tblPr>
      <w:tblGrid>
        <w:gridCol w:w="337"/>
        <w:gridCol w:w="296"/>
        <w:gridCol w:w="298"/>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40"/>
        <w:gridCol w:w="241"/>
        <w:gridCol w:w="503"/>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33"/>
        <w:gridCol w:w="233"/>
        <w:gridCol w:w="56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North America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Africa and the Middle 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Europe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Latin America and Asia Pacific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26.2 </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North America increased by $7.3 million during the second quarter of fiscal 2025 compared with the same period of fiscal 2024 primarily due to increased volume for private network projects. Revenue in North America decreased by $5.3 million during the first six months of fiscal 2025 compared with the same period of fiscal 2024, primarily due to lower demand from Tier 1 mobile network operators and timing of certain private network projects, partially offset by contributions from the 4RF transaction.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Africa and the Middle East decreased by $1.8 million during the second quarter of fiscal 2025 compared with the same period of fiscal 2024. Revenue in Africa and the Middle East decreased by $1.3 million during the first six months of fiscal 2025 compared with the same period of fiscal 2024. The decreases for the second quarter and the first six months of fiscal 2025 were primarily due to continued softness in the capital expenditure plans of large mobile operators in the region.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Europe increased by $2.8 million during the second quarter of fiscal 2025 compared with the same period of fiscal 2024. Revenue in Europe increased by $3.1 million during the first six months of fiscal 2025 compared with the same period of fiscal 2024. The increases for the second quarter and the first six months of fiscal 2025 were primarily due to increased sales to mobile operators in the region driven by volumes from the NEC transaction.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in Latin America and Asia Pacific increased by $16.2 million during the second quarter of fiscal 2025 compared with the same period of fiscal 2024. Revenue in Latin America and Asia Pacific increased by $29.5 million during the first six months of fiscal 2025 compared with the same period of fiscal 2024. The increases were primarily due to contributions resulting from the NEC transaction and higher volumes of projects with mobile operators.</w:t>
      </w:r>
    </w:p>
    <w:tbl>
      <w:tblPr>
        <w:tblW w:w="11898" w:type="dxa"/>
        <w:jc w:val="center"/>
        <w:tblInd w:w="0" w:type="dxa"/>
        <w:tblLayout w:type="fixed"/>
        <w:tblCellMar>
          <w:top w:w="28" w:type="dxa"/>
          <w:left w:w="28" w:type="dxa"/>
          <w:bottom w:w="28" w:type="dxa"/>
          <w:right w:w="28" w:type="dxa"/>
        </w:tblCellMar>
      </w:tblPr>
      <w:tblGrid>
        <w:gridCol w:w="337"/>
        <w:gridCol w:w="296"/>
        <w:gridCol w:w="298"/>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517"/>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product sales increased by 26.6% and revenue from services increased by 25.2% for the second quarter of fiscal 2025 compared with the same quarter of fiscal 2024. Revenue from product sales and services increased by 15.1% and 12.8%, respectively for the first six months of fiscal 2025 compared with the same period of fiscal 2024. The increases were primarily due to the factors discussed above and product sales contribution from the NEC Transaction.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Gross Margin</w:t>
      </w:r>
    </w:p>
    <w:tbl>
      <w:tblPr>
        <w:tblW w:w="12561" w:type="dxa"/>
        <w:jc w:val="center"/>
        <w:tblInd w:w="0" w:type="dxa"/>
        <w:tblLayout w:type="fixed"/>
        <w:tblCellMar>
          <w:top w:w="28" w:type="dxa"/>
          <w:left w:w="28" w:type="dxa"/>
          <w:bottom w:w="28" w:type="dxa"/>
          <w:right w:w="28" w:type="dxa"/>
        </w:tblCellMar>
      </w:tblPr>
      <w:tblGrid>
        <w:gridCol w:w="337"/>
        <w:gridCol w:w="296"/>
        <w:gridCol w:w="298"/>
        <w:gridCol w:w="211"/>
        <w:gridCol w:w="826"/>
        <w:gridCol w:w="271"/>
        <w:gridCol w:w="109"/>
        <w:gridCol w:w="109"/>
        <w:gridCol w:w="109"/>
        <w:gridCol w:w="211"/>
        <w:gridCol w:w="721"/>
        <w:gridCol w:w="271"/>
        <w:gridCol w:w="109"/>
        <w:gridCol w:w="109"/>
        <w:gridCol w:w="109"/>
        <w:gridCol w:w="211"/>
        <w:gridCol w:w="721"/>
        <w:gridCol w:w="109"/>
        <w:gridCol w:w="109"/>
        <w:gridCol w:w="109"/>
        <w:gridCol w:w="109"/>
        <w:gridCol w:w="255"/>
        <w:gridCol w:w="256"/>
        <w:gridCol w:w="517"/>
        <w:gridCol w:w="109"/>
        <w:gridCol w:w="109"/>
        <w:gridCol w:w="109"/>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62"/>
        <w:gridCol w:w="264"/>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margin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margin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margin for the second quarter of fiscal 2025 increased by $4.6 million compared with the same quarter of fiscal 2024 primarily due to sales volume and changes in regions and customers. Gross margin for the first six months of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2025 decreased by $6.8 million primarily due to changes in regions and customers and the expected near-term dilution as a result of the NEC Transaction driven from first quarter results.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12171" w:type="dxa"/>
        <w:jc w:val="center"/>
        <w:tblInd w:w="0" w:type="dxa"/>
        <w:tblLayout w:type="fixed"/>
        <w:tblCellMar>
          <w:top w:w="28" w:type="dxa"/>
          <w:left w:w="28" w:type="dxa"/>
          <w:bottom w:w="28" w:type="dxa"/>
          <w:right w:w="28" w:type="dxa"/>
        </w:tblCellMar>
      </w:tblPr>
      <w:tblGrid>
        <w:gridCol w:w="592"/>
        <w:gridCol w:w="296"/>
        <w:gridCol w:w="298"/>
        <w:gridCol w:w="211"/>
        <w:gridCol w:w="721"/>
        <w:gridCol w:w="271"/>
        <w:gridCol w:w="109"/>
        <w:gridCol w:w="109"/>
        <w:gridCol w:w="109"/>
        <w:gridCol w:w="211"/>
        <w:gridCol w:w="616"/>
        <w:gridCol w:w="271"/>
        <w:gridCol w:w="109"/>
        <w:gridCol w:w="109"/>
        <w:gridCol w:w="109"/>
        <w:gridCol w:w="211"/>
        <w:gridCol w:w="616"/>
        <w:gridCol w:w="109"/>
        <w:gridCol w:w="109"/>
        <w:gridCol w:w="109"/>
        <w:gridCol w:w="109"/>
        <w:gridCol w:w="255"/>
        <w:gridCol w:w="256"/>
        <w:gridCol w:w="517"/>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578"/>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$1.8 million and $5.8 million for the three and six months ended December 27, 2024, respectively, primarily due to development activity related to the NEC transaction.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Selling and Administrative</w:t>
      </w:r>
    </w:p>
    <w:tbl>
      <w:tblPr>
        <w:tblW w:w="12306" w:type="dxa"/>
        <w:jc w:val="center"/>
        <w:tblInd w:w="0" w:type="dxa"/>
        <w:tblLayout w:type="fixed"/>
        <w:tblCellMar>
          <w:top w:w="28" w:type="dxa"/>
          <w:left w:w="28" w:type="dxa"/>
          <w:bottom w:w="28" w:type="dxa"/>
          <w:right w:w="28" w:type="dxa"/>
        </w:tblCellMar>
      </w:tblPr>
      <w:tblGrid>
        <w:gridCol w:w="697"/>
        <w:gridCol w:w="296"/>
        <w:gridCol w:w="298"/>
        <w:gridCol w:w="211"/>
        <w:gridCol w:w="721"/>
        <w:gridCol w:w="271"/>
        <w:gridCol w:w="109"/>
        <w:gridCol w:w="109"/>
        <w:gridCol w:w="109"/>
        <w:gridCol w:w="211"/>
        <w:gridCol w:w="721"/>
        <w:gridCol w:w="271"/>
        <w:gridCol w:w="109"/>
        <w:gridCol w:w="109"/>
        <w:gridCol w:w="109"/>
        <w:gridCol w:w="211"/>
        <w:gridCol w:w="631"/>
        <w:gridCol w:w="109"/>
        <w:gridCol w:w="109"/>
        <w:gridCol w:w="109"/>
        <w:gridCol w:w="109"/>
        <w:gridCol w:w="210"/>
        <w:gridCol w:w="211"/>
        <w:gridCol w:w="517"/>
        <w:gridCol w:w="109"/>
        <w:gridCol w:w="109"/>
        <w:gridCol w:w="109"/>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255"/>
        <w:gridCol w:w="256"/>
        <w:gridCol w:w="578"/>
      </w:tblGrid>
      <w:tr>
        <w:trPr/>
        <w:tc>
          <w:tcPr>
            <w:tcW w:w="69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41,781 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 decreased by $1.3 million for the second quarter of fiscal 2025 compared with the second quarter of fiscal 2024 primarily due to lower spending and cost reduction activities. Selling and administrative expenses increased $4.4 million for the first six months of fiscal 2025 primarily due to merger and acquisition expenses and additional costs resulting from the NEC and 4RF transactions.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Restructuring</w:t>
      </w:r>
    </w:p>
    <w:tbl>
      <w:tblPr>
        <w:tblW w:w="11203" w:type="dxa"/>
        <w:jc w:val="center"/>
        <w:tblInd w:w="0" w:type="dxa"/>
        <w:tblLayout w:type="fixed"/>
        <w:tblCellMar>
          <w:top w:w="28" w:type="dxa"/>
          <w:left w:w="28" w:type="dxa"/>
          <w:bottom w:w="28" w:type="dxa"/>
          <w:right w:w="28" w:type="dxa"/>
        </w:tblCellMar>
      </w:tblPr>
      <w:tblGrid>
        <w:gridCol w:w="637"/>
        <w:gridCol w:w="296"/>
        <w:gridCol w:w="298"/>
        <w:gridCol w:w="211"/>
        <w:gridCol w:w="616"/>
        <w:gridCol w:w="109"/>
        <w:gridCol w:w="109"/>
        <w:gridCol w:w="109"/>
        <w:gridCol w:w="109"/>
        <w:gridCol w:w="211"/>
        <w:gridCol w:w="616"/>
        <w:gridCol w:w="109"/>
        <w:gridCol w:w="109"/>
        <w:gridCol w:w="109"/>
        <w:gridCol w:w="109"/>
        <w:gridCol w:w="211"/>
        <w:gridCol w:w="521"/>
        <w:gridCol w:w="109"/>
        <w:gridCol w:w="109"/>
        <w:gridCol w:w="109"/>
        <w:gridCol w:w="109"/>
        <w:gridCol w:w="263"/>
        <w:gridCol w:w="263"/>
        <w:gridCol w:w="517"/>
        <w:gridCol w:w="109"/>
        <w:gridCol w:w="109"/>
        <w:gridCol w:w="109"/>
        <w:gridCol w:w="211"/>
        <w:gridCol w:w="616"/>
        <w:gridCol w:w="109"/>
        <w:gridCol w:w="109"/>
        <w:gridCol w:w="109"/>
        <w:gridCol w:w="109"/>
        <w:gridCol w:w="211"/>
        <w:gridCol w:w="616"/>
        <w:gridCol w:w="109"/>
        <w:gridCol w:w="109"/>
        <w:gridCol w:w="109"/>
        <w:gridCol w:w="109"/>
        <w:gridCol w:w="211"/>
        <w:gridCol w:w="631"/>
        <w:gridCol w:w="109"/>
        <w:gridCol w:w="109"/>
        <w:gridCol w:w="109"/>
        <w:gridCol w:w="109"/>
        <w:gridCol w:w="263"/>
        <w:gridCol w:w="263"/>
        <w:gridCol w:w="578"/>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charges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fiscal 2025, there were $1.4 million of restructuring charges incurred, primarily associated with reductions in workforce in certain of the Company’s operations to optimize skill sets and align cost structure. The prior year period includes restructuring charges primarily associated with the NEC Transaction.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successfully executed restructuring initiatives have enabled it to restructure specific groups to optimize skill sets and align its organizational structure to execute on strategic deliverables, in addition to aligning cost structure with the core of the business.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 net</w:t>
      </w:r>
    </w:p>
    <w:tbl>
      <w:tblPr>
        <w:tblW w:w="11033" w:type="dxa"/>
        <w:jc w:val="center"/>
        <w:tblInd w:w="0" w:type="dxa"/>
        <w:tblLayout w:type="fixed"/>
        <w:tblCellMar>
          <w:top w:w="28" w:type="dxa"/>
          <w:left w:w="28" w:type="dxa"/>
          <w:bottom w:w="28" w:type="dxa"/>
          <w:right w:w="28" w:type="dxa"/>
        </w:tblCellMar>
      </w:tblPr>
      <w:tblGrid>
        <w:gridCol w:w="337"/>
        <w:gridCol w:w="296"/>
        <w:gridCol w:w="298"/>
        <w:gridCol w:w="211"/>
        <w:gridCol w:w="616"/>
        <w:gridCol w:w="109"/>
        <w:gridCol w:w="109"/>
        <w:gridCol w:w="109"/>
        <w:gridCol w:w="109"/>
        <w:gridCol w:w="233"/>
        <w:gridCol w:w="516"/>
        <w:gridCol w:w="122"/>
        <w:gridCol w:w="109"/>
        <w:gridCol w:w="109"/>
        <w:gridCol w:w="109"/>
        <w:gridCol w:w="211"/>
        <w:gridCol w:w="616"/>
        <w:gridCol w:w="109"/>
        <w:gridCol w:w="109"/>
        <w:gridCol w:w="109"/>
        <w:gridCol w:w="109"/>
        <w:gridCol w:w="308"/>
        <w:gridCol w:w="308"/>
        <w:gridCol w:w="517"/>
        <w:gridCol w:w="109"/>
        <w:gridCol w:w="109"/>
        <w:gridCol w:w="109"/>
        <w:gridCol w:w="211"/>
        <w:gridCol w:w="616"/>
        <w:gridCol w:w="109"/>
        <w:gridCol w:w="109"/>
        <w:gridCol w:w="109"/>
        <w:gridCol w:w="109"/>
        <w:gridCol w:w="233"/>
        <w:gridCol w:w="516"/>
        <w:gridCol w:w="122"/>
        <w:gridCol w:w="109"/>
        <w:gridCol w:w="109"/>
        <w:gridCol w:w="109"/>
        <w:gridCol w:w="211"/>
        <w:gridCol w:w="616"/>
        <w:gridCol w:w="109"/>
        <w:gridCol w:w="109"/>
        <w:gridCol w:w="109"/>
        <w:gridCol w:w="109"/>
        <w:gridCol w:w="308"/>
        <w:gridCol w:w="308"/>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by $1.2 million and $2.2 million for the three and six months ended December 27, 2024, respectively, primarily due to interest expense incurred on incremental Term Loan borrowings compared to the prior year period.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Expense, net</w:t>
      </w:r>
    </w:p>
    <w:tbl>
      <w:tblPr>
        <w:tblW w:w="10728" w:type="dxa"/>
        <w:jc w:val="center"/>
        <w:tblInd w:w="0" w:type="dxa"/>
        <w:tblLayout w:type="fixed"/>
        <w:tblCellMar>
          <w:top w:w="28" w:type="dxa"/>
          <w:left w:w="28" w:type="dxa"/>
          <w:bottom w:w="28" w:type="dxa"/>
          <w:right w:w="28" w:type="dxa"/>
        </w:tblCellMar>
      </w:tblPr>
      <w:tblGrid>
        <w:gridCol w:w="337"/>
        <w:gridCol w:w="296"/>
        <w:gridCol w:w="298"/>
        <w:gridCol w:w="233"/>
        <w:gridCol w:w="516"/>
        <w:gridCol w:w="122"/>
        <w:gridCol w:w="109"/>
        <w:gridCol w:w="109"/>
        <w:gridCol w:w="109"/>
        <w:gridCol w:w="229"/>
        <w:gridCol w:w="523"/>
        <w:gridCol w:w="119"/>
        <w:gridCol w:w="109"/>
        <w:gridCol w:w="109"/>
        <w:gridCol w:w="109"/>
        <w:gridCol w:w="225"/>
        <w:gridCol w:w="498"/>
        <w:gridCol w:w="118"/>
        <w:gridCol w:w="109"/>
        <w:gridCol w:w="109"/>
        <w:gridCol w:w="109"/>
        <w:gridCol w:w="315"/>
        <w:gridCol w:w="316"/>
        <w:gridCol w:w="517"/>
        <w:gridCol w:w="109"/>
        <w:gridCol w:w="109"/>
        <w:gridCol w:w="109"/>
        <w:gridCol w:w="233"/>
        <w:gridCol w:w="516"/>
        <w:gridCol w:w="122"/>
        <w:gridCol w:w="109"/>
        <w:gridCol w:w="109"/>
        <w:gridCol w:w="109"/>
        <w:gridCol w:w="233"/>
        <w:gridCol w:w="516"/>
        <w:gridCol w:w="122"/>
        <w:gridCol w:w="109"/>
        <w:gridCol w:w="109"/>
        <w:gridCol w:w="109"/>
        <w:gridCol w:w="225"/>
        <w:gridCol w:w="498"/>
        <w:gridCol w:w="118"/>
        <w:gridCol w:w="109"/>
        <w:gridCol w:w="109"/>
        <w:gridCol w:w="109"/>
        <w:gridCol w:w="308"/>
        <w:gridCol w:w="308"/>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net increased by $0.9 million and $0.8 million for the three and six months ended December 27, 2024, respectively, primarily as a result of losses recognized on the extinguishment of debt and foreign exchange rate movement.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tbl>
      <w:tblPr>
        <w:tblW w:w="11328" w:type="dxa"/>
        <w:jc w:val="center"/>
        <w:tblInd w:w="0" w:type="dxa"/>
        <w:tblLayout w:type="fixed"/>
        <w:tblCellMar>
          <w:top w:w="28" w:type="dxa"/>
          <w:left w:w="28" w:type="dxa"/>
          <w:bottom w:w="28" w:type="dxa"/>
          <w:right w:w="28" w:type="dxa"/>
        </w:tblCellMar>
      </w:tblPr>
      <w:tblGrid>
        <w:gridCol w:w="337"/>
        <w:gridCol w:w="296"/>
        <w:gridCol w:w="29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62"/>
        <w:gridCol w:w="264"/>
        <w:gridCol w:w="517"/>
        <w:gridCol w:w="109"/>
        <w:gridCol w:w="109"/>
        <w:gridCol w:w="109"/>
        <w:gridCol w:w="211"/>
        <w:gridCol w:w="736"/>
        <w:gridCol w:w="109"/>
        <w:gridCol w:w="109"/>
        <w:gridCol w:w="109"/>
        <w:gridCol w:w="109"/>
        <w:gridCol w:w="211"/>
        <w:gridCol w:w="616"/>
        <w:gridCol w:w="109"/>
        <w:gridCol w:w="109"/>
        <w:gridCol w:w="109"/>
        <w:gridCol w:w="109"/>
        <w:gridCol w:w="211"/>
        <w:gridCol w:w="736"/>
        <w:gridCol w:w="109"/>
        <w:gridCol w:w="109"/>
        <w:gridCol w:w="109"/>
        <w:gridCol w:w="109"/>
        <w:gridCol w:w="315"/>
        <w:gridCol w:w="316"/>
        <w:gridCol w:w="578"/>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 except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27,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29,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benefit for the first six months of fiscal 2025 was primarily due to tax benefit resulting from year-to-date losses. The tax expense for the first six months of fiscal 2024 was primarily attributable to tax expense related to U.S. and profitable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ans-serif" w:hAnsi="Times New Roman;sans-serif"/>
          <w:b/>
          <w:color w:val="000000"/>
          <w:sz w:val="20"/>
        </w:rPr>
      </w:pPr>
      <w:r>
        <w:rPr>
          <w:rFonts w:ascii="Times New Roman;sans-serif" w:hAnsi="Times New Roman;sans-serif"/>
          <w:b/>
          <w:color w:val="000000"/>
          <w:sz w:val="20"/>
        </w:rPr>
        <w:t>Liquidity, Capital Resources, and Financial Strategies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Sources of Cash</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Company’s total cash and cash equivalents were $52.6 million. Approximately $21.6 million was held in the United States. The remaining balance of $31.0 million, or 59%, was held outside the United States.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Operating cash flows is presented as net (loss) income adjusted for certain non-cash items and changes in operating assets and liabilities. Net cash (used in) provided by operating activities was $(6.4) million for the first six months of fiscal 2025, compared with $6.9 million in the prior year. The $(13.3) million decrease is primarily attributable to increases in working capital and decreased earnings compared to the prior year.</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$23.5 million for the first six months of fiscal 2025, compared to $33.5 million in the prior year. The $10.1 million decrease is primarily due to higher acquisition payments in the prior year associated with the NEC Transaction.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Financing cash flows consist primarily of borrowings and repayments under the Company’s Credit Facility and proceeds from the exercise of employee stock options. Net cash provided by financing activities was $18.6 million for the first six months of fiscal 2025, compared with $50.3 million in the prior year. The $(31.7) million decrease is primarily due to reduced Term Loan borrowings compared to the prior year as the prior year period included the $50.0 million of Term Loan borrowings primarily used to fund the NEC Transaction.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Company’s principal sources of liquidity consisted of $52.6 million in cash and cash equivalents, $66.7 million of available credit under its Credit Facility, and future collections of receivables from customers. In the first quarter of fiscal 2025, the Company amended its Credit Facility which increased the borrowing capacity to $75.0 million for each of the Term Loan and Revolver facilities.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its existing cash and cash equivalents, the available borrowings under its Credit Facility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borrowed and repaid $35.0 million against the Revolver during the first six months of fiscal 2025. As of December 27, 2024, the Company had $75.0 million outstanding under its Term Loan and no borrowings outstanding under its Revolver and was in compliance with all financial covenants contained in the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about the Company’s critical accounting estimates, see the “Critical Accounting Estimates” section of “Item 7. Management’s Discussion and Analysis of Financial Condition and Results of Operations” in its fiscal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2024 Annual Report on Form 10-K. There have been no material changes to the Company’s market risk during the first six months of fiscal 2025.</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Exchange Rate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December 27, 2024.</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December 27, 2024 and June 28, 2024, the cumulative translation adjustment decreased stockholders’ equity by $20.6 million and $19.3 million,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exposure to market risk for changes in interest rates relates primarily to its cash equivalents and borrowings under its Credit Facility. Refer to Note 6. Credit Facility and Debt of the Notes for further information.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Exposure on Cash Equivalents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$52.6 million in total cash and cash equivalents as of December 27, 2024. Cash equivalents totaled $7.0 million as of December 27, 2024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refer to Note 5. Fair Value Measurements of Assets and Liabilities of the Notes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earn interest at fixed rates; therefore, changes in interest rates will not generate a gain or loss on these investments unless they are sold prior to maturity. A 10% change in interest rates on the Company’s cash equivalents is not expected to have a material impact on its financial position, results of operations, or cash flows.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Exposure on Borrowings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27, 2024, the Company had $75.0 million outstanding under its Term Loan and no borrowings outstanding under its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December 27, 2024, the applicable margin on Adjusted Term SOFR and Base Rate borrowings was 2.75% and 1.75%, respectively. The effective rate of interest on the outstanding Term Loan borrowings as of December 27, 2024 was 7.2%.</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10% change in interest rates is estimated to have a $0.5 million impact on annual interest expense on the Company’s outstanding long-term debt as of December 27,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the Company’s Annual Report on Form 10-K for the fiscal year ended June 28, 2024, the Company’s management concluded that our disclosure controls and procedures were not effective as of June 28, 2024 due to certain material weaknesses in internal control over financial reporting. Refer to Part II, Item 9A. Controls and Procedures in the Company’s Annual Report on Form 10-K for the fiscal year ended June 28, 2024 for further information.</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six months of fiscal 2025, the Company implemented actions designed to improve our internal control over financial reporting and remediate these material weaknesses, including (i) providing training to the applicable control performers related to the importance of timely execution of control activities for which they are responsible; (ii) beginning the redesign of controls over the determination of the appropriate period for revenue recognition, controls over arrangements where revenue is recognized over time and controls related to the review and approval of journal entries, and (iii) implementing a formal monitoring program to perform the necessary evaluations to ascertain whether the components of internal control are present and functioning, including implementing corrective actions as necessary.</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steps are subject to ongoing senior management review, as well as oversight by the audit committee of our Board of Directors. While significant progress has been made to remediate the material weaknesses, the material weaknesses will not be considered remediated until the associated controls operate effectively for a sufficient period of time and management concludes, through testing, that the controls are operating effectively. We will continue to monitor the design and effectiveness of these and other processes, procedures and controls and make further changes management deems appropriate.</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with the participation of our President and CEO, and Chief Financial Officer (“CFO”), completed an evaluation of the effectiveness of the design and operation of the disclosure controls and procedures as of December 27, 2024. The Company’s CEO and CFO have concluded that our disclosure controls and procedures, as defined in Rules 13a-15(e) and 15d-15(e) under the Exchange Act, were not effective as of December 27, 2024, due to the material weaknesses described above not being fully remediated as of the date of the evaluation.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Controls over Financial Reporting</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Except as noted above, there were no changes to our internal controls over financial reporting as defined in Rules 13a-15(f) or 15d-15(f) that occurred during the quarter ended December 27, 2024 that have materially affected, or are reasonably likely to materially affect, our internal controls over financial reporting.</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360" w:after="283"/>
        <w:jc w:val="center"/>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legal proceedings as of December 27, 2024, please refer to “Legal Proceedings” and “Contingent Liabilities” under Note 12. Commitments and Contingencies of the Notes to the unaudited condensed consolidated financial statements in this Quarterly Report on Form 10-Q, which are incorporated into this item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Investors should carefully review and consider the information regarding certain factors which could materially affect our business, operating results, cash flows, and financial condition set forth under Item 1A, Risk Factors, in our fiscal 2024 Annual Report on Form 10-K filed with the SEC on October 4, 2024.</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approved a stock repurchase program to purchase up to $10.0 million of the Company’s common stock. As of December 27, 2024, $6.4 million remains available and Aviat may choose to suspend or discontinue the repurchase program at any time. Repurchased shares are recorded as treasury stock.</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repurchases of its common stock during the second quarter of fiscal 2025:</w:t>
      </w:r>
    </w:p>
    <w:tbl>
      <w:tblPr>
        <w:tblW w:w="10205" w:type="dxa"/>
        <w:jc w:val="center"/>
        <w:tblInd w:w="0" w:type="dxa"/>
        <w:tblLayout w:type="fixed"/>
        <w:tblCellMar>
          <w:top w:w="28" w:type="dxa"/>
          <w:left w:w="28" w:type="dxa"/>
          <w:bottom w:w="28" w:type="dxa"/>
          <w:right w:w="28" w:type="dxa"/>
        </w:tblCellMar>
      </w:tblPr>
      <w:tblGrid>
        <w:gridCol w:w="705"/>
        <w:gridCol w:w="484"/>
        <w:gridCol w:w="489"/>
        <w:gridCol w:w="517"/>
        <w:gridCol w:w="468"/>
        <w:gridCol w:w="470"/>
        <w:gridCol w:w="109"/>
        <w:gridCol w:w="109"/>
        <w:gridCol w:w="109"/>
        <w:gridCol w:w="346"/>
        <w:gridCol w:w="664"/>
        <w:gridCol w:w="180"/>
        <w:gridCol w:w="109"/>
        <w:gridCol w:w="109"/>
        <w:gridCol w:w="109"/>
        <w:gridCol w:w="735"/>
        <w:gridCol w:w="718"/>
        <w:gridCol w:w="720"/>
        <w:gridCol w:w="109"/>
        <w:gridCol w:w="109"/>
        <w:gridCol w:w="109"/>
        <w:gridCol w:w="584"/>
        <w:gridCol w:w="1708"/>
        <w:gridCol w:w="436"/>
      </w:tblGrid>
      <w:tr>
        <w:trPr/>
        <w:tc>
          <w:tcPr>
            <w:tcW w:w="70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Approximate Dollar Value of Shares that May Yet be Purchased Under the Program (in thousands)</w:t>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28, 2024 — October 25, 2024</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6,928 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26, 2024 — November 22, 2024</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23, 2024 — December 27, 2024</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34,600 </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6,429 </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Insider Trading Arrangements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20, 2024, Gary Croke, Vice President, Marketing and Product Line Management, adopted a new trading plan intended to satisfy the affirmative defense conditions of Rule 10b5-1(c) under the Exchange Act. The trading plan is intended to permit Mr. Croke to sell an aggregate of 25,461 shares. Mr. Croke’s plan is in effect until October 31, 2025.</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27, 2024, no other officers or directors adopted, modified, or terminated a “Rule 10b5-1 trading arrangement” or a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or furnished herewith or are incorporated by reference to exhibits previously filed with the SEC:</w:t>
      </w:r>
    </w:p>
    <w:tbl>
      <w:tblPr>
        <w:tblW w:w="10205" w:type="dxa"/>
        <w:jc w:val="center"/>
        <w:tblInd w:w="0" w:type="dxa"/>
        <w:tblLayout w:type="fixed"/>
        <w:tblCellMar>
          <w:top w:w="28" w:type="dxa"/>
          <w:left w:w="28" w:type="dxa"/>
          <w:bottom w:w="28" w:type="dxa"/>
          <w:right w:w="28" w:type="dxa"/>
        </w:tblCellMar>
      </w:tblPr>
      <w:tblGrid>
        <w:gridCol w:w="337"/>
        <w:gridCol w:w="297"/>
        <w:gridCol w:w="298"/>
        <w:gridCol w:w="109"/>
        <w:gridCol w:w="109"/>
        <w:gridCol w:w="109"/>
        <w:gridCol w:w="2623"/>
        <w:gridCol w:w="2605"/>
        <w:gridCol w:w="3718"/>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18" w:type="dxa"/>
            <w:tcBorders/>
            <w:vAlign w:val="center"/>
          </w:tcPr>
          <w:p>
            <w:pPr>
              <w:pStyle w:val="TableContents"/>
              <w:bidi w:val="0"/>
              <w:spacing w:before="0" w:after="283"/>
              <w:jc w:val="left"/>
              <w:rPr>
                <w:sz w:val="4"/>
                <w:szCs w:val="4"/>
              </w:rPr>
            </w:pPr>
            <w:r>
              <w:rPr>
                <w:sz w:val="4"/>
                <w:szCs w:val="4"/>
              </w:rPr>
            </w:r>
          </w:p>
        </w:tc>
      </w:tr>
      <w:tr>
        <w:trPr/>
        <w:tc>
          <w:tcPr>
            <w:tcW w:w="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Descriptions</w:t>
            </w:r>
          </w:p>
        </w:tc>
      </w:tr>
      <w:tr>
        <w:trPr/>
        <w:tc>
          <w:tcPr>
            <w:tcW w:w="9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Amended and Restated Certificate of Incorporation of Aviat Networks, Inc., as amended (incorporated by reference to Exhibit 3.1 to the Current Report on Form 8-K filed with the SEC on November 13, 2023, File No. 001-33278).</w:t>
              </w:r>
            </w:hyperlink>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Amended and Restated Bylaws of Aviat Networks, Inc. (incorporated by reference to Exhibit 3.1 to the Current Report on Form 8-K filed with the SEC on August 24, 2023, File No. 001-33278).</w:t>
              </w:r>
            </w:hyperlink>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ans-serif" w:hAnsi="Times New Roman;sans-serif"/>
                  <w:b w:val="false"/>
                  <w:color w:val="000080"/>
                  <w:sz w:val="20"/>
                  <w:u w:val="single"/>
                </w:rPr>
                <w:t>Second Amendment to Credit Agreement, dated October 18, 2024, by and among the Borrowers and the Lender (incorporated by reference to Exhibit 10.1 to the Current Report on Form 8-K filed with the SEC on October 22, 202</w:t>
              </w:r>
            </w:hyperlink>
            <w:hyperlink r:id="rId5">
              <w:r>
                <w:rPr>
                  <w:rStyle w:val="InternetLink"/>
                  <w:rFonts w:ascii="Times New Roman;sans-serif" w:hAnsi="Times New Roman;sans-serif"/>
                  <w:b w:val="false"/>
                  <w:color w:val="000080"/>
                  <w:sz w:val="20"/>
                  <w:u w:val="single"/>
                </w:rPr>
                <w:t>4</w:t>
              </w:r>
            </w:hyperlink>
            <w:hyperlink r:id="rId6">
              <w:r>
                <w:rPr>
                  <w:rStyle w:val="InternetLink"/>
                  <w:rFonts w:ascii="Times New Roman;sans-serif" w:hAnsi="Times New Roman;sans-serif"/>
                  <w:b w:val="false"/>
                  <w:color w:val="000080"/>
                  <w:sz w:val="20"/>
                  <w:u w:val="single"/>
                </w:rPr>
                <w:t>, File No. 001-33278)</w:t>
              </w:r>
            </w:hyperlink>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80"/>
              </w:rPr>
              <w:instrText xml:space="preserve"> HYPERLINK "https://www.sec.gov/Archives/edgar/data/1377789/000137778924000049/avnw-20241007.htm" \l "i44fa7e10cba541f192a06d82431f33de_6293"</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A</w:t>
            </w:r>
            <w:r>
              <w:rPr>
                <w:rStyle w:val="InternetLink"/>
                <w:sz w:val="20"/>
                <w:u w:val="single"/>
                <w:b w:val="false"/>
                <w:rFonts w:ascii="Times New Roman;sans-serif" w:hAnsi="Times New Roman;sans-serif"/>
                <w:color w:val="000080"/>
              </w:rPr>
              <w:fldChar w:fldCharType="end"/>
            </w:r>
            <w:r>
              <w:fldChar w:fldCharType="begin"/>
            </w:r>
            <w:r>
              <w:rPr>
                <w:rStyle w:val="InternetLink"/>
                <w:sz w:val="20"/>
                <w:u w:val="single"/>
                <w:b w:val="false"/>
                <w:rFonts w:ascii="Times New Roman;sans-serif" w:hAnsi="Times New Roman;sans-serif"/>
                <w:color w:val="000080"/>
              </w:rPr>
              <w:instrText xml:space="preserve"> HYPERLINK "https://www.sec.gov/Archives/edgar/data/1377789/000137778924000049/avnw-20241007.htm" \l "i44fa7e10cba541f192a06d82431f33de_6293"</w:instrText>
            </w:r>
            <w:r>
              <w:rPr>
                <w:rStyle w:val="InternetLink"/>
                <w:sz w:val="20"/>
                <w:u w:val="single"/>
                <w:b w:val="false"/>
                <w:rFonts w:ascii="Times New Roman;sans-serif" w:hAnsi="Times New Roman;sans-serif"/>
                <w:color w:val="000080"/>
              </w:rPr>
              <w:fldChar w:fldCharType="separate"/>
            </w:r>
            <w:r>
              <w:rPr>
                <w:rStyle w:val="InternetLink"/>
                <w:rFonts w:ascii="Times New Roman;sans-serif" w:hAnsi="Times New Roman;sans-serif"/>
                <w:b w:val="false"/>
                <w:color w:val="000080"/>
                <w:sz w:val="20"/>
                <w:u w:val="single"/>
              </w:rPr>
              <w:t>viat Networks, Inc. Second Amended and Restated 2018 Incentive Plan (incorporated by reference to Annex A to the Proxy Statement on Schedule 14A filed with the SEC on October 7, 2024, File No. 001-33278).</w:t>
            </w:r>
            <w:r>
              <w:rPr>
                <w:rStyle w:val="InternetLink"/>
                <w:sz w:val="20"/>
                <w:u w:val="single"/>
                <w:b w:val="false"/>
                <w:rFonts w:ascii="Times New Roman;sans-serif" w:hAnsi="Times New Roman;sans-serif"/>
                <w:color w:val="000080"/>
              </w:rPr>
              <w:fldChar w:fldCharType="end"/>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q2avnwform10-qex311.htm">
              <w:r>
                <w:rPr>
                  <w:rStyle w:val="InternetLink"/>
                  <w:rFonts w:ascii="Times New Roman;sans-serif" w:hAnsi="Times New Roman;sans-serif"/>
                  <w:b w:val="false"/>
                  <w:color w:val="0000FF"/>
                  <w:sz w:val="20"/>
                  <w:u w:val="single"/>
                </w:rPr>
                <w:t>Rule 13a-14(a)/15d-14(a) Certification of President and Chief Executive Officer</w:t>
              </w:r>
            </w:hyperlink>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y25q2avnwform10-qex312.htm">
              <w:r>
                <w:rPr>
                  <w:rStyle w:val="InternetLink"/>
                  <w:rFonts w:ascii="Times New Roman;sans-serif" w:hAnsi="Times New Roman;sans-serif"/>
                  <w:b w:val="false"/>
                  <w:color w:val="0000FF"/>
                  <w:sz w:val="20"/>
                  <w:u w:val="single"/>
                </w:rPr>
                <w:t>Rule 13a-14(a)/15d-14(a) Certification of Chief Financial Officer</w:t>
              </w:r>
            </w:hyperlink>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y25q2avnwform10-qex321.htm">
              <w:r>
                <w:rPr>
                  <w:rStyle w:val="InternetLink"/>
                  <w:rFonts w:ascii="Times New Roman;sans-serif" w:hAnsi="Times New Roman;sans-serif"/>
                  <w:b w:val="false"/>
                  <w:color w:val="0000FF"/>
                  <w:sz w:val="20"/>
                  <w:u w:val="single"/>
                </w:rPr>
                <w:t>Section 1350 Certification of Chief Executive Officer and Chief Financial Officer</w:t>
              </w:r>
            </w:hyperlink>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schedules and exhibits to this agreement have been omitted in accordance with Item 601(a)(5) of Regulation S-K. A copy of any omitted schedule and/or exhibit will be furnished to the SEC on request.</w:t>
            </w:r>
          </w:p>
        </w:tc>
      </w:tr>
      <w:tr>
        <w:trPr/>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portions of this exhibit were redacted pursuant to Item 601(b)(10)(iv) of Regulation S-K.</w:t>
            </w:r>
          </w:p>
        </w:tc>
      </w:tr>
      <w:tr>
        <w:trPr/>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compensatory contract, arrangement or plan.</w:t>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2326" w:type="dxa"/>
        <w:jc w:val="right"/>
        <w:tblInd w:w="0" w:type="dxa"/>
        <w:tblLayout w:type="fixed"/>
        <w:tblCellMar>
          <w:top w:w="28" w:type="dxa"/>
          <w:left w:w="28" w:type="dxa"/>
          <w:bottom w:w="28" w:type="dxa"/>
          <w:right w:w="28" w:type="dxa"/>
        </w:tblCellMar>
      </w:tblPr>
      <w:tblGrid>
        <w:gridCol w:w="745"/>
        <w:gridCol w:w="655"/>
        <w:gridCol w:w="926"/>
      </w:tblGrid>
      <w:tr>
        <w:trPr/>
        <w:tc>
          <w:tcPr>
            <w:tcW w:w="74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 NETWORKS, INC.</w:t>
              <w:br/>
              <w:t>(Registrant)</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4, 2025 </w:t>
      </w:r>
    </w:p>
    <w:tbl>
      <w:tblPr>
        <w:tblW w:w="6585" w:type="dxa"/>
        <w:jc w:val="right"/>
        <w:tblInd w:w="0" w:type="dxa"/>
        <w:tblLayout w:type="fixed"/>
        <w:tblCellMar>
          <w:top w:w="28" w:type="dxa"/>
          <w:left w:w="28" w:type="dxa"/>
          <w:bottom w:w="28" w:type="dxa"/>
          <w:right w:w="28" w:type="dxa"/>
        </w:tblCellMar>
      </w:tblPr>
      <w:tblGrid>
        <w:gridCol w:w="151"/>
        <w:gridCol w:w="134"/>
        <w:gridCol w:w="135"/>
        <w:gridCol w:w="1806"/>
        <w:gridCol w:w="1806"/>
        <w:gridCol w:w="255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5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Connaway</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Connaway</w:t>
              <w:br/>
              <w:t>Senior Vice President and Chief Financial Officer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302(a)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Peter A. Smith,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fiscal quarter ended December 27, 2024, of Aviat Networks,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69"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209"/>
        <w:gridCol w:w="209"/>
        <w:gridCol w:w="211"/>
        <w:gridCol w:w="164"/>
        <w:gridCol w:w="164"/>
        <w:gridCol w:w="164"/>
        <w:gridCol w:w="935"/>
        <w:gridCol w:w="935"/>
        <w:gridCol w:w="133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4, 2025</w:t>
            </w:r>
          </w:p>
        </w:tc>
        <w:tc>
          <w:tcPr>
            <w:tcW w:w="433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A. Smith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SECTION 302(a)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before="0" w:after="0"/>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Connaway, certify that: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fiscal quarter ended December 27, 2024, of Aviat Networks,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7439"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210"/>
        <w:gridCol w:w="210"/>
        <w:gridCol w:w="210"/>
        <w:gridCol w:w="210"/>
        <w:gridCol w:w="210"/>
        <w:gridCol w:w="210"/>
        <w:gridCol w:w="1212"/>
        <w:gridCol w:w="1212"/>
        <w:gridCol w:w="17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4, 2025</w:t>
            </w:r>
          </w:p>
        </w:tc>
        <w:tc>
          <w:tcPr>
            <w:tcW w:w="54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Connaway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Connaway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60"/>
        <w:jc w:val="center"/>
        <w:rPr/>
      </w:pPr>
      <w:r>
        <w:rPr/>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OF CHIEF EXECUTIVE OFFICER AND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PRINCIPAL FINANCIAL OFFICER OF AVIAT NETWORKS,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PURSUANT TO TITLE 18 OF THE UNITED STATES CODE SECTION 1350,</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180" w:after="60"/>
        <w:jc w:val="center"/>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filing of the Quarterly Report on Form 10-Q of Aviat Networks, Inc. (“Aviat Networks”) for the fiscal quarter ended December 27, 2024, as filed with the Securities and Exchange Commission on the date hereof (the “Report”), we, Peter A. Smith, President and Chief Executive Officer of Aviat Networks, and Michael Connaway, Senior Vice President and Chief Financial Officer of Aviat Networks, hereby certify, pursuant to Section 906 of the Sarbanes-Oxley Act of 2002, 18 U.S.C. §1350, that:</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as applicable, of the Securities Exchange Act of 1934, as amended; and</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Aviat Networks as of the dates and for the periods expressed in the Report.</w:t>
      </w:r>
    </w:p>
    <w:p>
      <w:pPr>
        <w:pStyle w:val="TextBody"/>
        <w:bidi w:val="0"/>
        <w:spacing w:before="0" w:after="200"/>
        <w:jc w:val="left"/>
        <w:rPr/>
      </w:pPr>
      <w:r>
        <w:rPr/>
      </w:r>
    </w:p>
    <w:tbl>
      <w:tblPr>
        <w:tblW w:w="5681" w:type="dxa"/>
        <w:jc w:val="center"/>
        <w:tblInd w:w="0" w:type="dxa"/>
        <w:tblLayout w:type="fixed"/>
        <w:tblCellMar>
          <w:top w:w="28" w:type="dxa"/>
          <w:left w:w="28" w:type="dxa"/>
          <w:bottom w:w="28" w:type="dxa"/>
          <w:right w:w="28" w:type="dxa"/>
        </w:tblCellMar>
      </w:tblPr>
      <w:tblGrid>
        <w:gridCol w:w="367"/>
        <w:gridCol w:w="322"/>
        <w:gridCol w:w="322"/>
        <w:gridCol w:w="322"/>
        <w:gridCol w:w="322"/>
        <w:gridCol w:w="322"/>
        <w:gridCol w:w="1079"/>
        <w:gridCol w:w="1079"/>
        <w:gridCol w:w="1546"/>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19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4, 2025</w:t>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A. Smith</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Peter A. Smith</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and Chief Executive Officer</w:t>
            </w:r>
          </w:p>
        </w:tc>
      </w:tr>
    </w:tbl>
    <w:tbl>
      <w:tblPr>
        <w:tblW w:w="6612" w:type="dxa"/>
        <w:jc w:val="center"/>
        <w:tblInd w:w="0" w:type="dxa"/>
        <w:tblLayout w:type="fixed"/>
        <w:tblCellMar>
          <w:top w:w="28" w:type="dxa"/>
          <w:left w:w="28" w:type="dxa"/>
          <w:bottom w:w="28" w:type="dxa"/>
          <w:right w:w="28" w:type="dxa"/>
        </w:tblCellMar>
      </w:tblPr>
      <w:tblGrid>
        <w:gridCol w:w="367"/>
        <w:gridCol w:w="322"/>
        <w:gridCol w:w="322"/>
        <w:gridCol w:w="322"/>
        <w:gridCol w:w="322"/>
        <w:gridCol w:w="322"/>
        <w:gridCol w:w="1357"/>
        <w:gridCol w:w="1357"/>
        <w:gridCol w:w="1921"/>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19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4, 2025</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Connaway</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Michael Connaway</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and Chief Financial Officer</w:t>
            </w:r>
          </w:p>
        </w:tc>
      </w:tr>
    </w:tbl>
    <w:p>
      <w:pPr>
        <w:pStyle w:val="TextBody"/>
        <w:bidi w:val="0"/>
        <w:spacing w:before="80" w:after="283"/>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7789/000137778923000047/amendedrestatedcertificate.htm" TargetMode="External"/><Relationship Id="rId3" Type="http://schemas.openxmlformats.org/officeDocument/2006/relationships/hyperlink" Target="https://www.sec.gov/Archives/edgar/data/1377789/000137778923000020/amendedandrestatedbylaws08.htm" TargetMode="External"/><Relationship Id="rId4" Type="http://schemas.openxmlformats.org/officeDocument/2006/relationships/hyperlink" Target="https://www.sec.gov/Archives/edgar/data/1377789/000137778924000052/secondamendmenttocreditagr.htm" TargetMode="External"/><Relationship Id="rId5" Type="http://schemas.openxmlformats.org/officeDocument/2006/relationships/hyperlink" Target="https://www.sec.gov/Archives/edgar/data/1377789/000137778924000052/secondamendmenttocreditagr.htm" TargetMode="External"/><Relationship Id="rId6" Type="http://schemas.openxmlformats.org/officeDocument/2006/relationships/hyperlink" Target="https://www.sec.gov/Archives/edgar/data/1377789/000137778924000052/secondamendmenttocreditagr.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16869</Words>
  <Characters>93744</Characters>
  <CharactersWithSpaces>109029</CharactersWithSpaces>
  <Paragraphs>2752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