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33"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7"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 the fiscal year ended July 3, 2015</w:t>
      </w:r>
    </w:p>
    <w:p>
      <w:pPr>
        <w:spacing w:after="0" w:line="26" w:lineRule="exact"/>
        <w:rPr>
          <w:sz w:val="24"/>
          <w:szCs w:val="24"/>
          <w:color w:val="auto"/>
        </w:rPr>
      </w:pPr>
    </w:p>
    <w:p>
      <w:pPr>
        <w:ind w:left="5840"/>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4300" w:right="1740" w:hanging="4265"/>
        <w:spacing w:after="0" w:line="271"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001-33278</w:t>
      </w:r>
    </w:p>
    <w:p>
      <w:pPr>
        <w:spacing w:after="0" w:line="1" w:lineRule="exact"/>
        <w:rPr>
          <w:sz w:val="24"/>
          <w:szCs w:val="24"/>
          <w:color w:val="auto"/>
        </w:rPr>
      </w:pPr>
    </w:p>
    <w:p>
      <w:pPr>
        <w:ind w:left="4900"/>
        <w:spacing w:after="0"/>
        <w:rPr>
          <w:sz w:val="20"/>
          <w:szCs w:val="20"/>
          <w:color w:val="auto"/>
        </w:rPr>
      </w:pPr>
      <w:r>
        <w:rPr>
          <w:rFonts w:ascii="Arial" w:cs="Arial" w:eastAsia="Arial" w:hAnsi="Arial"/>
          <w:sz w:val="11"/>
          <w:szCs w:val="11"/>
          <w:b w:val="1"/>
          <w:bCs w:val="1"/>
          <w:color w:val="auto"/>
        </w:rPr>
        <w:t>______________________________</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AVIAT NETWORKS, INC.</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4900"/>
        <w:spacing w:after="0"/>
        <w:rPr>
          <w:sz w:val="20"/>
          <w:szCs w:val="20"/>
          <w:color w:val="auto"/>
        </w:rPr>
      </w:pPr>
      <w:r>
        <w:rPr>
          <w:rFonts w:ascii="Arial" w:cs="Arial" w:eastAsia="Arial" w:hAnsi="Arial"/>
          <w:sz w:val="11"/>
          <w:szCs w:val="11"/>
          <w:b w:val="1"/>
          <w:bCs w:val="1"/>
          <w:color w:val="auto"/>
        </w:rPr>
        <w:t>______________________________</w:t>
      </w:r>
    </w:p>
    <w:p>
      <w:pPr>
        <w:spacing w:after="0" w:line="157"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1900" w:type="dxa"/>
            <w:vAlign w:val="bottom"/>
          </w:tcPr>
          <w:p>
            <w:pPr>
              <w:spacing w:after="0"/>
              <w:rPr>
                <w:sz w:val="18"/>
                <w:szCs w:val="18"/>
                <w:color w:val="auto"/>
              </w:rPr>
            </w:pPr>
          </w:p>
        </w:tc>
        <w:tc>
          <w:tcPr>
            <w:tcW w:w="2320" w:type="dxa"/>
            <w:vAlign w:val="bottom"/>
            <w:gridSpan w:val="2"/>
          </w:tcPr>
          <w:p>
            <w:pPr>
              <w:jc w:val="center"/>
              <w:ind w:right="1090"/>
              <w:spacing w:after="0"/>
              <w:rPr>
                <w:sz w:val="20"/>
                <w:szCs w:val="20"/>
                <w:color w:val="auto"/>
              </w:rPr>
            </w:pPr>
            <w:r>
              <w:rPr>
                <w:rFonts w:ascii="Arial" w:cs="Arial" w:eastAsia="Arial" w:hAnsi="Arial"/>
                <w:sz w:val="16"/>
                <w:szCs w:val="16"/>
                <w:b w:val="1"/>
                <w:bCs w:val="1"/>
                <w:color w:val="auto"/>
                <w:w w:val="93"/>
              </w:rPr>
              <w:t>Delaware</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20-5961564</w:t>
            </w:r>
          </w:p>
        </w:tc>
      </w:tr>
      <w:tr>
        <w:trPr>
          <w:trHeight w:val="220"/>
        </w:trPr>
        <w:tc>
          <w:tcPr>
            <w:tcW w:w="4220" w:type="dxa"/>
            <w:vAlign w:val="bottom"/>
            <w:gridSpan w:val="3"/>
          </w:tcPr>
          <w:p>
            <w:pPr>
              <w:jc w:val="center"/>
              <w:ind w:left="645"/>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760" w:type="dxa"/>
            <w:vAlign w:val="bottom"/>
          </w:tcPr>
          <w:p>
            <w:pPr>
              <w:spacing w:after="0"/>
              <w:rPr>
                <w:sz w:val="19"/>
                <w:szCs w:val="19"/>
                <w:color w:val="auto"/>
              </w:rPr>
            </w:pPr>
          </w:p>
        </w:tc>
        <w:tc>
          <w:tcPr>
            <w:tcW w:w="2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32"/>
        </w:trPr>
        <w:tc>
          <w:tcPr>
            <w:tcW w:w="4220" w:type="dxa"/>
            <w:vAlign w:val="bottom"/>
            <w:gridSpan w:val="3"/>
          </w:tcPr>
          <w:p>
            <w:pPr>
              <w:jc w:val="center"/>
              <w:ind w:left="645"/>
              <w:spacing w:after="0"/>
              <w:rPr>
                <w:sz w:val="20"/>
                <w:szCs w:val="20"/>
                <w:color w:val="auto"/>
              </w:rPr>
            </w:pPr>
            <w:r>
              <w:rPr>
                <w:rFonts w:ascii="Arial" w:cs="Arial" w:eastAsia="Arial" w:hAnsi="Arial"/>
                <w:sz w:val="16"/>
                <w:szCs w:val="16"/>
                <w:b w:val="1"/>
                <w:bCs w:val="1"/>
                <w:color w:val="auto"/>
                <w:w w:val="94"/>
              </w:rPr>
              <w:t>5200 Great America Parkway</w:t>
            </w:r>
          </w:p>
        </w:tc>
        <w:tc>
          <w:tcPr>
            <w:tcW w:w="2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0"/>
        </w:trPr>
        <w:tc>
          <w:tcPr>
            <w:tcW w:w="4220" w:type="dxa"/>
            <w:vAlign w:val="bottom"/>
            <w:gridSpan w:val="3"/>
          </w:tcPr>
          <w:p>
            <w:pPr>
              <w:jc w:val="center"/>
              <w:ind w:left="645"/>
              <w:spacing w:after="0"/>
              <w:rPr>
                <w:sz w:val="20"/>
                <w:szCs w:val="20"/>
                <w:color w:val="auto"/>
              </w:rPr>
            </w:pPr>
            <w:r>
              <w:rPr>
                <w:rFonts w:ascii="Arial" w:cs="Arial" w:eastAsia="Arial" w:hAnsi="Arial"/>
                <w:sz w:val="16"/>
                <w:szCs w:val="16"/>
                <w:b w:val="1"/>
                <w:bCs w:val="1"/>
                <w:color w:val="auto"/>
                <w:w w:val="94"/>
              </w:rPr>
              <w:t>Santa Clara, California</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1119"/>
              <w:spacing w:after="0"/>
              <w:rPr>
                <w:sz w:val="20"/>
                <w:szCs w:val="20"/>
                <w:color w:val="auto"/>
              </w:rPr>
            </w:pPr>
            <w:r>
              <w:rPr>
                <w:rFonts w:ascii="Arial" w:cs="Arial" w:eastAsia="Arial" w:hAnsi="Arial"/>
                <w:sz w:val="16"/>
                <w:szCs w:val="16"/>
                <w:b w:val="1"/>
                <w:bCs w:val="1"/>
                <w:color w:val="auto"/>
                <w:w w:val="89"/>
              </w:rPr>
              <w:t>95054</w:t>
            </w:r>
          </w:p>
        </w:tc>
      </w:tr>
      <w:tr>
        <w:trPr>
          <w:trHeight w:val="217"/>
        </w:trPr>
        <w:tc>
          <w:tcPr>
            <w:tcW w:w="4220" w:type="dxa"/>
            <w:vAlign w:val="bottom"/>
            <w:gridSpan w:val="3"/>
          </w:tcPr>
          <w:p>
            <w:pPr>
              <w:jc w:val="center"/>
              <w:ind w:left="645"/>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gridSpan w:val="2"/>
          </w:tcPr>
          <w:p>
            <w:pPr>
              <w:jc w:val="center"/>
              <w:ind w:right="679"/>
              <w:spacing w:after="0"/>
              <w:rPr>
                <w:sz w:val="20"/>
                <w:szCs w:val="20"/>
                <w:color w:val="auto"/>
              </w:rPr>
            </w:pPr>
            <w:r>
              <w:rPr>
                <w:rFonts w:ascii="Arial" w:cs="Arial" w:eastAsia="Arial" w:hAnsi="Arial"/>
                <w:sz w:val="13"/>
                <w:szCs w:val="13"/>
                <w:b w:val="1"/>
                <w:bCs w:val="1"/>
                <w:color w:val="auto"/>
                <w:w w:val="93"/>
              </w:rPr>
              <w:t>(Zip Code)</w:t>
            </w:r>
          </w:p>
        </w:tc>
      </w:tr>
      <w:tr>
        <w:trPr>
          <w:trHeight w:val="216"/>
        </w:trPr>
        <w:tc>
          <w:tcPr>
            <w:tcW w:w="1900" w:type="dxa"/>
            <w:vAlign w:val="bottom"/>
          </w:tcPr>
          <w:p>
            <w:pPr>
              <w:spacing w:after="0"/>
              <w:rPr>
                <w:sz w:val="18"/>
                <w:szCs w:val="18"/>
                <w:color w:val="auto"/>
              </w:rPr>
            </w:pPr>
          </w:p>
        </w:tc>
        <w:tc>
          <w:tcPr>
            <w:tcW w:w="6280" w:type="dxa"/>
            <w:vAlign w:val="bottom"/>
            <w:gridSpan w:val="5"/>
          </w:tcPr>
          <w:p>
            <w:pPr>
              <w:jc w:val="center"/>
              <w:ind w:left="577"/>
              <w:spacing w:after="0"/>
              <w:rPr>
                <w:sz w:val="20"/>
                <w:szCs w:val="20"/>
                <w:color w:val="auto"/>
              </w:rPr>
            </w:pPr>
            <w:r>
              <w:rPr>
                <w:rFonts w:ascii="Arial" w:cs="Arial" w:eastAsia="Arial" w:hAnsi="Arial"/>
                <w:sz w:val="18"/>
                <w:szCs w:val="18"/>
                <w:b w:val="1"/>
                <w:bCs w:val="1"/>
                <w:color w:val="auto"/>
                <w:w w:val="89"/>
              </w:rPr>
              <w:t>Registrant’s telephone number, including area code: (408) 567-7000</w:t>
            </w:r>
          </w:p>
        </w:tc>
        <w:tc>
          <w:tcPr>
            <w:tcW w:w="1620" w:type="dxa"/>
            <w:vAlign w:val="bottom"/>
          </w:tcPr>
          <w:p>
            <w:pPr>
              <w:spacing w:after="0"/>
              <w:rPr>
                <w:sz w:val="18"/>
                <w:szCs w:val="18"/>
                <w:color w:val="auto"/>
              </w:rPr>
            </w:pPr>
          </w:p>
        </w:tc>
      </w:tr>
      <w:tr>
        <w:trPr>
          <w:trHeight w:val="234"/>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97"/>
        </w:trPr>
        <w:tc>
          <w:tcPr>
            <w:tcW w:w="1900" w:type="dxa"/>
            <w:vAlign w:val="bottom"/>
          </w:tcPr>
          <w:p>
            <w:pPr>
              <w:spacing w:after="0"/>
              <w:rPr>
                <w:sz w:val="24"/>
                <w:szCs w:val="24"/>
                <w:color w:val="auto"/>
              </w:rPr>
            </w:pPr>
          </w:p>
        </w:tc>
        <w:tc>
          <w:tcPr>
            <w:tcW w:w="2320" w:type="dxa"/>
            <w:vAlign w:val="bottom"/>
            <w:gridSpan w:val="2"/>
          </w:tcPr>
          <w:p>
            <w:pPr>
              <w:jc w:val="center"/>
              <w:ind w:right="1090"/>
              <w:spacing w:after="0"/>
              <w:rPr>
                <w:sz w:val="20"/>
                <w:szCs w:val="20"/>
                <w:color w:val="auto"/>
              </w:rPr>
            </w:pPr>
            <w:r>
              <w:rPr>
                <w:rFonts w:ascii="Arial" w:cs="Arial" w:eastAsia="Arial" w:hAnsi="Arial"/>
                <w:sz w:val="14"/>
                <w:szCs w:val="14"/>
                <w:b w:val="1"/>
                <w:bCs w:val="1"/>
                <w:color w:val="auto"/>
                <w:w w:val="91"/>
              </w:rPr>
              <w:t>Title of Each Class</w:t>
            </w:r>
          </w:p>
        </w:tc>
        <w:tc>
          <w:tcPr>
            <w:tcW w:w="276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177"/>
        </w:trPr>
        <w:tc>
          <w:tcPr>
            <w:tcW w:w="4220" w:type="dxa"/>
            <w:vAlign w:val="bottom"/>
            <w:gridSpan w:val="3"/>
          </w:tcPr>
          <w:p>
            <w:pPr>
              <w:jc w:val="center"/>
              <w:ind w:left="645"/>
              <w:spacing w:after="0"/>
              <w:rPr>
                <w:sz w:val="20"/>
                <w:szCs w:val="20"/>
                <w:color w:val="auto"/>
              </w:rPr>
            </w:pPr>
            <w:r>
              <w:rPr>
                <w:rFonts w:ascii="Arial" w:cs="Arial" w:eastAsia="Arial" w:hAnsi="Arial"/>
                <w:sz w:val="14"/>
                <w:szCs w:val="14"/>
                <w:color w:val="auto"/>
                <w:w w:val="91"/>
              </w:rPr>
              <w:t>Common Stock, par value $0.01 per share</w:t>
            </w:r>
          </w:p>
        </w:tc>
        <w:tc>
          <w:tcPr>
            <w:tcW w:w="276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color w:val="auto"/>
                <w:w w:val="98"/>
              </w:rPr>
              <w:t>NASDAQ Stock Market LLC</w:t>
            </w:r>
          </w:p>
        </w:tc>
      </w:tr>
      <w:tr>
        <w:trPr>
          <w:trHeight w:val="182"/>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246"/>
        </w:trPr>
        <w:tc>
          <w:tcPr>
            <w:tcW w:w="1900" w:type="dxa"/>
            <w:vAlign w:val="bottom"/>
          </w:tcPr>
          <w:p>
            <w:pPr>
              <w:spacing w:after="0"/>
              <w:rPr>
                <w:sz w:val="21"/>
                <w:szCs w:val="21"/>
                <w:color w:val="auto"/>
              </w:rPr>
            </w:pPr>
          </w:p>
        </w:tc>
        <w:tc>
          <w:tcPr>
            <w:tcW w:w="6280" w:type="dxa"/>
            <w:vAlign w:val="bottom"/>
            <w:gridSpan w:val="5"/>
          </w:tcPr>
          <w:p>
            <w:pPr>
              <w:jc w:val="center"/>
              <w:ind w:left="597"/>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620" w:type="dxa"/>
            <w:vAlign w:val="bottom"/>
          </w:tcPr>
          <w:p>
            <w:pPr>
              <w:spacing w:after="0"/>
              <w:rPr>
                <w:sz w:val="21"/>
                <w:szCs w:val="21"/>
                <w:color w:val="auto"/>
              </w:rPr>
            </w:pPr>
          </w:p>
        </w:tc>
      </w:tr>
      <w:tr>
        <w:trPr>
          <w:trHeight w:val="116"/>
        </w:trPr>
        <w:tc>
          <w:tcPr>
            <w:tcW w:w="1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760" w:type="dxa"/>
            <w:vAlign w:val="bottom"/>
          </w:tcPr>
          <w:p>
            <w:pPr>
              <w:jc w:val="center"/>
              <w:ind w:right="415"/>
              <w:spacing w:after="0"/>
              <w:rPr>
                <w:sz w:val="20"/>
                <w:szCs w:val="20"/>
                <w:color w:val="auto"/>
              </w:rPr>
            </w:pPr>
            <w:r>
              <w:rPr>
                <w:rFonts w:ascii="Arial" w:cs="Arial" w:eastAsia="Arial" w:hAnsi="Arial"/>
                <w:sz w:val="9"/>
                <w:szCs w:val="9"/>
                <w:b w:val="1"/>
                <w:bCs w:val="1"/>
                <w:color w:val="auto"/>
                <w:w w:val="89"/>
              </w:rPr>
              <w:t>_____________________________________________</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25"/>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20" w:type="dxa"/>
            <w:vAlign w:val="bottom"/>
          </w:tcPr>
          <w:p>
            <w:pPr>
              <w:spacing w:after="0"/>
              <w:rPr>
                <w:sz w:val="20"/>
                <w:szCs w:val="20"/>
                <w:color w:val="auto"/>
              </w:rPr>
            </w:pPr>
            <w:r>
              <w:rPr>
                <w:rFonts w:ascii="Arial" w:cs="Arial" w:eastAsia="Arial" w:hAnsi="Arial"/>
                <w:sz w:val="16"/>
                <w:szCs w:val="16"/>
                <w:color w:val="auto"/>
                <w:w w:val="97"/>
              </w:rPr>
              <w:t>Yes o</w:t>
            </w:r>
          </w:p>
        </w:tc>
        <w:tc>
          <w:tcPr>
            <w:tcW w:w="1620" w:type="dxa"/>
            <w:vAlign w:val="bottom"/>
          </w:tcPr>
          <w:p>
            <w:pPr>
              <w:ind w:left="140"/>
              <w:spacing w:after="0"/>
              <w:rPr>
                <w:sz w:val="20"/>
                <w:szCs w:val="20"/>
                <w:color w:val="auto"/>
              </w:rPr>
            </w:pPr>
            <w:r>
              <w:rPr>
                <w:rFonts w:ascii="Arial" w:cs="Arial" w:eastAsia="Arial" w:hAnsi="Arial"/>
                <w:sz w:val="16"/>
                <w:szCs w:val="16"/>
                <w:color w:val="auto"/>
              </w:rPr>
              <w:t>No x</w:t>
            </w:r>
          </w:p>
        </w:tc>
      </w:tr>
      <w:tr>
        <w:trPr>
          <w:trHeight w:val="216"/>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Arial" w:cs="Arial" w:eastAsia="Arial" w:hAnsi="Arial"/>
                <w:sz w:val="16"/>
                <w:szCs w:val="16"/>
                <w:color w:val="auto"/>
                <w:w w:val="94"/>
              </w:rPr>
              <w:t>Yes</w:t>
            </w:r>
          </w:p>
        </w:tc>
        <w:tc>
          <w:tcPr>
            <w:tcW w:w="1620" w:type="dxa"/>
            <w:vAlign w:val="bottom"/>
          </w:tcPr>
          <w:p>
            <w:pPr>
              <w:ind w:left="40"/>
              <w:spacing w:after="0"/>
              <w:rPr>
                <w:sz w:val="20"/>
                <w:szCs w:val="20"/>
                <w:color w:val="auto"/>
              </w:rPr>
            </w:pPr>
            <w:r>
              <w:rPr>
                <w:rFonts w:ascii="Arial" w:cs="Arial" w:eastAsia="Arial" w:hAnsi="Arial"/>
                <w:sz w:val="16"/>
                <w:szCs w:val="16"/>
                <w:color w:val="auto"/>
              </w:rPr>
              <w:t>o  No x</w:t>
            </w:r>
          </w:p>
        </w:tc>
      </w:tr>
    </w:tbl>
    <w:p>
      <w:pPr>
        <w:spacing w:after="0" w:line="10" w:lineRule="exact"/>
        <w:rPr>
          <w:sz w:val="24"/>
          <w:szCs w:val="24"/>
          <w:color w:val="auto"/>
        </w:rPr>
      </w:pPr>
    </w:p>
    <w:p>
      <w:pPr>
        <w:ind w:right="520" w:firstLine="324"/>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 w:lineRule="exact"/>
        <w:rPr>
          <w:sz w:val="24"/>
          <w:szCs w:val="24"/>
          <w:color w:val="auto"/>
        </w:rPr>
      </w:pPr>
    </w:p>
    <w:p>
      <w:pPr>
        <w:ind w:right="380" w:firstLine="324"/>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ind w:right="60" w:firstLine="324"/>
        <w:spacing w:after="0" w:line="301"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statements incorporated by reference in Part III of this Form 10-K or any amendment to this Form 10-K. x</w:t>
      </w:r>
    </w:p>
    <w:p>
      <w:pPr>
        <w:spacing w:after="0" w:line="1"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048"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620" w:space="720"/>
            <w:col w:w="4180" w:space="720"/>
            <w:col w:w="3040" w:space="720"/>
            <w:col w:w="400"/>
          </w:cols>
          <w:pgMar w:left="240" w:top="1048"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1620" w:space="720"/>
            <w:col w:w="4180" w:space="720"/>
            <w:col w:w="3040" w:space="720"/>
            <w:col w:w="400"/>
          </w:cols>
          <w:pgMar w:left="240" w:top="1048" w:right="25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 x</w:t>
      </w:r>
    </w:p>
    <w:p>
      <w:pPr>
        <w:spacing w:after="0" w:line="32" w:lineRule="exact"/>
        <w:rPr>
          <w:sz w:val="24"/>
          <w:szCs w:val="24"/>
          <w:color w:val="auto"/>
        </w:rPr>
      </w:pPr>
    </w:p>
    <w:p>
      <w:pPr>
        <w:sectPr>
          <w:pgSz w:w="11900" w:h="16838" w:orient="portrait"/>
          <w:cols w:equalWidth="0" w:num="3">
            <w:col w:w="7700" w:space="160"/>
            <w:col w:w="380" w:space="180"/>
            <w:col w:w="2980"/>
          </w:cols>
          <w:pgMar w:left="240" w:top="1048" w:right="259" w:bottom="1440" w:gutter="0" w:footer="0" w:header="0"/>
          <w:type w:val="continuous"/>
        </w:sectPr>
      </w:pPr>
    </w:p>
    <w:p>
      <w:pPr>
        <w:ind w:right="120" w:firstLine="324"/>
        <w:spacing w:after="0" w:line="255" w:lineRule="auto"/>
        <w:rPr>
          <w:sz w:val="20"/>
          <w:szCs w:val="20"/>
          <w:color w:val="auto"/>
        </w:rPr>
      </w:pPr>
      <w:r>
        <w:rPr>
          <w:rFonts w:ascii="Arial" w:cs="Arial" w:eastAsia="Arial" w:hAnsi="Arial"/>
          <w:sz w:val="16"/>
          <w:szCs w:val="16"/>
          <w:color w:val="auto"/>
        </w:rPr>
        <w:t>As of December 26, 2014 (the last business day of the registrant’s most recently completed second fiscal quarter), the aggregate market value of the registrant’s common stock held by non-affiliates was approximately $62.8 million based upon the closing price for shares of the registrant’s common stock as reported by the NASDAQ Global Select Market on that date. For purposes of this calculation, the registrant has assumed that its directors, executive officers and holders of 5% or more of the outstanding common stock are affiliates.</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outstanding of the registrant’s common stock as of September 17, 2015 was 62,498,401 shares.</w:t>
      </w:r>
    </w:p>
    <w:p>
      <w:pPr>
        <w:spacing w:after="0" w:line="13" w:lineRule="exact"/>
        <w:rPr>
          <w:sz w:val="24"/>
          <w:szCs w:val="24"/>
          <w:color w:val="auto"/>
        </w:rPr>
      </w:pPr>
    </w:p>
    <w:p>
      <w:pPr>
        <w:ind w:left="4820"/>
        <w:spacing w:after="0"/>
        <w:rPr>
          <w:sz w:val="20"/>
          <w:szCs w:val="20"/>
          <w:color w:val="auto"/>
        </w:rPr>
      </w:pPr>
      <w:r>
        <w:rPr>
          <w:rFonts w:ascii="Arial" w:cs="Arial" w:eastAsia="Arial" w:hAnsi="Arial"/>
          <w:sz w:val="11"/>
          <w:szCs w:val="11"/>
          <w:b w:val="1"/>
          <w:bCs w:val="1"/>
          <w:color w:val="auto"/>
        </w:rPr>
        <w:t>_________________________________</w:t>
      </w:r>
    </w:p>
    <w:p>
      <w:pPr>
        <w:spacing w:after="0" w:line="37"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Portions of the registrant’s definitive Proxy Statement for its Annual Meeting of Stockholders, which will be filed with the Securities and Exchange Commission within</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120 days after the end of the registrant’s fiscal year ended July 3, 2015,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48"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tcPr>
          <w:p>
            <w:pPr>
              <w:jc w:val="center"/>
              <w:ind w:right="1150"/>
              <w:spacing w:after="0"/>
              <w:rPr>
                <w:sz w:val="20"/>
                <w:szCs w:val="20"/>
                <w:color w:val="auto"/>
              </w:rPr>
            </w:pPr>
            <w:r>
              <w:rPr>
                <w:rFonts w:ascii="Arial" w:cs="Arial" w:eastAsia="Arial" w:hAnsi="Arial"/>
                <w:sz w:val="18"/>
                <w:szCs w:val="18"/>
                <w:b w:val="1"/>
                <w:bCs w:val="1"/>
                <w:color w:val="auto"/>
              </w:rPr>
              <w:t>AVIAT NETWORKS,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1"/>
              </w:rPr>
              <w:t>For the Fiscal Year Ended July 3, 2015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tcPr>
          <w:p>
            <w:pPr>
              <w:jc w:val="center"/>
              <w:ind w:right="1150"/>
              <w:spacing w:after="0"/>
              <w:rPr>
                <w:sz w:val="20"/>
                <w:szCs w:val="20"/>
                <w:color w:val="auto"/>
              </w:rPr>
            </w:pPr>
            <w:r>
              <w:rPr>
                <w:rFonts w:ascii="Arial" w:cs="Arial" w:eastAsia="Arial" w:hAnsi="Arial"/>
                <w:sz w:val="18"/>
                <w:szCs w:val="18"/>
                <w:b w:val="1"/>
                <w:bCs w:val="1"/>
                <w:color w:val="auto"/>
                <w:w w:val="89"/>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1460" w:type="dxa"/>
            <w:vAlign w:val="bottom"/>
            <w:gridSpan w:val="4"/>
          </w:tcPr>
          <w:p>
            <w:pPr>
              <w:ind w:left="4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w:t>
              </w:r>
            </w:hyperlink>
          </w:p>
        </w:tc>
        <w:tc>
          <w:tcPr>
            <w:tcW w:w="976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976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1A.</w:t>
            </w:r>
          </w:p>
        </w:tc>
        <w:tc>
          <w:tcPr>
            <w:tcW w:w="9760" w:type="dxa"/>
            <w:vAlign w:val="bottom"/>
          </w:tcPr>
          <w:p>
            <w:pPr>
              <w:ind w:left="180"/>
              <w:spacing w:after="0"/>
              <w:rPr>
                <w:rFonts w:ascii="Arial" w:cs="Arial" w:eastAsia="Arial" w:hAnsi="Arial"/>
                <w:sz w:val="18"/>
                <w:szCs w:val="18"/>
                <w:color w:val="auto"/>
              </w:rPr>
            </w:pPr>
            <w:hyperlink w:anchor="page14">
              <w:r>
                <w:rPr>
                  <w:rFonts w:ascii="Arial" w:cs="Arial" w:eastAsia="Arial" w:hAnsi="Arial"/>
                  <w:sz w:val="18"/>
                  <w:szCs w:val="18"/>
                  <w:color w:val="auto"/>
                </w:rPr>
                <w:t>Risk Factors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14">
              <w:r>
                <w:rPr>
                  <w:rFonts w:ascii="Arial" w:cs="Arial" w:eastAsia="Arial" w:hAnsi="Arial"/>
                  <w:sz w:val="18"/>
                  <w:szCs w:val="18"/>
                  <w:color w:val="auto"/>
                  <w:w w:val="79"/>
                </w:rPr>
                <w:t>15</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1B.</w:t>
            </w:r>
          </w:p>
        </w:tc>
        <w:tc>
          <w:tcPr>
            <w:tcW w:w="9760" w:type="dxa"/>
            <w:vAlign w:val="bottom"/>
          </w:tcPr>
          <w:p>
            <w:pPr>
              <w:ind w:left="180"/>
              <w:spacing w:after="0"/>
              <w:rPr>
                <w:rFonts w:ascii="Arial" w:cs="Arial" w:eastAsia="Arial" w:hAnsi="Arial"/>
                <w:sz w:val="18"/>
                <w:szCs w:val="18"/>
                <w:color w:val="auto"/>
              </w:rPr>
            </w:pPr>
            <w:hyperlink w:anchor="page26">
              <w:r>
                <w:rPr>
                  <w:rFonts w:ascii="Arial" w:cs="Arial" w:eastAsia="Arial" w:hAnsi="Arial"/>
                  <w:sz w:val="18"/>
                  <w:szCs w:val="18"/>
                  <w:color w:val="auto"/>
                </w:rPr>
                <w:t>Unresolved Staff Comments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6">
              <w:r>
                <w:rPr>
                  <w:rFonts w:ascii="Arial" w:cs="Arial" w:eastAsia="Arial" w:hAnsi="Arial"/>
                  <w:sz w:val="18"/>
                  <w:szCs w:val="18"/>
                  <w:color w:val="auto"/>
                  <w:w w:val="79"/>
                </w:rPr>
                <w:t>26</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9760" w:type="dxa"/>
            <w:vAlign w:val="bottom"/>
          </w:tcPr>
          <w:p>
            <w:pPr>
              <w:ind w:left="180"/>
              <w:spacing w:after="0"/>
              <w:rPr>
                <w:rFonts w:ascii="Arial" w:cs="Arial" w:eastAsia="Arial" w:hAnsi="Arial"/>
                <w:sz w:val="18"/>
                <w:szCs w:val="18"/>
                <w:color w:val="auto"/>
              </w:rPr>
            </w:pPr>
            <w:hyperlink w:anchor="page26">
              <w:r>
                <w:rPr>
                  <w:rFonts w:ascii="Arial" w:cs="Arial" w:eastAsia="Arial" w:hAnsi="Arial"/>
                  <w:sz w:val="18"/>
                  <w:szCs w:val="18"/>
                  <w:color w:val="auto"/>
                </w:rPr>
                <w:t>Properties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6">
              <w:r>
                <w:rPr>
                  <w:rFonts w:ascii="Arial" w:cs="Arial" w:eastAsia="Arial" w:hAnsi="Arial"/>
                  <w:sz w:val="18"/>
                  <w:szCs w:val="18"/>
                  <w:color w:val="auto"/>
                  <w:w w:val="79"/>
                </w:rPr>
                <w:t>26</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9760" w:type="dxa"/>
            <w:vAlign w:val="bottom"/>
          </w:tcPr>
          <w:p>
            <w:pPr>
              <w:ind w:left="180"/>
              <w:spacing w:after="0"/>
              <w:rPr>
                <w:rFonts w:ascii="Arial" w:cs="Arial" w:eastAsia="Arial" w:hAnsi="Arial"/>
                <w:sz w:val="18"/>
                <w:szCs w:val="18"/>
                <w:color w:val="auto"/>
              </w:rPr>
            </w:pPr>
            <w:hyperlink w:anchor="page26">
              <w:r>
                <w:rPr>
                  <w:rFonts w:ascii="Arial" w:cs="Arial" w:eastAsia="Arial" w:hAnsi="Arial"/>
                  <w:sz w:val="18"/>
                  <w:szCs w:val="18"/>
                  <w:color w:val="auto"/>
                </w:rPr>
                <w:t>Legal Proceedings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6">
              <w:r>
                <w:rPr>
                  <w:rFonts w:ascii="Arial" w:cs="Arial" w:eastAsia="Arial" w:hAnsi="Arial"/>
                  <w:sz w:val="18"/>
                  <w:szCs w:val="18"/>
                  <w:color w:val="auto"/>
                  <w:w w:val="79"/>
                </w:rPr>
                <w:t>27</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9760" w:type="dxa"/>
            <w:vAlign w:val="bottom"/>
          </w:tcPr>
          <w:p>
            <w:pPr>
              <w:ind w:left="180"/>
              <w:spacing w:after="0"/>
              <w:rPr>
                <w:rFonts w:ascii="Arial" w:cs="Arial" w:eastAsia="Arial" w:hAnsi="Arial"/>
                <w:sz w:val="18"/>
                <w:szCs w:val="18"/>
                <w:color w:val="auto"/>
              </w:rPr>
            </w:pPr>
            <w:hyperlink w:anchor="page27">
              <w:r>
                <w:rPr>
                  <w:rFonts w:ascii="Arial" w:cs="Arial" w:eastAsia="Arial" w:hAnsi="Arial"/>
                  <w:sz w:val="18"/>
                  <w:szCs w:val="18"/>
                  <w:color w:val="auto"/>
                </w:rPr>
                <w:t>Mine Safety Disclosures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7">
              <w:r>
                <w:rPr>
                  <w:rFonts w:ascii="Arial" w:cs="Arial" w:eastAsia="Arial" w:hAnsi="Arial"/>
                  <w:sz w:val="18"/>
                  <w:szCs w:val="18"/>
                  <w:color w:val="auto"/>
                  <w:w w:val="79"/>
                </w:rPr>
                <w:t>27</w:t>
              </w:r>
            </w:hyperlink>
          </w:p>
        </w:tc>
      </w:tr>
      <w:tr>
        <w:trPr>
          <w:trHeight w:val="534"/>
        </w:trPr>
        <w:tc>
          <w:tcPr>
            <w:tcW w:w="1460" w:type="dxa"/>
            <w:vAlign w:val="bottom"/>
            <w:gridSpan w:val="4"/>
          </w:tcPr>
          <w:p>
            <w:pPr>
              <w:ind w:left="40"/>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PART II</w:t>
              </w:r>
            </w:hyperlink>
          </w:p>
        </w:tc>
        <w:tc>
          <w:tcPr>
            <w:tcW w:w="97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7">
              <w:r>
                <w:rPr>
                  <w:rFonts w:ascii="Arial" w:cs="Arial" w:eastAsia="Arial" w:hAnsi="Arial"/>
                  <w:sz w:val="18"/>
                  <w:szCs w:val="18"/>
                  <w:color w:val="auto"/>
                  <w:w w:val="79"/>
                </w:rPr>
                <w:t>28</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5.</w:t>
            </w:r>
          </w:p>
        </w:tc>
        <w:tc>
          <w:tcPr>
            <w:tcW w:w="9760" w:type="dxa"/>
            <w:vAlign w:val="bottom"/>
          </w:tcPr>
          <w:p>
            <w:pPr>
              <w:ind w:left="180"/>
              <w:spacing w:after="0"/>
              <w:rPr>
                <w:rFonts w:ascii="Arial" w:cs="Arial" w:eastAsia="Arial" w:hAnsi="Arial"/>
                <w:sz w:val="18"/>
                <w:szCs w:val="18"/>
                <w:color w:val="auto"/>
              </w:rPr>
            </w:pPr>
            <w:hyperlink w:anchor="page28">
              <w:r>
                <w:rPr>
                  <w:rFonts w:ascii="Arial" w:cs="Arial" w:eastAsia="Arial" w:hAnsi="Arial"/>
                  <w:sz w:val="18"/>
                  <w:szCs w:val="18"/>
                  <w:color w:val="auto"/>
                </w:rPr>
                <w:t>Market for Registrant’s Common Equity, Related Stockholder Matters and Issuer Purchases of Equity Securities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8">
              <w:r>
                <w:rPr>
                  <w:rFonts w:ascii="Arial" w:cs="Arial" w:eastAsia="Arial" w:hAnsi="Arial"/>
                  <w:sz w:val="18"/>
                  <w:szCs w:val="18"/>
                  <w:color w:val="auto"/>
                  <w:w w:val="79"/>
                </w:rPr>
                <w:t>28</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9760" w:type="dxa"/>
            <w:vAlign w:val="bottom"/>
          </w:tcPr>
          <w:p>
            <w:pPr>
              <w:ind w:left="180"/>
              <w:spacing w:after="0"/>
              <w:rPr>
                <w:rFonts w:ascii="Arial" w:cs="Arial" w:eastAsia="Arial" w:hAnsi="Arial"/>
                <w:sz w:val="18"/>
                <w:szCs w:val="18"/>
                <w:color w:val="auto"/>
              </w:rPr>
            </w:pPr>
            <w:hyperlink w:anchor="page29">
              <w:r>
                <w:rPr>
                  <w:rFonts w:ascii="Arial" w:cs="Arial" w:eastAsia="Arial" w:hAnsi="Arial"/>
                  <w:sz w:val="18"/>
                  <w:szCs w:val="18"/>
                  <w:color w:val="auto"/>
                </w:rPr>
                <w:t>Selected Financial Data</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9">
              <w:r>
                <w:rPr>
                  <w:rFonts w:ascii="Arial" w:cs="Arial" w:eastAsia="Arial" w:hAnsi="Arial"/>
                  <w:sz w:val="18"/>
                  <w:szCs w:val="18"/>
                  <w:color w:val="auto"/>
                  <w:w w:val="79"/>
                </w:rPr>
                <w:t>30</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7.</w:t>
            </w:r>
          </w:p>
        </w:tc>
        <w:tc>
          <w:tcPr>
            <w:tcW w:w="9760" w:type="dxa"/>
            <w:vAlign w:val="bottom"/>
          </w:tcPr>
          <w:p>
            <w:pPr>
              <w:ind w:left="180"/>
              <w:spacing w:after="0"/>
              <w:rPr>
                <w:rFonts w:ascii="Arial" w:cs="Arial" w:eastAsia="Arial" w:hAnsi="Arial"/>
                <w:sz w:val="18"/>
                <w:szCs w:val="18"/>
                <w:color w:val="auto"/>
              </w:rPr>
            </w:pPr>
            <w:hyperlink w:anchor="page31">
              <w:r>
                <w:rPr>
                  <w:rFonts w:ascii="Arial" w:cs="Arial" w:eastAsia="Arial" w:hAnsi="Arial"/>
                  <w:sz w:val="18"/>
                  <w:szCs w:val="18"/>
                  <w:color w:val="auto"/>
                </w:rPr>
                <w:t>Management’s Discussion and Analysis of Financial Condition and Results of Operations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1">
              <w:r>
                <w:rPr>
                  <w:rFonts w:ascii="Arial" w:cs="Arial" w:eastAsia="Arial" w:hAnsi="Arial"/>
                  <w:sz w:val="18"/>
                  <w:szCs w:val="18"/>
                  <w:color w:val="auto"/>
                  <w:w w:val="79"/>
                </w:rPr>
                <w:t>32</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7A.</w:t>
            </w:r>
          </w:p>
        </w:tc>
        <w:tc>
          <w:tcPr>
            <w:tcW w:w="9760" w:type="dxa"/>
            <w:vAlign w:val="bottom"/>
          </w:tcPr>
          <w:p>
            <w:pPr>
              <w:ind w:left="180"/>
              <w:spacing w:after="0"/>
              <w:rPr>
                <w:rFonts w:ascii="Arial" w:cs="Arial" w:eastAsia="Arial" w:hAnsi="Arial"/>
                <w:sz w:val="18"/>
                <w:szCs w:val="18"/>
                <w:color w:val="auto"/>
              </w:rPr>
            </w:pPr>
            <w:hyperlink w:anchor="page45">
              <w:r>
                <w:rPr>
                  <w:rFonts w:ascii="Arial" w:cs="Arial" w:eastAsia="Arial" w:hAnsi="Arial"/>
                  <w:sz w:val="18"/>
                  <w:szCs w:val="18"/>
                  <w:color w:val="auto"/>
                </w:rPr>
                <w:t>Quantitative and Qualitative Disclosures About Market Risk</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45">
              <w:r>
                <w:rPr>
                  <w:rFonts w:ascii="Arial" w:cs="Arial" w:eastAsia="Arial" w:hAnsi="Arial"/>
                  <w:sz w:val="18"/>
                  <w:szCs w:val="18"/>
                  <w:color w:val="auto"/>
                  <w:w w:val="79"/>
                </w:rPr>
                <w:t>45</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8.</w:t>
            </w:r>
          </w:p>
        </w:tc>
        <w:tc>
          <w:tcPr>
            <w:tcW w:w="9760" w:type="dxa"/>
            <w:vAlign w:val="bottom"/>
          </w:tcPr>
          <w:p>
            <w:pPr>
              <w:ind w:left="180"/>
              <w:spacing w:after="0"/>
              <w:rPr>
                <w:rFonts w:ascii="Arial" w:cs="Arial" w:eastAsia="Arial" w:hAnsi="Arial"/>
                <w:sz w:val="18"/>
                <w:szCs w:val="18"/>
                <w:color w:val="auto"/>
              </w:rPr>
            </w:pPr>
            <w:hyperlink w:anchor="page45">
              <w:r>
                <w:rPr>
                  <w:rFonts w:ascii="Arial" w:cs="Arial" w:eastAsia="Arial" w:hAnsi="Arial"/>
                  <w:sz w:val="18"/>
                  <w:szCs w:val="18"/>
                  <w:color w:val="auto"/>
                </w:rPr>
                <w:t>Financial Statements and Supplementary Data</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45">
              <w:r>
                <w:rPr>
                  <w:rFonts w:ascii="Arial" w:cs="Arial" w:eastAsia="Arial" w:hAnsi="Arial"/>
                  <w:sz w:val="18"/>
                  <w:szCs w:val="18"/>
                  <w:color w:val="auto"/>
                  <w:w w:val="79"/>
                </w:rPr>
                <w:t>46</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9.</w:t>
            </w:r>
          </w:p>
        </w:tc>
        <w:tc>
          <w:tcPr>
            <w:tcW w:w="9760" w:type="dxa"/>
            <w:vAlign w:val="bottom"/>
          </w:tcPr>
          <w:p>
            <w:pPr>
              <w:ind w:left="180"/>
              <w:spacing w:after="0"/>
              <w:rPr>
                <w:rFonts w:ascii="Arial" w:cs="Arial" w:eastAsia="Arial" w:hAnsi="Arial"/>
                <w:sz w:val="18"/>
                <w:szCs w:val="18"/>
                <w:color w:val="auto"/>
              </w:rPr>
            </w:pPr>
            <w:hyperlink w:anchor="page83">
              <w:r>
                <w:rPr>
                  <w:rFonts w:ascii="Arial" w:cs="Arial" w:eastAsia="Arial" w:hAnsi="Arial"/>
                  <w:sz w:val="18"/>
                  <w:szCs w:val="18"/>
                  <w:color w:val="auto"/>
                </w:rPr>
                <w:t>Changes in and Disagreements with Accountants on Accounting and Financial Disclosure</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3">
              <w:r>
                <w:rPr>
                  <w:rFonts w:ascii="Arial" w:cs="Arial" w:eastAsia="Arial" w:hAnsi="Arial"/>
                  <w:sz w:val="18"/>
                  <w:szCs w:val="18"/>
                  <w:color w:val="auto"/>
                  <w:w w:val="79"/>
                </w:rPr>
                <w:t>84</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9A.</w:t>
            </w:r>
          </w:p>
        </w:tc>
        <w:tc>
          <w:tcPr>
            <w:tcW w:w="9760" w:type="dxa"/>
            <w:vAlign w:val="bottom"/>
          </w:tcPr>
          <w:p>
            <w:pPr>
              <w:ind w:left="180"/>
              <w:spacing w:after="0"/>
              <w:rPr>
                <w:rFonts w:ascii="Arial" w:cs="Arial" w:eastAsia="Arial" w:hAnsi="Arial"/>
                <w:sz w:val="18"/>
                <w:szCs w:val="18"/>
                <w:color w:val="auto"/>
              </w:rPr>
            </w:pPr>
            <w:hyperlink w:anchor="page84">
              <w:r>
                <w:rPr>
                  <w:rFonts w:ascii="Arial" w:cs="Arial" w:eastAsia="Arial" w:hAnsi="Arial"/>
                  <w:sz w:val="18"/>
                  <w:szCs w:val="18"/>
                  <w:color w:val="auto"/>
                </w:rPr>
                <w:t>Controls and Procedures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4">
              <w:r>
                <w:rPr>
                  <w:rFonts w:ascii="Arial" w:cs="Arial" w:eastAsia="Arial" w:hAnsi="Arial"/>
                  <w:sz w:val="18"/>
                  <w:szCs w:val="18"/>
                  <w:color w:val="auto"/>
                  <w:w w:val="79"/>
                </w:rPr>
                <w:t>84</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9B.</w:t>
            </w:r>
          </w:p>
        </w:tc>
        <w:tc>
          <w:tcPr>
            <w:tcW w:w="9760" w:type="dxa"/>
            <w:vAlign w:val="bottom"/>
          </w:tcPr>
          <w:p>
            <w:pPr>
              <w:ind w:left="180"/>
              <w:spacing w:after="0"/>
              <w:rPr>
                <w:rFonts w:ascii="Arial" w:cs="Arial" w:eastAsia="Arial" w:hAnsi="Arial"/>
                <w:sz w:val="18"/>
                <w:szCs w:val="18"/>
                <w:color w:val="auto"/>
              </w:rPr>
            </w:pPr>
            <w:hyperlink w:anchor="page86">
              <w:r>
                <w:rPr>
                  <w:rFonts w:ascii="Arial" w:cs="Arial" w:eastAsia="Arial" w:hAnsi="Arial"/>
                  <w:sz w:val="18"/>
                  <w:szCs w:val="18"/>
                  <w:color w:val="auto"/>
                </w:rPr>
                <w:t>Other Information</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6">
              <w:r>
                <w:rPr>
                  <w:rFonts w:ascii="Arial" w:cs="Arial" w:eastAsia="Arial" w:hAnsi="Arial"/>
                  <w:sz w:val="18"/>
                  <w:szCs w:val="18"/>
                  <w:color w:val="auto"/>
                  <w:w w:val="79"/>
                </w:rPr>
                <w:t>86</w:t>
              </w:r>
            </w:hyperlink>
          </w:p>
        </w:tc>
      </w:tr>
      <w:tr>
        <w:trPr>
          <w:trHeight w:val="534"/>
        </w:trPr>
        <w:tc>
          <w:tcPr>
            <w:tcW w:w="1460" w:type="dxa"/>
            <w:vAlign w:val="bottom"/>
            <w:gridSpan w:val="4"/>
          </w:tcPr>
          <w:p>
            <w:pPr>
              <w:ind w:left="40"/>
              <w:spacing w:after="0"/>
              <w:rPr>
                <w:rFonts w:ascii="Arial" w:cs="Arial" w:eastAsia="Arial" w:hAnsi="Arial"/>
                <w:sz w:val="18"/>
                <w:szCs w:val="18"/>
                <w:b w:val="1"/>
                <w:bCs w:val="1"/>
                <w:color w:val="auto"/>
              </w:rPr>
            </w:pPr>
            <w:hyperlink w:anchor="page86">
              <w:r>
                <w:rPr>
                  <w:rFonts w:ascii="Arial" w:cs="Arial" w:eastAsia="Arial" w:hAnsi="Arial"/>
                  <w:sz w:val="18"/>
                  <w:szCs w:val="18"/>
                  <w:b w:val="1"/>
                  <w:bCs w:val="1"/>
                  <w:color w:val="auto"/>
                </w:rPr>
                <w:t>PART III</w:t>
              </w:r>
            </w:hyperlink>
          </w:p>
        </w:tc>
        <w:tc>
          <w:tcPr>
            <w:tcW w:w="97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6">
              <w:r>
                <w:rPr>
                  <w:rFonts w:ascii="Arial" w:cs="Arial" w:eastAsia="Arial" w:hAnsi="Arial"/>
                  <w:sz w:val="18"/>
                  <w:szCs w:val="18"/>
                  <w:color w:val="auto"/>
                  <w:w w:val="79"/>
                </w:rPr>
                <w:t>87</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10.</w:t>
            </w:r>
          </w:p>
        </w:tc>
        <w:tc>
          <w:tcPr>
            <w:tcW w:w="9760" w:type="dxa"/>
            <w:vAlign w:val="bottom"/>
          </w:tcPr>
          <w:p>
            <w:pPr>
              <w:ind w:left="180"/>
              <w:spacing w:after="0"/>
              <w:rPr>
                <w:rFonts w:ascii="Arial" w:cs="Arial" w:eastAsia="Arial" w:hAnsi="Arial"/>
                <w:sz w:val="18"/>
                <w:szCs w:val="18"/>
                <w:color w:val="auto"/>
              </w:rPr>
            </w:pPr>
            <w:hyperlink w:anchor="page87">
              <w:r>
                <w:rPr>
                  <w:rFonts w:ascii="Arial" w:cs="Arial" w:eastAsia="Arial" w:hAnsi="Arial"/>
                  <w:sz w:val="18"/>
                  <w:szCs w:val="18"/>
                  <w:color w:val="auto"/>
                </w:rPr>
                <w:t>Directors, Executive Officers and Corporate Governance</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7">
              <w:r>
                <w:rPr>
                  <w:rFonts w:ascii="Arial" w:cs="Arial" w:eastAsia="Arial" w:hAnsi="Arial"/>
                  <w:sz w:val="18"/>
                  <w:szCs w:val="18"/>
                  <w:color w:val="auto"/>
                  <w:w w:val="79"/>
                </w:rPr>
                <w:t>87</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11.</w:t>
            </w:r>
          </w:p>
        </w:tc>
        <w:tc>
          <w:tcPr>
            <w:tcW w:w="9760" w:type="dxa"/>
            <w:vAlign w:val="bottom"/>
          </w:tcPr>
          <w:p>
            <w:pPr>
              <w:ind w:left="180"/>
              <w:spacing w:after="0"/>
              <w:rPr>
                <w:rFonts w:ascii="Arial" w:cs="Arial" w:eastAsia="Arial" w:hAnsi="Arial"/>
                <w:sz w:val="18"/>
                <w:szCs w:val="18"/>
                <w:color w:val="auto"/>
              </w:rPr>
            </w:pPr>
            <w:hyperlink w:anchor="page87">
              <w:r>
                <w:rPr>
                  <w:rFonts w:ascii="Arial" w:cs="Arial" w:eastAsia="Arial" w:hAnsi="Arial"/>
                  <w:sz w:val="18"/>
                  <w:szCs w:val="18"/>
                  <w:color w:val="auto"/>
                </w:rPr>
                <w:t>Executive Compensation</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7">
              <w:r>
                <w:rPr>
                  <w:rFonts w:ascii="Arial" w:cs="Arial" w:eastAsia="Arial" w:hAnsi="Arial"/>
                  <w:sz w:val="18"/>
                  <w:szCs w:val="18"/>
                  <w:color w:val="auto"/>
                  <w:w w:val="79"/>
                </w:rPr>
                <w:t>87</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12.</w:t>
            </w:r>
          </w:p>
        </w:tc>
        <w:tc>
          <w:tcPr>
            <w:tcW w:w="9760" w:type="dxa"/>
            <w:vAlign w:val="bottom"/>
          </w:tcPr>
          <w:p>
            <w:pPr>
              <w:ind w:left="180"/>
              <w:spacing w:after="0"/>
              <w:rPr>
                <w:rFonts w:ascii="Arial" w:cs="Arial" w:eastAsia="Arial" w:hAnsi="Arial"/>
                <w:sz w:val="18"/>
                <w:szCs w:val="18"/>
                <w:color w:val="auto"/>
              </w:rPr>
            </w:pPr>
            <w:hyperlink w:anchor="page87">
              <w:r>
                <w:rPr>
                  <w:rFonts w:ascii="Arial" w:cs="Arial" w:eastAsia="Arial" w:hAnsi="Arial"/>
                  <w:sz w:val="18"/>
                  <w:szCs w:val="18"/>
                  <w:color w:val="auto"/>
                </w:rPr>
                <w:t>Security Ownership of Certain Beneficial Owners and Management and Related Stockholder Matters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7">
              <w:r>
                <w:rPr>
                  <w:rFonts w:ascii="Arial" w:cs="Arial" w:eastAsia="Arial" w:hAnsi="Arial"/>
                  <w:sz w:val="18"/>
                  <w:szCs w:val="18"/>
                  <w:color w:val="auto"/>
                  <w:w w:val="79"/>
                </w:rPr>
                <w:t>87</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13.</w:t>
            </w:r>
          </w:p>
        </w:tc>
        <w:tc>
          <w:tcPr>
            <w:tcW w:w="9760" w:type="dxa"/>
            <w:vAlign w:val="bottom"/>
          </w:tcPr>
          <w:p>
            <w:pPr>
              <w:ind w:left="180"/>
              <w:spacing w:after="0"/>
              <w:rPr>
                <w:rFonts w:ascii="Arial" w:cs="Arial" w:eastAsia="Arial" w:hAnsi="Arial"/>
                <w:sz w:val="18"/>
                <w:szCs w:val="18"/>
                <w:color w:val="auto"/>
              </w:rPr>
            </w:pPr>
            <w:hyperlink w:anchor="page88">
              <w:r>
                <w:rPr>
                  <w:rFonts w:ascii="Arial" w:cs="Arial" w:eastAsia="Arial" w:hAnsi="Arial"/>
                  <w:sz w:val="18"/>
                  <w:szCs w:val="18"/>
                  <w:color w:val="auto"/>
                </w:rPr>
                <w:t>Certain Relationships and Related Transactions, and Director Independence</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8">
              <w:r>
                <w:rPr>
                  <w:rFonts w:ascii="Arial" w:cs="Arial" w:eastAsia="Arial" w:hAnsi="Arial"/>
                  <w:sz w:val="18"/>
                  <w:szCs w:val="18"/>
                  <w:color w:val="auto"/>
                  <w:w w:val="79"/>
                </w:rPr>
                <w:t>88</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14.</w:t>
            </w:r>
          </w:p>
        </w:tc>
        <w:tc>
          <w:tcPr>
            <w:tcW w:w="9760" w:type="dxa"/>
            <w:vAlign w:val="bottom"/>
          </w:tcPr>
          <w:p>
            <w:pPr>
              <w:ind w:left="180"/>
              <w:spacing w:after="0"/>
              <w:rPr>
                <w:rFonts w:ascii="Arial" w:cs="Arial" w:eastAsia="Arial" w:hAnsi="Arial"/>
                <w:sz w:val="18"/>
                <w:szCs w:val="18"/>
                <w:color w:val="auto"/>
              </w:rPr>
            </w:pPr>
            <w:hyperlink w:anchor="page88">
              <w:r>
                <w:rPr>
                  <w:rFonts w:ascii="Arial" w:cs="Arial" w:eastAsia="Arial" w:hAnsi="Arial"/>
                  <w:sz w:val="18"/>
                  <w:szCs w:val="18"/>
                  <w:color w:val="auto"/>
                </w:rPr>
                <w:t>Principal Accountant Fees and Services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8">
              <w:r>
                <w:rPr>
                  <w:rFonts w:ascii="Arial" w:cs="Arial" w:eastAsia="Arial" w:hAnsi="Arial"/>
                  <w:sz w:val="18"/>
                  <w:szCs w:val="18"/>
                  <w:color w:val="auto"/>
                  <w:w w:val="79"/>
                </w:rPr>
                <w:t>88</w:t>
              </w:r>
            </w:hyperlink>
          </w:p>
        </w:tc>
      </w:tr>
      <w:tr>
        <w:trPr>
          <w:trHeight w:val="534"/>
        </w:trPr>
        <w:tc>
          <w:tcPr>
            <w:tcW w:w="1460" w:type="dxa"/>
            <w:vAlign w:val="bottom"/>
            <w:gridSpan w:val="4"/>
          </w:tcPr>
          <w:p>
            <w:pPr>
              <w:ind w:left="40"/>
              <w:spacing w:after="0"/>
              <w:rPr>
                <w:rFonts w:ascii="Arial" w:cs="Arial" w:eastAsia="Arial" w:hAnsi="Arial"/>
                <w:sz w:val="18"/>
                <w:szCs w:val="18"/>
                <w:b w:val="1"/>
                <w:bCs w:val="1"/>
                <w:color w:val="auto"/>
              </w:rPr>
            </w:pPr>
            <w:hyperlink w:anchor="page88">
              <w:r>
                <w:rPr>
                  <w:rFonts w:ascii="Arial" w:cs="Arial" w:eastAsia="Arial" w:hAnsi="Arial"/>
                  <w:sz w:val="18"/>
                  <w:szCs w:val="18"/>
                  <w:b w:val="1"/>
                  <w:bCs w:val="1"/>
                  <w:color w:val="auto"/>
                </w:rPr>
                <w:t>PART IV</w:t>
              </w:r>
            </w:hyperlink>
          </w:p>
        </w:tc>
        <w:tc>
          <w:tcPr>
            <w:tcW w:w="97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8">
              <w:r>
                <w:rPr>
                  <w:rFonts w:ascii="Arial" w:cs="Arial" w:eastAsia="Arial" w:hAnsi="Arial"/>
                  <w:sz w:val="18"/>
                  <w:szCs w:val="18"/>
                  <w:color w:val="auto"/>
                  <w:w w:val="79"/>
                </w:rPr>
                <w:t>89</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Item 15.</w:t>
            </w:r>
          </w:p>
        </w:tc>
        <w:tc>
          <w:tcPr>
            <w:tcW w:w="9760" w:type="dxa"/>
            <w:vAlign w:val="bottom"/>
          </w:tcPr>
          <w:p>
            <w:pPr>
              <w:ind w:left="180"/>
              <w:spacing w:after="0"/>
              <w:rPr>
                <w:rFonts w:ascii="Arial" w:cs="Arial" w:eastAsia="Arial" w:hAnsi="Arial"/>
                <w:sz w:val="18"/>
                <w:szCs w:val="18"/>
                <w:color w:val="auto"/>
              </w:rPr>
            </w:pPr>
            <w:hyperlink w:anchor="page89">
              <w:r>
                <w:rPr>
                  <w:rFonts w:ascii="Arial" w:cs="Arial" w:eastAsia="Arial" w:hAnsi="Arial"/>
                  <w:sz w:val="18"/>
                  <w:szCs w:val="18"/>
                  <w:color w:val="auto"/>
                </w:rPr>
                <w:t>Exhibits and Financial Statement Schedules</w:t>
              </w:r>
            </w:hyperlink>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9">
              <w:r>
                <w:rPr>
                  <w:rFonts w:ascii="Arial" w:cs="Arial" w:eastAsia="Arial" w:hAnsi="Arial"/>
                  <w:sz w:val="18"/>
                  <w:szCs w:val="18"/>
                  <w:color w:val="auto"/>
                  <w:w w:val="79"/>
                </w:rPr>
                <w:t>89</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rFonts w:ascii="Arial" w:cs="Arial" w:eastAsia="Arial" w:hAnsi="Arial"/>
                <w:sz w:val="18"/>
                <w:szCs w:val="18"/>
                <w:color w:val="auto"/>
              </w:rPr>
            </w:pPr>
            <w:hyperlink w:anchor="page92">
              <w:r>
                <w:rPr>
                  <w:rFonts w:ascii="Arial" w:cs="Arial" w:eastAsia="Arial" w:hAnsi="Arial"/>
                  <w:sz w:val="18"/>
                  <w:szCs w:val="18"/>
                  <w:color w:val="auto"/>
                </w:rPr>
                <w:t>Signatures</w:t>
              </w:r>
            </w:hyperlink>
          </w:p>
        </w:tc>
        <w:tc>
          <w:tcPr>
            <w:tcW w:w="976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92">
              <w:r>
                <w:rPr>
                  <w:rFonts w:ascii="Arial" w:cs="Arial" w:eastAsia="Arial" w:hAnsi="Arial"/>
                  <w:sz w:val="18"/>
                  <w:szCs w:val="18"/>
                  <w:color w:val="auto"/>
                  <w:w w:val="79"/>
                </w:rPr>
                <w:t>93</w:t>
              </w:r>
            </w:hyperlink>
          </w:p>
        </w:tc>
      </w:tr>
      <w:tr>
        <w:trPr>
          <w:trHeight w:val="250"/>
        </w:trPr>
        <w:tc>
          <w:tcPr>
            <w:tcW w:w="40" w:type="dxa"/>
            <w:vAlign w:val="bottom"/>
          </w:tcPr>
          <w:p>
            <w:pPr>
              <w:spacing w:after="0"/>
              <w:rPr>
                <w:sz w:val="21"/>
                <w:szCs w:val="21"/>
                <w:color w:val="auto"/>
              </w:rPr>
            </w:pPr>
          </w:p>
        </w:tc>
        <w:tc>
          <w:tcPr>
            <w:tcW w:w="1420" w:type="dxa"/>
            <w:vAlign w:val="bottom"/>
            <w:gridSpan w:val="3"/>
          </w:tcPr>
          <w:p>
            <w:pPr>
              <w:ind w:left="340"/>
              <w:spacing w:after="0"/>
              <w:rPr>
                <w:rFonts w:ascii="Arial" w:cs="Arial" w:eastAsia="Arial" w:hAnsi="Arial"/>
                <w:sz w:val="18"/>
                <w:szCs w:val="18"/>
                <w:color w:val="auto"/>
              </w:rPr>
            </w:pPr>
            <w:hyperlink w:anchor="page93">
              <w:r>
                <w:rPr>
                  <w:rFonts w:ascii="Arial" w:cs="Arial" w:eastAsia="Arial" w:hAnsi="Arial"/>
                  <w:sz w:val="18"/>
                  <w:szCs w:val="18"/>
                  <w:color w:val="auto"/>
                </w:rPr>
                <w:t>Schedule II</w:t>
              </w:r>
            </w:hyperlink>
          </w:p>
        </w:tc>
        <w:tc>
          <w:tcPr>
            <w:tcW w:w="976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93">
              <w:r>
                <w:rPr>
                  <w:rFonts w:ascii="Arial" w:cs="Arial" w:eastAsia="Arial" w:hAnsi="Arial"/>
                  <w:sz w:val="18"/>
                  <w:szCs w:val="18"/>
                  <w:color w:val="auto"/>
                  <w:w w:val="79"/>
                </w:rPr>
                <w:t>94</w:t>
              </w:r>
            </w:hyperlink>
          </w:p>
        </w:tc>
      </w:tr>
      <w:tr>
        <w:trPr>
          <w:trHeight w:val="723"/>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tcPr>
          <w:p>
            <w:pPr>
              <w:jc w:val="center"/>
              <w:ind w:right="11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but are not limited to, the following:</w:t>
      </w:r>
    </w:p>
    <w:p>
      <w:pPr>
        <w:spacing w:after="0" w:line="80" w:lineRule="exact"/>
        <w:rPr>
          <w:sz w:val="20"/>
          <w:szCs w:val="20"/>
          <w:color w:val="auto"/>
        </w:rPr>
      </w:pPr>
    </w:p>
    <w:p>
      <w:pPr>
        <w:ind w:left="900" w:right="180" w:hanging="325"/>
        <w:spacing w:after="0" w:line="277"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material weaknesses identified in our system of internal control and associated remediation efforts and investments and other actions needed to remedy those material weaknesses;</w:t>
      </w:r>
    </w:p>
    <w:p>
      <w:pPr>
        <w:spacing w:after="0" w:line="8"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 among other things,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right="6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125" w:right="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“we,” “us” and “our” in this Annual Report on Form 10-K.</w:t>
      </w:r>
    </w:p>
    <w:p>
      <w:pPr>
        <w:spacing w:after="0" w:line="127"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70"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Our principal executive offices are located at 5200 Great America Parkway, Santa Clara, California 95054, and our telephone number is (408) 567-7000. Our common stock is listed on the NASDAQ Global Select Market under the symbol AVNW. As of July 3, 2015, we employed approximately 740 people, compared with approximately 960 people as of June 27,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Description of the Business</w:t>
      </w:r>
    </w:p>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design, manufacture and sell a range of wireless networking products, solutions and services to mobile and fixed public network operators, private network operators, government agencies, transportation, energy and utility companies, public safety agencies and broadcast network operators around the world. We sell products and services directly to our customers and also use agents and distributors.</w:t>
      </w:r>
    </w:p>
    <w:p>
      <w:pPr>
        <w:spacing w:after="0" w:line="12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products utilize microwave and millimeter wave technologies to create point to point wireless links for short, medium and long distance interconnections. Our products incorporate Ethernet switching and IP routing capabilities to form complete networking solutions. We also provide network management software tools to enable our customers to deploy, monitor and manage our systems; third party equipment such as antennas, routers, optical transmission equipment and other equipment necessary to build and deploy a complete telecommunications transmission network. We provide a full suite of professional services.</w:t>
      </w:r>
    </w:p>
    <w:p>
      <w:pPr>
        <w:spacing w:after="0" w:line="13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wireless systems deliver urban, suburban, regional and country-wide communications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also have advantages over optical fiber in areas with rugged terrain, and to provide connections over bodies of water such as between islands or even oil and gas production platforms.</w:t>
      </w:r>
    </w:p>
    <w:p>
      <w:pPr>
        <w:spacing w:after="0" w:line="10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Revenue from our North America and international regions represented approximately 46% and 54%, respectively, of our revenue in fiscal 2015, 41% and 59%, respectively, of our revenue in fiscal 2014, and 38% and 62%, respectively, of our revenue in fiscal 2013. Information about our revenue attributable to our geographic regions is set forth in “Item 7. Management’s Discussion and Analysis of Financial Condition and Results of Operations” and in Note 10 of the accompanying consolidated financial statements in this Annual Report on Form 10-K.</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7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believe that future demand for microwave and millimeter wave transmission systems will be influenced by a number of factors across several market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Mobile Networks</w:t>
      </w:r>
    </w:p>
    <w:p>
      <w:pPr>
        <w:spacing w:after="0" w:line="21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Mobile Networks expand, add subscribers and increase the number of wirelessly connected devices, sensors and machines, they require investment in backhaul infrastructure. Whether Mobile Network operators choose to self-build this backhaul infrastructure or lease backhaul services from other network providers, the evolution of the network drives demand for transmission technologies such as microwave and millimeter wave wireless backhaul. Within this overall scope there are multiple individual drivers for investment in backhaul infrastructure.</w:t>
      </w:r>
    </w:p>
    <w:p>
      <w:pPr>
        <w:spacing w:after="0" w:line="133" w:lineRule="exact"/>
        <w:rPr>
          <w:sz w:val="20"/>
          <w:szCs w:val="20"/>
          <w:color w:val="auto"/>
        </w:rPr>
      </w:pPr>
    </w:p>
    <w:p>
      <w:pPr>
        <w:ind w:left="980" w:right="40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New RAN Technologies</w:t>
      </w:r>
      <w:r>
        <w:rPr>
          <w:rFonts w:ascii="Arial" w:cs="Arial" w:eastAsia="Arial" w:hAnsi="Arial"/>
          <w:sz w:val="18"/>
          <w:szCs w:val="18"/>
          <w:color w:val="auto"/>
        </w:rPr>
        <w:t>. The evolution of Mobile Radio Access Network (“RAN”) technologies from 2G to 3G (HSPA) or 4G (HSPA+ and</w:t>
      </w:r>
      <w:r>
        <w:rPr>
          <w:rFonts w:ascii="Arial" w:cs="Arial" w:eastAsia="Arial" w:hAnsi="Arial"/>
          <w:sz w:val="18"/>
          <w:szCs w:val="18"/>
          <w:i w:val="1"/>
          <w:iCs w:val="1"/>
          <w:color w:val="auto"/>
        </w:rPr>
        <w:t xml:space="preserve"> </w:t>
      </w:r>
      <w:r>
        <w:rPr>
          <w:rFonts w:ascii="Arial" w:cs="Arial" w:eastAsia="Arial" w:hAnsi="Arial"/>
          <w:sz w:val="18"/>
          <w:szCs w:val="18"/>
          <w:color w:val="auto"/>
        </w:rPr>
        <w:t>LTE) technologies is providing subscribers with faster speed access to the internet, social media, and video streaming services. The rapid increases in data to be transported through</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right="200"/>
        <w:spacing w:after="0" w:line="324" w:lineRule="auto"/>
        <w:rPr>
          <w:sz w:val="20"/>
          <w:szCs w:val="20"/>
          <w:color w:val="auto"/>
        </w:rPr>
      </w:pPr>
      <w:r>
        <w:rPr>
          <w:rFonts w:ascii="Arial" w:cs="Arial" w:eastAsia="Arial" w:hAnsi="Arial"/>
          <w:sz w:val="18"/>
          <w:szCs w:val="18"/>
          <w:color w:val="auto"/>
        </w:rPr>
        <w:t>the RAN and across the backhaul infrastructure drives requirements for higher data transport links necessitating upgrades to or replacement of the existing backhaul infrastructure.</w:t>
      </w:r>
    </w:p>
    <w:p>
      <w:pPr>
        <w:spacing w:after="0" w:line="3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Subscriber Growth</w:t>
      </w:r>
      <w:r>
        <w:rPr>
          <w:rFonts w:ascii="Arial" w:cs="Arial" w:eastAsia="Arial" w:hAnsi="Arial"/>
          <w:sz w:val="18"/>
          <w:szCs w:val="18"/>
          <w:color w:val="auto"/>
        </w:rPr>
        <w:t>. Traffic on the backhaul infrastructure increases as the number of unique subscribers grows.</w:t>
      </w:r>
    </w:p>
    <w:p>
      <w:pPr>
        <w:spacing w:after="0" w:line="117" w:lineRule="exact"/>
        <w:rPr>
          <w:rFonts w:ascii="Arial" w:cs="Arial" w:eastAsia="Arial" w:hAnsi="Arial"/>
          <w:sz w:val="18"/>
          <w:szCs w:val="18"/>
          <w:color w:val="auto"/>
        </w:rPr>
      </w:pPr>
    </w:p>
    <w:p>
      <w:pPr>
        <w:ind w:left="980" w:right="100" w:hanging="324"/>
        <w:spacing w:after="0" w:line="30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Connected Devices</w:t>
      </w:r>
      <w:r>
        <w:rPr>
          <w:rFonts w:ascii="Arial" w:cs="Arial" w:eastAsia="Arial" w:hAnsi="Arial"/>
          <w:sz w:val="16"/>
          <w:szCs w:val="16"/>
          <w:color w:val="auto"/>
        </w:rPr>
        <w:t>. The number of devices such as smart phones and tablets connected to the Mobile Network is far greater than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unique 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 rapidly.</w:t>
      </w:r>
    </w:p>
    <w:p>
      <w:pPr>
        <w:spacing w:after="0" w:line="46" w:lineRule="exact"/>
        <w:rPr>
          <w:rFonts w:ascii="Arial" w:cs="Arial" w:eastAsia="Arial" w:hAnsi="Arial"/>
          <w:sz w:val="16"/>
          <w:szCs w:val="16"/>
          <w:color w:val="auto"/>
        </w:rPr>
      </w:pPr>
    </w:p>
    <w:p>
      <w:pPr>
        <w:ind w:left="980" w:right="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RAN Capacity</w:t>
      </w:r>
      <w:r>
        <w:rPr>
          <w:rFonts w:ascii="Arial" w:cs="Arial" w:eastAsia="Arial" w:hAnsi="Arial"/>
          <w:sz w:val="18"/>
          <w:szCs w:val="18"/>
          <w:color w:val="auto"/>
        </w:rPr>
        <w:t>. RAN frequency spectrum is a limited resource and shared between all of the devices and users within the coverage area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base station. Meeting the combined demand of increasing subscribers and devices will requires the deployment of much higher densities of base stations with smaller and smaller range (small cells) each requiring backhaul.</w:t>
      </w:r>
    </w:p>
    <w:p>
      <w:pPr>
        <w:spacing w:after="0" w:line="73"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Geographic Coverage. </w:t>
      </w:r>
      <w:r>
        <w:rPr>
          <w:rFonts w:ascii="Arial" w:cs="Arial" w:eastAsia="Arial" w:hAnsi="Arial"/>
          <w:sz w:val="18"/>
          <w:szCs w:val="18"/>
          <w:color w:val="auto"/>
        </w:rPr>
        <w:t>Expanding the geographic area covered by a Mobile Network requires the deployment of additional Cellular Base</w:t>
      </w:r>
      <w:r>
        <w:rPr>
          <w:rFonts w:ascii="Arial" w:cs="Arial" w:eastAsia="Arial" w:hAnsi="Arial"/>
          <w:sz w:val="18"/>
          <w:szCs w:val="18"/>
          <w:i w:val="1"/>
          <w:iCs w:val="1"/>
          <w:color w:val="auto"/>
        </w:rPr>
        <w:t xml:space="preserve"> </w:t>
      </w:r>
      <w:r>
        <w:rPr>
          <w:rFonts w:ascii="Arial" w:cs="Arial" w:eastAsia="Arial" w:hAnsi="Arial"/>
          <w:sz w:val="18"/>
          <w:szCs w:val="18"/>
          <w:color w:val="auto"/>
        </w:rPr>
        <w:t>Station sites. Each additional base station site also needs to be connected to the core of the Mobile Network through expansion of the backhaul system.</w:t>
      </w:r>
    </w:p>
    <w:p>
      <w:pPr>
        <w:spacing w:after="0" w:line="73"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License Mandates</w:t>
      </w:r>
      <w:r>
        <w:rPr>
          <w:rFonts w:ascii="Arial" w:cs="Arial" w:eastAsia="Arial" w:hAnsi="Arial"/>
          <w:sz w:val="18"/>
          <w:szCs w:val="18"/>
          <w:color w:val="auto"/>
        </w:rPr>
        <w:t>. Mobile Operators are licensed telecommunications service providers. Licenses will typically mandate a minimum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within a specific period of time and/or a minimum proportion of a national or regional population served. This can pace backhaul infrastructure investment and cause periodic spikes in demand.</w:t>
      </w:r>
    </w:p>
    <w:p>
      <w:pPr>
        <w:spacing w:after="0" w:line="73"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Evolution to IP</w:t>
      </w:r>
      <w:r>
        <w:rPr>
          <w:rFonts w:ascii="Arial" w:cs="Arial" w:eastAsia="Arial" w:hAnsi="Arial"/>
          <w:sz w:val="17"/>
          <w:szCs w:val="17"/>
          <w:color w:val="auto"/>
        </w:rPr>
        <w:t>. Network Infrastructure capacity, efficiency and flexibility is greatly enhanced by transitioning from legacy SDH (synchronous</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hierarchy) / SONET (synchronous optical network) / TDM (time division multiplexing) to IP (internet protocol) infrastructure. Our products offer integrated IP transport and routing functionality increasing the value they bring in the backhaul network.</w:t>
      </w:r>
    </w:p>
    <w:p>
      <w:pPr>
        <w:spacing w:after="0" w:line="57" w:lineRule="exact"/>
        <w:rPr>
          <w:rFonts w:ascii="Arial" w:cs="Arial" w:eastAsia="Arial" w:hAnsi="Arial"/>
          <w:sz w:val="17"/>
          <w:szCs w:val="17"/>
          <w:color w:val="auto"/>
        </w:rPr>
      </w:pPr>
    </w:p>
    <w:p>
      <w:pPr>
        <w:ind w:left="980" w:right="40" w:hanging="324"/>
        <w:spacing w:after="0" w:line="25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Expansion of Offered Services. </w:t>
      </w:r>
      <w:r>
        <w:rPr>
          <w:rFonts w:ascii="Arial" w:cs="Arial" w:eastAsia="Arial" w:hAnsi="Arial"/>
          <w:sz w:val="18"/>
          <w:szCs w:val="18"/>
          <w:color w:val="auto"/>
        </w:rPr>
        <w:t>Mobile Network operators especially in emerging markets now own and operate the most modern</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Vertical Markets</w:t>
      </w:r>
    </w:p>
    <w:p>
      <w:pPr>
        <w:spacing w:after="0" w:line="21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to mobile backhaul, we see demand for microwave technology in other vertical markets, including utility, public safety, financial institutions and broadcast.</w:t>
      </w:r>
    </w:p>
    <w:p>
      <w:pPr>
        <w:spacing w:after="0" w:line="62" w:lineRule="exact"/>
        <w:rPr>
          <w:sz w:val="20"/>
          <w:szCs w:val="20"/>
          <w:color w:val="auto"/>
        </w:rPr>
      </w:pPr>
    </w:p>
    <w:p>
      <w:pPr>
        <w:ind w:left="980" w:right="1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62" w:lineRule="exact"/>
        <w:rPr>
          <w:rFonts w:ascii="Arial" w:cs="Arial" w:eastAsia="Arial" w:hAnsi="Arial"/>
          <w:sz w:val="18"/>
          <w:szCs w:val="18"/>
          <w:color w:val="auto"/>
        </w:rPr>
      </w:pPr>
    </w:p>
    <w:p>
      <w:pPr>
        <w:ind w:left="980" w:right="4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public network infrastructure and microwave is very well suited to this environment because it is a cost-effective alternative to fiber.</w:t>
      </w:r>
    </w:p>
    <w:p>
      <w:pPr>
        <w:spacing w:after="0" w:line="85" w:lineRule="exact"/>
        <w:rPr>
          <w:rFonts w:ascii="Arial" w:cs="Arial" w:eastAsia="Arial" w:hAnsi="Arial"/>
          <w:sz w:val="18"/>
          <w:szCs w:val="18"/>
          <w:color w:val="auto"/>
        </w:rPr>
      </w:pPr>
    </w:p>
    <w:p>
      <w:pPr>
        <w:ind w:left="980" w:right="20" w:hanging="324"/>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U.S., Europe and Asia and we see long term interest in the creation of further low latency routes in various geographies around the world.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These factors are combining to create a range of opportunities for continued investment in networks favoring microwave and millimeter wave technologies. As we focus on our execution of the future generations of our technology, our goal is to make wireless a viable choice for an ever broadening range of network types.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Over the past year, we made significant further enhancements to our product portfolio with new microwave and IP Routing solutions. We introduced the CTR 8311 and CTR 8312 variants of our CTR 8000 platform to complement the CTR 8540 specifically to address lower density network nodes. The CTR is a transformational microwave product line since it efficiently integrates microwave transport and IP routing in a single solution. The software defined functionality of the CTR platform allows us to expand its capability over time and create further revenue generating software releases in the future. We also introduced the highest power microwave radio in the industry as a variant of our North America flagship product the IRU 600.</w:t>
      </w:r>
    </w:p>
    <w:p>
      <w:pPr>
        <w:spacing w:after="0" w:line="119"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We continued to develop our professional services portfolio as a key to our long term strategy and differentiation. During the year, we expanded the number of customer networks managed from our North America Network Operations Center (“NOC”) and opened an additional NOC in Mexico. We have also expanded our training and accreditation programs for microwave and IP network design, deployment and maintenance.</w:t>
      </w:r>
    </w:p>
    <w:p>
      <w:pPr>
        <w:spacing w:after="0" w:line="11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strategy includes partnering with companies with technical expertise in areas outside of our core competencies to meet our customers’ demand for an end-to-end solution. Our partner product strategy enables us to go beyond wireless transmission to address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research and development (“R&amp;D”) efforts on core competency wireless innovations. Having a broader portfolio will enable us to further differentiate our offerings from other independent microwave equipment suppliers.</w:t>
      </w:r>
    </w:p>
    <w:p>
      <w:pPr>
        <w:spacing w:after="0" w:line="124"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We expect to continue to serve and expand upon our existing customer base and develop business with new customers. We have sold more than 1,000,000 microwave radios in over 140 countries and are present in more than 350 mobile networks worldwide. We intend to leverage our customer base, our longstanding presence in many countries, our distribution channels, our comprehensive product line, our superior customer service and our turnkey solution capability to continue to sell existing and new products and services to current and future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7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offer a comprehensive product and solutions portfolio that meets the needs of service providers and network operators in every region of the world and addresses a broad range of applications, frequencies, capacities and network topologies. Our product categories include point-to-point microwave and millimeter wave radios that are licensed (subject to local frequency regulatory requirements), lightly-licensed and license-exempt (operating in license-exempt frequencies), and element and network management software. In addition, we provide a full suite of professional services enabling us to deliver end-to-end turnkey networks, including complete design, deployment, maintenance, and managed services, while being an attentive and adaptable partner for our customers — a key competitive differentiator for us.</w:t>
      </w:r>
    </w:p>
    <w:p>
      <w:pPr>
        <w:spacing w:after="0" w:line="124" w:lineRule="exact"/>
        <w:rPr>
          <w:sz w:val="20"/>
          <w:szCs w:val="20"/>
          <w:color w:val="auto"/>
        </w:rPr>
      </w:pPr>
    </w:p>
    <w:p>
      <w:pPr>
        <w:ind w:left="980" w:right="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Broad product and solution portfolio. </w:t>
      </w:r>
      <w:r>
        <w:rPr>
          <w:rFonts w:ascii="Arial" w:cs="Arial" w:eastAsia="Arial" w:hAnsi="Arial"/>
          <w:sz w:val="18"/>
          <w:szCs w:val="18"/>
          <w:color w:val="auto"/>
        </w:rPr>
        <w:t>We offer a comprehensive suite of wireless transmission networking systems for microwave and</w:t>
      </w:r>
      <w:r>
        <w:rPr>
          <w:rFonts w:ascii="Arial" w:cs="Arial" w:eastAsia="Arial" w:hAnsi="Arial"/>
          <w:sz w:val="18"/>
          <w:szCs w:val="18"/>
          <w:i w:val="1"/>
          <w:iCs w:val="1"/>
          <w:color w:val="auto"/>
        </w:rPr>
        <w:t xml:space="preserve"> </w:t>
      </w:r>
      <w:r>
        <w:rPr>
          <w:rFonts w:ascii="Arial" w:cs="Arial" w:eastAsia="Arial" w:hAnsi="Arial"/>
          <w:sz w:val="18"/>
          <w:szCs w:val="18"/>
          <w:color w:val="auto"/>
        </w:rPr>
        <w:t>millimeter-wave networking applications. Our solution consists of tailored offerings of our own wireless products and our own integrated ancillary equipment or that of other manufacturers and providers of element and network management systems and professional services. These solutions address a wide range of transmission frequencies, ranging from 2.4 GHz to 90 GHz, and a wide range of transmission capacities, ranging up to over 4 Gbps. The major product families included in these solutions are CTR 8000, Eclipse, IRU 600, WTM 3000, WTM 6000 and ProVision, our network management software.</w:t>
      </w:r>
    </w:p>
    <w:p>
      <w:pPr>
        <w:spacing w:after="0" w:line="85" w:lineRule="exact"/>
        <w:rPr>
          <w:rFonts w:ascii="Arial" w:cs="Arial" w:eastAsia="Arial" w:hAnsi="Arial"/>
          <w:sz w:val="18"/>
          <w:szCs w:val="18"/>
          <w:color w:val="auto"/>
        </w:rPr>
      </w:pPr>
    </w:p>
    <w:p>
      <w:pPr>
        <w:ind w:left="980" w:right="20" w:hanging="324"/>
        <w:spacing w:after="0" w:line="30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Our wireless-based solutions offer a relatively low total cost of ownership, including savings on the combined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Futureproof network. </w:t>
      </w:r>
      <w:r>
        <w:rPr>
          <w:rFonts w:ascii="Arial" w:cs="Arial" w:eastAsia="Arial" w:hAnsi="Arial"/>
          <w:sz w:val="18"/>
          <w:szCs w:val="18"/>
          <w:color w:val="auto"/>
        </w:rPr>
        <w:t>Our solutions are designed to protect the network operator’s investment by incorporating software-configurable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plug-in modules that provide a smooth migration path to Carrier Ethernet and IP/MPLS-based networking, without the need for costly equipment substitutions and additions. Our products include key technologies we believe will be needed by operators for their network evolution to support new broadband services.</w:t>
      </w:r>
    </w:p>
    <w:p>
      <w:pPr>
        <w:spacing w:after="0" w:line="78"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Flexible, easily configurable products. </w:t>
      </w:r>
      <w:r>
        <w:rPr>
          <w:rFonts w:ascii="Arial" w:cs="Arial" w:eastAsia="Arial" w:hAnsi="Arial"/>
          <w:sz w:val="18"/>
          <w:szCs w:val="18"/>
          <w:color w:val="auto"/>
        </w:rPr>
        <w:t>We use flexible architectures with a high level of software configurable features. This design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7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network management. </w:t>
      </w:r>
      <w:r>
        <w:rPr>
          <w:rFonts w:ascii="Arial" w:cs="Arial" w:eastAsia="Arial" w:hAnsi="Arial"/>
          <w:sz w:val="18"/>
          <w:szCs w:val="18"/>
          <w:color w:val="auto"/>
        </w:rPr>
        <w:t>We offer a range of flexible network management solutions, from element management to enterprise-wide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management and service assurance that we can optimize to work with our wireless systems.</w:t>
      </w:r>
    </w:p>
    <w:p>
      <w:pPr>
        <w:spacing w:after="0" w:line="62" w:lineRule="exact"/>
        <w:rPr>
          <w:rFonts w:ascii="Arial" w:cs="Arial" w:eastAsia="Arial" w:hAnsi="Arial"/>
          <w:sz w:val="18"/>
          <w:szCs w:val="18"/>
          <w:color w:val="auto"/>
        </w:rPr>
      </w:pPr>
    </w:p>
    <w:p>
      <w:pPr>
        <w:jc w:val="both"/>
        <w:ind w:left="980" w:right="12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Complete professional services. </w:t>
      </w:r>
      <w:r>
        <w:rPr>
          <w:rFonts w:ascii="Arial" w:cs="Arial" w:eastAsia="Arial" w:hAnsi="Arial"/>
          <w:sz w:val="18"/>
          <w:szCs w:val="18"/>
          <w:color w:val="auto"/>
        </w:rPr>
        <w:t>In addition to our product offerings, we provide network planning and design, site surveys and builds,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83" w:lineRule="exact"/>
        <w:rPr>
          <w:sz w:val="20"/>
          <w:szCs w:val="20"/>
          <w:color w:val="auto"/>
        </w:rPr>
      </w:pPr>
    </w:p>
    <w:p>
      <w:pPr>
        <w:jc w:val="right"/>
        <w:ind w:right="9840"/>
        <w:spacing w:after="0"/>
        <w:rPr>
          <w:sz w:val="20"/>
          <w:szCs w:val="20"/>
          <w:color w:val="auto"/>
        </w:rPr>
      </w:pPr>
      <w:r>
        <w:rPr>
          <w:rFonts w:ascii="Arial" w:cs="Arial" w:eastAsia="Arial" w:hAnsi="Arial"/>
          <w:sz w:val="15"/>
          <w:szCs w:val="15"/>
          <w:b w:val="1"/>
          <w:bCs w:val="1"/>
          <w:color w:val="auto"/>
        </w:rPr>
        <w:t>Business Operations</w:t>
      </w:r>
    </w:p>
    <w:p>
      <w:pPr>
        <w:spacing w:after="0" w:line="210" w:lineRule="exact"/>
        <w:rPr>
          <w:sz w:val="20"/>
          <w:szCs w:val="20"/>
          <w:color w:val="auto"/>
        </w:rPr>
      </w:pPr>
    </w:p>
    <w:p>
      <w:pPr>
        <w:jc w:val="right"/>
        <w:ind w:right="9860"/>
        <w:spacing w:after="0"/>
        <w:rPr>
          <w:sz w:val="20"/>
          <w:szCs w:val="20"/>
          <w:color w:val="auto"/>
        </w:rPr>
      </w:pPr>
      <w:r>
        <w:rPr>
          <w:rFonts w:ascii="Arial" w:cs="Arial" w:eastAsia="Arial" w:hAnsi="Arial"/>
          <w:sz w:val="18"/>
          <w:szCs w:val="18"/>
          <w:b w:val="1"/>
          <w:bCs w:val="1"/>
          <w:i w:val="1"/>
          <w:iCs w:val="1"/>
          <w:color w:val="auto"/>
        </w:rPr>
        <w:t>Sales and Service</w:t>
      </w:r>
    </w:p>
    <w:p>
      <w:pPr>
        <w:spacing w:after="0" w:line="17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high customer satisfaction ratings leading to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on customer locations and include Nigeria, Kenya, Ghana, Ivory Coast, Algeria, South Africa, the United Arab Emirates, Saudi Arabia, Australia, Malaysia, New Zealand, Singapore, Slovenia and the Philippines.</w:t>
      </w:r>
    </w:p>
    <w:p>
      <w:pPr>
        <w:spacing w:after="0" w:line="12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In addition to our direct channel to market, we also have informal, and in some cases formal, relationships with original equipment manufacturers (“OEMs”) and system integrators especially towards large and complex projects in National Security and Government related applications, which include Nigeria, Kenya, Ghana, Ivory Coast, Algeria, South Africa, the United Arab Emirates, Saudi Arabia, Australia, Malaysia, New Zealand, Singapore, Slovenia and the Philippines. Our role in these relationships ranges from equipment supply only to being a sub-contractor for a portion of the project scope where we will supply equipment and a variety of design, deployment and maintenance services.</w:t>
      </w:r>
    </w:p>
    <w:p>
      <w:pPr>
        <w:spacing w:after="0" w:line="11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also use indirect sales channels, including dealers, distributors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repair and service centers in India, Nigeria, Ghana, Mexico, the Philippines, the United Kingdom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1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Manufacturing</w:t>
      </w:r>
    </w:p>
    <w:p>
      <w:pPr>
        <w:spacing w:after="0" w:line="17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global manufacturing strategy follows an outsourced manufacturing model using contract manufacturing partners in both the United States and Asia. Our strategy is based on balancing cost and supplier performance as well as taking into account qualification for localization requirements of certain market segments such as the Buy America statute. We continue to perform our system integration and customer acceptance and testing in an Aviat Networks facility co-located with one of our contract manufacturers in the United States.</w:t>
      </w:r>
    </w:p>
    <w:p>
      <w:pPr>
        <w:spacing w:after="0" w:line="13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Backlog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backlog by geographic region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July 3, 2015</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27, 2014</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backlog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firstLine="432"/>
        <w:spacing w:after="0" w:line="286" w:lineRule="auto"/>
        <w:rPr>
          <w:sz w:val="20"/>
          <w:szCs w:val="20"/>
          <w:color w:val="auto"/>
        </w:rPr>
      </w:pPr>
      <w:r>
        <w:rPr>
          <w:rFonts w:ascii="Arial" w:cs="Arial" w:eastAsia="Arial" w:hAnsi="Arial"/>
          <w:sz w:val="17"/>
          <w:szCs w:val="17"/>
          <w:color w:val="auto"/>
        </w:rPr>
        <w:t>Our backlog consists primarily of contracts or purchase orders for both product and service deliveries scheduled within the next 12 months and extended service warranties. We regularly review our backlog to ensure that our customers continue to honor their purchase commitments and have the financial means to purchase and deploy our products and services in accordance with the terms of their purchase contracts.</w:t>
      </w:r>
    </w:p>
    <w:p>
      <w:pPr>
        <w:spacing w:after="0" w:line="11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expect to substantially fill the backlog as of July 3, 2015 during fiscal 2016,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 The backlog figures exclude advance payments and unearned income amounts. As of July 3, 2015, Motorola Solutions, Inc. accounted for 11% of our total backlog and no other customers accounted for 10% or more of our total backlog.</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Customers</w:t>
      </w:r>
    </w:p>
    <w:p>
      <w:pPr>
        <w:spacing w:after="0" w:line="171"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Principal customers for our products and services include domestic and international wireless/mobile service providers, OEMs, and private network users such as public safety agencies, government institutions, and utility, pipeline, railroad and other industrial enterprises that operate wireless networks.</w:t>
      </w:r>
    </w:p>
    <w:p>
      <w:pPr>
        <w:spacing w:after="0" w:line="7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fiscal 2015, the Mobile Telephone Networks Group (“MTN Group”) in Africa accounted for 14% of our total revenue compared with 17% in fiscal 2014 and 25% in fiscal 2013. We have entered into separate and distinct contracts with MTN Group as well as separate arrangements with MTN Group subsidiaries. The loss of all or a substantial portion of MTN Group’s business could adversely affect our results of operations, cash flows and financial position.</w:t>
      </w:r>
    </w:p>
    <w:p>
      <w:pPr>
        <w:spacing w:after="0" w:line="133"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Although we have a large customer base, during any given fiscal year or quarter a small number of customers may account for a significant portion of our revenue. In certain circumstances, we sell our products to service providers through OEMs, which provide the service providers with access to financing and in some instances, protection from fluctuations in international currency exchange rates.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microwave and millimeter wave wireless networking business is a specialized segment of the wireless telecommunications industry that is sensitive to technological advancements and is extremely competitive. Our principal competitors include business units of large mobile and IP network infrastructure manufacturers such as Ericsson, Huawei, NEC and Alcatel-Lucent, as well as a number of other smaller public and other microwave specialists companies such as Ceragon, DragonWave and privately-held SIAE.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Some of our larger competitors may also act as systems integrators through which we sometimes distribute and sell products and services to end users.</w:t>
      </w:r>
    </w:p>
    <w:p>
      <w:pPr>
        <w:spacing w:after="0" w:line="1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The smaller independent private and public specialist competitors typically leverage new technologies and low products costs, but are generally less capable of offering a complete solution including professional services, especially in the North America and Africa regions which form the majority of our addressed market.</w:t>
      </w:r>
    </w:p>
    <w:p>
      <w:pPr>
        <w:spacing w:after="0" w:line="12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two major product areas: backhaul solutions and network management systems. In addition, we are investing in key innovation that will help separate these products from the competition. The majority of such research and development resources will be used for point-to-point digital microwave radio systems for access, backhaul, trunking and license-exempt applications.</w:t>
      </w:r>
    </w:p>
    <w:p>
      <w:pPr>
        <w:spacing w:after="0" w:line="11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Our research and development expenditures totaled $25.4 million, or 7.6% of revenue, in fiscal 2015, $35.5 million, or 10.3% of revenue, in fiscal 2014, and $39.4 million, or 8.4% of revenue, in fiscal 2013.</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Research and development are primarily directed to the development of new products and to building technological capability. We are an industry innovator and intend to continue to focus significant resources on product development in an effort to maintain our competitiveness and support our entry into new markets. We maintain development programs intended to result in new products, such as additions to our WTM3000, Eclipse and new CTR product platforms</w:t>
      </w:r>
      <w:r>
        <w:rPr>
          <w:rFonts w:ascii="Arial" w:cs="Arial" w:eastAsia="Arial" w:hAnsi="Arial"/>
          <w:sz w:val="18"/>
          <w:szCs w:val="18"/>
          <w:b w:val="1"/>
          <w:bCs w:val="1"/>
          <w:color w:val="auto"/>
        </w:rPr>
        <w:t>.</w:t>
      </w:r>
    </w:p>
    <w:p>
      <w:pPr>
        <w:spacing w:after="0" w:line="1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product development teams numbered 133 employees as of July 3, 2015, and were located in Santa Clara, California; Wellington, New Zealand; Singapore; Ljubljana, Slovenia; and Montreal, Canada.</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Raw Materials and Supplies</w:t>
      </w:r>
    </w:p>
    <w:p>
      <w:pPr>
        <w:spacing w:after="0" w:line="171"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Because of the range of our products and services, as well as the wide geographic dispersion of our facilities, we use numerous sources for the wide array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10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and MMICs (a type of integrated circuit used in manufacturing microwave radios), which we procure at volume discount from a single source. Our supply chain plan includes mitigation plans for alternative manufacturing sources and identified alternate suppliers.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They are due primarily to the highly technical nature of many of our purchased components.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Looking ahead, we anticipate standard lead times for our raw materials and supplies.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 and Other Intellectual Property</w:t>
      </w:r>
    </w:p>
    <w:p>
      <w:pPr>
        <w:spacing w:after="0" w:line="17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September 17, 2015, we held 158 U.S. patents and 70 international patents and had 43 U.S. patent applications pending and 55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Although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Environmental and Other Regulations</w:t>
      </w:r>
    </w:p>
    <w:p>
      <w:pPr>
        <w:spacing w:after="0" w:line="171"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19" w:lineRule="exact"/>
        <w:rPr>
          <w:sz w:val="20"/>
          <w:szCs w:val="20"/>
          <w:color w:val="auto"/>
        </w:rPr>
      </w:pPr>
    </w:p>
    <w:p>
      <w:pPr>
        <w:jc w:val="both"/>
        <w:ind w:right="680" w:firstLine="432"/>
        <w:spacing w:after="0" w:line="286" w:lineRule="auto"/>
        <w:rPr>
          <w:sz w:val="20"/>
          <w:szCs w:val="20"/>
          <w:color w:val="auto"/>
        </w:rPr>
      </w:pPr>
      <w:r>
        <w:rPr>
          <w:rFonts w:ascii="Arial" w:cs="Arial" w:eastAsia="Arial" w:hAnsi="Arial"/>
          <w:sz w:val="17"/>
          <w:szCs w:val="17"/>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11"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products. Reallocation of the frequency spectrum also could impact our business, financial condition and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in the process of developing comprehensive policies and procedures concerning conflict minerals compliance.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of July 3, 2015 we employed approximately 740 people, compared with approximately 960 as of the end of fiscal 2014 and approximately 1,000 as of the end of fiscal 2013. Approximately 270 of our employees are located in the U.S. We also utilized approximately 45 independent contractors as of July 3, 2015. None of our employees in the U.S. are represented by a labor union. In certain international subsidiaries, our employees are represented by workers’ councils or statutory labor unions. In general, we believe that our relations with our employees are good.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are as follows:</w:t>
      </w:r>
    </w:p>
    <w:p>
      <w:pPr>
        <w:sectPr>
          <w:pgSz w:w="11900" w:h="16838" w:orient="portrait"/>
          <w:cols w:equalWidth="0" w:num="1">
            <w:col w:w="11380"/>
          </w:cols>
          <w:pgMar w:left="240" w:top="125" w:right="279" w:bottom="144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Name and Age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Michael A. Pangia,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Ralph Marimon, 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Meena Elliott,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Heinz H. Stumpe,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Shaun McFall, 55</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Position Currently Held and Past Business Experience</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Mr. Pangia has been our President and Chief Executive Officer and a member of the Board since July 18, 2011. From March 2009 to July 2011, he served as our Chief Sales Officer responsible for company-wide operations of the global sales and services organization. Prior to joining Aviat Networks, from 2008 to 2009, Mr. Pangia served as Senior Vice President, global sales operations and strategy at Nortel, where he was responsible for all operational aspects of the global sales function. From 2006 to 2008, he was President of Nortel’s Asia region where his key responsibilities included sales and overall business management for all countries where Nortel did business in the region.</w:t>
      </w:r>
    </w:p>
    <w:p>
      <w:pPr>
        <w:spacing w:after="0" w:line="21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Mr. Marimon joined Aviat Networks in May 2015 as our Senior Vice President, Finance and Chief Financial Officer and is responsible for the finance and IT organizations. Before joining Aviat, Mr. Marimon served as VP, Finance and CFO of QuickLogic, a provider of ultra-low power, customizable semiconductor solutions for smartphone, tablet, wearable, and mobile enterprise OEMs, since 2008. Prior to QuickLogic, Mr. Marimon served as CFO within a variety of organizations including Anchor Bay Technologies, Inc., Tymphany Corporation, and Scientific Technologies Incorporated. From 1999 to 2003, he served at Com21 Corporation, a global supplier of system solutions for the broadband access market, where he was promoted from Corporate Controller to VP of Finance and CFO. Prior to Com21, Mr. Marimon was at KLA-Tencor Corporation for 11 years in a variety of senior executive financial management positions.</w:t>
      </w:r>
    </w:p>
    <w:p>
      <w:pPr>
        <w:spacing w:after="0" w:line="30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Ms. Elliott was appointed Senior Vice President, Chief Legal and Administrative Officer, Corporate Secretary in February 2015 and is responsible for the global legal and human resources organizations. From September 2011 to February 2015, she served as Senior Vice President, General Counsel, Secretary and had responsibilities for the global legal organization and took on responsibilities for global human resources organizations in 2014. From July 2009 to August 2011, she served as Vice President, General Counsel and Secretary. She joined our company as Associate General Counsel and Assistant Secretary in January 2007 when Harris Corporation’s MCD and Stratex Networks merged. Ms. Elliott joined MCD as Division Counsel in March 2006. Prior to joining MCD, she was Chief Counsel at the Department of Commerce from 2002 to 2006.</w:t>
      </w:r>
    </w:p>
    <w:p>
      <w:pPr>
        <w:spacing w:after="0" w:line="28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Mr. Stumpe was appointed Chief Sales Officer on June 25, 2012. Before his appointment as Chief Sales Officer, Mr. Stumpe was our Senior Vice President and Chief Operation Officer since June 30, 2008. Previously, he was Vice President, Global Operations for Aviat Networks and Stratex Networks. He joined Stratex Networks as Director of Marketing in 1996. He was promoted to Vice President, Global Accounts in 1999, Vice President, Strategic Accounts in 2002 and Vice President, Global Operations in April 2006.</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Mr. McFall was appointed Chief Strategy Officer in 2015. He was our Chief Marketing Officer since July 2008.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Previously, from 2000 to 2008, he served as Vice President, Marketing for Aviat Networks and Stratex Networks.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 has been with us since 1989.</w:t>
      </w:r>
    </w:p>
    <w:p>
      <w:pPr>
        <w:spacing w:after="0" w:line="200" w:lineRule="exact"/>
        <w:rPr>
          <w:sz w:val="20"/>
          <w:szCs w:val="20"/>
          <w:color w:val="auto"/>
        </w:rPr>
      </w:pPr>
    </w:p>
    <w:p>
      <w:pPr>
        <w:sectPr>
          <w:pgSz w:w="11900" w:h="16838" w:orient="portrait"/>
          <w:cols w:equalWidth="0" w:num="2">
            <w:col w:w="2400" w:space="720"/>
            <w:col w:w="8260"/>
          </w:cols>
          <w:pgMar w:left="240" w:top="125" w:right="279" w:bottom="1440" w:gutter="0" w:footer="0" w:header="0"/>
          <w:type w:val="continuous"/>
        </w:sectPr>
      </w:pPr>
    </w:p>
    <w:p>
      <w:pPr>
        <w:spacing w:after="0" w:line="6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Web site Access to Aviat Networks’ Reports; Available Information</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 xml:space="preserve">We maintain an Internet Web site at </w:t>
      </w:r>
      <w:r>
        <w:rPr>
          <w:rFonts w:ascii="Arial" w:cs="Arial" w:eastAsia="Arial" w:hAnsi="Arial"/>
          <w:sz w:val="17"/>
          <w:szCs w:val="17"/>
          <w:u w:val="single" w:color="auto"/>
          <w:color w:val="auto"/>
        </w:rPr>
        <w:t>http://www.aviatnetworks.com.</w:t>
      </w:r>
      <w:r>
        <w:rPr>
          <w:rFonts w:ascii="Arial" w:cs="Arial" w:eastAsia="Arial" w:hAnsi="Arial"/>
          <w:sz w:val="17"/>
          <w:szCs w:val="17"/>
          <w:color w:val="auto"/>
        </w:rPr>
        <w:t xml:space="preserve">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 site as soon as reasonably practicable after these reports are electronically filed with, or furnished to, the Securities and Exchange Commission (“SEC”). Our website and the information posted thereon are not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incorporated into this Annual Report on Form 10-K or any current or other periodic report that we file or furnish to the SEC.</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We will also provide the reports in electronic or paper form, free of charge upon request. All reports we file with or furnish to the SEC are also available free of charge via EDGAR through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13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13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may also impair our business operations. If any of these risks actually occur, our financial condition and results of operations could be materially and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been profitable and must increase our revenues and reduce costs if we hope to achieve profitability.</w:t>
      </w:r>
    </w:p>
    <w:p>
      <w:pPr>
        <w:spacing w:after="0" w:line="171"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As measured under U.S. generally accepted accounting principles (“U.S. GAAP”), we incurred net losses of $24.6 million in fiscal 2015, $51.1 million in fiscal 2014 and $16.7 million in fiscal 2013 and have been unprofitable since we became a public company in January 2007. We also have incurred losses from operations in all fiscal years since we became a public company, although we previously generated cash from operations in fiscal 2013, 2012, 2010 and 2009.</w:t>
      </w:r>
    </w:p>
    <w:p>
      <w:pPr>
        <w:spacing w:after="0" w:line="13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Throughout fiscal 2015 we experienced strong price competition for new business in all regions while major customer consolidations also put pressure on revenue and gross margin. We saw pricing pressures in all markets, with increased pressure in international markets. In all markets, telecommunication operating companies consolidated through mergers or acquisitions, leading to fewer, but larger customers. This consolidation may have a negative impact on our revenue if Aviat is not selected as a vendor for the products and/or services we provide. In order to counter pricing pressures, we invested heavily in product improvements to reduce unit costs and enhance product features, exited manufacturing facilities and shifted production to fewer contract manufacturers, and worked with our vendors to attain more favorable pricing. If we are unable to reduce product unit costs associated with enhanced product features, including payments to contract manufacturers and other suppliers, we may not achieve profitability.</w:t>
      </w:r>
    </w:p>
    <w:p>
      <w:pPr>
        <w:spacing w:after="0" w:line="12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cannot be certain that these actions or others that we may take in the future will result in operating profitability or net income as determined under U.S. GAAP.</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 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products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42" w:lineRule="exact"/>
        <w:rPr>
          <w:sz w:val="20"/>
          <w:szCs w:val="20"/>
          <w:color w:val="auto"/>
        </w:rPr>
      </w:pPr>
    </w:p>
    <w:p>
      <w:pPr>
        <w:ind w:right="40" w:firstLine="432"/>
        <w:spacing w:after="0" w:line="309" w:lineRule="auto"/>
        <w:rPr>
          <w:sz w:val="20"/>
          <w:szCs w:val="20"/>
          <w:color w:val="auto"/>
        </w:rPr>
      </w:pPr>
      <w:r>
        <w:rPr>
          <w:rFonts w:ascii="Arial" w:cs="Arial" w:eastAsia="Arial" w:hAnsi="Arial"/>
          <w:sz w:val="16"/>
          <w:szCs w:val="16"/>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sales cycle may be lengthy, and the timing of sales, along with additional services such as warehousing, inventory management, installation and implementation of our products within our customers’ networks, may extend over more than one period, which can make our operating results difficult to predict.</w:t>
      </w:r>
    </w:p>
    <w:p>
      <w:pPr>
        <w:spacing w:after="0" w:line="12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anticipate difficulty in accurately predicting the timing of the sale of products and amounts of revenue generated from sales of our products, primarily in developing countries. The establishment of a business relationship with a potential customer is a lengthy process, generally taking several months and sometimes longer. Following the establishment of the relationship, the negotiation of purchase terms can be time-consuming, and a potential customer may require an extended evaluation and testing period. We expect that our product sales cycle, which results in our products being designed into our customers’ networks, could take 12 to 24 months. A number of factors can contribute to the length of the sales cycle, including technical evaluations of our products, the design process required to integrate our products into our customers’ networks and warehousing and/or inventory management services that may be requested by certain large customers. In anticipation of product orders, we may incur substantial costs before the sales cycle is complete and before we receive any customer payments. Specifically, should a customer require warehousing and/or inventory management services, such services may impact our operating results in any period due to the costs associated with providing such services and the fact that the timing of the revenue recognition may be delayed. As a result, in the event that a sale is not completed or is canceled or delayed, we may have incurred substantial expenses, making it more difficult for us to become profitable or otherwise negatively impacting our financial results. Furthermore, because of our lengthy sales cycle, our recognition of revenue from our selling efforts may be substantially delayed, our ability to forecast our future revenue may be more limited and our revenue may fluctuate significantly from quarter to quarter.</w:t>
      </w:r>
    </w:p>
    <w:p>
      <w:pPr>
        <w:spacing w:after="0" w:line="134" w:lineRule="exact"/>
        <w:rPr>
          <w:sz w:val="20"/>
          <w:szCs w:val="20"/>
          <w:color w:val="auto"/>
        </w:rPr>
      </w:pPr>
    </w:p>
    <w:p>
      <w:pPr>
        <w:ind w:right="420" w:firstLine="405"/>
        <w:spacing w:after="0" w:line="302" w:lineRule="auto"/>
        <w:rPr>
          <w:sz w:val="20"/>
          <w:szCs w:val="20"/>
          <w:color w:val="auto"/>
        </w:rPr>
      </w:pPr>
      <w:r>
        <w:rPr>
          <w:rFonts w:ascii="Arial" w:cs="Arial" w:eastAsia="Arial" w:hAnsi="Arial"/>
          <w:sz w:val="16"/>
          <w:szCs w:val="16"/>
          <w:color w:val="auto"/>
        </w:rPr>
        <w:t>Once a purchase agreement has been executed, the timing and amount of revenue, if applicable, may remain difficult to predict. The completion of services such as warehousing and inventory management,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average sales prices may decline in the future.</w:t>
      </w:r>
    </w:p>
    <w:p>
      <w:pPr>
        <w:spacing w:after="0" w:line="17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reduce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17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 term capital needs. If this occurs, we may need to sell assets, reduce capital expenditures, or obtain additional equity or debt financing. We cannot assure you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24" w:lineRule="exact"/>
        <w:rPr>
          <w:sz w:val="20"/>
          <w:szCs w:val="20"/>
          <w:color w:val="auto"/>
        </w:rPr>
      </w:pPr>
    </w:p>
    <w:p>
      <w:pPr>
        <w:ind w:right="640" w:firstLine="405"/>
        <w:spacing w:after="0" w:line="342" w:lineRule="auto"/>
        <w:rPr>
          <w:sz w:val="20"/>
          <w:szCs w:val="20"/>
          <w:color w:val="auto"/>
        </w:rPr>
      </w:pPr>
      <w:r>
        <w:rPr>
          <w:rFonts w:ascii="Arial" w:cs="Arial" w:eastAsia="Arial" w:hAnsi="Arial"/>
          <w:sz w:val="16"/>
          <w:szCs w:val="16"/>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11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continue to evaluate our business to determine the potential need to realign our resources as we continue to transform our business in order to achieve desired cost savings in an increasingly competitive market. In prior years and again in fiscal 2015, we have undertaken a series of steps to restructure our operations involving, among other things and depending on the year, reductions of our workforce, the relocation of our corporate headquarters and the reduction and outsourcing of manufacturing activities. We incurred restructuring charges of $4.9 million, $11.1 million and $3.1 million in fiscal 2015, 2014 and 2013, respectively.</w:t>
      </w:r>
    </w:p>
    <w:p>
      <w:pPr>
        <w:spacing w:after="0" w:line="13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have based our restructuring efforts on assumptions and plans regarding the appropriate cost structure of our business based on our product mix and projected sales, among other factors. Some of our assumptions include the elimination of jobs and the outsourcing of certain functions to reduce our operating expenses. These assumptions may not be correct and we may not be able to operate in accordance with our plans. Should this occur we may determine that we must incur additional restructuring charges in the future. Moreover, we cannot assure you that we will realize all of the anticipated benefits of our restructuring actions or that we will not further reduce or otherwise adjust our workforce or exit, or dispose of, certain businesses and product lines. Any decision to further limit investment, exit, or disposal of businesses or product lines may result in the recording of additional restructuring charges. Consequently, the costs actually incurred in connection with the restructuring efforts may be higher than originally planned and may not lead to the anticipated cost savings and/or improved results. For example, if we consolidate additional facilities in the future, we may incur additional restructuring and related expenses, which could have a material adverse effect on our business, financial condition or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restructuring actions could harm our relationships with our employees and impact our ability to recruit new employees.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Employees, whether or not directly affected by any restructuring actions that we undertake, may seek employment with our business partners, customers or competitors. We cannot assure you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if we are unable to attract and retain key personnel.</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delays in hiring required personnel, particularly engineering and sales personnel, or the loss of key personnel to competitors could make it difficult to meet key objectives, such as timely and effective product introductions and financial goals.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be volatile, which can adversely affect the trading price of our common stock.</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quarterly operating results may vary significantly for a variety of reasons, many of which are outside our control. These factors could harm our business and include, among others:</w:t>
      </w:r>
    </w:p>
    <w:p>
      <w:pPr>
        <w:spacing w:after="0" w:line="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volume and timing of product orders and the timing of completion of our product deliveries and installations;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and the ability of our key suppliers to respond to changes on demand as needed;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margin variability based on geographic and product mix;</w:t>
      </w:r>
    </w:p>
    <w:p>
      <w:pPr>
        <w:spacing w:after="0" w:line="63"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retention of key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our sales cycle;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costs and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timely rollout of new product functionality and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resulting in downward pressure on the price of our products and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delays in the schedule for shipments of existing products and new generations of the existing platforms;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realize expected cost improvement throughout our supply chain;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 cancellations or postponements in product deliveries resulting in delayed 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and streamlining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customers to obtain financing to enable their purchase of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including denial of export and import licenses;</w:t>
      </w:r>
    </w:p>
    <w:p>
      <w:pPr>
        <w:spacing w:after="0" w:line="63"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worldwide that affect demand and financing for microwave and millimeter wave telecommunications networks;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size of future restructuring plans and write-offs.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Due to the volume of our international sales, we may be susceptible to a number of political, economic and geographic risks that could harm our business.</w:t>
      </w:r>
    </w:p>
    <w:p>
      <w:pPr>
        <w:spacing w:after="0" w:line="11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highly dependent on sales to customers outside the U.S. In fiscal 2015, 2014 and 2013, our sales to international customers accounted for 55%, 60% and 62%, respectively,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of the risks and challenges of doing business internationally include:</w:t>
      </w:r>
    </w:p>
    <w:p>
      <w:pPr>
        <w:spacing w:after="0" w:line="6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63"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 including its impact on unhedgeable currencies and our forecast variations for hedgeable currencies;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and operation of an enterprise spread over various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burden of complying with a variety of laws and regulations in various countries;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inflation and trade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kidnapping and high crime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controls;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export regulations.</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face strong competition for maintaining and improving our position in the market, which can adversely affect our revenue growth and operating results.</w:t>
      </w:r>
    </w:p>
    <w:p>
      <w:pPr>
        <w:spacing w:after="0" w:line="11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NEC and Alcatel-Lucent, as well as a number of other public and private companies, such as Ceragon, DragonWave and SIAE.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12"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w:t>
      </w:r>
    </w:p>
    <w:p>
      <w:pPr>
        <w:spacing w:after="0" w:line="12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16"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1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Part of our inventory may be written off, which would increase our cost of revenues. In addition, we may be exposed to inventory-related losses on inventories purchased by our contract manufacturers.</w:t>
      </w:r>
    </w:p>
    <w:p>
      <w:pPr>
        <w:spacing w:after="0" w:line="116"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During fiscal 2015, 2014 and 2013, we recorded charges to reduce the carrying value of our inventory to the lower of cost or market totaling $9.3 million, $7.2 million and $9.7 million, respectively. Such charges equaled 2.8%, 2.1% and 2.1% of our revenue in fiscal 2015, 2014 and 2013, respectively. These charges were primarily due to excess and obsolete inventory, including deferred cost of sales, resulting from product transitioning and discontinuance.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Inventory of raw materials, work in-process or finished products may accumulate in the future, and we may encounter losses due to a variety of factors, including:</w:t>
      </w:r>
    </w:p>
    <w:p>
      <w:pPr>
        <w:spacing w:after="0" w:line="11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 technological change in the wireless telecommunications industry resulting in frequent product changes;</w:t>
      </w:r>
    </w:p>
    <w:p>
      <w:pPr>
        <w:spacing w:after="0" w:line="63" w:lineRule="exact"/>
        <w:rPr>
          <w:rFonts w:ascii="Arial" w:cs="Arial" w:eastAsia="Arial" w:hAnsi="Arial"/>
          <w:sz w:val="18"/>
          <w:szCs w:val="18"/>
          <w:color w:val="auto"/>
        </w:rPr>
      </w:pPr>
    </w:p>
    <w:p>
      <w:pPr>
        <w:ind w:left="980" w:right="80" w:hanging="324"/>
        <w:spacing w:after="0" w:line="29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need of our contract manufacturers to order raw materials that have long lead times and our inability to estimate exact amounts and types of items thus needed, especially with regard to the frequencies in which the final products ordered will operate; and</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reduction initiatives resulting in component changes within the products.</w:t>
      </w:r>
    </w:p>
    <w:p>
      <w:pPr>
        <w:spacing w:after="0" w:line="17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Further, our inventory of finished products may accumulate as the result of cancellation of customer orders or our customers’ refusal to confirm the acceptance of our products. Our contract manufacturers are required to purchase inventory based on manufacturing projections we provide to them. If actual orders from our customers are lower than these manufacturing projections, our contract manufacturers will have excess inventory of raw materials or finished products which we would be required to purchase. In addition, we require our contract manufacturers from time to time to purchase more inventory than is immediately required, and to partially assemble components, in order to shorten our delivery time in case of an increase in demand for our products. In the absence of such increase in demand, we may need to compensate our contract manufacturers. If we are required to purchase excess inventory from our contract manufacturers or otherwise compensate our contract manufacturers for purchasing excess inventory, our business, financial condition and results of operations could be materially adversely affected. We also may purchase components or raw materials from time to time for use by our contract manufacturers in the manufacturing of our products. These purchases are based on our own manufacturing projections. If our actual orders are lower than these manufacturing projections, we may accumulate excess inventory, which we may be required to write-off. If we are forced to write-off this inventory other than in the normal course of business, our business, financial condition and results of operations could be materially adversely affected.</w:t>
      </w:r>
    </w:p>
    <w:p>
      <w:pPr>
        <w:spacing w:after="0" w:line="11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The effects of the poor global financial and economic conditions has had, and may continue to have, significant effects on our customers and suppliers, and has in the past, and may in the future have, a material adverse effect on our business, operating results, financial condition and stock price.</w:t>
      </w:r>
    </w:p>
    <w:p>
      <w:pPr>
        <w:spacing w:after="0" w:line="4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effects of poor global financial and economic conditions include, among other things, significant reductions in available capital and liquidity from banks and other providers of credit, substantial reductions and/or fluctuations in equity and currency values worldwide.</w:t>
      </w:r>
    </w:p>
    <w:p>
      <w:pPr>
        <w:spacing w:after="0" w:line="11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Poor economic conditions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134" w:lineRule="exact"/>
        <w:rPr>
          <w:sz w:val="20"/>
          <w:szCs w:val="20"/>
          <w:color w:val="auto"/>
        </w:rPr>
      </w:pPr>
    </w:p>
    <w:p>
      <w:pPr>
        <w:ind w:right="220" w:firstLine="432"/>
        <w:spacing w:after="0" w:line="288" w:lineRule="auto"/>
        <w:rPr>
          <w:sz w:val="20"/>
          <w:szCs w:val="20"/>
          <w:color w:val="auto"/>
        </w:rPr>
      </w:pPr>
      <w:r>
        <w:rPr>
          <w:rFonts w:ascii="Arial" w:cs="Arial" w:eastAsia="Arial" w:hAnsi="Arial"/>
          <w:sz w:val="16"/>
          <w:szCs w:val="16"/>
          <w:color w:val="auto"/>
        </w:rPr>
        <w:t>In addition, poor economic conditions could materially adversely affect our suppliers’ access to capital and liquidity with which to maintain their inventories, production levels, and/or product quality, could cause them to raise prices or lower production levels, or result in their ceasing operations. Further, with respect to our credit facility discussed under “Liquidity, Capital Resources and Financial Strategies” in Item 7 of this Annual Report on Form</w:t>
      </w:r>
    </w:p>
    <w:p>
      <w:pPr>
        <w:spacing w:after="0" w:line="261" w:lineRule="auto"/>
        <w:rPr>
          <w:sz w:val="20"/>
          <w:szCs w:val="20"/>
          <w:color w:val="auto"/>
        </w:rPr>
      </w:pPr>
      <w:r>
        <w:rPr>
          <w:rFonts w:ascii="Arial" w:cs="Arial" w:eastAsia="Arial" w:hAnsi="Arial"/>
          <w:sz w:val="18"/>
          <w:szCs w:val="18"/>
          <w:color w:val="auto"/>
        </w:rPr>
        <w:t>10-K, if continued uncertain economic conditions adversely affect Silicon Valley Bank, our ability to access the funds available under our credit facility could be materially adversely affected.</w:t>
      </w:r>
    </w:p>
    <w:p>
      <w:pPr>
        <w:spacing w:after="0" w:line="13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therefore,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are dependent on contract manufacturers to provide these manufacturing services or that we will be able to replace a contract manufacturer that is not able to meet our demand.</w:t>
      </w:r>
    </w:p>
    <w:p>
      <w:pPr>
        <w:spacing w:after="0" w:line="124"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1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could be highly volatile and could adversely affect our operating results.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future effective tax rate may be adversely affected by a number of factors, many of which are outside of our control, including:</w:t>
      </w:r>
    </w:p>
    <w:p>
      <w:pPr>
        <w:spacing w:after="0" w:line="17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adjustments to estimated taxes upon finalization of various tax returns;</w:t>
      </w:r>
    </w:p>
    <w:p>
      <w:pPr>
        <w:spacing w:after="0" w:line="63"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in-process research and development and impairment of goodwill in connection with acquisitions;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share-based compensation expense;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domestic or international tax laws or the interpretation of such tax laws;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effects of purchase accounting for acquisitions and restructuring charges that may cause fluctuations between reporting periods; and</w:t>
      </w:r>
    </w:p>
    <w:p>
      <w:pPr>
        <w:spacing w:after="0" w:line="86"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taxes that may be incurred upon a repatriation of cash from foreign operations.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significant increase in our future effective tax rates could impact our results of operations for future periods adversely.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commercial risks and exposures could increase if the financial condition of our customers declines.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In addition, if local currencies cannot be hedged, we have an inherent exposure in our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The financial healthiness may be exacerbated in many emerging markets, where our customers are being affected not only by recession, but by deteriorating local currencies and a lack of credit. Upon the financial failure of a customer, we may experience losses on credit extended and loans made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11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many of whom will be startup telecommunications operators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following risk factor.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1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16"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We had revenue from one customer that exceeded 10% of our total revenue during fiscal 2015 and 2014, and two customers that each exceeded 10% of our total revenue during fiscal 2013. Although we have a large customer base, during any given quarter a small number of customers may account for a significant portion of our revenue.</w:t>
      </w:r>
    </w:p>
    <w:p>
      <w:pPr>
        <w:spacing w:after="0" w:line="10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It is possible that a significant portion of our future product sales also could become even more concentrated in a limited number of customers as currently, one of our customers, MTN Group, represented over 10% of our revenue.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further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within the telecommunications industry could result in a decrease in our revenue.</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continually evaluate strategic opportunities which could involve merger and/or acquisition activities that could disrupt our operations and harm our operating results.</w:t>
      </w:r>
    </w:p>
    <w:p>
      <w:pPr>
        <w:spacing w:after="0" w:line="11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Acquisitions involve numerous risks, including the following:</w:t>
      </w:r>
    </w:p>
    <w:p>
      <w:pPr>
        <w:spacing w:after="0" w:line="127" w:lineRule="exact"/>
        <w:rPr>
          <w:sz w:val="20"/>
          <w:szCs w:val="20"/>
          <w:color w:val="auto"/>
        </w:rPr>
      </w:pPr>
    </w:p>
    <w:p>
      <w:pPr>
        <w:ind w:left="980" w:right="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integrating the operations, systems, technologies, products, and personnel of the acquired companies, particularly companies with large and widespread operations and/or complex products;</w:t>
      </w:r>
    </w:p>
    <w:p>
      <w:pPr>
        <w:spacing w:after="0" w:line="8"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 and the challenges of managing larger and more widespread operations resulting from acquisitions;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difficulties in completing projects associated with in-process research and development intangibles;</w:t>
      </w:r>
    </w:p>
    <w:p>
      <w:pPr>
        <w:spacing w:after="0" w:line="63"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each market have stronger market positions;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initial dependence on unfamiliar supply chains or relatively small supply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acquisitions; and</w:t>
      </w:r>
    </w:p>
    <w:p>
      <w:pPr>
        <w:spacing w:after="0" w:line="63"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loss of key employees, customers, distributors, vendors and other business partners of the companies we acquire following and continuing after announcement of acquisition plans.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may also cause us to:</w:t>
      </w:r>
    </w:p>
    <w:p>
      <w:pPr>
        <w:spacing w:after="0" w:line="17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common stock that would dilute our current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a substantial portion of our cash resources, or incur debt;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significantly increase our interest expense, leverage and debt service requirements if we incur additional debt to pay for an acquisition;</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 material liabilities;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 goodwill and non-amortizable intangible assets that are subject to impairment testing on a regular basis and potential periodic impairment charges;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tax expenses related to the effect of acquisitions on our intercompany R&amp;D cost sharing arrangement and legal structure;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large and immediate write-offs and restructuring and other related expenses;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become subject to intellectual property or other litigation.</w:t>
      </w:r>
    </w:p>
    <w:p>
      <w:pPr>
        <w:spacing w:after="0" w:line="1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Mergers and acquisitions of high-technology companies are inherently risky and subject to many factors outside of our control. No assurance can be given that our previous or future acquisitions will be successful and will not materially adversely affect our business, operating results or financial condition. Failure to manage and successfully integrate acquisitions could materially harm our business and operating results. Even when an acquired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16"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distribution and licensing relationships, our revenue may decrease.</w:t>
      </w:r>
    </w:p>
    <w:p>
      <w:pPr>
        <w:spacing w:after="0" w:line="17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Although a majority of our sales are made through our direct sales force, we also market our products through indirect sales channels such as independent agents, distributors,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our current relationships or develop new ones.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16"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We will be affected by the allocation and auction of the radio frequency spectrum by governmental authorities both in the U.S. and internationally. These governmental authorities may not allocate sufficient radio frequency spectrum for use by our products or we may not be successful in obtaining regulatory approval for our 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1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in the future and/or potential liabilities.</w:t>
      </w:r>
    </w:p>
    <w:p>
      <w:pPr>
        <w:spacing w:after="0" w:line="11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such as the governments of the United Kingdom and Brazil, have issued requirements, laws and regulations and continue to develop additional requirements, laws and regulations,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1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that could, if not remediated, result in material misstatements in our financial statements.</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connection with the audit of our consolidated financial statements as of and for the year ended July 3, 2015, we have concluded that there are material weaknesses relating to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Specifically, we identified material weaknesses relating to (i) our controls pertaining to risk assessment and monitoring activities; (ii) ensuring that account reconciliations were reviewed and approved for accuracy and completeness and that we identified, accumulated and documented appropriate information necessary to support account balances; (iii) ensuring that the terms and conditions of all negotiated customer discounts were agreed upon with the customer in advance of recognizing revenue to ensure that the reported amount and timing of revenue recognition was accurate; (iv) ensuring that all revenue recognized on shipments with FOB Destination terms was recognized in the proper period; (v) ensuring that the project accrual balances were accurate; and</w:t>
      </w:r>
    </w:p>
    <w:p>
      <w:pPr>
        <w:spacing w:after="0" w:line="2" w:lineRule="exact"/>
        <w:rPr>
          <w:sz w:val="20"/>
          <w:szCs w:val="20"/>
          <w:color w:val="auto"/>
        </w:rPr>
      </w:pPr>
    </w:p>
    <w:p>
      <w:pPr>
        <w:jc w:val="both"/>
        <w:ind w:right="160" w:firstLine="8"/>
        <w:spacing w:after="0" w:line="255" w:lineRule="auto"/>
        <w:tabs>
          <w:tab w:leader="none" w:pos="3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ensuring that the underlying quantities in support of inventory balances were accurate . For additional information on these matters, see Part II, Item 9A of this Annual Report on Form 10-K. As a result of these material weaknesses, management has determined that our disclosure controls and procedures and internal control over financial reporting were not effective as of July 3, 2015.</w:t>
      </w:r>
    </w:p>
    <w:p>
      <w:pPr>
        <w:spacing w:after="0" w:line="136"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Subsequent to our July 3, 2015 fiscal year end, we began taking a number of actions, including designing and implementing new controls and revising existing controls, in order to remediate the material weaknesses described above. We expect to continue our remediation efforts, including testing of operating effectiveness of new controls during the fiscal year ending July 1, 2016. We expect to incur additional costs remediating these material weaknesses.</w:t>
      </w:r>
    </w:p>
    <w:p>
      <w:pPr>
        <w:spacing w:after="0" w:line="9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We may need to take additional measures to fully mitigate the material weaknesses, and the measures we have taken, and expect to take, to improve our internal controls may not be sufficient to address the issues identified, to ensure that our internal controls are effective or to ensure that the identified material weaknesses will not result in a material misstatement of our annual or interim consolidated financial statements. In addition, other material weaknesses or deficiencies may be identified in the future. If we are unable to correct material weaknesses or deficiencies in internal controls in a timely manner, our ability to record, process, summarize and report financial information accurately and within the time periods specified in the rules and forms of the SEC will be adversely affected. This failure could negatively affect the market price and trading liquidity of our common stock, cause investors to lose confidence in our reported financial information, subject us to civil and criminal investigations and penalties, and generally materially and adversely impact our business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used in critical communications networks which may subject us to significant liability claims.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116"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4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System security risks, data protection breaches, and cyber attacks could compromise our proprietary information, disrupt our internal operations and harm public perception of our security products, which could cause our business and reputation to suffer and adversely affect our stock price.</w:t>
      </w:r>
    </w:p>
    <w:p>
      <w:pPr>
        <w:spacing w:after="0" w:line="4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ours, are subject to a wide variety of attacks on their networks on an ongoing basis. Despite our security measures, our information technology and infrastructure may be vulnerable to penetration or attacks by computer programmers and hackers, or breached due to employee error, malfeasance or other disruptions. Any such breach could compromise our networks, creating system disruptions or slowdowns and exploiting security vulnerabilities of our products, and the information stored on our networks could be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w:t>
      </w:r>
    </w:p>
    <w:p>
      <w:pPr>
        <w:spacing w:after="0" w:line="13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change frequently and generally are not recognized until after they are used, we may be unable to anticipate or immediately detect these techniques. This could impede our sales, manufacturing, distribution or other critical functions. In addition,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and provisions in our Amended and Restated Certificate of Incorporation and Amended and Restated Bylaws could make a third-party acquisition of us difficult.</w:t>
      </w:r>
    </w:p>
    <w:p>
      <w:pPr>
        <w:spacing w:after="0" w:line="11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and Amended and Restated Bylaws also contain certain provisions that may make a third-party acquisition of us difficult, including the ability of the Board of Directors to issue preferred stock and the requirement that nominations for directors and other proposals by stockholders must be made in advance of the meeting at which directors are elected or the proposals are voted upon.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As of July 3, 2015, we leased approximately 303,000 square feet of facilities worldwide, with approximately 61% in the United States, mostly in California, Texas, and North Carolina. Our corporate headquarters are located in Santa Clara, California, and consist of a building of approximately 129,000 square feet. The lease for our headquarters expires in April 2020 and we plan to sublease portions of the facility as part of our restructuring plans. We also lease approximately 54,000 square feet of office, assembly facilities and warehouse in certain locations in Texas. Internationally, we lease approximately 120,000 square feet of facilities throughout Europe, Canada, Central America, South America, Africa and Asia regions, including offices in Singapore, Slovenia, Philippine Islands, India, Mexico, South Africa, Algeria, Ghana, Ivory Coast, Kenya, Nigeria, France, Netherlands, Poland, Russia, Australia, Dubai, Saudi Arabia, Lebanon, China, Thailand, and Malaysia. In addition, we own approximately 108,000 square feet of facilities in Wellington, New Zealand and Lanarkshire, Scotland.</w:t>
      </w:r>
    </w:p>
    <w:p>
      <w:pPr>
        <w:spacing w:after="0" w:line="13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more information about our lease obligations, see “Note 13. Commitments and Contingencies” of notes to consolidated financial statements, which are included in Item 8 in this Annual Report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Price Range of Common Stock</w:t>
      </w:r>
    </w:p>
    <w:p>
      <w:pPr>
        <w:spacing w:after="0" w:line="17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According to the records of our transfer agent, as of September 17, 2015, there were 4,110 holders of record of our common stock. The following table sets forth the high and low closing prices for a share of our common stock on NASDAQ Global Select Market for the periods indicated during our fiscal years 2015 and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8"/>
              </w:rPr>
              <w:t>Fiscal 2015</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8"/>
              </w:rPr>
              <w:t>Fiscal 2014</w:t>
            </w:r>
          </w:p>
        </w:tc>
        <w:tc>
          <w:tcPr>
            <w:tcW w:w="78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1620" w:type="dxa"/>
            <w:vAlign w:val="bottom"/>
            <w:gridSpan w:val="3"/>
          </w:tcPr>
          <w:p>
            <w:pPr>
              <w:ind w:left="420"/>
              <w:spacing w:after="0"/>
              <w:rPr>
                <w:sz w:val="20"/>
                <w:szCs w:val="20"/>
                <w:color w:val="auto"/>
              </w:rPr>
            </w:pPr>
            <w:r>
              <w:rPr>
                <w:rFonts w:ascii="Arial" w:cs="Arial" w:eastAsia="Arial" w:hAnsi="Arial"/>
                <w:sz w:val="14"/>
                <w:szCs w:val="14"/>
                <w:b w:val="1"/>
                <w:bCs w:val="1"/>
                <w:color w:val="auto"/>
              </w:rPr>
              <w:t>High</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1600" w:type="dxa"/>
            <w:vAlign w:val="bottom"/>
            <w:gridSpan w:val="3"/>
          </w:tcPr>
          <w:p>
            <w:pPr>
              <w:ind w:left="420"/>
              <w:spacing w:after="0"/>
              <w:rPr>
                <w:sz w:val="20"/>
                <w:szCs w:val="20"/>
                <w:color w:val="auto"/>
              </w:rPr>
            </w:pPr>
            <w:r>
              <w:rPr>
                <w:rFonts w:ascii="Arial" w:cs="Arial" w:eastAsia="Arial" w:hAnsi="Arial"/>
                <w:sz w:val="14"/>
                <w:szCs w:val="14"/>
                <w:b w:val="1"/>
                <w:bCs w:val="1"/>
                <w:color w:val="auto"/>
              </w:rPr>
              <w:t>High</w:t>
            </w:r>
          </w:p>
        </w:tc>
        <w:tc>
          <w:tcPr>
            <w:tcW w:w="78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fourth quarter of fiscal 2015, we did not issue or sell any unregistered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fourth quarter of fiscal 2015, we did not repurchase any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following graph and accompanying data compares the cumulative total return on our common stock with the cumulative total return of the Total Return Index for The NASDAQ Composite Market (U.S. Companies) and the NASDAQ Telecommunications Index for the five-year period ended July 3, 2015. The stock price performance shown on the graph below is not necessarily indicative of future price performance. Note that this graph and accompanying data is “furnished,” not “filed,” with the SEC.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Aviat Networks,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142875</wp:posOffset>
            </wp:positionV>
            <wp:extent cx="5454015" cy="3636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401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7/2/2010</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7/1/2011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6/29/2012</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6/28/2013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6/27/2014</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7/3/2015</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 Networks, Inc.</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113.14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143.18</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168.38</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220.33</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253.92</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Telecommunications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160.75</w:t>
            </w:r>
          </w:p>
        </w:tc>
      </w:tr>
      <w:tr>
        <w:trPr>
          <w:trHeight w:val="230"/>
        </w:trPr>
        <w:tc>
          <w:tcPr>
            <w:tcW w:w="400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33" w:lineRule="exact"/>
        <w:rPr>
          <w:sz w:val="20"/>
          <w:szCs w:val="20"/>
          <w:color w:val="auto"/>
        </w:rPr>
      </w:pPr>
    </w:p>
    <w:p>
      <w:pPr>
        <w:ind w:left="500" w:right="120" w:hanging="465"/>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(i) $100 invested on July 2, 2010 in Aviat Networks, Inc. common stock, the Total Return Index for The NASDAQ Composite Market (U.S. companies) and the NASDAQ Telecommunications Index; and (ii) immediate reinvestment of all dividends.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table summarizes our selected historical financial information for each of the last five fiscal years that has been derived from our consolidated financial statements. Data presented for fiscal years 2015, 2014 and 2013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3"/>
              </w:rPr>
              <w:t>June 29, 2012</w:t>
            </w:r>
            <w:r>
              <w:rPr>
                <w:rFonts w:ascii="Arial" w:cs="Arial" w:eastAsia="Arial" w:hAnsi="Arial"/>
                <w:sz w:val="8"/>
                <w:szCs w:val="8"/>
                <w:b w:val="1"/>
                <w:bCs w:val="1"/>
                <w:color w:val="auto"/>
                <w:w w:val="93"/>
              </w:rPr>
              <w:t>(1)</w:t>
            </w:r>
          </w:p>
        </w:tc>
        <w:tc>
          <w:tcPr>
            <w:tcW w:w="220" w:type="dxa"/>
            <w:vAlign w:val="bottom"/>
          </w:tcPr>
          <w:p>
            <w:pPr>
              <w:spacing w:after="0"/>
              <w:rPr>
                <w:sz w:val="13"/>
                <w:szCs w:val="13"/>
                <w:color w:val="auto"/>
              </w:rPr>
            </w:pPr>
          </w:p>
        </w:tc>
        <w:tc>
          <w:tcPr>
            <w:tcW w:w="1100" w:type="dxa"/>
            <w:vAlign w:val="bottom"/>
          </w:tcPr>
          <w:p>
            <w:pPr>
              <w:jc w:val="center"/>
              <w:ind w:right="75"/>
              <w:spacing w:after="0" w:line="157" w:lineRule="exact"/>
              <w:rPr>
                <w:sz w:val="20"/>
                <w:szCs w:val="20"/>
                <w:color w:val="auto"/>
              </w:rPr>
            </w:pPr>
            <w:r>
              <w:rPr>
                <w:rFonts w:ascii="Arial" w:cs="Arial" w:eastAsia="Arial" w:hAnsi="Arial"/>
                <w:sz w:val="14"/>
                <w:szCs w:val="14"/>
                <w:b w:val="1"/>
                <w:bCs w:val="1"/>
                <w:color w:val="auto"/>
                <w:w w:val="92"/>
              </w:rPr>
              <w:t>July 1, 2011</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9"/>
              </w:rPr>
              <w:t>July 3, 2015</w:t>
            </w:r>
          </w:p>
        </w:tc>
        <w:tc>
          <w:tcPr>
            <w:tcW w:w="240" w:type="dxa"/>
            <w:vAlign w:val="bottom"/>
          </w:tcPr>
          <w:p>
            <w:pPr>
              <w:spacing w:after="0"/>
              <w:rPr>
                <w:sz w:val="12"/>
                <w:szCs w:val="12"/>
                <w:color w:val="auto"/>
              </w:rPr>
            </w:pPr>
          </w:p>
        </w:tc>
        <w:tc>
          <w:tcPr>
            <w:tcW w:w="12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5"/>
              </w:rPr>
              <w:t>June 27, 2014</w:t>
            </w:r>
            <w:r>
              <w:rPr>
                <w:rFonts w:ascii="Arial" w:cs="Arial" w:eastAsia="Arial" w:hAnsi="Arial"/>
                <w:sz w:val="8"/>
                <w:szCs w:val="8"/>
                <w:b w:val="1"/>
                <w:bCs w:val="1"/>
                <w:color w:val="auto"/>
                <w:w w:val="95"/>
              </w:rPr>
              <w:t>(1)</w:t>
            </w:r>
          </w:p>
        </w:tc>
        <w:tc>
          <w:tcPr>
            <w:tcW w:w="180" w:type="dxa"/>
            <w:vAlign w:val="bottom"/>
          </w:tcPr>
          <w:p>
            <w:pPr>
              <w:spacing w:after="0"/>
              <w:rPr>
                <w:sz w:val="12"/>
                <w:szCs w:val="12"/>
                <w:color w:val="auto"/>
              </w:rPr>
            </w:pPr>
          </w:p>
        </w:tc>
        <w:tc>
          <w:tcPr>
            <w:tcW w:w="12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3"/>
              </w:rPr>
              <w:t>June 28, 2013</w:t>
            </w:r>
            <w:r>
              <w:rPr>
                <w:rFonts w:ascii="Arial" w:cs="Arial" w:eastAsia="Arial" w:hAnsi="Arial"/>
                <w:sz w:val="8"/>
                <w:szCs w:val="8"/>
                <w:b w:val="1"/>
                <w:bCs w:val="1"/>
                <w:color w:val="auto"/>
                <w:w w:val="93"/>
              </w:rPr>
              <w:t>(1)</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75"/>
              <w:spacing w:after="0" w:line="149" w:lineRule="exact"/>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5"/>
              </w:rPr>
              <w:t>(Unaudited)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product sales and services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471.3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Cost of product sales and services</w:t>
            </w:r>
          </w:p>
        </w:tc>
        <w:tc>
          <w:tcPr>
            <w:tcW w:w="2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255.2</w:t>
            </w:r>
          </w:p>
        </w:tc>
        <w:tc>
          <w:tcPr>
            <w:tcW w:w="2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260.8</w:t>
            </w:r>
          </w:p>
        </w:tc>
        <w:tc>
          <w:tcPr>
            <w:tcW w:w="180" w:type="dxa"/>
            <w:vAlign w:val="bottom"/>
          </w:tcPr>
          <w:p>
            <w:pPr>
              <w:spacing w:after="0"/>
              <w:rPr>
                <w:sz w:val="21"/>
                <w:szCs w:val="21"/>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332.9</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312.6</w:t>
            </w:r>
          </w:p>
        </w:tc>
        <w:tc>
          <w:tcPr>
            <w:tcW w:w="2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income attributable to noncontrolling interests, net of</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Net loss attributable to Aviat Networks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(0.27)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(0.83)</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9"/>
              </w:rPr>
              <w:t>July 3, 2015</w:t>
            </w:r>
          </w:p>
        </w:tc>
        <w:tc>
          <w:tcPr>
            <w:tcW w:w="240" w:type="dxa"/>
            <w:vAlign w:val="bottom"/>
          </w:tcPr>
          <w:p>
            <w:pPr>
              <w:spacing w:after="0"/>
              <w:rPr>
                <w:sz w:val="13"/>
                <w:szCs w:val="13"/>
                <w:color w:val="auto"/>
              </w:rPr>
            </w:pPr>
          </w:p>
        </w:tc>
        <w:tc>
          <w:tcPr>
            <w:tcW w:w="12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5"/>
              </w:rPr>
              <w:t>June 27, 2014</w:t>
            </w:r>
            <w:r>
              <w:rPr>
                <w:rFonts w:ascii="Arial" w:cs="Arial" w:eastAsia="Arial" w:hAnsi="Arial"/>
                <w:sz w:val="8"/>
                <w:szCs w:val="8"/>
                <w:b w:val="1"/>
                <w:bCs w:val="1"/>
                <w:color w:val="auto"/>
                <w:w w:val="95"/>
              </w:rPr>
              <w:t>(1)</w:t>
            </w:r>
          </w:p>
        </w:tc>
        <w:tc>
          <w:tcPr>
            <w:tcW w:w="180" w:type="dxa"/>
            <w:vAlign w:val="bottom"/>
          </w:tcPr>
          <w:p>
            <w:pPr>
              <w:spacing w:after="0"/>
              <w:rPr>
                <w:sz w:val="13"/>
                <w:szCs w:val="13"/>
                <w:color w:val="auto"/>
              </w:rPr>
            </w:pPr>
          </w:p>
        </w:tc>
        <w:tc>
          <w:tcPr>
            <w:tcW w:w="12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3"/>
              </w:rPr>
              <w:t>June 28, 2013</w:t>
            </w:r>
            <w:r>
              <w:rPr>
                <w:rFonts w:ascii="Arial" w:cs="Arial" w:eastAsia="Arial" w:hAnsi="Arial"/>
                <w:sz w:val="8"/>
                <w:szCs w:val="8"/>
                <w:b w:val="1"/>
                <w:bCs w:val="1"/>
                <w:color w:val="auto"/>
                <w:w w:val="93"/>
              </w:rPr>
              <w:t>(1)</w:t>
            </w:r>
          </w:p>
        </w:tc>
        <w:tc>
          <w:tcPr>
            <w:tcW w:w="240" w:type="dxa"/>
            <w:vAlign w:val="bottom"/>
          </w:tcPr>
          <w:p>
            <w:pPr>
              <w:spacing w:after="0"/>
              <w:rPr>
                <w:sz w:val="13"/>
                <w:szCs w:val="13"/>
                <w:color w:val="auto"/>
              </w:rPr>
            </w:pPr>
          </w:p>
        </w:tc>
        <w:tc>
          <w:tcPr>
            <w:tcW w:w="1240" w:type="dxa"/>
            <w:vAlign w:val="bottom"/>
          </w:tcPr>
          <w:p>
            <w:pPr>
              <w:jc w:val="center"/>
              <w:ind w:right="135"/>
              <w:spacing w:after="0" w:line="157" w:lineRule="exact"/>
              <w:rPr>
                <w:sz w:val="20"/>
                <w:szCs w:val="20"/>
                <w:color w:val="auto"/>
              </w:rPr>
            </w:pPr>
            <w:r>
              <w:rPr>
                <w:rFonts w:ascii="Arial" w:cs="Arial" w:eastAsia="Arial" w:hAnsi="Arial"/>
                <w:sz w:val="14"/>
                <w:szCs w:val="14"/>
                <w:b w:val="1"/>
                <w:bCs w:val="1"/>
                <w:color w:val="auto"/>
                <w:w w:val="93"/>
              </w:rPr>
              <w:t>June 29, 2012</w:t>
            </w:r>
            <w:r>
              <w:rPr>
                <w:rFonts w:ascii="Arial" w:cs="Arial" w:eastAsia="Arial" w:hAnsi="Arial"/>
                <w:sz w:val="8"/>
                <w:szCs w:val="8"/>
                <w:b w:val="1"/>
                <w:bCs w:val="1"/>
                <w:color w:val="auto"/>
                <w:w w:val="93"/>
              </w:rPr>
              <w:t>(1)</w:t>
            </w:r>
          </w:p>
        </w:tc>
        <w:tc>
          <w:tcPr>
            <w:tcW w:w="220" w:type="dxa"/>
            <w:vAlign w:val="bottom"/>
          </w:tcPr>
          <w:p>
            <w:pPr>
              <w:spacing w:after="0"/>
              <w:rPr>
                <w:sz w:val="13"/>
                <w:szCs w:val="13"/>
                <w:color w:val="auto"/>
              </w:rPr>
            </w:pPr>
          </w:p>
        </w:tc>
        <w:tc>
          <w:tcPr>
            <w:tcW w:w="1100" w:type="dxa"/>
            <w:vAlign w:val="bottom"/>
          </w:tcPr>
          <w:p>
            <w:pPr>
              <w:jc w:val="center"/>
              <w:ind w:right="75"/>
              <w:spacing w:after="0" w:line="157" w:lineRule="exact"/>
              <w:rPr>
                <w:sz w:val="20"/>
                <w:szCs w:val="20"/>
                <w:color w:val="auto"/>
              </w:rPr>
            </w:pPr>
            <w:r>
              <w:rPr>
                <w:rFonts w:ascii="Arial" w:cs="Arial" w:eastAsia="Arial" w:hAnsi="Arial"/>
                <w:sz w:val="14"/>
                <w:szCs w:val="14"/>
                <w:b w:val="1"/>
                <w:bCs w:val="1"/>
                <w:color w:val="auto"/>
                <w:w w:val="92"/>
              </w:rPr>
              <w:t>July 1, 2011</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5"/>
              </w:rPr>
              <w:t>(Unaudited)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305.8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21"/>
                <w:szCs w:val="21"/>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83.9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111.9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159.1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168.4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620" w:right="2760" w:hanging="5612"/>
        <w:spacing w:after="0" w:line="559"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revised, please refer to Note 2 to the consolidated financial statements in this Annual Report on Form 10-K. 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certain charges, expenses and gains included in our net losses for each of the fiscal years in the five-year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 2015: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July 3, 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27, 2014</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28, 2013</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29, 2012</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July 1, 2011</w:t>
            </w:r>
          </w:p>
        </w:tc>
      </w:tr>
      <w:tr>
        <w:trPr>
          <w:trHeight w:val="196"/>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Rebranding and transitional costs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rPr>
              <w:t>Charges for product transition, product</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discontinuances and inventory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mark-downs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purchased technology and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the fair value adjustments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related to fixed assets and inventory</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NetBoss bad debt expenses and other</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Transactional tax assessments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Liquidation of entities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31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2015 and 2016 Results</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July 1, 2016 is referred to as “fiscal 2016” or “2016”; our fiscal year ended July 3, 2015 is referred to as “fiscal 2015” or “2015”; our fiscal year ended June 27, 2014 is referred to as “fiscal 2014” or “2014”; and our fiscal year ended June 28, 2013 is referred to as “fiscal 2013” or “2013.”</w:t>
      </w:r>
    </w:p>
    <w:p>
      <w:pPr>
        <w:spacing w:after="0" w:line="134"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40" w:firstLine="432"/>
        <w:spacing w:after="0" w:line="302" w:lineRule="auto"/>
        <w:rPr>
          <w:sz w:val="20"/>
          <w:szCs w:val="20"/>
          <w:color w:val="auto"/>
        </w:rPr>
      </w:pPr>
      <w:r>
        <w:rPr>
          <w:rFonts w:ascii="Arial" w:cs="Arial" w:eastAsia="Arial" w:hAnsi="Arial"/>
          <w:sz w:val="16"/>
          <w:szCs w:val="16"/>
          <w:color w:val="auto"/>
        </w:rPr>
        <w:t>Our strategic focus in fiscal 2016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this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Annual Report on Form 10-K, a number of factors could prevent us from achieving our objectives, including ongoing pricing pressures attributable to competition and macroeconomic conditions in the geographic markets that we service.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the third quarter of fiscal 2015, with the intent to bring the Company’s operational cost structure in line with the changing dynamics of the microwave radio and telecommunications markets, we initiated a restructuring plan (the “Fiscal 2015-2016 Plan”) to lower fixed overhead costs and operating expenses and to preserve cash flow. Our restructuring expenses incurred during fiscal 2015 primarily related to the Fiscal 2015-2016 Plan and a plan we initiated in fiscal 2014 (the “Fiscal 2014-2015 Plan”). We intend to complete a majority of the remaining restructuring activities under the current plans by the first half of fiscal 2016. See “Restructuring Charges”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Middle East, (2) Europe and Russia and (3) Latin America and Asia Pacific. Revenue by region for fiscal 2015, 2014 and 2013 and the related changes were shown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 Change</w:t>
            </w:r>
          </w:p>
        </w:tc>
        <w:tc>
          <w:tcPr>
            <w:tcW w:w="2400" w:type="dxa"/>
            <w:vAlign w:val="bottom"/>
            <w:gridSpan w:val="3"/>
          </w:tcPr>
          <w:p>
            <w:pPr>
              <w:jc w:val="right"/>
              <w:ind w:right="77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2015/2014</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2014/2013</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2015/2014</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2014/2013</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revenue in North America increased $11.2 million, or 7.9%, in fiscal 2015 compared with fiscal 2014. The increase in North America primarily resulted from increase of revenue from the government and utility markets, while revenue from network operator customers declined in fiscal 2015 compared with fiscal 2014.</w:t>
      </w:r>
    </w:p>
    <w:p>
      <w:pPr>
        <w:spacing w:after="0" w:line="12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Our revenue in North America decreased $38.5 million, or 21.3%, in fiscal 2014 compared with fiscal 2013. Revenue from wireless operator customers declined as they reach completion of their LTE network building period. We also saw lower revenue from private government and utility networks due to the timing of purchases and project deliveries to those customers.</w:t>
      </w:r>
    </w:p>
    <w:p>
      <w:pPr>
        <w:spacing w:after="0" w:line="12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Revenue in Africa and Middle East decreased $11.8 million, or 10.8%, in fiscal 2015 compared with fiscal 2014, reflecting network operator capital spending restraint in fiscal 2015 compared with fiscal 2014. Revenue in Europe and Russia remained approximately the same for fiscal 2015 compared with fiscal 2014. Revenue in Latin America and Asia Pacific declined $9.5 million, or 16.1%, in fiscal 2015 compared with fiscal 2014, mostly due to lower product sales to our larger customers in Latin America.</w:t>
      </w:r>
    </w:p>
    <w:p>
      <w:pPr>
        <w:spacing w:after="0" w:line="13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Revenue in Africa and Middle East decreased $73.3 million, or 40.2%, in fiscal 2014 compared with fiscal 2013. The majority of the decrease came from reduced capital spending by our largest customer in the region. Revenue in Europe and Russia declined $12.0 million, or 25.0%, in fiscal 2014 compared with fiscal 2013. This decrease was mostly from completion of a large project in fiscal 2013 that was not repeated in fiscal 2014 and from timing of customer purchases in fiscal 2014. Revenue in Latin America and Asia Pacific declined $1.5 million, or 2.5%, in fiscal 2014 compared with fiscal 2013. The decrease was primarily due to reduced sales in Thailand and Afghanistan.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 Change</w:t>
            </w:r>
          </w:p>
        </w:tc>
        <w:tc>
          <w:tcPr>
            <w:tcW w:w="240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2015/2014</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2014/2013</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2015/2014</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2014/2013</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Our revenue from product sales decreased $7.7 million, or 3.5%, in fiscal 2015 compared with fiscal 2014. The decrease came primarily from weaker product sales in Africa and Latin America, offset in part by stronger product sales in North America, Europe and Asia. Our service revenue decreased $2.4 million, or 1.9%, in fiscal 2015 compared with fiscal 2014, due to reduced service activities in Asia Pacific, Europe and Latin America, partially offset by increased service activities in Africa and North America.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revenue from product sales decreased $114.1 million, or 33.9%, in fiscal 2014 compared with fiscal 2013. The decrease was primarily due to reduced purchases of our products and services made by larger customers in Africa, North America and Europe compared to the previous year and continued reduction in fiscal 2014. Asia Pacific product sales were also down compared to fiscal 2013, with a small increase in Latin America. Our services revenue decreased $11.2 million, or 8.3%, in fiscal 2014 compared with fiscal 2013. The main reason for the decline was the reduced revenue in North America owing to the reduction in business with wireless network operators. Other regions had relatively flat service revenue performance between the years.</w:t>
      </w:r>
    </w:p>
    <w:p>
      <w:pPr>
        <w:spacing w:after="0" w:line="10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During fiscal 2015, the MTN Group in Africa accounted for 14% of our total revenue compared with 17% in fiscal 2014 and 25% in fiscal 2013. We have entered into separate and distinct contracts with MTN Group as well as separate arrangements with various MTN Group subsidiaries. For fiscal 2013, revenue from Verizon Wireless accounted for 11% of our total revenue. The loss of all or a substantial portion of MTN Group’s business could adversely affect our results of operations, cash flows and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620"/>
              <w:spacing w:after="0"/>
              <w:rPr>
                <w:sz w:val="20"/>
                <w:szCs w:val="20"/>
                <w:color w:val="auto"/>
              </w:rPr>
            </w:pPr>
            <w:r>
              <w:rPr>
                <w:rFonts w:ascii="Arial" w:cs="Arial" w:eastAsia="Arial" w:hAnsi="Arial"/>
                <w:sz w:val="14"/>
                <w:szCs w:val="14"/>
                <w:b w:val="1"/>
                <w:bCs w:val="1"/>
                <w:color w:val="auto"/>
              </w:rPr>
              <w:t>$ Change</w:t>
            </w:r>
          </w:p>
        </w:tc>
        <w:tc>
          <w:tcPr>
            <w:tcW w:w="238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2015/2014</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2014/2013</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2015/2014</w:t>
            </w: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2014/2013</w:t>
            </w: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471.3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332.9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2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040" w:type="dxa"/>
            <w:vAlign w:val="bottom"/>
          </w:tcPr>
          <w:p>
            <w:pPr>
              <w:jc w:val="right"/>
              <w:ind w:right="330"/>
              <w:spacing w:after="0"/>
              <w:rPr>
                <w:sz w:val="20"/>
                <w:szCs w:val="20"/>
                <w:color w:val="auto"/>
              </w:rPr>
            </w:pPr>
            <w:r>
              <w:rPr>
                <w:rFonts w:ascii="Arial" w:cs="Arial" w:eastAsia="Arial" w:hAnsi="Arial"/>
                <w:sz w:val="18"/>
                <w:szCs w:val="18"/>
                <w:color w:val="auto"/>
              </w:rPr>
              <w:t>24.0%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24.6%</w:t>
            </w:r>
          </w:p>
        </w:tc>
        <w:tc>
          <w:tcPr>
            <w:tcW w:w="5620" w:type="dxa"/>
            <w:vAlign w:val="bottom"/>
          </w:tcPr>
          <w:p>
            <w:pPr>
              <w:jc w:val="right"/>
              <w:ind w:right="4670"/>
              <w:spacing w:after="0"/>
              <w:rPr>
                <w:sz w:val="20"/>
                <w:szCs w:val="20"/>
                <w:color w:val="auto"/>
              </w:rPr>
            </w:pPr>
            <w:r>
              <w:rPr>
                <w:rFonts w:ascii="Arial" w:cs="Arial" w:eastAsia="Arial" w:hAnsi="Arial"/>
                <w:sz w:val="18"/>
                <w:szCs w:val="18"/>
                <w:color w:val="auto"/>
              </w:rPr>
              <w:t>29.4%</w:t>
            </w:r>
          </w:p>
        </w:tc>
      </w:tr>
      <w:tr>
        <w:trPr>
          <w:trHeight w:val="27"/>
        </w:trPr>
        <w:tc>
          <w:tcPr>
            <w:tcW w:w="2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w:t>
            </w:r>
          </w:p>
        </w:tc>
        <w:tc>
          <w:tcPr>
            <w:tcW w:w="20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23.7%</w:t>
            </w: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22.4%</w:t>
            </w:r>
          </w:p>
        </w:tc>
        <w:tc>
          <w:tcPr>
            <w:tcW w:w="5620" w:type="dxa"/>
            <w:vAlign w:val="bottom"/>
            <w:tcBorders>
              <w:bottom w:val="single" w:sz="8" w:color="CCEEFF"/>
            </w:tcBorders>
            <w:shd w:val="clear" w:color="auto" w:fill="CCEEFF"/>
          </w:tcPr>
          <w:p>
            <w:pPr>
              <w:jc w:val="right"/>
              <w:ind w:right="4670"/>
              <w:spacing w:after="0"/>
              <w:rPr>
                <w:sz w:val="20"/>
                <w:szCs w:val="20"/>
                <w:color w:val="auto"/>
              </w:rPr>
            </w:pPr>
            <w:r>
              <w:rPr>
                <w:rFonts w:ascii="Arial" w:cs="Arial" w:eastAsia="Arial" w:hAnsi="Arial"/>
                <w:sz w:val="18"/>
                <w:szCs w:val="18"/>
                <w:color w:val="auto"/>
              </w:rPr>
              <w:t>28.8%</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Service margin %</w:t>
            </w:r>
          </w:p>
        </w:tc>
        <w:tc>
          <w:tcPr>
            <w:tcW w:w="2040" w:type="dxa"/>
            <w:vAlign w:val="bottom"/>
          </w:tcPr>
          <w:p>
            <w:pPr>
              <w:jc w:val="right"/>
              <w:ind w:right="330"/>
              <w:spacing w:after="0"/>
              <w:rPr>
                <w:sz w:val="20"/>
                <w:szCs w:val="20"/>
                <w:color w:val="auto"/>
              </w:rPr>
            </w:pPr>
            <w:r>
              <w:rPr>
                <w:rFonts w:ascii="Arial" w:cs="Arial" w:eastAsia="Arial" w:hAnsi="Arial"/>
                <w:sz w:val="18"/>
                <w:szCs w:val="18"/>
                <w:color w:val="auto"/>
              </w:rPr>
              <w:t>24.5%</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28.6%</w:t>
            </w:r>
          </w:p>
        </w:tc>
        <w:tc>
          <w:tcPr>
            <w:tcW w:w="5620" w:type="dxa"/>
            <w:vAlign w:val="bottom"/>
          </w:tcPr>
          <w:p>
            <w:pPr>
              <w:jc w:val="right"/>
              <w:ind w:right="4670"/>
              <w:spacing w:after="0"/>
              <w:rPr>
                <w:sz w:val="20"/>
                <w:szCs w:val="20"/>
                <w:color w:val="auto"/>
              </w:rPr>
            </w:pPr>
            <w:r>
              <w:rPr>
                <w:rFonts w:ascii="Arial" w:cs="Arial" w:eastAsia="Arial" w:hAnsi="Arial"/>
                <w:sz w:val="18"/>
                <w:szCs w:val="18"/>
                <w:color w:val="auto"/>
              </w:rPr>
              <w:t>30.7%</w:t>
            </w:r>
          </w:p>
        </w:tc>
      </w:tr>
    </w:tbl>
    <w:p>
      <w:pPr>
        <w:spacing w:after="0" w:line="17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Gross margin for fiscal 2015 decreased $4.5 million, or 5.3%, compared with fiscal 2014, primarily due to decreased profitability in Africa, Middle East, Europe and Latin America and a $2.5 million increase in foreign exchange loss, partially offset by improved profitability in North America and Asia along with reduced supply chain costs compared with fiscal 2014. Gross margin as a percentage of revenue decreased in fiscal 2015 compared with fiscal 2014 primarily due to lower profitability in Africa, Middle East, Europe and Latin America and increased foreign exchange losses compared with fiscal 2014, partially offset by higher gross margin rates in North America and Asia. Product margin as a percentage of product revenue increased over fiscal 2014 primarily to a greater portion of the overall business coming from North America along with improved pricing in that market, and better pricing on sales in Asia. Service margin as a percentage of service revenue declined primarily due to a less profitable service business in international markets.</w:t>
      </w:r>
    </w:p>
    <w:p>
      <w:pPr>
        <w:spacing w:after="0" w:line="11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Gross margin for fiscal 2014 decreased $53.2 million, or 38.4%, compared with fiscal 2013, primarily due to reduced sales volume. Gross margin as a percentage of revenue decreased in fiscal 2014 compared with fiscal 2013 primarily due to competitive market pricing pressure for our products and services and spreading our fixed costs into lower product and services revenue volumes. Product margin as a percentage of product revenue declined in fiscal 2014 primarily due to pricing pressures in international markets and the absorption of fixed costs over a lower revenue volume. Service margin as a percentage of service revenue declined primarily due to a less profitable service business in North America.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238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2015/2014</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2014/2013</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2015/2014</w:t>
            </w: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2014/2013</w:t>
            </w:r>
          </w:p>
        </w:tc>
      </w:tr>
      <w:tr>
        <w:trPr>
          <w:trHeight w:val="215"/>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460"/>
              <w:spacing w:after="0"/>
              <w:rPr>
                <w:sz w:val="20"/>
                <w:szCs w:val="20"/>
                <w:color w:val="auto"/>
              </w:rPr>
            </w:pPr>
            <w:r>
              <w:rPr>
                <w:rFonts w:ascii="Arial" w:cs="Arial" w:eastAsia="Arial" w:hAnsi="Arial"/>
                <w:sz w:val="18"/>
                <w:szCs w:val="18"/>
                <w:color w:val="auto"/>
                <w:w w:val="97"/>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7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Our R&amp;D expenses decreased $10.1 million, or 28.5%, in fiscal 2015 compared with fiscal 2014. As a percentage of revenue, R&amp;D expenses decreased to 7.6% in fiscal 2015 from 10.3% in fiscal 2014. The decrease in R&amp;D expenses was primarily due to a $7.2 million reduction in personnel and related expenses, a $1.2 million decrease in new product development costs, a $2.0 million decrease in facility expense, a $0.2 million decrease in travel expense and a $0.2 million decrease in share-based compensation expenses primarily due to restructuring of R&amp;D in Santa Clara, California.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continue to invest in new product features, new functionality and lower cost platforms that we believe will enable our product lines to retain their technology leads in a cost effective manner.</w:t>
      </w:r>
    </w:p>
    <w:p>
      <w:pPr>
        <w:spacing w:after="0" w:line="116"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R&amp;D expenses decreased $3.9 million, or 9.9%, in fiscal 2014 compared with fiscal 2013. As a percentage of revenue, R&amp;D expenses also increased to 10.3% in fiscal 2014 from 8.4% in fiscal 2013. The decrease in R&amp;D expenses of $3.9 million consisted primarily of a $3.8 million decrease of personnel expenses as a result of the restructuring programs we implemented and a $0.7 million decrease in stock based compensation, partially offset by a $0.3 million increase in expenses related to our investment in new product development.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238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2015/2014</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2014/2013</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2015/2014</w:t>
            </w: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2014/2013</w:t>
            </w:r>
          </w:p>
        </w:tc>
      </w:tr>
      <w:tr>
        <w:trPr>
          <w:trHeight w:val="215"/>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3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60" w:type="dxa"/>
            <w:vAlign w:val="bottom"/>
          </w:tcPr>
          <w:p>
            <w:pPr>
              <w:spacing w:after="0"/>
              <w:rPr>
                <w:sz w:val="21"/>
                <w:szCs w:val="21"/>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w w:val="93"/>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7"/>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selling and administrative expenses decreased $12.8 million, or 14.4%, in fiscal 2015 compared with fiscal 2014. The decrease was due primarily to a $7.1 million decrease in personnel and related expenses, a $1.8 million decrease in IT consulting expenses as result of the completion of our ERP system implementation, a $1.7 million reduction in travel expenses, a $3.6 million decrease in sales commission and incentive compensation, and a $1.1 million decrease in share-based compensation expenses resulting from employee terminations and full vesting of prior stock awards. The decreases were partially offset by a $3.4 million increase in professional fees primarily associated with the annual audit of our fiscal 2014 financial statements. We will continue to seek ways to improve our operating efficiency in fiscal 2016.</w:t>
      </w:r>
    </w:p>
    <w:p>
      <w:pPr>
        <w:spacing w:after="0" w:line="13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selling and administrative expenses decreased $6.7 million, or 7.0%, in fiscal 2014 compared with fiscal 2013. The decrease was due primarily to a $2.9 million reduction in personnel expenses as a result of the restructuring programs we implemented, a $1.5 million reduction in bad debt expenses, a $1.9 million decrease in share-based compensation expenses and a $1.8 million decrease in agent commissions. This was partially offset by a $2.0 million increase in expenses for information technology projects.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100" w:firstLine="392"/>
        <w:spacing w:after="0" w:line="312" w:lineRule="auto"/>
        <w:rPr>
          <w:sz w:val="20"/>
          <w:szCs w:val="20"/>
          <w:color w:val="auto"/>
        </w:rPr>
      </w:pPr>
      <w:r>
        <w:rPr>
          <w:rFonts w:ascii="Arial" w:cs="Arial" w:eastAsia="Arial" w:hAnsi="Arial"/>
          <w:sz w:val="16"/>
          <w:szCs w:val="16"/>
          <w:color w:val="auto"/>
        </w:rPr>
        <w:t>During the third quarter of fiscal 2015, with the intent to bring our operational cost structure in line with the changing dynamics of the microwave radio and telecommunications markets, we initiated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93"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color w:val="auto"/>
        </w:rPr>
        <w:t>During the third quarter of fiscal 2014, in line with the decrease in revenue that we experienced and our reduced forecast for the immediate future, we initiated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11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the downsizing of our Santa Clara, California headquarters and certain international field offices.</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first quarter of fiscal 2011, we initiated a restructuring plan (the “Fiscal 2011 Plan”) to reduce our operational costs primarily in North America, Europe and Asia. Activities under the Fiscal 2011 Plan included the reductions in force to reduce our operating expenses and downsizing or closures of our Morrisville, North Carolina, Santa Clara, California, Montreal, Canada offices and certain international field offices. The Fiscal 2011 Plan has been completed as of the end of fiscal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by plan for fiscal 2015, 2014 and 2013 are summarized in the table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 Change</w:t>
            </w:r>
          </w:p>
        </w:tc>
        <w:tc>
          <w:tcPr>
            <w:tcW w:w="2400" w:type="dxa"/>
            <w:vAlign w:val="bottom"/>
            <w:gridSpan w:val="3"/>
          </w:tcPr>
          <w:p>
            <w:pPr>
              <w:jc w:val="right"/>
              <w:ind w:right="77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2015/2014</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2014/2013</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2015/2014</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2014/2013</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258.1 %</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By Plan:</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2015-2016 Plan</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N/A</w:t>
            </w:r>
          </w:p>
        </w:tc>
      </w:tr>
      <w:tr>
        <w:trPr>
          <w:trHeight w:val="243"/>
        </w:trPr>
        <w:tc>
          <w:tcPr>
            <w:tcW w:w="3080" w:type="dxa"/>
            <w:vAlign w:val="bottom"/>
          </w:tcPr>
          <w:p>
            <w:pPr>
              <w:ind w:left="220"/>
              <w:spacing w:after="0"/>
              <w:rPr>
                <w:sz w:val="20"/>
                <w:szCs w:val="20"/>
                <w:color w:val="auto"/>
              </w:rPr>
            </w:pPr>
            <w:r>
              <w:rPr>
                <w:rFonts w:ascii="Arial" w:cs="Arial" w:eastAsia="Arial" w:hAnsi="Arial"/>
                <w:sz w:val="18"/>
                <w:szCs w:val="18"/>
                <w:color w:val="auto"/>
              </w:rPr>
              <w:t>Fiscal 2014-2015 Plan</w:t>
            </w: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N/A</w:t>
            </w: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2013-2014 Plan</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194.4 %</w:t>
            </w:r>
          </w:p>
        </w:tc>
      </w:tr>
      <w:tr>
        <w:trPr>
          <w:trHeight w:val="243"/>
        </w:trPr>
        <w:tc>
          <w:tcPr>
            <w:tcW w:w="3080" w:type="dxa"/>
            <w:vAlign w:val="bottom"/>
          </w:tcPr>
          <w:p>
            <w:pPr>
              <w:ind w:left="220"/>
              <w:spacing w:after="0"/>
              <w:rPr>
                <w:sz w:val="20"/>
                <w:szCs w:val="20"/>
                <w:color w:val="auto"/>
              </w:rPr>
            </w:pPr>
            <w:r>
              <w:rPr>
                <w:rFonts w:ascii="Arial" w:cs="Arial" w:eastAsia="Arial" w:hAnsi="Arial"/>
                <w:sz w:val="18"/>
                <w:szCs w:val="18"/>
                <w:color w:val="auto"/>
              </w:rPr>
              <w:t>Fiscal 2011 Plan</w:t>
            </w:r>
          </w:p>
        </w:tc>
        <w:tc>
          <w:tcPr>
            <w:tcW w:w="2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17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Our restructuring expenses consisted primarily of severance and related benefit charges and facilities costs related to obligations under non-cancelable leases for facilities that we ceased to use. Restructuring charges for fiscal 2015 included a $2.8 million employee termination charge primarily related to the Fiscal 2015-2016 Plan, a $1.5 million facility charge related to ceasing to use portion of our Santa Clara headquarters building and a $0.6 million Slovenia government fund penalty charge related to the workforce reduction. Restructuring charges for fiscal 2014 included a $4.7 million facilities charge primarily related to ceasing to use a portion of our Santa Clara headquarters building and a $6.4 million employee termination charge primarily related to our Fiscal 2014-2015 Plan. Restructuring charges for fiscal 2013 included a $3.0 million employee termination charge primarily related to our Fiscal 2013-2014 Plan and Fiscal 2011 Plan.</w:t>
      </w:r>
    </w:p>
    <w:p>
      <w:pPr>
        <w:spacing w:after="0" w:line="13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have substantially completed our activities under the Fiscal 2014-2015 Plan and the Fiscal 2013-2014 Plan and intend to substantially complete the remaining restructuring activities under the Fiscal 2015-2016 Plan by the end of the second quarter of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Interest Income and Interest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0.8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of $0.7 million for fiscal 2013 reflected a nonrecurring benefit related to a customer contract.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and term loans under the SVB Credit Facility and discounts on customer letters of credit.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2015/2014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2014/2013</w:t>
            </w:r>
          </w:p>
        </w:tc>
      </w:tr>
      <w:tr>
        <w:trPr>
          <w:trHeight w:val="21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5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5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 of income (loss) from continuing operations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income taxes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7"/>
        </w:trPr>
        <w:tc>
          <w:tcPr>
            <w:tcW w:w="5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income tax benefit from continuing operations for fiscal 2015 was $1.3 million. The difference between our income tax benefit from continuing operations and income tax expense at the statutory rate of 35% on our pre-tax loss of $26.0 million was primarily attributable to losses in tax jurisdictions in which we cannot recognize a tax benefit, an increase in foreign withholding taxes and the $4.4 million benefit from the release of valuation allowance.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income tax expense from continuing operations for fiscal 2014 was $1.5 million. The difference between our income tax expense from continuing operations and income tax benefit at the statutory rate of 35% on our pre-tax loss of $50.5 million was primarily attributable to losses in tax jurisdictions in which we cannot recognize a tax benefit and increase in foreign withholding taxes.</w:t>
      </w:r>
    </w:p>
    <w:p>
      <w:pPr>
        <w:spacing w:after="0" w:line="12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income tax expense from continuing operations for fiscal 2013 was $13.3 million. The difference between our income tax expense from continuing operations and income tax benefit at the statutory rate of 35% on our pre-tax loss of $0.7 million was primarily attributable to a $11.7 million increase in our reserves for uncertain tax positions, losses in tax jurisdictions in which we cannot recognize a tax benefit and increase in foreign withholding taxes. The increase in our unrecognized tax benefits was the result of additional information obtained during the recent tax examinations in certain countries during fiscal 2013.</w:t>
      </w:r>
    </w:p>
    <w:p>
      <w:pPr>
        <w:spacing w:after="0" w:line="13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2015/2014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2014/2013</w:t>
            </w: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r>
      <w:tr>
        <w:trPr>
          <w:trHeight w:val="27"/>
        </w:trPr>
        <w:tc>
          <w:tcPr>
            <w:tcW w:w="5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discontinued operations consist of the WiMAX business, which was sold to EION Networks, Inc. (“EION”) on September 2, 2011. We completed the business transition with EION in fiscal 2012. The income recognized in fiscal 2015 was primarily due to a $0.1 million write-off of accrued liabilities due to EION. The income incurred in fiscal 2014 was primarily due to recovery of certain WiMAX customer receivables that was previously written down. The loss incurred in fiscal 2013 was primarily due to $4.2 million write-downs of certain WiMAX deferred cost of sales that were not transferred to EION and certain expenses we incurred to support a remaining customer obligation. The loss was partially offset by a $0.3 million write down of our payable to EION related to customer receivables and $0.1 million contingent payments we received from EION.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As of July 3, 2015, our total cash and cash equivalents were $34.7 million. Approximately $11.7 million, or 33.7%, was held by entities domiciled in the United States. The remaining balance of $23.0 million, or 66.3%, was held by entities outside the United States. Of the amount of cash and cash equivalents held by our foreign subsidiaries at July 3, 2015, $17.0 million was held in jurisdictions where our undistributed earnings are indefinitely reinvested, and if repatriated, would be subject to U.S. taxes which are currently nominal.</w:t>
      </w:r>
    </w:p>
    <w:p>
      <w:pPr>
        <w:spacing w:after="0" w:line="13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As of July 3, 2015, our principal sources of liquidity consisted of the $34.7 million in cash and cash equivalents, $26.9 million of available credit under our $40.0 million credit facility with Silicon Valley Bank (“SVB”),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fiscal 2015, our total cash and cash equivalents decreased by $14.1 million primarily due to $9.0 million of cash used in operating activities, $3.7 million of cash used for capital expenditures and $4.3 million decrease due to foreign exchange rate impact, partially offset by $3.0 million net borrowing from our short-term debt arrangement.</w:t>
      </w:r>
    </w:p>
    <w:p>
      <w:pPr>
        <w:spacing w:after="0" w:line="124"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Cash used in operating activities was $9.0 million in fiscal 2015, primarily due to our net loss of $24.6 million adjusted by non-cash expense items of $15.6 million, increases in accounts receivables of $13.5 million and inventories of $1.9 million and decreases in accounts payable and accrued expenses of $2.5 million, partially offset by decreases in unbilled costs of $6.1 million and in customer service inventories of $2.3 million, and increases in customer advance payments and unearned income of $9.3 million. The increase in accounts receivable was primarily due to higher revenue and billings to customer in the fourth quarter of fiscal 2015. The increase in inventories was primarily due to higher deferred cost of sales associated with higher unearned income and the timing of customer shipments. The decreases in accounts payable and accrued expenses were primarily due to the timing of vendor payments. The decrease in unbilled costs was due to the timing of billing of projects. The increase in customer advance payments and unearned income was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due to the timing of revenue recognition on several large contracts. We used $5.6 million in cash during fiscal 2015 on expenses related to restructuring liabilities.</w:t>
      </w:r>
    </w:p>
    <w:p>
      <w:pPr>
        <w:spacing w:after="0" w:line="11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For fiscal 2016, we expect to spend approximately $4.0 million for capital expenditures, primarily on equipment for development and manufacturing of new products and to support customer managed services.</w:t>
      </w:r>
    </w:p>
    <w:p>
      <w:pPr>
        <w:spacing w:after="0" w:line="11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(as defined below) and future cash collections from customers will be sufficient to provide for our anticipated requirements for working capital and capital expenditures for at least the next 12 months. There can be no assurance, however, that our business will generate cash flow from operations, we will be in compliance with the quarterly financial covenants contained in the SVB Credit Facility, or that anticipated operational improvements will be achieved. If we are not in compliance with the financial covenants,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On March 28, 2014, we entered into a Second Amended and Restated Loan Agreement with SVB (the “SVB Credit Facility”) which was amended subsequently in 2014 providing for the extensions of the deadline for preparing and filing our fiscal 2014 financial statements with the SEC. On February 27, 2015, the SVB Credit Facility was further amended providing for certain amendments to the financial covenants, borrowing base and an early termination fee if the credit facility is terminated prior to its expiration. This agreement amends and restates our First Amended and Restated Loan and Security Agreement, which was entered into on September 27, 2013 and amended on October 29, 2013, November 20, 2013 and February 10, 2014, respectively, which amendments provided for certain amendments to the maximum borrowing limit and financial covenants. As of September 27, 2013, we repaid the entire outstanding balance of the original $8.3 million two-year term loan that we borrowed on January 30, 2012. During fiscal 2015, we made net borrowings of $3.0 million and our outstanding debt under the SVB Credit Facility was $9.0 million as of July 3, 2015.</w:t>
      </w:r>
    </w:p>
    <w:p>
      <w:pPr>
        <w:spacing w:after="0" w:line="1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SVB Credit Facility provides for a committed amount of up to $40.0 million, with a $30.0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If the SVB Credit Facility is terminated by us in certain circumstances prior to its expiration, we are subject to an early termination fee equal to 1% of the revolving line. As of July 3, 2015, available credit under the SVB Credit Facility was $26.9 million reflecting the calculated borrowing base of $40.0 million less existing borrowings of $9.0 million and outstanding letters of credit of $4.1 million.</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3-month interval if the interest period is greater than three months. During fiscal 2015, the weighted average interest rate on our outstanding loan was 3.75%.</w:t>
      </w:r>
    </w:p>
    <w:p>
      <w:pPr>
        <w:spacing w:after="0" w:line="13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July 3, 2015, we were in compliance with the quarterly financial covenants contained in the SVB Credit Facility. However, as a result of uncertainty on our ability to meet the financial covenants in future and the fact that the SVB Credit Facility contains subjective acceleration clauses that could be triggered by the lender, the $9.0 million borrowing was classified as a current liability as of July 3,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We have a liability for restructuring activities totaling $4.5 million as of July 3, 2015, of which $3.9 million is classified as current liability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 2015, cash payments due under our contractual obligations were estimated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4"/>
              </w:rPr>
              <w:t>Obligations Due by Fiscal Year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After 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under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(1)(3)</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Reserve for uncertain tax positions</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85" w:lineRule="exact"/>
        <w:rPr>
          <w:rFonts w:ascii="Arial" w:cs="Arial" w:eastAsia="Arial" w:hAnsi="Arial"/>
          <w:sz w:val="18"/>
          <w:szCs w:val="18"/>
          <w:color w:val="auto"/>
        </w:rPr>
      </w:pPr>
    </w:p>
    <w:p>
      <w:pPr>
        <w:ind w:left="660" w:right="3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Liabilities for uncertain tax positions of $1.0 million were included in long-term liabilities in the consolidated balance sheet. At this time, we are unable to make a reasonably reliable estimate of the timing of payments related to this amount due to uncertainties in the timing of tax audit outcomes.</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items are not recorded on our balance sheet.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71"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July 3, 2015, we had commercial commitments on outstanding surety bonds and standby letters of credit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rPr>
              <w:t>Expiration of Commitments by Fiscal Year</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After 2018</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Standby letters of credit used for:</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Bids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guarantees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Surety bonds used for:</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and payment guarantees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commercial commitments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As we have not historically had to pay out on any of our performance guarantees, the outstanding commercial commitments have not been recorded in our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In accordance with the definition under SEC rules (Item 303(a) (4) (ii) of Regulation S-K), any of the following qualify as off-balance sheet arrangements:</w:t>
      </w:r>
    </w:p>
    <w:p>
      <w:pPr>
        <w:spacing w:after="0" w:line="116"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63"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63" w:lineRule="exact"/>
        <w:rPr>
          <w:rFonts w:ascii="Arial" w:cs="Arial" w:eastAsia="Arial" w:hAnsi="Arial"/>
          <w:sz w:val="18"/>
          <w:szCs w:val="18"/>
          <w:color w:val="auto"/>
        </w:rPr>
      </w:pPr>
    </w:p>
    <w:p>
      <w:pPr>
        <w:ind w:left="980" w:right="36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12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July 3, 2015,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Due to the downsizing of certain of our operations pursuant to divestitures, restructuring plans or otherwise, some properties leased by us have been sublet to third parties. In the event any of these third parties vacate any of these premises, we would be legally obligated under master lease arrangements. We believe that the financial risk of default by such sublessors is not likely to be individually or in the aggregate material to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171"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Prior to the fourth quarter of fiscal 2015, these derivatives were designated as cash flow hedges and are carried at fair value. The effective portion of the gain or loss was initially reported as a component of accumulated other comprehensive income (loss), and upon occurrence of the forecasted transaction, was subsequently reclassified into the income or expense line item to which the hedged transaction relates. Beginning the fourth quarter of fiscal 2015, we no longer prepared contemporaneous documentation of hedges therefore the foreign exchange hedges no longer qualified as cash flow hedge. The changes in fair value related to the hedges were recorded in income or expenses line items on our statements of operations.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As of July 3, 2015, we had foreign currency forward contracts outstanding with a total notional amount of $14.2 million consisting of 9 different currencies. The following is a summary of the gross notional amount of our outstanding contracts grouped by the underlying foreign currency as of July 3, 2015: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ind w:right="317"/>
              <w:spacing w:after="0"/>
              <w:rPr>
                <w:sz w:val="20"/>
                <w:szCs w:val="20"/>
                <w:color w:val="auto"/>
              </w:rPr>
            </w:pPr>
            <w:r>
              <w:rPr>
                <w:rFonts w:ascii="Arial" w:cs="Arial" w:eastAsia="Arial" w:hAnsi="Arial"/>
                <w:sz w:val="14"/>
                <w:szCs w:val="14"/>
                <w:b w:val="1"/>
                <w:bCs w:val="1"/>
                <w:color w:val="auto"/>
                <w:w w:val="96"/>
              </w:rPr>
              <w:t>Notional</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w w:val="96"/>
              </w:rPr>
              <w:t>Notional Contract Amount</w:t>
            </w:r>
          </w:p>
        </w:tc>
        <w:tc>
          <w:tcPr>
            <w:tcW w:w="400" w:type="dxa"/>
            <w:vAlign w:val="bottom"/>
          </w:tcPr>
          <w:p>
            <w:pPr>
              <w:spacing w:after="0"/>
              <w:rPr>
                <w:sz w:val="12"/>
                <w:szCs w:val="12"/>
                <w:color w:val="auto"/>
              </w:rPr>
            </w:pPr>
          </w:p>
        </w:tc>
        <w:tc>
          <w:tcPr>
            <w:tcW w:w="130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2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7660" w:type="dxa"/>
            <w:vAlign w:val="bottom"/>
            <w:gridSpan w:val="2"/>
            <w:vMerge w:val="continue"/>
          </w:tcPr>
          <w:p>
            <w:pPr>
              <w:spacing w:after="0"/>
              <w:rPr>
                <w:sz w:val="16"/>
                <w:szCs w:val="16"/>
                <w:color w:val="auto"/>
              </w:rPr>
            </w:pPr>
          </w:p>
        </w:tc>
        <w:tc>
          <w:tcPr>
            <w:tcW w:w="2060" w:type="dxa"/>
            <w:vAlign w:val="bottom"/>
          </w:tcPr>
          <w:p>
            <w:pPr>
              <w:jc w:val="right"/>
              <w:ind w:right="576"/>
              <w:spacing w:after="0"/>
              <w:rPr>
                <w:sz w:val="20"/>
                <w:szCs w:val="20"/>
                <w:color w:val="auto"/>
              </w:rPr>
            </w:pPr>
            <w:r>
              <w:rPr>
                <w:rFonts w:ascii="Arial" w:cs="Arial" w:eastAsia="Arial" w:hAnsi="Arial"/>
                <w:sz w:val="14"/>
                <w:szCs w:val="14"/>
                <w:b w:val="1"/>
                <w:bCs w:val="1"/>
                <w:color w:val="auto"/>
              </w:rPr>
              <w:t>(Local Currency)</w:t>
            </w:r>
          </w:p>
        </w:tc>
        <w:tc>
          <w:tcPr>
            <w:tcW w:w="400" w:type="dxa"/>
            <w:vAlign w:val="bottom"/>
          </w:tcPr>
          <w:p>
            <w:pPr>
              <w:spacing w:after="0"/>
              <w:rPr>
                <w:sz w:val="16"/>
                <w:szCs w:val="16"/>
                <w:color w:val="auto"/>
              </w:rPr>
            </w:pPr>
          </w:p>
        </w:tc>
        <w:tc>
          <w:tcPr>
            <w:tcW w:w="1300" w:type="dxa"/>
            <w:vAlign w:val="bottom"/>
          </w:tcPr>
          <w:p>
            <w:pPr>
              <w:jc w:val="center"/>
              <w:ind w:right="317"/>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7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0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Canadian dollar</w:t>
            </w:r>
          </w:p>
        </w:tc>
        <w:tc>
          <w:tcPr>
            <w:tcW w:w="2060" w:type="dxa"/>
            <w:vAlign w:val="bottom"/>
          </w:tcPr>
          <w:p>
            <w:pPr>
              <w:jc w:val="right"/>
              <w:ind w:right="356"/>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0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2060" w:type="dxa"/>
            <w:vAlign w:val="bottom"/>
          </w:tcPr>
          <w:p>
            <w:pPr>
              <w:jc w:val="right"/>
              <w:ind w:right="356"/>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Republic of South Africa rand</w:t>
            </w:r>
          </w:p>
        </w:tc>
        <w:tc>
          <w:tcPr>
            <w:tcW w:w="20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52.9</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Other currencies</w:t>
            </w:r>
          </w:p>
        </w:tc>
        <w:tc>
          <w:tcPr>
            <w:tcW w:w="2060" w:type="dxa"/>
            <w:vAlign w:val="bottom"/>
          </w:tcPr>
          <w:p>
            <w:pPr>
              <w:jc w:val="right"/>
              <w:ind w:right="356"/>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2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foreign exchange loss recorded in our consolidated statements of operations during fiscal 2015,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July 3, 2015 would have an impact of approximately $1.4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9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July 3, 2015 and June 27, 2014, the cumulative translation adjustment decreased our stockholders’ equity by $8.5 million and $2.9 million, respectively.</w:t>
      </w:r>
    </w:p>
    <w:p>
      <w:pPr>
        <w:spacing w:after="0" w:line="13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During fiscal 2015 the company experienced increased volatility in foreign currency markets, resulting in the increased year over year losses in foreign exchange and cumulative translation adjustments mentioned here, particularly in countries where there is no available market to hedge the local currency. Market events at the time of this report would indicate that the volatility in currency markets will continue.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Cash Equivalents</w:t>
      </w:r>
    </w:p>
    <w:p>
      <w:pPr>
        <w:spacing w:after="0" w:line="171" w:lineRule="exact"/>
        <w:rPr>
          <w:sz w:val="20"/>
          <w:szCs w:val="20"/>
          <w:color w:val="auto"/>
        </w:rPr>
      </w:pPr>
    </w:p>
    <w:p>
      <w:pPr>
        <w:ind w:right="780" w:firstLine="432"/>
        <w:spacing w:after="0" w:line="342" w:lineRule="auto"/>
        <w:rPr>
          <w:sz w:val="20"/>
          <w:szCs w:val="20"/>
          <w:color w:val="auto"/>
        </w:rPr>
      </w:pPr>
      <w:r>
        <w:rPr>
          <w:rFonts w:ascii="Arial" w:cs="Arial" w:eastAsia="Arial" w:hAnsi="Arial"/>
          <w:sz w:val="16"/>
          <w:szCs w:val="16"/>
          <w:color w:val="auto"/>
        </w:rPr>
        <w:t>We had $34.7 million in total cash and cash equivalents as of July 3, 2015. Cash equivalents totaled $13.1 million as of July 3, 2015 and were comprised of money market funds and certificates of deposit. Cash equivalents have been recorded at fair value on our balance sheet.</w:t>
      </w:r>
    </w:p>
    <w:p>
      <w:pPr>
        <w:spacing w:after="0" w:line="7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primary objective of our short-term investment activities is to preserve principal while maximizing yields, without significantly increasing risk. Our cash equivalents earn interest at fixed rates; therefore, changes in interest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will not generate a gain or loss on these investments unless they are sold prior to maturity. Actual gains and losses due to the sale of our investments prior to maturity have been immaterial. The weighted average days to maturity for cash equivalents held as of July 3, 2015 was five days, and these investments had an average yield of 1.4% per annum. A 10% change in interest rates on our cash and cash equivalents is not expected to have a material impact on our financial position, results of operations or cash flows.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Borrowings</w:t>
      </w:r>
    </w:p>
    <w:p>
      <w:pPr>
        <w:spacing w:after="0" w:line="17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During fiscal 2015, we had $9.0 million of demand borrowings outstanding under our credit facility that incurred interest at the prime rate or prime rate plus a spread of 0.50% to 1.50%. During fiscal 2015, our weighted average interest rate was 3.75% and we recorded total interest expense of $0.3 million on these borrowings.</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11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recognition and valuation of accounts receivable;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inventory valuation and provision for excess and obsolete inventory losses;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long-lived assets;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taxes and tax valuation allowances.</w:t>
      </w:r>
    </w:p>
    <w:p>
      <w:pPr>
        <w:spacing w:after="0" w:line="17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 of Directors.</w:t>
      </w:r>
    </w:p>
    <w:p>
      <w:pPr>
        <w:spacing w:after="0" w:line="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1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Valuation of Accounts Receivable</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 This assessment has a significant impact on the amount and timing of revenue recognition.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171" w:lineRule="exact"/>
        <w:rPr>
          <w:sz w:val="20"/>
          <w:szCs w:val="20"/>
          <w:color w:val="auto"/>
        </w:rPr>
      </w:pPr>
    </w:p>
    <w:p>
      <w:pPr>
        <w:ind w:left="980" w:right="5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 customer purchase orders are generally used to determine the existence of an arrangement.</w:t>
      </w:r>
    </w:p>
    <w:p>
      <w:pPr>
        <w:spacing w:after="0" w:line="8"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Delivery has occurred or services have been delivered. Shipping documents and customer acceptance, when applicable, are used to verify delivery.</w:t>
      </w:r>
    </w:p>
    <w:p>
      <w:pPr>
        <w:spacing w:after="0" w:line="8"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8"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Collectability is reasonably assured. We assess collectability based primarily on the creditworthiness of the customer as determined by credit checks and analysis, as well as the customer’s payment history.</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The determination as to whether multiple contractual agreements should be evaluated as one arrangement and the identification of units of accounting in an arrangement requires significant judgment and impacts the amount of product and service revenue recognized in a given period.</w:t>
      </w:r>
    </w:p>
    <w:p>
      <w:pPr>
        <w:spacing w:after="0" w:line="13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 xml:space="preserve">In accordance with ASC 605-25,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 </w:t>
      </w:r>
      <w:r>
        <w:rPr>
          <w:rFonts w:ascii="Arial" w:cs="Arial" w:eastAsia="Arial" w:hAnsi="Arial"/>
          <w:sz w:val="17"/>
          <w:szCs w:val="17"/>
          <w:i w:val="1"/>
          <w:iCs w:val="1"/>
          <w:color w:val="auto"/>
        </w:rPr>
        <w:t>Multiple-Element Arrangements,</w:t>
      </w:r>
      <w:r>
        <w:rPr>
          <w:rFonts w:ascii="Arial" w:cs="Arial" w:eastAsia="Arial" w:hAnsi="Arial"/>
          <w:sz w:val="17"/>
          <w:szCs w:val="17"/>
          <w:color w:val="auto"/>
        </w:rPr>
        <w:t xml:space="preserve"> based on the terms and conditions of the product arrangements, we believe that our products and services can be accounted for separately as our products and services have value to our customers on a stand-alone basis. Accordingly, the arrangement consideration is allocated among deliverables based on their relative selling price. We generally determine relative selling price using estimated selling price (“ESP”). Revenue from each deliverable is recognized when all requirements are met for that specific deliverable. There is generally no customer right of return in our sales agreements. The sequence for typical multiple-element arrangements is as follows: we deliver our products, perform installation services and then provide post-contract support services.</w:t>
      </w:r>
    </w:p>
    <w:p>
      <w:pPr>
        <w:spacing w:after="0" w:line="12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selling price for each element is based upon the following selling price hierarchy: Vendor-specific objective evidence (“VSOE”) if available, third party evidence (“TPE”) if VSOE is not available or ESP if neither VSOE nor TPE are available. Generally, we are not able to determine TPE because our go-to-market strategy differs from that of our peers and our offerings contain a significant level of differentiation such that the comparable pricing of products with similar functionality cannot be obtained. In determining ESP, we apply significant judgment as we weigh a variety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updates of these estimates. We do not expect a material impact in future periods from changes in VSOE, TPE or ESP.</w:t>
      </w:r>
    </w:p>
    <w:p>
      <w:pPr>
        <w:spacing w:after="0" w:line="12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13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Accounts receivable is presented net of allowance for estimated uncollectible accounts to reflect any loss anticipated on the collection of accounts receivable balances. We calculate the allowance for doubtful accounts based on our history of write-offs, level of past due accounts and the economic status of the customers. We regularly review the adequacy of these allowances by considering internal factors such as historical experience, credit quality and age of the receivable balances as well as external factors such as economic conditions that may affect a customer’s ability to pay and their expected default frequency rates, which are published by major third-party credit-rating agencies and are generally updated on a quarterly basis. If a major customer’s creditworthiness deteriorates, actual defaults are higher than our historical experience, or other circumstances arise, then our estimates of the recoverability of amounts due to us could be overstated, and additional allowances could be required, which could have an adverse impact on our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Provisions for Excess and Obsolete Losses</w:t>
      </w:r>
    </w:p>
    <w:p>
      <w:pPr>
        <w:spacing w:after="0" w:line="17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Our inventories have been valued at the lower of cost or market. We balance the need to maintain prudent inventory levels to ensure competitive delivery performance with the risk of excess or obsolete inventory due to changing technology and customer requirements, and new product introductions. Beginning in the first quarter of fiscal 2011, the manufacturing of our products was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Statement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2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 Valuation Allowances</w:t>
      </w:r>
    </w:p>
    <w:p>
      <w:pPr>
        <w:spacing w:after="0" w:line="17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record the estimated future tax effects of temporary differences between the tax basis of assets and liabilities of amounts reported in our consolidated balance sheet, as well as operating loss and tax credit carryforwards.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3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We record deferred taxes by applying enacted statutory tax rates to the respective jurisdictions and follow specific and detailed guidelines in each tax jurisdiction regarding the recoverability of any tax assets recorded on the balance sheet and provide necessary valuation allowances as required. Future realization of deferred tax assets ultimately depends on meeting certain criteria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12"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75"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See Note 1 of the accompanying consolidated financial statements for a full description of recently issued accounting pronouncements, including the respective expected dates of adoption and effects on our consolidated financial position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700" w:type="dxa"/>
            <w:vAlign w:val="bottom"/>
          </w:tcPr>
          <w:p>
            <w:pPr>
              <w:spacing w:after="0"/>
              <w:rPr>
                <w:sz w:val="16"/>
                <w:szCs w:val="16"/>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10700" w:type="dxa"/>
            <w:vAlign w:val="bottom"/>
          </w:tcPr>
          <w:p>
            <w:pPr>
              <w:spacing w:after="0" w:line="202" w:lineRule="exact"/>
              <w:rPr>
                <w:rFonts w:ascii="Arial" w:cs="Arial" w:eastAsia="Arial" w:hAnsi="Arial"/>
                <w:sz w:val="18"/>
                <w:szCs w:val="18"/>
                <w:color w:val="auto"/>
              </w:rPr>
            </w:pPr>
            <w:hyperlink w:anchor="page46">
              <w:r>
                <w:rPr>
                  <w:rFonts w:ascii="Arial" w:cs="Arial" w:eastAsia="Arial" w:hAnsi="Arial"/>
                  <w:sz w:val="18"/>
                  <w:szCs w:val="18"/>
                  <w:color w:val="auto"/>
                </w:rPr>
                <w:t>Report of BDO USA, LLP, Independent Registered Public Accounting Firm</w:t>
              </w:r>
            </w:hyperlink>
          </w:p>
        </w:tc>
        <w:tc>
          <w:tcPr>
            <w:tcW w:w="660" w:type="dxa"/>
            <w:vAlign w:val="bottom"/>
            <w:gridSpan w:val="2"/>
          </w:tcPr>
          <w:p>
            <w:pPr>
              <w:jc w:val="right"/>
              <w:spacing w:after="0" w:line="202" w:lineRule="exact"/>
              <w:rPr>
                <w:rFonts w:ascii="Arial" w:cs="Arial" w:eastAsia="Arial" w:hAnsi="Arial"/>
                <w:sz w:val="18"/>
                <w:szCs w:val="18"/>
                <w:color w:val="auto"/>
              </w:rPr>
            </w:pPr>
            <w:hyperlink w:anchor="page46">
              <w:r>
                <w:rPr>
                  <w:rFonts w:ascii="Arial" w:cs="Arial" w:eastAsia="Arial" w:hAnsi="Arial"/>
                  <w:sz w:val="18"/>
                  <w:szCs w:val="18"/>
                  <w:color w:val="auto"/>
                </w:rPr>
                <w:t>47</w:t>
              </w:r>
            </w:hyperlink>
          </w:p>
        </w:tc>
        <w:tc>
          <w:tcPr>
            <w:tcW w:w="20" w:type="dxa"/>
            <w:vAlign w:val="bottom"/>
          </w:tcPr>
          <w:p>
            <w:pPr>
              <w:spacing w:after="0"/>
              <w:rPr>
                <w:sz w:val="17"/>
                <w:szCs w:val="17"/>
                <w:color w:val="auto"/>
              </w:rPr>
            </w:pPr>
          </w:p>
        </w:tc>
      </w:tr>
      <w:tr>
        <w:trPr>
          <w:trHeight w:val="276"/>
        </w:trPr>
        <w:tc>
          <w:tcPr>
            <w:tcW w:w="10700" w:type="dxa"/>
            <w:vAlign w:val="bottom"/>
          </w:tcPr>
          <w:p>
            <w:pPr>
              <w:spacing w:after="0"/>
              <w:rPr>
                <w:rFonts w:ascii="Arial" w:cs="Arial" w:eastAsia="Arial" w:hAnsi="Arial"/>
                <w:sz w:val="18"/>
                <w:szCs w:val="18"/>
                <w:color w:val="auto"/>
              </w:rPr>
            </w:pPr>
            <w:hyperlink w:anchor="page47">
              <w:r>
                <w:rPr>
                  <w:rFonts w:ascii="Arial" w:cs="Arial" w:eastAsia="Arial" w:hAnsi="Arial"/>
                  <w:sz w:val="18"/>
                  <w:szCs w:val="18"/>
                  <w:color w:val="auto"/>
                </w:rPr>
                <w:t>Report of BDO USA, LLP, Independent Registered Public Accounting Firm on Internal Control</w:t>
              </w:r>
            </w:hyperlink>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0700" w:type="dxa"/>
            <w:vAlign w:val="bottom"/>
          </w:tcPr>
          <w:p>
            <w:pPr>
              <w:ind w:left="140"/>
              <w:spacing w:after="0" w:line="190" w:lineRule="exact"/>
              <w:rPr>
                <w:rFonts w:ascii="Arial" w:cs="Arial" w:eastAsia="Arial" w:hAnsi="Arial"/>
                <w:sz w:val="18"/>
                <w:szCs w:val="18"/>
                <w:color w:val="auto"/>
              </w:rPr>
            </w:pPr>
            <w:hyperlink w:anchor="page47">
              <w:r>
                <w:rPr>
                  <w:rFonts w:ascii="Arial" w:cs="Arial" w:eastAsia="Arial" w:hAnsi="Arial"/>
                  <w:sz w:val="18"/>
                  <w:szCs w:val="18"/>
                  <w:color w:val="auto"/>
                </w:rPr>
                <w:t>over Financial Reporting</w:t>
              </w:r>
            </w:hyperlink>
          </w:p>
        </w:tc>
        <w:tc>
          <w:tcPr>
            <w:tcW w:w="660" w:type="dxa"/>
            <w:vAlign w:val="bottom"/>
            <w:gridSpan w:val="2"/>
          </w:tcPr>
          <w:p>
            <w:pPr>
              <w:jc w:val="right"/>
              <w:spacing w:after="0" w:line="190" w:lineRule="exact"/>
              <w:rPr>
                <w:rFonts w:ascii="Arial" w:cs="Arial" w:eastAsia="Arial" w:hAnsi="Arial"/>
                <w:sz w:val="18"/>
                <w:szCs w:val="18"/>
                <w:color w:val="auto"/>
              </w:rPr>
            </w:pPr>
            <w:hyperlink w:anchor="page47">
              <w:r>
                <w:rPr>
                  <w:rFonts w:ascii="Arial" w:cs="Arial" w:eastAsia="Arial" w:hAnsi="Arial"/>
                  <w:sz w:val="18"/>
                  <w:szCs w:val="18"/>
                  <w:color w:val="auto"/>
                </w:rPr>
                <w:t>48</w:t>
              </w:r>
            </w:hyperlink>
          </w:p>
        </w:tc>
        <w:tc>
          <w:tcPr>
            <w:tcW w:w="20" w:type="dxa"/>
            <w:vAlign w:val="bottom"/>
          </w:tcPr>
          <w:p>
            <w:pPr>
              <w:spacing w:after="0"/>
              <w:rPr>
                <w:sz w:val="16"/>
                <w:szCs w:val="16"/>
                <w:color w:val="auto"/>
              </w:rPr>
            </w:pPr>
          </w:p>
        </w:tc>
      </w:tr>
      <w:tr>
        <w:trPr>
          <w:trHeight w:val="20"/>
        </w:trPr>
        <w:tc>
          <w:tcPr>
            <w:tcW w:w="10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tcPr>
          <w:p>
            <w:pPr>
              <w:spacing w:after="0"/>
              <w:rPr>
                <w:rFonts w:ascii="Arial" w:cs="Arial" w:eastAsia="Arial" w:hAnsi="Arial"/>
                <w:sz w:val="18"/>
                <w:szCs w:val="18"/>
                <w:color w:val="auto"/>
              </w:rPr>
            </w:pPr>
            <w:hyperlink w:anchor="page49">
              <w:r>
                <w:rPr>
                  <w:rFonts w:ascii="Arial" w:cs="Arial" w:eastAsia="Arial" w:hAnsi="Arial"/>
                  <w:sz w:val="18"/>
                  <w:szCs w:val="18"/>
                  <w:color w:val="auto"/>
                </w:rPr>
                <w:t>Report of KPMG LLP, Independent Registered Public Accounting Firm</w:t>
              </w:r>
            </w:hyperlink>
          </w:p>
        </w:tc>
        <w:tc>
          <w:tcPr>
            <w:tcW w:w="66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50</w:t>
              </w:r>
            </w:hyperlink>
          </w:p>
        </w:tc>
        <w:tc>
          <w:tcPr>
            <w:tcW w:w="20" w:type="dxa"/>
            <w:vAlign w:val="bottom"/>
          </w:tcPr>
          <w:p>
            <w:pPr>
              <w:spacing w:after="0"/>
              <w:rPr>
                <w:sz w:val="21"/>
                <w:szCs w:val="21"/>
                <w:color w:val="auto"/>
              </w:rPr>
            </w:pPr>
          </w:p>
        </w:tc>
      </w:tr>
      <w:tr>
        <w:trPr>
          <w:trHeight w:val="20"/>
        </w:trPr>
        <w:tc>
          <w:tcPr>
            <w:tcW w:w="10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Consolidated Statements of Operations for Fiscal Years Ended July 3, 2015, June 27, 2014 and June 28, 2013</w:t>
              </w:r>
            </w:hyperlink>
          </w:p>
        </w:tc>
        <w:tc>
          <w:tcPr>
            <w:tcW w:w="660" w:type="dxa"/>
            <w:vAlign w:val="bottom"/>
            <w:gridSpan w:val="2"/>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51</w:t>
              </w:r>
            </w:hyperlink>
          </w:p>
        </w:tc>
        <w:tc>
          <w:tcPr>
            <w:tcW w:w="20" w:type="dxa"/>
            <w:vAlign w:val="bottom"/>
          </w:tcPr>
          <w:p>
            <w:pPr>
              <w:spacing w:after="0"/>
              <w:rPr>
                <w:sz w:val="21"/>
                <w:szCs w:val="21"/>
                <w:color w:val="auto"/>
              </w:rPr>
            </w:pPr>
          </w:p>
        </w:tc>
      </w:tr>
      <w:tr>
        <w:trPr>
          <w:trHeight w:val="276"/>
        </w:trPr>
        <w:tc>
          <w:tcPr>
            <w:tcW w:w="10700" w:type="dxa"/>
            <w:vAlign w:val="bottom"/>
          </w:tcPr>
          <w:p>
            <w:pPr>
              <w:spacing w:after="0"/>
              <w:rPr>
                <w:rFonts w:ascii="Arial" w:cs="Arial" w:eastAsia="Arial" w:hAnsi="Arial"/>
                <w:sz w:val="18"/>
                <w:szCs w:val="18"/>
                <w:color w:val="auto"/>
              </w:rPr>
            </w:pPr>
            <w:hyperlink w:anchor="page51">
              <w:r>
                <w:rPr>
                  <w:rFonts w:ascii="Arial" w:cs="Arial" w:eastAsia="Arial" w:hAnsi="Arial"/>
                  <w:sz w:val="18"/>
                  <w:szCs w:val="18"/>
                  <w:color w:val="auto"/>
                </w:rPr>
                <w:t>Consolidated Statements of Comprehensive Loss for Fiscal Years Ended July 3, 2015, June 27, 2014</w:t>
              </w:r>
            </w:hyperlink>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0700" w:type="dxa"/>
            <w:vAlign w:val="bottom"/>
          </w:tcPr>
          <w:p>
            <w:pPr>
              <w:ind w:left="140"/>
              <w:spacing w:after="0" w:line="190" w:lineRule="exact"/>
              <w:rPr>
                <w:rFonts w:ascii="Arial" w:cs="Arial" w:eastAsia="Arial" w:hAnsi="Arial"/>
                <w:sz w:val="18"/>
                <w:szCs w:val="18"/>
                <w:color w:val="auto"/>
              </w:rPr>
            </w:pPr>
            <w:hyperlink w:anchor="page51">
              <w:r>
                <w:rPr>
                  <w:rFonts w:ascii="Arial" w:cs="Arial" w:eastAsia="Arial" w:hAnsi="Arial"/>
                  <w:sz w:val="18"/>
                  <w:szCs w:val="18"/>
                  <w:color w:val="auto"/>
                </w:rPr>
                <w:t>and June 28, 2013</w:t>
              </w:r>
            </w:hyperlink>
          </w:p>
        </w:tc>
        <w:tc>
          <w:tcPr>
            <w:tcW w:w="660" w:type="dxa"/>
            <w:vAlign w:val="bottom"/>
            <w:gridSpan w:val="2"/>
          </w:tcPr>
          <w:p>
            <w:pPr>
              <w:jc w:val="right"/>
              <w:spacing w:after="0" w:line="190" w:lineRule="exact"/>
              <w:rPr>
                <w:rFonts w:ascii="Arial" w:cs="Arial" w:eastAsia="Arial" w:hAnsi="Arial"/>
                <w:sz w:val="18"/>
                <w:szCs w:val="18"/>
                <w:color w:val="auto"/>
              </w:rPr>
            </w:pPr>
            <w:hyperlink w:anchor="page51">
              <w:r>
                <w:rPr>
                  <w:rFonts w:ascii="Arial" w:cs="Arial" w:eastAsia="Arial" w:hAnsi="Arial"/>
                  <w:sz w:val="18"/>
                  <w:szCs w:val="18"/>
                  <w:color w:val="auto"/>
                </w:rPr>
                <w:t>52</w:t>
              </w:r>
            </w:hyperlink>
          </w:p>
        </w:tc>
        <w:tc>
          <w:tcPr>
            <w:tcW w:w="20" w:type="dxa"/>
            <w:vAlign w:val="bottom"/>
          </w:tcPr>
          <w:p>
            <w:pPr>
              <w:spacing w:after="0"/>
              <w:rPr>
                <w:sz w:val="16"/>
                <w:szCs w:val="16"/>
                <w:color w:val="auto"/>
              </w:rPr>
            </w:pPr>
          </w:p>
        </w:tc>
      </w:tr>
      <w:tr>
        <w:trPr>
          <w:trHeight w:val="20"/>
        </w:trPr>
        <w:tc>
          <w:tcPr>
            <w:tcW w:w="10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tcPr>
          <w:p>
            <w:pPr>
              <w:spacing w:after="0"/>
              <w:rPr>
                <w:rFonts w:ascii="Arial" w:cs="Arial" w:eastAsia="Arial" w:hAnsi="Arial"/>
                <w:sz w:val="18"/>
                <w:szCs w:val="18"/>
                <w:color w:val="auto"/>
              </w:rPr>
            </w:pPr>
            <w:hyperlink w:anchor="page52">
              <w:r>
                <w:rPr>
                  <w:rFonts w:ascii="Arial" w:cs="Arial" w:eastAsia="Arial" w:hAnsi="Arial"/>
                  <w:sz w:val="18"/>
                  <w:szCs w:val="18"/>
                  <w:color w:val="auto"/>
                </w:rPr>
                <w:t>Consolidated Balance Sheets as of July 3, 2015 and June 27, 2014</w:t>
              </w:r>
            </w:hyperlink>
          </w:p>
        </w:tc>
        <w:tc>
          <w:tcPr>
            <w:tcW w:w="66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53</w:t>
              </w:r>
            </w:hyperlink>
          </w:p>
        </w:tc>
        <w:tc>
          <w:tcPr>
            <w:tcW w:w="20" w:type="dxa"/>
            <w:vAlign w:val="bottom"/>
          </w:tcPr>
          <w:p>
            <w:pPr>
              <w:spacing w:after="0"/>
              <w:rPr>
                <w:sz w:val="21"/>
                <w:szCs w:val="21"/>
                <w:color w:val="auto"/>
              </w:rPr>
            </w:pPr>
          </w:p>
        </w:tc>
      </w:tr>
      <w:tr>
        <w:trPr>
          <w:trHeight w:val="20"/>
        </w:trPr>
        <w:tc>
          <w:tcPr>
            <w:tcW w:w="10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tcPr>
          <w:p>
            <w:pPr>
              <w:spacing w:after="0"/>
              <w:rPr>
                <w:rFonts w:ascii="Arial" w:cs="Arial" w:eastAsia="Arial" w:hAnsi="Arial"/>
                <w:sz w:val="18"/>
                <w:szCs w:val="18"/>
                <w:color w:val="auto"/>
              </w:rPr>
            </w:pPr>
            <w:hyperlink w:anchor="page53">
              <w:r>
                <w:rPr>
                  <w:rFonts w:ascii="Arial" w:cs="Arial" w:eastAsia="Arial" w:hAnsi="Arial"/>
                  <w:sz w:val="18"/>
                  <w:szCs w:val="18"/>
                  <w:color w:val="auto"/>
                </w:rPr>
                <w:t>Consolidated Statements of Cash Flows for Fiscal Years Ended July 3, 2015, June 27, 2014 and June 28, 2013</w:t>
              </w:r>
            </w:hyperlink>
          </w:p>
        </w:tc>
        <w:tc>
          <w:tcPr>
            <w:tcW w:w="660" w:type="dxa"/>
            <w:vAlign w:val="bottom"/>
            <w:gridSpan w:val="2"/>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54</w:t>
              </w:r>
            </w:hyperlink>
          </w:p>
        </w:tc>
        <w:tc>
          <w:tcPr>
            <w:tcW w:w="20" w:type="dxa"/>
            <w:vAlign w:val="bottom"/>
          </w:tcPr>
          <w:p>
            <w:pPr>
              <w:spacing w:after="0"/>
              <w:rPr>
                <w:sz w:val="21"/>
                <w:szCs w:val="21"/>
                <w:color w:val="auto"/>
              </w:rPr>
            </w:pPr>
          </w:p>
        </w:tc>
      </w:tr>
      <w:tr>
        <w:trPr>
          <w:trHeight w:val="276"/>
        </w:trPr>
        <w:tc>
          <w:tcPr>
            <w:tcW w:w="10700" w:type="dxa"/>
            <w:vAlign w:val="bottom"/>
          </w:tcPr>
          <w:p>
            <w:pPr>
              <w:spacing w:after="0"/>
              <w:rPr>
                <w:rFonts w:ascii="Arial" w:cs="Arial" w:eastAsia="Arial" w:hAnsi="Arial"/>
                <w:sz w:val="18"/>
                <w:szCs w:val="18"/>
                <w:color w:val="auto"/>
              </w:rPr>
            </w:pPr>
            <w:hyperlink w:anchor="page54">
              <w:r>
                <w:rPr>
                  <w:rFonts w:ascii="Arial" w:cs="Arial" w:eastAsia="Arial" w:hAnsi="Arial"/>
                  <w:sz w:val="18"/>
                  <w:szCs w:val="18"/>
                  <w:color w:val="auto"/>
                </w:rPr>
                <w:t>Consolidated Statements of Stockholders’ Equity for Fiscal Years Ended July 3, 2015, June 27, 2014</w:t>
              </w:r>
            </w:hyperlink>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0700" w:type="dxa"/>
            <w:vAlign w:val="bottom"/>
          </w:tcPr>
          <w:p>
            <w:pPr>
              <w:ind w:left="120"/>
              <w:spacing w:after="0" w:line="190" w:lineRule="exact"/>
              <w:rPr>
                <w:rFonts w:ascii="Arial" w:cs="Arial" w:eastAsia="Arial" w:hAnsi="Arial"/>
                <w:sz w:val="18"/>
                <w:szCs w:val="18"/>
                <w:color w:val="auto"/>
              </w:rPr>
            </w:pPr>
            <w:hyperlink w:anchor="page54">
              <w:r>
                <w:rPr>
                  <w:rFonts w:ascii="Arial" w:cs="Arial" w:eastAsia="Arial" w:hAnsi="Arial"/>
                  <w:sz w:val="18"/>
                  <w:szCs w:val="18"/>
                  <w:color w:val="auto"/>
                </w:rPr>
                <w:t>and June 28, 2013</w:t>
              </w:r>
            </w:hyperlink>
          </w:p>
        </w:tc>
        <w:tc>
          <w:tcPr>
            <w:tcW w:w="660" w:type="dxa"/>
            <w:vAlign w:val="bottom"/>
            <w:gridSpan w:val="2"/>
          </w:tcPr>
          <w:p>
            <w:pPr>
              <w:jc w:val="right"/>
              <w:spacing w:after="0" w:line="190" w:lineRule="exact"/>
              <w:rPr>
                <w:rFonts w:ascii="Arial" w:cs="Arial" w:eastAsia="Arial" w:hAnsi="Arial"/>
                <w:sz w:val="18"/>
                <w:szCs w:val="18"/>
                <w:color w:val="auto"/>
              </w:rPr>
            </w:pPr>
            <w:hyperlink w:anchor="page54">
              <w:r>
                <w:rPr>
                  <w:rFonts w:ascii="Arial" w:cs="Arial" w:eastAsia="Arial" w:hAnsi="Arial"/>
                  <w:sz w:val="18"/>
                  <w:szCs w:val="18"/>
                  <w:color w:val="auto"/>
                </w:rPr>
                <w:t>55</w:t>
              </w:r>
            </w:hyperlink>
          </w:p>
        </w:tc>
        <w:tc>
          <w:tcPr>
            <w:tcW w:w="20" w:type="dxa"/>
            <w:vAlign w:val="bottom"/>
          </w:tcPr>
          <w:p>
            <w:pPr>
              <w:spacing w:after="0"/>
              <w:rPr>
                <w:sz w:val="16"/>
                <w:szCs w:val="16"/>
                <w:color w:val="auto"/>
              </w:rPr>
            </w:pPr>
          </w:p>
        </w:tc>
      </w:tr>
      <w:tr>
        <w:trPr>
          <w:trHeight w:val="20"/>
        </w:trPr>
        <w:tc>
          <w:tcPr>
            <w:tcW w:w="10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tcPr>
          <w:p>
            <w:pPr>
              <w:spacing w:after="0"/>
              <w:rPr>
                <w:rFonts w:ascii="Arial" w:cs="Arial" w:eastAsia="Arial" w:hAnsi="Arial"/>
                <w:sz w:val="18"/>
                <w:szCs w:val="18"/>
                <w:color w:val="auto"/>
              </w:rPr>
            </w:pPr>
            <w:hyperlink w:anchor="page55">
              <w:r>
                <w:rPr>
                  <w:rFonts w:ascii="Arial" w:cs="Arial" w:eastAsia="Arial" w:hAnsi="Arial"/>
                  <w:sz w:val="18"/>
                  <w:szCs w:val="18"/>
                  <w:color w:val="auto"/>
                </w:rPr>
                <w:t>Notes to Consolidated Financial Statements</w:t>
              </w:r>
            </w:hyperlink>
          </w:p>
        </w:tc>
        <w:tc>
          <w:tcPr>
            <w:tcW w:w="66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56</w:t>
              </w:r>
            </w:hyperlink>
          </w:p>
        </w:tc>
        <w:tc>
          <w:tcPr>
            <w:tcW w:w="20" w:type="dxa"/>
            <w:vAlign w:val="bottom"/>
          </w:tcPr>
          <w:p>
            <w:pPr>
              <w:spacing w:after="0"/>
              <w:rPr>
                <w:sz w:val="21"/>
                <w:szCs w:val="21"/>
                <w:color w:val="auto"/>
              </w:rPr>
            </w:pPr>
          </w:p>
        </w:tc>
      </w:tr>
      <w:tr>
        <w:trPr>
          <w:trHeight w:val="20"/>
        </w:trPr>
        <w:tc>
          <w:tcPr>
            <w:tcW w:w="10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Financial Statement Schedule: Schedule II — Valuation and Qualifying Accounts</w:t>
              </w:r>
            </w:hyperlink>
          </w:p>
        </w:tc>
        <w:tc>
          <w:tcPr>
            <w:tcW w:w="660" w:type="dxa"/>
            <w:vAlign w:val="bottom"/>
            <w:gridSpan w:val="2"/>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94</w:t>
              </w:r>
            </w:hyperlink>
          </w:p>
        </w:tc>
        <w:tc>
          <w:tcPr>
            <w:tcW w:w="20" w:type="dxa"/>
            <w:vAlign w:val="bottom"/>
          </w:tcPr>
          <w:p>
            <w:pPr>
              <w:spacing w:after="0"/>
              <w:rPr>
                <w:sz w:val="21"/>
                <w:szCs w:val="21"/>
                <w:color w:val="auto"/>
              </w:rPr>
            </w:pPr>
          </w:p>
        </w:tc>
      </w:tr>
      <w:tr>
        <w:trPr>
          <w:trHeight w:val="507"/>
        </w:trPr>
        <w:tc>
          <w:tcPr>
            <w:tcW w:w="10700" w:type="dxa"/>
            <w:vAlign w:val="bottom"/>
          </w:tcPr>
          <w:p>
            <w:pPr>
              <w:ind w:left="558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15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audited the accompanying consolidated balance sheet of Aviat Networks, Inc. as of July 3, 2015 and the related consolidated statements of operations, comprehensive loss</w:t>
      </w:r>
      <w:r>
        <w:rPr>
          <w:rFonts w:ascii="Arial" w:cs="Arial" w:eastAsia="Arial" w:hAnsi="Arial"/>
          <w:sz w:val="18"/>
          <w:szCs w:val="18"/>
          <w:b w:val="1"/>
          <w:bCs w:val="1"/>
          <w:color w:val="auto"/>
        </w:rPr>
        <w:t>,</w:t>
      </w:r>
      <w:r>
        <w:rPr>
          <w:rFonts w:ascii="Arial" w:cs="Arial" w:eastAsia="Arial" w:hAnsi="Arial"/>
          <w:sz w:val="18"/>
          <w:szCs w:val="18"/>
          <w:color w:val="auto"/>
        </w:rPr>
        <w:t xml:space="preserve"> equity and cash flows for the year ended July 3, 2015. In connection with our audit of the financial statements, we have also audited the financial statement schedule - Valuation and Qualifying Accounts as of and for the year ended July 3, 2015 listed in the Index at Item 15(a)(2). These financial statements and schedule are the responsibility of the Company’s management. Our responsibility is to express an opinion on these financial statements and schedule based on our audit.</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 We believe that our audit provides a reasonable basis for our opinion.</w:t>
      </w:r>
    </w:p>
    <w:p>
      <w:pPr>
        <w:spacing w:after="0" w:line="134"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Aviat Networks, Inc. as of July 3, 2015 and the results of its operations and its cash flows for the year ended July 3, 2015, in conformity with U.S. generally accepted accounting principles.</w:t>
      </w:r>
    </w:p>
    <w:p>
      <w:pPr>
        <w:spacing w:after="0" w:line="12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Also, in our opinion, the financial statement schedule - Valuation and Qualifying Accounts as of and for the year ended July 3, 2015, when considered in relation to the basic financial statements taken as a whole, presents fairly in all material respects the information set forth therein.</w:t>
      </w:r>
    </w:p>
    <w:p>
      <w:pPr>
        <w:spacing w:after="0" w:line="14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Aviat Networks, Inc.’s internal control over financial reporting as of July 3,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and our report dated September 30, 2015 expressed an adverse opinion thereon.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BDO USA,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11" w:lineRule="exact"/>
        <w:rPr>
          <w:sz w:val="20"/>
          <w:szCs w:val="20"/>
          <w:color w:val="auto"/>
        </w:rPr>
      </w:pPr>
    </w:p>
    <w:p>
      <w:pPr>
        <w:ind w:right="120" w:firstLine="486"/>
        <w:spacing w:after="0" w:line="219" w:lineRule="exact"/>
        <w:rPr>
          <w:sz w:val="20"/>
          <w:szCs w:val="20"/>
          <w:color w:val="auto"/>
        </w:rPr>
      </w:pPr>
      <w:r>
        <w:rPr>
          <w:rFonts w:ascii="Arial" w:cs="Arial" w:eastAsia="Arial" w:hAnsi="Arial"/>
          <w:sz w:val="16"/>
          <w:szCs w:val="16"/>
          <w:color w:val="auto"/>
        </w:rPr>
        <w:t xml:space="preserve">We have audited Aviat Networks, Inc. and subsidiaries’ (“the Company”) internal control over financial reporting as of July 3, 2015,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MS PGothic" w:cs="MS PGothic" w:eastAsia="MS PGothic" w:hAnsi="MS PGothic"/>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xml:space="preserve">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204"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related to the Company’s risk assessment processes, monitoring activities, as well as control activities specific to account reconciliations, revenue recognition, revenue cut-off procedures, project accruals and inventory existence have been identified and included in management’s assessment in Item 9A(a). These material weaknesses were considered in determining the nature, timing, and extent of audit tests applied in our audit of the 2015 consolidated financial statements, and this report does not affect our report dated September 30, 2015 on those consolidated financial statements.</w:t>
      </w:r>
    </w:p>
    <w:p>
      <w:pPr>
        <w:spacing w:after="0" w:line="165"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In our opinion, Aviat Networks, Inc. did not maintain, in all material respects, effective internal control over financial reporting as of July 3, 2015, based on the COSO criteria.</w:t>
      </w:r>
    </w:p>
    <w:p>
      <w:pPr>
        <w:spacing w:after="0" w:line="17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corrective actions taken by the Company after the date of management’s assessment.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 of Aviat Networks, Inc. as of July 3, 2015 and the related consolidated statements of operations, comprehensive loss, stockholders’ equity and cash flows for the year ended July 3, 2015 and our report dated September 30, 2015 expressed an unqualified opinion thereon.</w:t>
      </w:r>
    </w:p>
    <w:p>
      <w:pPr>
        <w:spacing w:after="0" w:line="3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BDO USA,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125"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21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audited the accompanying consolidated balance sheet of Aviat Networks, Inc. and subsidiaries (“the Company”) as of June 27, 2014, and the related consolidated statements of operations, comprehensive loss, equity, and cash flows for each of the years in the two-year period ended June 27, 2014. In connection with our audits of the consolidated financial statements, we also have audited the financial statement schedule of valuation and qualifying accounts and reserves. These consolidated financial statements and consolidated financial statement schedule are the responsibility of the Company’s management. Our responsibility is to express an opinion on these consolidated financial statements and consolidated financial statement schedule based on our audits.</w:t>
      </w:r>
    </w:p>
    <w:p>
      <w:pPr>
        <w:spacing w:after="0" w:line="19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3"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Aviat Networks, Inc. and subsidiaries as of June 27, 2014, and the results of their operations and their cash flows for each of the years in the two-year period ended June 27, 2014,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Santa Clara, 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19,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25"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3,</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92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77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Gross margin</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net of tax</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Aviat Networks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 attributable to Aviat Networks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Net loss from continuing operations, net of tax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 from discounting operations,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4"/>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share attributable to Aviat Networks’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3,</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92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20"/>
              <w:spacing w:after="0"/>
              <w:rPr>
                <w:sz w:val="20"/>
                <w:szCs w:val="20"/>
                <w:color w:val="auto"/>
              </w:rPr>
            </w:pPr>
            <w:r>
              <w:rPr>
                <w:rFonts w:ascii="Arial" w:cs="Arial" w:eastAsia="Arial" w:hAnsi="Arial"/>
                <w:sz w:val="18"/>
                <w:szCs w:val="18"/>
                <w:color w:val="auto"/>
              </w:rPr>
              <w:t>Change in unrealized gain (loss) on cash flow hedges</w:t>
            </w:r>
          </w:p>
        </w:tc>
        <w:tc>
          <w:tcPr>
            <w:tcW w:w="2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Reclassification adjustments for (gain) loss included in net loss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840"/>
              <w:spacing w:after="0"/>
              <w:rPr>
                <w:sz w:val="20"/>
                <w:szCs w:val="20"/>
                <w:color w:val="auto"/>
              </w:rPr>
            </w:pPr>
            <w:r>
              <w:rPr>
                <w:rFonts w:ascii="Arial" w:cs="Arial" w:eastAsia="Arial" w:hAnsi="Arial"/>
                <w:sz w:val="18"/>
                <w:szCs w:val="18"/>
                <w:color w:val="auto"/>
              </w:rPr>
              <w:t>Net change in unrealized gain (loss) on hedging activities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cumulative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r>
      <w:tr>
        <w:trPr>
          <w:trHeight w:val="237"/>
        </w:trPr>
        <w:tc>
          <w:tcPr>
            <w:tcW w:w="7780" w:type="dxa"/>
            <w:vAlign w:val="bottom"/>
          </w:tcPr>
          <w:p>
            <w:pPr>
              <w:ind w:left="5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0.7</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2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attributable to Aviat Networks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share and par value amounts)</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 2015</w:t>
            </w:r>
          </w:p>
        </w:tc>
        <w:tc>
          <w:tcPr>
            <w:tcW w:w="200" w:type="dxa"/>
            <w:vAlign w:val="bottom"/>
          </w:tcPr>
          <w:p>
            <w:pPr>
              <w:spacing w:after="0"/>
              <w:rPr>
                <w:sz w:val="16"/>
                <w:szCs w:val="16"/>
                <w:color w:val="auto"/>
              </w:rPr>
            </w:pPr>
          </w:p>
        </w:tc>
        <w:tc>
          <w:tcPr>
            <w:tcW w:w="1160" w:type="dxa"/>
            <w:vAlign w:val="bottom"/>
          </w:tcPr>
          <w:p>
            <w:pPr>
              <w:jc w:val="right"/>
              <w:ind w:right="170"/>
              <w:spacing w:after="0"/>
              <w:rPr>
                <w:sz w:val="20"/>
                <w:szCs w:val="20"/>
                <w:color w:val="auto"/>
              </w:rPr>
            </w:pPr>
            <w:r>
              <w:rPr>
                <w:rFonts w:ascii="Arial" w:cs="Arial" w:eastAsia="Arial" w:hAnsi="Arial"/>
                <w:sz w:val="14"/>
                <w:szCs w:val="14"/>
                <w:b w:val="1"/>
                <w:bCs w:val="1"/>
                <w:color w:val="auto"/>
                <w:w w:val="96"/>
              </w:rPr>
              <w:t>June 27, 2014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48.8</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43"/>
        </w:trPr>
        <w:tc>
          <w:tcPr>
            <w:tcW w:w="8440" w:type="dxa"/>
            <w:vAlign w:val="bottom"/>
          </w:tcPr>
          <w:p>
            <w:pPr>
              <w:ind w:left="360"/>
              <w:spacing w:after="0"/>
              <w:rPr>
                <w:sz w:val="20"/>
                <w:szCs w:val="20"/>
                <w:color w:val="auto"/>
              </w:rPr>
            </w:pPr>
            <w:r>
              <w:rPr>
                <w:rFonts w:ascii="Arial" w:cs="Arial" w:eastAsia="Arial" w:hAnsi="Arial"/>
                <w:sz w:val="18"/>
                <w:szCs w:val="18"/>
                <w:color w:val="auto"/>
              </w:rPr>
              <w:t>Unbilled costs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8440" w:type="dxa"/>
            <w:vAlign w:val="bottom"/>
          </w:tcPr>
          <w:p>
            <w:pPr>
              <w:ind w:left="360"/>
              <w:spacing w:after="0"/>
              <w:rPr>
                <w:sz w:val="20"/>
                <w:szCs w:val="20"/>
                <w:color w:val="auto"/>
              </w:rPr>
            </w:pPr>
            <w:r>
              <w:rPr>
                <w:rFonts w:ascii="Arial" w:cs="Arial" w:eastAsia="Arial" w:hAnsi="Arial"/>
                <w:sz w:val="18"/>
                <w:szCs w:val="18"/>
                <w:color w:val="auto"/>
              </w:rPr>
              <w:t>Customer service inventories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4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97"/>
        </w:trPr>
        <w:tc>
          <w:tcPr>
            <w:tcW w:w="8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229.4</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253.2</w:t>
            </w: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84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8440" w:type="dxa"/>
            <w:vAlign w:val="bottom"/>
          </w:tcPr>
          <w:p>
            <w:pPr>
              <w:ind w:left="36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84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Restructuring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128.6</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360"/>
              <w:spacing w:after="0"/>
              <w:rPr>
                <w:sz w:val="20"/>
                <w:szCs w:val="20"/>
                <w:color w:val="auto"/>
              </w:rPr>
            </w:pPr>
            <w:r>
              <w:rPr>
                <w:rFonts w:ascii="Arial" w:cs="Arial" w:eastAsia="Arial" w:hAnsi="Arial"/>
                <w:sz w:val="18"/>
                <w:szCs w:val="18"/>
                <w:color w:val="auto"/>
              </w:rPr>
              <w:t>Aviat Networks stockholders’ equity:</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tcPr>
          <w:p>
            <w:pPr>
              <w:ind w:left="360"/>
              <w:spacing w:after="0"/>
              <w:rPr>
                <w:sz w:val="20"/>
                <w:szCs w:val="20"/>
                <w:color w:val="auto"/>
              </w:rPr>
            </w:pPr>
            <w:r>
              <w:rPr>
                <w:rFonts w:ascii="Arial" w:cs="Arial" w:eastAsia="Arial" w:hAnsi="Arial"/>
                <w:sz w:val="18"/>
                <w:szCs w:val="18"/>
                <w:color w:val="auto"/>
                <w:w w:val="90"/>
              </w:rPr>
              <w:t>Common stock, $0.01 par value; 300,000,000 shares authorized; 62,498,401 and 62,218,226 shares issued and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440" w:type="dxa"/>
            <w:vAlign w:val="bottom"/>
          </w:tcPr>
          <w:p>
            <w:pPr>
              <w:ind w:left="520"/>
              <w:spacing w:after="0"/>
              <w:rPr>
                <w:sz w:val="20"/>
                <w:szCs w:val="20"/>
                <w:color w:val="auto"/>
              </w:rPr>
            </w:pPr>
            <w:r>
              <w:rPr>
                <w:rFonts w:ascii="Arial" w:cs="Arial" w:eastAsia="Arial" w:hAnsi="Arial"/>
                <w:sz w:val="18"/>
                <w:szCs w:val="18"/>
                <w:color w:val="auto"/>
              </w:rPr>
              <w:t>outstanding as of as of July 3, 2015 and June 27, 2014, respectively</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807.0</w:t>
            </w:r>
          </w:p>
        </w:tc>
      </w:tr>
      <w:tr>
        <w:trPr>
          <w:trHeight w:val="243"/>
        </w:trPr>
        <w:tc>
          <w:tcPr>
            <w:tcW w:w="84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(692.8)</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Total Aviat Networks stockholders’ equity</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111.9</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111.9</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253.2</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125" w:right="2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87"/>
              </w:rPr>
              <w:t>Fiscal Year Ended</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4"/>
        </w:trPr>
        <w:tc>
          <w:tcPr>
            <w:tcW w:w="7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July 3,</w:t>
            </w:r>
          </w:p>
        </w:tc>
        <w:tc>
          <w:tcPr>
            <w:tcW w:w="220" w:type="dxa"/>
            <w:vAlign w:val="bottom"/>
          </w:tcPr>
          <w:p>
            <w:pPr>
              <w:spacing w:after="0"/>
              <w:rPr>
                <w:sz w:val="12"/>
                <w:szCs w:val="12"/>
                <w:color w:val="auto"/>
              </w:rPr>
            </w:pPr>
          </w:p>
        </w:tc>
        <w:tc>
          <w:tcPr>
            <w:tcW w:w="102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88"/>
              </w:rPr>
              <w:t>June 27,</w:t>
            </w:r>
          </w:p>
        </w:tc>
        <w:tc>
          <w:tcPr>
            <w:tcW w:w="220" w:type="dxa"/>
            <w:vAlign w:val="bottom"/>
          </w:tcPr>
          <w:p>
            <w:pPr>
              <w:spacing w:after="0"/>
              <w:rPr>
                <w:sz w:val="12"/>
                <w:szCs w:val="12"/>
                <w:color w:val="auto"/>
              </w:rPr>
            </w:pPr>
          </w:p>
        </w:tc>
        <w:tc>
          <w:tcPr>
            <w:tcW w:w="900" w:type="dxa"/>
            <w:vAlign w:val="bottom"/>
          </w:tcPr>
          <w:p>
            <w:pPr>
              <w:jc w:val="right"/>
              <w:ind w:right="280"/>
              <w:spacing w:after="0" w:line="144" w:lineRule="exact"/>
              <w:rPr>
                <w:sz w:val="20"/>
                <w:szCs w:val="20"/>
                <w:color w:val="auto"/>
              </w:rPr>
            </w:pPr>
            <w:r>
              <w:rPr>
                <w:rFonts w:ascii="Arial" w:cs="Arial" w:eastAsia="Arial" w:hAnsi="Arial"/>
                <w:sz w:val="13"/>
                <w:szCs w:val="13"/>
                <w:b w:val="1"/>
                <w:bCs w:val="1"/>
                <w:color w:val="auto"/>
                <w:w w:val="99"/>
              </w:rPr>
              <w:t>June 28,</w:t>
            </w:r>
          </w:p>
        </w:tc>
      </w:tr>
      <w:tr>
        <w:trPr>
          <w:trHeight w:val="17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82"/>
              </w:rPr>
              <w:t>2014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Amortization of identifiable intangible assets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Provision for receivables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Deferred income taxes benefit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Charges for inventory and customer service inventory write-downs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Gain on disposition of WiMAX business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 (gain) on disposition of 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Unbilled costs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Customer service inventories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0.9</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Advance payments and unearned income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37"/>
        </w:trPr>
        <w:tc>
          <w:tcPr>
            <w:tcW w:w="7780" w:type="dxa"/>
            <w:vAlign w:val="bottom"/>
          </w:tcPr>
          <w:p>
            <w:pPr>
              <w:ind w:left="360"/>
              <w:spacing w:after="0"/>
              <w:rPr>
                <w:sz w:val="20"/>
                <w:szCs w:val="20"/>
                <w:color w:val="auto"/>
              </w:rPr>
            </w:pPr>
            <w:r>
              <w:rPr>
                <w:rFonts w:ascii="Arial" w:cs="Arial" w:eastAsia="Arial" w:hAnsi="Arial"/>
                <w:sz w:val="16"/>
                <w:szCs w:val="16"/>
                <w:color w:val="auto"/>
              </w:rPr>
              <w:t>Income taxes payable or receivable</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10.1</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w:t>
            </w:r>
          </w:p>
        </w:tc>
      </w:tr>
      <w:tr>
        <w:trPr>
          <w:trHeight w:val="33"/>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Payments related to disposition of WiMAX business, net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acquisition of property, plant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borrowings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0.3</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w:t>
            </w:r>
          </w:p>
        </w:tc>
      </w:tr>
      <w:tr>
        <w:trPr>
          <w:trHeight w:val="28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90.0</w:t>
            </w: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0.8</w:t>
            </w: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paid for income taxes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Non-cash investing activities: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acquired under capital lease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r>
      <w:tr>
        <w:trPr>
          <w:trHeight w:val="33"/>
        </w:trPr>
        <w:tc>
          <w:tcPr>
            <w:tcW w:w="7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June 29, 2012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common stock under employee stock plans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June 28, 2013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common stock under employee stock plans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June 27, 2014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common stock under employee stock plans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July 3,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CONSOLIDATED STATEMENTS OF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ind w:left="240"/>
              <w:spacing w:after="0"/>
              <w:rPr>
                <w:sz w:val="20"/>
                <w:szCs w:val="20"/>
                <w:color w:val="auto"/>
              </w:rPr>
            </w:pPr>
            <w:r>
              <w:rPr>
                <w:rFonts w:ascii="Arial" w:cs="Arial" w:eastAsia="Arial" w:hAnsi="Arial"/>
                <w:sz w:val="13"/>
                <w:szCs w:val="13"/>
                <w:b w:val="1"/>
                <w:bCs w:val="1"/>
                <w:color w:val="auto"/>
              </w:rPr>
              <w:t>Aviat Networks Stockholders’ Equity</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4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Total Aviat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6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9"/>
                <w:szCs w:val="9"/>
                <w:color w:val="auto"/>
              </w:rPr>
            </w:pPr>
          </w:p>
        </w:tc>
        <w:tc>
          <w:tcPr>
            <w:tcW w:w="100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w w:val="96"/>
              </w:rPr>
              <w:t>Networks</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49"/>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700" w:type="dxa"/>
            <w:vAlign w:val="bottom"/>
          </w:tcPr>
          <w:p>
            <w:pPr>
              <w:jc w:val="right"/>
              <w:ind w:right="49"/>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796.8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(625.0)</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168.4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168.4</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44"/>
        </w:trPr>
        <w:tc>
          <w:tcPr>
            <w:tcW w:w="700" w:type="dxa"/>
            <w:vAlign w:val="bottom"/>
          </w:tcPr>
          <w:p>
            <w:pPr>
              <w:jc w:val="right"/>
              <w:ind w:right="49"/>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803.5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159.1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700" w:type="dxa"/>
            <w:vAlign w:val="bottom"/>
          </w:tcPr>
          <w:p>
            <w:pPr>
              <w:jc w:val="right"/>
              <w:ind w:right="49"/>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44"/>
        </w:trPr>
        <w:tc>
          <w:tcPr>
            <w:tcW w:w="700" w:type="dxa"/>
            <w:vAlign w:val="bottom"/>
          </w:tcPr>
          <w:p>
            <w:pPr>
              <w:jc w:val="right"/>
              <w:ind w:right="49"/>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807.0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111.9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700" w:type="dxa"/>
            <w:vAlign w:val="bottom"/>
          </w:tcPr>
          <w:p>
            <w:pPr>
              <w:jc w:val="right"/>
              <w:ind w:right="49"/>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37"/>
        </w:trPr>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809.2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-2760980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-2417445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-2074545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-1731645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-1388745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-1045845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-702310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-359410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140"/>
            <w:col w:w="8080"/>
          </w:cols>
          <w:pgMar w:left="240" w:top="125"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0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(“Aviat Networks,”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Aviat Networks and its wholly-owned and majority owned subsidiaries. Significant intercompany transactions and accounts have been eliminated.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fiscal year ends on the Friday nearest June 30. This was July 3 for fiscal 2015, June 27 for fiscal 2014 and June 28 for fiscal 2013. Fiscal year 2015 included 53 weeks and fiscal years 2014 and 2013 presented each included 52 weeks. In these notes to consolidated financial statements, we refer to our fiscal years as “fiscal 2015”, “fiscal 2014” and “fiscal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amounts in the fiscal 2014 and 2013 financial statements have been reclassified to conform with fiscal 2015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consider all highly liquid investments with an original maturity of three months or less at the date of purchase to be cash equivalents. Cash equivalents are carried at amortized cost, which approximates fair value due to the short-term nature of these investments. 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may invest our excess cash in high-quality marketable debt securities to ensure that cash is readily available for use in our current operations. Investments with original maturities greater than three months but less than one year are accounted for as short-term and are classified as such at the time of purchase. Marketable securities are classified 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and are classified as short-term because we view our entire portfolio as available for use in our current operations.</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July 3, 2015 and June 27, 2014, all of our high-quality marketable debt securities were invested in prime money market funds and were classified as cash equivalents.</w:t>
      </w:r>
    </w:p>
    <w:p>
      <w:pPr>
        <w:spacing w:after="0" w:line="116" w:lineRule="exact"/>
        <w:rPr>
          <w:sz w:val="20"/>
          <w:szCs w:val="20"/>
          <w:color w:val="auto"/>
        </w:rPr>
      </w:pPr>
    </w:p>
    <w:p>
      <w:pPr>
        <w:jc w:val="both"/>
        <w:ind w:right="260" w:firstLine="432"/>
        <w:spacing w:after="0" w:line="259" w:lineRule="auto"/>
        <w:rPr>
          <w:sz w:val="20"/>
          <w:szCs w:val="20"/>
          <w:color w:val="auto"/>
        </w:rPr>
      </w:pPr>
      <w:r>
        <w:rPr>
          <w:rFonts w:ascii="Arial" w:cs="Arial" w:eastAsia="Arial" w:hAnsi="Arial"/>
          <w:sz w:val="18"/>
          <w:szCs w:val="18"/>
          <w:color w:val="auto"/>
        </w:rPr>
        <w:t>Cash and cash equivalents that are restricted as to withdrawal or usage under the terms of contractual agreements are recorded as restricted cash. At July 3, 2015, restricted cash included cash balances in our disability insurance voluntary plan account that cannot be used by us for any operating purposes other than to pay benefits to the insured employees and was recorded in other assets in our consolidated balance sheets. The corresponding liabilities were included in other long-term liabilities in our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Concentrations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2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Accounts receivable is presented net of allowance for estimated uncollectible accounts to reflect any loss anticipated on the collection of accounts receivable balances. We calculate the allowance based on our history of write-offs, level of past due accounts and the economic status of the customers. The fair value of our accounts receivable approximates their net realizable value.</w:t>
      </w:r>
    </w:p>
    <w:p>
      <w:pPr>
        <w:spacing w:after="0" w:line="12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regularly require letters of credit from some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 Total customer letters of credit discounted and related interest expense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discounted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0.2</w:t>
            </w:r>
          </w:p>
        </w:tc>
      </w:tr>
    </w:tbl>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fiscal 2015, 2014 and 2013, we had one international customer in Africa, Mobile Telephone Networks Group (“MTN Group”) that accounted for 14%, 17% and 25%, respectively, of our total revenue. In addition, Verizon Wireless accounted for 11% of our total revenue during fiscal 2013. As of July 3, 2015 and June 27, 2014, MTN Group accounted for approximately 10% and 17%, respectively, of our accounts receivable. No other customers accounted for more than 10% of our revenue or accounts receivable for the years presented.</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w:t>
      </w:r>
    </w:p>
    <w:p>
      <w:pPr>
        <w:spacing w:after="0" w:line="13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39"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We rely on third parties to manufacture our products and we purchase raw materials from third-party vendors. We outsourced our manufacturing services to two independent manufacturers. In addition, we purchase certain strategic component inventory which is consigned to our third-party manufacturers. Other components included in our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are sourced from various suppliers and are principally industry standard parts and components that are available from multiple vendors. The inability of a contract manufacturer or supplier to fulfill our supply requirements or changes in their financial or business condition could disrupt our ability to supply quality products to our customers, and thereby may have a material adverse effect on our business and operating results.</w:t>
      </w:r>
    </w:p>
    <w:p>
      <w:pPr>
        <w:spacing w:after="0" w:line="11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entered into agreements relating to our foreign currency contracts with large, multinational financial institutions.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Inventories are valued at the lower of cost or market. Cost is determined using standard cost, which approximates actual cost on a weighted-average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estimated market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Inventories</w:t>
      </w:r>
    </w:p>
    <w:p>
      <w:pPr>
        <w:spacing w:after="0" w:line="17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 Leasehold improvements made either at the inception of the lease or during the lease term are amortized over the remaining current lease term, or estimated life, if shorter.</w:t>
      </w:r>
    </w:p>
    <w:p>
      <w:pPr>
        <w:spacing w:after="0" w:line="13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48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40 years</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480" w:type="dxa"/>
            <w:vAlign w:val="bottom"/>
          </w:tcPr>
          <w:p>
            <w:pPr>
              <w:ind w:left="3920"/>
              <w:spacing w:after="0"/>
              <w:rPr>
                <w:sz w:val="20"/>
                <w:szCs w:val="20"/>
                <w:color w:val="auto"/>
              </w:rPr>
            </w:pPr>
            <w:r>
              <w:rPr>
                <w:rFonts w:ascii="Arial" w:cs="Arial" w:eastAsia="Arial" w:hAnsi="Arial"/>
                <w:sz w:val="18"/>
                <w:szCs w:val="18"/>
                <w:color w:val="auto"/>
              </w:rPr>
              <w:t>2 to 10 years</w:t>
            </w:r>
          </w:p>
        </w:tc>
      </w:tr>
      <w:tr>
        <w:trPr>
          <w:trHeight w:val="27"/>
        </w:trPr>
        <w:tc>
          <w:tcPr>
            <w:tcW w:w="586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480" w:type="dxa"/>
            <w:vAlign w:val="bottom"/>
            <w:tcBorders>
              <w:bottom w:val="single" w:sz="8" w:color="CCEEFF"/>
            </w:tcBorders>
            <w:shd w:val="clear" w:color="auto" w:fill="CCEEFF"/>
          </w:tcPr>
          <w:p>
            <w:pPr>
              <w:ind w:left="3920"/>
              <w:spacing w:after="0"/>
              <w:rPr>
                <w:sz w:val="20"/>
                <w:szCs w:val="20"/>
                <w:color w:val="auto"/>
              </w:rPr>
            </w:pPr>
            <w:r>
              <w:rPr>
                <w:rFonts w:ascii="Arial" w:cs="Arial" w:eastAsia="Arial" w:hAnsi="Arial"/>
                <w:sz w:val="18"/>
                <w:szCs w:val="18"/>
                <w:color w:val="auto"/>
              </w:rPr>
              <w:t>3 to 5 years</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5480" w:type="dxa"/>
            <w:vAlign w:val="bottom"/>
          </w:tcPr>
          <w:p>
            <w:pPr>
              <w:ind w:left="3920"/>
              <w:spacing w:after="0"/>
              <w:rPr>
                <w:sz w:val="20"/>
                <w:szCs w:val="20"/>
                <w:color w:val="auto"/>
              </w:rPr>
            </w:pPr>
            <w:r>
              <w:rPr>
                <w:rFonts w:ascii="Arial" w:cs="Arial" w:eastAsia="Arial" w:hAnsi="Arial"/>
                <w:sz w:val="18"/>
                <w:szCs w:val="18"/>
                <w:color w:val="auto"/>
              </w:rPr>
              <w:t>2 to 5 years</w:t>
            </w:r>
          </w:p>
        </w:tc>
      </w:tr>
    </w:tbl>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16"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Expenses and Other Assets</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No accrued liabilities or expenses within other accrued expenses in our consolidated balance sheets exceeded 5% of our total current liabilities as of July 3, 2015 or June 27, 2014. Other accrued expenses in our consolidated balance sheets primarily consists of accruals for sales commissions, warranties and severance. No current assets other than those already disclosed in the consolidated balance sheets exceeded 5% of our total current assets as of July 3, 2015 or June 27, 2014. No assets within other assets in the consolidated balance sheets exceeded 5% of total assets as of July 3, 2015 or June 27, 2014.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7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On product sales we provide for future warranty costs upon product delivery. The specific terms and conditions of those warranties vary depending upon the product sold and country in which we do business. In the case of products sold by us, our warranties generally start from the delivery date and continue for one to three years, depending on the terms.</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Aviat Networks and is reported as our equity, separately from our controlling interests. Revenues, expenses, gains, losses, net income (loss) and other comprehensive income (loss) are reported in the consolidated financial statements at the consolidated amounts, which include the amounts attributable to both the controlling and noncontrolling interests.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functional currency of our subsidiaries located in the United Kingdom, Singapore, Mexico, Algeria and New Zealand is the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3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Our other international subsidiaries use their respective local currency as their functional currency. Assets and liabilities of these subsidiaries are translated at the local current exchange rates in effect at the balance sheet date,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and expense accounts are translated at the average exchange rates during the period. The resulting translation adjustments are included in accumulated other comprehensive loss.</w:t>
      </w:r>
    </w:p>
    <w:p>
      <w:pPr>
        <w:spacing w:after="0" w:line="116" w:lineRule="exact"/>
        <w:rPr>
          <w:sz w:val="20"/>
          <w:szCs w:val="20"/>
          <w:color w:val="auto"/>
        </w:rPr>
      </w:pPr>
    </w:p>
    <w:p>
      <w:pPr>
        <w:jc w:val="both"/>
        <w:ind w:right="600" w:firstLine="432"/>
        <w:spacing w:after="0" w:line="312" w:lineRule="auto"/>
        <w:rPr>
          <w:sz w:val="20"/>
          <w:szCs w:val="20"/>
          <w:color w:val="auto"/>
        </w:rPr>
      </w:pPr>
      <w:r>
        <w:rPr>
          <w:rFonts w:ascii="Arial" w:cs="Arial" w:eastAsia="Arial" w:hAnsi="Arial"/>
          <w:sz w:val="16"/>
          <w:szCs w:val="16"/>
          <w:color w:val="auto"/>
        </w:rPr>
        <w:t>Gains and losses resulting from foreign exchange transactions and translation of monetary assets and liabilities in non-functional currencies are included in cost of product sales and services in the accompanying consolidated statements of operations. Net foreign exchange losses recorded in our consolidated statements of operations during fiscal 2015, 2014 and 2013 totaled $3.3 million, $0.8 million and $1.5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of July 3, 2015,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We halted making matching contributions to the U.S. plan from the second quarter of fiscal 2014 through the end of fiscal 2015. We may make additional contributions to the plans at our discretion.</w:t>
      </w:r>
    </w:p>
    <w:p>
      <w:pPr>
        <w:spacing w:after="0" w:line="1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Contributions to retirement plans are expensed as incurred. Retirement plan expense amounted to $1.7 million, $2.5 million and $2.9 million in fiscal 2015, 2014 and 2013,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11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Revenue from product sales is generated predominately from the sales of products manufactured by third party manufacturers to whom we have outsourced our manufacturing processes. In general,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 party manufacturers.</w:t>
      </w:r>
    </w:p>
    <w:p>
      <w:pPr>
        <w:spacing w:after="0" w:line="100"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 Revenue from warranty services are recognized ratably over the service period.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our revenue recognition policy, revenue is recognized when all of the following criteria have been met:</w:t>
      </w:r>
    </w:p>
    <w:p>
      <w:pPr>
        <w:spacing w:after="0" w:line="63" w:lineRule="exact"/>
        <w:rPr>
          <w:sz w:val="20"/>
          <w:szCs w:val="20"/>
          <w:color w:val="auto"/>
        </w:rPr>
      </w:pPr>
    </w:p>
    <w:p>
      <w:pPr>
        <w:ind w:left="980" w:right="3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and/or customer purchase orders are generally used to determine the existence of an arrangement.</w:t>
      </w:r>
    </w:p>
    <w:p>
      <w:pPr>
        <w:spacing w:after="0" w:line="8"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Delivery has occurred or services have been delivered. Shipping documents and customer acceptance, when applicable, are used to verify delivery.</w:t>
      </w:r>
    </w:p>
    <w:p>
      <w:pPr>
        <w:spacing w:after="0" w:line="8"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8"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Collectibility is reasonably assured. We assess collectibility based primarily on the creditworthiness of the customer as determined by credit checks and analysis, as well as the customer’s payment history.</w:t>
      </w:r>
    </w:p>
    <w:p>
      <w:pPr>
        <w:spacing w:after="0" w:line="11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Based on the terms and conditions of our typical product sales arrangement, we believe that our products and services can be accounted for as separate units because our products and services have value to our customers on a stand-alone basis.</w:t>
      </w:r>
    </w:p>
    <w:p>
      <w:pPr>
        <w:spacing w:after="0" w:line="1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When a sale involves multiple deliverables, the entire fee from the arrangement is allocated to each unit of accounting based on the relative selling price of each deliverable. When applying the relative selling price method,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accounting principles establish a hierarchy to determine the selling price to be used for allocating revenue to deliverables as follows: (i) vendor-specific objective evidence (“VSOE”), (ii) third-party evidence of selling price (“TPE”) and (iii) best estimate of the selling price (“ESP”). Generally, we are not able to determine TPE because our go-to-market strategy differs from that of our peers and our offerings contain a significant level of differentiation such that the comparable pricing of products with similar functionality cannot be obtained. When we are unable to establish a selling price using VSOE or TPE, we use ESP to allocate the arrangement fees to the deliverables. Revenue allocated to each element is then recognized when the other revenue recognition criteria are met for each element. There is generally no customer right of return in our sales agreements. The sequence for typical multiple element arrangements: we deliver our products, perform installation services and then provide post-contract support services.</w:t>
      </w:r>
    </w:p>
    <w:p>
      <w:pPr>
        <w:spacing w:after="0" w:line="12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updating of these estimates.</w:t>
      </w:r>
    </w:p>
    <w:p>
      <w:pPr>
        <w:spacing w:after="0" w:line="133"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 We establish billing terms at the time project deliverables and milestones are agreed. Revenues recognized in excess of the amounts invoiced to clients are classified as unbilled costs in our consolidated balance sheets.</w:t>
      </w:r>
    </w:p>
    <w:p>
      <w:pPr>
        <w:spacing w:after="0" w:line="11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also consider whether contracts should be combined when specific aggregation criteria are met including when the contracts are in substance an arrangement to perform a single project with a customer; the contracts are negotiated as a package in the same economic environment with an overall profit objective; and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Royalty income is recognized on the basis of terms specified in the contractual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Services</w:t>
      </w:r>
    </w:p>
    <w:p>
      <w:pPr>
        <w:spacing w:after="0" w:line="17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Cost of sales consists primarily of materials, labor and overhead costs incurred internally and amounts incurred for contract manufacturers to produce our products, personnel and other implementation costs incurred to install our products and train customer personnel, and customer service and third party original equipment manufacturer costs to provide continuing support to our customers. Also included in cost of sales is the amortization of purchased technology intangible assets.</w:t>
      </w:r>
    </w:p>
    <w:p>
      <w:pPr>
        <w:spacing w:after="0" w:line="1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we include in revenue the related costs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Transactional Taxes Collected from Customers and Remitted to Government Authorities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sponsored research and development costs, which include costs in connection with new product development, improvement of existing products, process improvement, and product use technologies, are charged to operations in the period in which they are incurred.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have issued stock options, restricted stock and performance shares under our 2007 Stock Equity Plan and have assumed stock options from the acquisition of Stratex. We estimate the grant date fair value of our share-based awards and amortize this fair value to compensation expense over the requisite service period or vesting term.</w:t>
      </w:r>
    </w:p>
    <w:p>
      <w:pPr>
        <w:spacing w:after="0" w:line="12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To estimate the fair value of our stock option awards, we use the Black-Scholes option pricing model. The determination of the fair value of stock option awards on the date of grant using an option 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and performance share awards, we measure the grant date fair value based upon the market price of our common stock on the date of the grant.</w:t>
      </w:r>
    </w:p>
    <w:p>
      <w:pPr>
        <w:spacing w:after="0" w:line="12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generally recognize compensation cost for share-based payment awards on a straight-line basis over the requisite service period. For awards with a performance condition vesting feature, we recognize share-based compensation costs for the performance awards when achievement of the performance conditions is considered probable. Any previously recognized compensation cost would be reversed if the performance condition is not satisfied or if it is not probable that the performance conditions will be achieved.</w:t>
      </w:r>
    </w:p>
    <w:p>
      <w:pPr>
        <w:spacing w:after="0" w:line="13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estimate forfeitures at the time of grant and revise, if necessary, in subsequent periods if actual forfeitures differ significantly from initial estimates. Share-based compensation expense is recorded net of estimated forfeitures such that expense was recorded only for those share-based awards that are expected to vest.</w:t>
      </w:r>
    </w:p>
    <w:p>
      <w:pPr>
        <w:spacing w:after="0" w:line="127"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Cash flows, if any, resulting from the gross benefit of tax deductions related to share-based compensation in excess of the grant date fair value of the related share-based awards are presented as part of cash flows from financing activities. This amount is shown as a reduction to cash flows from operating activities and an increase to cash flow from financing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Our restructuring charges represent expenses incurred in connection with certain cost reduction programs that we have implemented, and consist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Related Uncertainties</w:t>
      </w:r>
    </w:p>
    <w:p>
      <w:pPr>
        <w:spacing w:after="0" w:line="17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estimated future tax effects of temporary differences between the financial statement and tax bases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34"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13"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use a two-step process to determine the amount of tax benefit to be recognized.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May 28, 2014, the FASB issued Accounting Standards Update (“ASU”) No. 2014-09, Revenue from Contracts with Customers, which requires an entity to recognize the amount of revenue to which it expects to be entitled for the transfer of promised goods or services to customers. This ASU is based on the principle that revenue is recognized to depict the transfer of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July 2015, the FASB deferred the effective date of the new revenue standard from December 15, 2016 to December 15, 2017, with early adoption permitted before annual periods beginning after December 15, 2016. Accordingly, the new standard is effective for us beginning in our fiscal year 2019. The principles may be applied retrospectively to each prior period presented or retrospectively with the cumulative effect recognized as of the date of initial application. We are currently evaluating the transition methods and the effect that ASU 2014-09 will have on our consolidated financial statements and related disclosures.</w:t>
      </w:r>
    </w:p>
    <w:p>
      <w:pPr>
        <w:spacing w:after="0" w:line="124"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In July 2015, the FASB issued ASU No. 2015-11 (Subtopic 330) - Simplifying the Measurement of Inventory, which provides guidance to companies who account for inventory using either the first-in, first-out (“FIFO”)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ASU 2015-11 is effective for fiscal years beginning after December 15, 2016. Early adoption is permitted. We are currently evaluating the effect of the adoption of the standard will have on our consolidated financial statements and related disclosures.</w:t>
      </w:r>
    </w:p>
    <w:p>
      <w:pPr>
        <w:spacing w:after="0" w:line="10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August 2014, FASB issued a new standard on the disclosure of uncertainties about an entity’s ability to continue as a going concern. The guidance seeks to define management’s responsibility to decide whether there is substantial doubt about an organization’s ability to continue as a going concern and to provide related footnote disclosures. This standard is effective for annual reporting periods beginning after December 15, 2016, including interim periods during the annual period. Early application is permitted. We are currently evaluating the effect of the adoption of the standard will have on our consolidated financial statements and related disclosures.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Revision of Prior Years Consolidated Financial Statements</w:t>
      </w:r>
    </w:p>
    <w:p>
      <w:pPr>
        <w:spacing w:after="0" w:line="17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During the fourth quarter of fiscal year 2015, we identified and corrected errors that originated in prior periods and assessed the materiality of the errors using quantitative and qualitative factors. The errors misstated our accrued liability related to cost of services revenue. In prior years, we estimated certain direct costs related to service projects and recorded the related accrued liabilities. During the fourth quarter of fiscal 2015, we recomputed our accruals for service arrangements based on actual service work performed at the end of each reporting periods, including interim periods, and determined that the prior methodology was misstating our costs and accrued liabilities for the work performed on service projects.</w:t>
      </w:r>
    </w:p>
    <w:p>
      <w:pPr>
        <w:spacing w:after="0" w:line="11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Based on the analysis, we determined that the errors were immaterial to each of the prior reporting periods affected. However, we have concluded that correcting the errors in fiscal 2015 would materially misstate our fiscal 2015 consolidated financial statements. Accordingly, we have reflected the corrections of the prior period errors in the periods in which they originated and revised our consolidated balance sheet as of June 27, 2014 and our consolidated statements of operations, comprehensive loss, cash flows and equity for the years ended June 27, 2014 and June 28, 2013.</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total effects of the error corrections on our consolidated balance sheet as of June 27, 2014 and on our accumulated deficit as of June 29, 2012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2"/>
              </w:rPr>
              <w:t>Previously Reported</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Correction</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Revised</w:t>
            </w:r>
          </w:p>
        </w:tc>
      </w:tr>
      <w:tr>
        <w:trPr>
          <w:trHeight w:val="250"/>
        </w:trPr>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27, 2014:</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32.4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23.1</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150.6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141.3</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(702.1)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(692.8)</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Aviat Networks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102.6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111.9</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w:t>
            </w:r>
          </w:p>
        </w:tc>
      </w:tr>
      <w:tr>
        <w:trPr>
          <w:trHeight w:val="324"/>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29, 2012:</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(635.9)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10.9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(625.0)</w:t>
            </w:r>
          </w:p>
        </w:tc>
      </w:tr>
    </w:tbl>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effects of the error corrections on our consolidated statements of operations and comprehensive loss for the years ended June 27, 2014 and June 28, 2013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 Ended June 27, 2014</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 Ended June 28, 2013</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w w:val="98"/>
              </w:rPr>
              <w:t>Previously</w:t>
            </w:r>
          </w:p>
        </w:tc>
        <w:tc>
          <w:tcPr>
            <w:tcW w:w="260" w:type="dxa"/>
            <w:vAlign w:val="bottom"/>
          </w:tcPr>
          <w:p>
            <w:pPr>
              <w:spacing w:after="0"/>
              <w:rPr>
                <w:sz w:val="13"/>
                <w:szCs w:val="13"/>
                <w:color w:val="auto"/>
              </w:rPr>
            </w:pPr>
          </w:p>
        </w:tc>
        <w:tc>
          <w:tcPr>
            <w:tcW w:w="10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Correction</w:t>
            </w:r>
          </w:p>
        </w:tc>
        <w:tc>
          <w:tcPr>
            <w:tcW w:w="28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Revised</w:t>
            </w:r>
          </w:p>
        </w:tc>
        <w:tc>
          <w:tcPr>
            <w:tcW w:w="180" w:type="dxa"/>
            <w:vAlign w:val="bottom"/>
          </w:tcPr>
          <w:p>
            <w:pPr>
              <w:spacing w:after="0"/>
              <w:rPr>
                <w:sz w:val="13"/>
                <w:szCs w:val="13"/>
                <w:color w:val="auto"/>
              </w:rPr>
            </w:pPr>
          </w:p>
        </w:tc>
        <w:tc>
          <w:tcPr>
            <w:tcW w:w="100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8"/>
              </w:rPr>
              <w:t>Previously</w:t>
            </w:r>
          </w:p>
        </w:tc>
        <w:tc>
          <w:tcPr>
            <w:tcW w:w="240" w:type="dxa"/>
            <w:vAlign w:val="bottom"/>
          </w:tcPr>
          <w:p>
            <w:pPr>
              <w:spacing w:after="0"/>
              <w:rPr>
                <w:sz w:val="13"/>
                <w:szCs w:val="13"/>
                <w:color w:val="auto"/>
              </w:rPr>
            </w:pP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Correction</w:t>
            </w:r>
          </w:p>
        </w:tc>
        <w:tc>
          <w:tcPr>
            <w:tcW w:w="300" w:type="dxa"/>
            <w:vAlign w:val="bottom"/>
          </w:tcPr>
          <w:p>
            <w:pPr>
              <w:spacing w:after="0"/>
              <w:rPr>
                <w:sz w:val="13"/>
                <w:szCs w:val="13"/>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Reported</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Reported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2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260.9</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331.2</w:t>
            </w:r>
          </w:p>
        </w:tc>
        <w:tc>
          <w:tcPr>
            <w:tcW w:w="24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85.1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140.1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486"/>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612"/>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effects of the error corrections on our consolidated statements of cash flows for the years ended June 27, 2014 and June 28, 2013 were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 Ended June 27, 2014</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 Ended June 28, 2013</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w w:val="98"/>
              </w:rPr>
              <w:t>Previously</w:t>
            </w:r>
          </w:p>
        </w:tc>
        <w:tc>
          <w:tcPr>
            <w:tcW w:w="260" w:type="dxa"/>
            <w:vAlign w:val="bottom"/>
          </w:tcPr>
          <w:p>
            <w:pPr>
              <w:spacing w:after="0"/>
              <w:rPr>
                <w:sz w:val="13"/>
                <w:szCs w:val="13"/>
                <w:color w:val="auto"/>
              </w:rPr>
            </w:pPr>
          </w:p>
        </w:tc>
        <w:tc>
          <w:tcPr>
            <w:tcW w:w="10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Correction</w:t>
            </w:r>
          </w:p>
        </w:tc>
        <w:tc>
          <w:tcPr>
            <w:tcW w:w="28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Revised</w:t>
            </w:r>
          </w:p>
        </w:tc>
        <w:tc>
          <w:tcPr>
            <w:tcW w:w="180" w:type="dxa"/>
            <w:vAlign w:val="bottom"/>
          </w:tcPr>
          <w:p>
            <w:pPr>
              <w:spacing w:after="0"/>
              <w:rPr>
                <w:sz w:val="13"/>
                <w:szCs w:val="13"/>
                <w:color w:val="auto"/>
              </w:rPr>
            </w:pPr>
          </w:p>
        </w:tc>
        <w:tc>
          <w:tcPr>
            <w:tcW w:w="1000" w:type="dxa"/>
            <w:vAlign w:val="bottom"/>
          </w:tcPr>
          <w:p>
            <w:pPr>
              <w:jc w:val="right"/>
              <w:ind w:right="199"/>
              <w:spacing w:after="0" w:line="153" w:lineRule="exact"/>
              <w:rPr>
                <w:sz w:val="20"/>
                <w:szCs w:val="20"/>
                <w:color w:val="auto"/>
              </w:rPr>
            </w:pPr>
            <w:r>
              <w:rPr>
                <w:rFonts w:ascii="Arial" w:cs="Arial" w:eastAsia="Arial" w:hAnsi="Arial"/>
                <w:sz w:val="14"/>
                <w:szCs w:val="14"/>
                <w:b w:val="1"/>
                <w:bCs w:val="1"/>
                <w:color w:val="auto"/>
                <w:w w:val="98"/>
              </w:rPr>
              <w:t>Previously</w:t>
            </w:r>
          </w:p>
        </w:tc>
        <w:tc>
          <w:tcPr>
            <w:tcW w:w="240" w:type="dxa"/>
            <w:vAlign w:val="bottom"/>
          </w:tcPr>
          <w:p>
            <w:pPr>
              <w:spacing w:after="0"/>
              <w:rPr>
                <w:sz w:val="13"/>
                <w:szCs w:val="13"/>
                <w:color w:val="auto"/>
              </w:rPr>
            </w:pPr>
          </w:p>
        </w:tc>
        <w:tc>
          <w:tcPr>
            <w:tcW w:w="10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Correction</w:t>
            </w:r>
          </w:p>
        </w:tc>
        <w:tc>
          <w:tcPr>
            <w:tcW w:w="300" w:type="dxa"/>
            <w:vAlign w:val="bottom"/>
          </w:tcPr>
          <w:p>
            <w:pPr>
              <w:spacing w:after="0"/>
              <w:rPr>
                <w:sz w:val="13"/>
                <w:szCs w:val="13"/>
                <w:color w:val="auto"/>
              </w:rPr>
            </w:pP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Reported</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Reported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8"/>
                <w:szCs w:val="18"/>
                <w:color w:val="auto"/>
              </w:rPr>
              <w:t>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Accumulated Other Comprehensive Loss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components of our accumulated other comprehensive loss during fiscal 2015, 2014 and 2013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w:t>
            </w: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reclassified out of 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June 28, 2013</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loss reclassified out of accumulated other comprehensive loss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27, 2014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reclassified out of 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July 3, 2015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In fiscal 2015, 2014 and 2013, the realized gain or loss on cash flow hedges were reclassified out of accumulated other comprehensive loss into the following line item locations in our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 gain (loss) on cash flow hedges included in:</w:t>
            </w:r>
          </w:p>
        </w:tc>
        <w:tc>
          <w:tcPr>
            <w:tcW w:w="10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37"/>
        </w:trPr>
        <w:tc>
          <w:tcPr>
            <w:tcW w:w="6740" w:type="dxa"/>
            <w:vAlign w:val="bottom"/>
          </w:tcPr>
          <w:p>
            <w:pPr>
              <w:spacing w:after="0"/>
              <w:rPr>
                <w:sz w:val="20"/>
                <w:szCs w:val="20"/>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Beginning the fourth quarter of fiscal 2015, we no longer prepared contemporaneous documentation of hedges therefore the foreign exchange hedges no longer qualified as cash flow hedge. The changes in fair value related to the hedges were very insignificant for fiscal 2015 and were recorded in income or expense line item on our statements of operations to which the hedged transaction related.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Net Loss per Share of Common Stock</w:t>
      </w:r>
    </w:p>
    <w:p>
      <w:pPr>
        <w:spacing w:after="0" w:line="17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compute net income (loss) per share attributable to Aviat Networks’ common stockholders using the two-class method. Basic net income (loss) per share is computed using the weighted average number of common shares and participating securities outstanding during the period. Our unvested restricted shares contain rights to receive non-forfeitable dividends and therefore are considered to be participating securities and would be included in the calculations of net income per basic and diluted common share. However, we incurred a net loss in all periods presented. In accordance with ASC subtopic 260-10, undistributed losses are not allocated to unvested restricted shares due to the fact that the unvested restricted shares are not contractually obligated to share in the losses of the company.</w:t>
      </w:r>
    </w:p>
    <w:p>
      <w:pPr>
        <w:spacing w:after="0" w:line="13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As we incurred net loss for all periods in fiscal 2015, 2014 and 2013, the effect of outstanding stock options, restricted stocks and units and performance shares and units were anti-dilutive and therefore were excluded from the diluted net loss per share calculations. The following table summarizes the potential shares of common stock that were excluded from the diluted net loss per share calculations: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Restricted stocks and units and performance shares and units</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Balance Sheet Components</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Receivables, net</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tcPr>
          <w:p>
            <w:pPr>
              <w:ind w:left="440"/>
              <w:spacing w:after="0"/>
              <w:rPr>
                <w:sz w:val="20"/>
                <w:szCs w:val="20"/>
                <w:color w:val="auto"/>
              </w:rPr>
            </w:pPr>
            <w:r>
              <w:rPr>
                <w:rFonts w:ascii="Arial" w:cs="Arial" w:eastAsia="Arial" w:hAnsi="Arial"/>
                <w:sz w:val="18"/>
                <w:szCs w:val="18"/>
                <w:color w:val="auto"/>
              </w:rPr>
              <w:t>Our net accounts receivable is summarized below:</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July 3,</w:t>
            </w:r>
          </w:p>
        </w:tc>
        <w:tc>
          <w:tcPr>
            <w:tcW w:w="400" w:type="dxa"/>
            <w:vAlign w:val="bottom"/>
          </w:tcPr>
          <w:p>
            <w:pPr>
              <w:spacing w:after="0"/>
              <w:rPr>
                <w:sz w:val="24"/>
                <w:szCs w:val="24"/>
                <w:color w:val="auto"/>
              </w:rPr>
            </w:pPr>
          </w:p>
        </w:tc>
        <w:tc>
          <w:tcPr>
            <w:tcW w:w="1080" w:type="dxa"/>
            <w:vAlign w:val="bottom"/>
          </w:tcPr>
          <w:p>
            <w:pPr>
              <w:jc w:val="center"/>
              <w:ind w:right="335"/>
              <w:spacing w:after="0"/>
              <w:rPr>
                <w:sz w:val="20"/>
                <w:szCs w:val="20"/>
                <w:color w:val="auto"/>
              </w:rPr>
            </w:pPr>
            <w:r>
              <w:rPr>
                <w:rFonts w:ascii="Arial" w:cs="Arial" w:eastAsia="Arial" w:hAnsi="Arial"/>
                <w:sz w:val="14"/>
                <w:szCs w:val="14"/>
                <w:b w:val="1"/>
                <w:bCs w:val="1"/>
                <w:color w:val="auto"/>
                <w:w w:val="89"/>
              </w:rPr>
              <w:t>June 27,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July 3,</w:t>
            </w:r>
          </w:p>
        </w:tc>
        <w:tc>
          <w:tcPr>
            <w:tcW w:w="400" w:type="dxa"/>
            <w:vAlign w:val="bottom"/>
          </w:tcPr>
          <w:p>
            <w:pPr>
              <w:spacing w:after="0"/>
              <w:rPr>
                <w:sz w:val="24"/>
                <w:szCs w:val="24"/>
                <w:color w:val="auto"/>
              </w:rPr>
            </w:pPr>
          </w:p>
        </w:tc>
        <w:tc>
          <w:tcPr>
            <w:tcW w:w="1080" w:type="dxa"/>
            <w:vAlign w:val="bottom"/>
          </w:tcPr>
          <w:p>
            <w:pPr>
              <w:jc w:val="center"/>
              <w:ind w:right="335"/>
              <w:spacing w:after="0"/>
              <w:rPr>
                <w:sz w:val="20"/>
                <w:szCs w:val="20"/>
                <w:color w:val="auto"/>
              </w:rPr>
            </w:pPr>
            <w:r>
              <w:rPr>
                <w:rFonts w:ascii="Arial" w:cs="Arial" w:eastAsia="Arial" w:hAnsi="Arial"/>
                <w:sz w:val="14"/>
                <w:szCs w:val="14"/>
                <w:b w:val="1"/>
                <w:bCs w:val="1"/>
                <w:color w:val="auto"/>
                <w:w w:val="89"/>
              </w:rPr>
              <w:t>June 27,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67"/>
        </w:trPr>
        <w:tc>
          <w:tcPr>
            <w:tcW w:w="686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gridSpan w:val="2"/>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During fiscal 2015, 2014 and 2013, we recorded charges to adjust our inventory and customer service inventory to the lower of cost or market. These charges were primarily due to excess and obsolete inventory resulting from product transitioning and discontinuance or customer insolvency. Such charges incurred during fiscal 2015, 2014 and 2013 were classified in cost of product sales as follows: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Fiscal Year</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020" w:type="dxa"/>
            <w:vAlign w:val="bottom"/>
          </w:tcPr>
          <w:p>
            <w:pPr>
              <w:spacing w:after="0"/>
              <w:rPr>
                <w:sz w:val="21"/>
                <w:szCs w:val="21"/>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ind w:left="8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 of revenue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7"/>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ind w:left="880"/>
              <w:spacing w:after="0"/>
              <w:rPr>
                <w:sz w:val="20"/>
                <w:szCs w:val="20"/>
                <w:color w:val="auto"/>
              </w:rPr>
            </w:pPr>
            <w:r>
              <w:rPr>
                <w:rFonts w:ascii="Arial" w:cs="Arial" w:eastAsia="Arial" w:hAnsi="Arial"/>
                <w:sz w:val="18"/>
                <w:szCs w:val="18"/>
                <w:color w:val="auto"/>
                <w:w w:val="92"/>
              </w:rPr>
              <w:t>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60" w:firstLine="405"/>
        <w:spacing w:after="0" w:line="308" w:lineRule="auto"/>
        <w:rPr>
          <w:sz w:val="20"/>
          <w:szCs w:val="20"/>
          <w:color w:val="auto"/>
        </w:rPr>
      </w:pPr>
      <w:r>
        <w:rPr>
          <w:rFonts w:ascii="Arial" w:cs="Arial" w:eastAsia="Arial" w:hAnsi="Arial"/>
          <w:sz w:val="17"/>
          <w:szCs w:val="17"/>
          <w:color w:val="auto"/>
        </w:rPr>
        <w:t>During fiscal 2013, we also incurred $4.2 million charges to write down deferred cost of revenue that were unlikely to derive revenue due to disposition of our WiMAX business. The charges were included in discontinued operations in our consolidated statement of operations for fiscal 2013.</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property, plant and equipment, net are summarized below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w:t>
            </w:r>
          </w:p>
        </w:tc>
        <w:tc>
          <w:tcPr>
            <w:tcW w:w="40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w w:val="99"/>
              </w:rPr>
              <w:t>June 27,</w:t>
            </w:r>
          </w:p>
        </w:tc>
      </w:t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196"/>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47.1</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internal use software , was $7.2 million, $7.1 million and $5.6 million, respectively, in fiscal 2015, 2014 and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other accrued expenses in the consolidated balance sheets, during fiscal 2015 and 2014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196"/>
        </w:trPr>
        <w:tc>
          <w:tcPr>
            <w:tcW w:w="8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1000" w:type="dxa"/>
            <w:vAlign w:val="bottom"/>
          </w:tcPr>
          <w:p>
            <w:pPr>
              <w:spacing w:after="0"/>
              <w:rPr>
                <w:sz w:val="21"/>
                <w:szCs w:val="21"/>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5.2</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 of Assets and Liabilities</w:t>
      </w:r>
    </w:p>
    <w:p>
      <w:pPr>
        <w:spacing w:after="0" w:line="17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July 3, 2015 and June 27, 2014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3, 2015</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27, 2014</w:t>
            </w:r>
          </w:p>
        </w:tc>
        <w:tc>
          <w:tcPr>
            <w:tcW w:w="76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153"/>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3"/>
                <w:szCs w:val="13"/>
                <w:color w:val="auto"/>
              </w:rPr>
            </w:pPr>
          </w:p>
        </w:tc>
        <w:tc>
          <w:tcPr>
            <w:tcW w:w="9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76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Fair</w:t>
            </w:r>
          </w:p>
        </w:tc>
        <w:tc>
          <w:tcPr>
            <w:tcW w:w="1240" w:type="dxa"/>
            <w:vAlign w:val="bottom"/>
          </w:tcPr>
          <w:p>
            <w:pPr>
              <w:jc w:val="center"/>
              <w:ind w:left="39"/>
              <w:spacing w:after="0" w:line="153" w:lineRule="exact"/>
              <w:rPr>
                <w:sz w:val="20"/>
                <w:szCs w:val="20"/>
                <w:color w:val="auto"/>
              </w:rPr>
            </w:pPr>
            <w:r>
              <w:rPr>
                <w:rFonts w:ascii="Arial" w:cs="Arial" w:eastAsia="Arial" w:hAnsi="Arial"/>
                <w:sz w:val="14"/>
                <w:szCs w:val="14"/>
                <w:b w:val="1"/>
                <w:bCs w:val="1"/>
                <w:color w:val="auto"/>
                <w:w w:val="95"/>
              </w:rPr>
              <w:t>Valuation</w:t>
            </w: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5"/>
              </w:rPr>
              <w:t>Inputs</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(In millions)</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0.6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3.5</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w:t>
            </w:r>
          </w:p>
        </w:tc>
        <w:tc>
          <w:tcPr>
            <w:tcW w:w="1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6"/>
              </w:rPr>
              <w:t>Level 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61"/>
              <w:spacing w:after="0"/>
              <w:rPr>
                <w:sz w:val="20"/>
                <w:szCs w:val="20"/>
                <w:color w:val="auto"/>
              </w:rPr>
            </w:pPr>
            <w:r>
              <w:rPr>
                <w:rFonts w:ascii="Arial" w:cs="Arial" w:eastAsia="Arial" w:hAnsi="Arial"/>
                <w:sz w:val="18"/>
                <w:szCs w:val="18"/>
                <w:color w:val="auto"/>
              </w:rPr>
              <w:t>12.5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10.2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10.2</w:t>
            </w:r>
          </w:p>
        </w:tc>
        <w:tc>
          <w:tcPr>
            <w:tcW w:w="1240" w:type="dxa"/>
            <w:vAlign w:val="bottom"/>
          </w:tcPr>
          <w:p>
            <w:pPr>
              <w:ind w:left="660"/>
              <w:spacing w:after="0"/>
              <w:rPr>
                <w:sz w:val="20"/>
                <w:szCs w:val="20"/>
                <w:color w:val="auto"/>
              </w:rPr>
            </w:pPr>
            <w:r>
              <w:rPr>
                <w:rFonts w:ascii="Arial" w:cs="Arial" w:eastAsia="Arial" w:hAnsi="Arial"/>
                <w:sz w:val="18"/>
                <w:szCs w:val="18"/>
                <w:color w:val="auto"/>
                <w:w w:val="96"/>
              </w:rPr>
              <w:t>Level 1</w:t>
            </w:r>
          </w:p>
        </w:tc>
      </w:tr>
    </w:tbl>
    <w:p>
      <w:pPr>
        <w:spacing w:after="0" w:line="17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include shares in money market funds purchased from two major financial institutions. As of July 3, 2015, these money market shares were valued at $1.00 net asset value per share by these financial institutions.</w:t>
      </w:r>
    </w:p>
    <w:p>
      <w:pPr>
        <w:spacing w:after="0" w:line="127" w:lineRule="exact"/>
        <w:rPr>
          <w:sz w:val="20"/>
          <w:szCs w:val="20"/>
          <w:color w:val="auto"/>
        </w:rPr>
      </w:pPr>
    </w:p>
    <w:p>
      <w:pPr>
        <w:ind w:right="360" w:firstLine="432"/>
        <w:spacing w:after="0" w:line="257"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July 3, 2015 and June 27, 2014. We did not have any recurring assets whose fair value was measured using significant unobservable inputs.</w:t>
      </w:r>
    </w:p>
    <w:p>
      <w:pPr>
        <w:spacing w:after="0" w:line="13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fiscal 2015, 2014 and 2013,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Facility and Debt</w:t>
      </w:r>
    </w:p>
    <w:p>
      <w:pPr>
        <w:spacing w:after="0" w:line="17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March 28, 2014, we entered into a Second Amended and Restated Loan Agreement with Silicon Valley Bank (as amended, the “SVB Credit Facility”). The SVB Credit Facility was amended on September 25, 2014, October 30, 2014 and December 2, 2014 to provide for extensions to the deadline for preparing and filing our fiscal 2014 financial statements with the Securities and Exchange Commission (the “SEC”). On February 27, 2015, the SVB Credit Facility was further amended to provide for certain amendments to the financial covenants, borrowing base and an early termination fee if the SVB Credit Facility is terminated prior to its expiration. This agreement amends and restates our existing First Amended and Restated Loan and Security Agreement, which was entered into on September 27, 2013 and amended providing for certain amendments to the maximum borrowing limit and financial covenants. As of July 3, 2015 and June 27, 2014, our outstanding debt balance under the SVB Credit Facility was $9.0 million and $6.0 million, respectively, and the weighted average interest rate was the same at 3.75%.</w:t>
      </w:r>
    </w:p>
    <w:p>
      <w:pPr>
        <w:spacing w:after="0" w:line="1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SVB Credit Facility provides for a committed amount of up to $40.0 million, with a $30.0 million sublimit that can be borrowed by our Singapore subsidiary. Borrowings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If the SVB Credit Facility is terminated by us in certain circumstances prior to its expiration, we are subject to an early termination fee equal to 1% of the revolving line. As of July 3, 2015, available credit under the SVB Credit Facility was $26.9 million reflecting the calculated borrowing base of $40.0 million less existing borrowings of $9.0 million and outstanding letters of credit of $4.1 million.</w:t>
      </w:r>
    </w:p>
    <w:p>
      <w:pPr>
        <w:spacing w:after="0" w:line="12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fiscal 2015, the weighted average interest rate on our outstanding loan was 3.75%.</w:t>
      </w:r>
    </w:p>
    <w:p>
      <w:pPr>
        <w:spacing w:after="0" w:line="134"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2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As of July 3, 2015 and June 27, 2014, we were in compliance with the quarterly financial covenants contained in the SVB Credit Facility. However, as a result of uncertainty on our ability to meet the financial covenants in future and the fact that the SVB Credit Facility contains subjective acceleration clauses that could be triggered by the lender, the $9.0 million borrowing was classified as a current liability as of July 3, 2015 and June 27, 2014.</w:t>
      </w:r>
    </w:p>
    <w:p>
      <w:pPr>
        <w:spacing w:after="0" w:line="1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During the fourth quarter of fiscal 2015, we obtained an uncommitted short-term line of credit of $0.4 million from a bank in New Zealand to support the operations of our subsidiary located there. This line of credit provides for $0.3 million in short-term advances at various interest rates, all of which was available as of July 3, 2015. The line of credit also provides for the issuance of standby letters of credit and company credit cards, of which $0.1 million was outstanding as of July 3, 2015. This facility may be terminated upon notice, is reviewed annually for renewal or modification, and is supported by a corporate guarantee.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13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our costs incurred during fiscal 2015, estimated additional costs to be incurred and estimated total costs expected to be incurred as of July 3, 2015 under the Fiscal 2015-2016 Plan: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Cumulative</w:t>
            </w:r>
          </w:p>
        </w:tc>
        <w:tc>
          <w:tcPr>
            <w:tcW w:w="28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2"/>
          </w:tcPr>
          <w:p>
            <w:pPr>
              <w:jc w:val="center"/>
              <w:ind w:right="480"/>
              <w:spacing w:after="0" w:line="138" w:lineRule="exact"/>
              <w:rPr>
                <w:sz w:val="20"/>
                <w:szCs w:val="20"/>
                <w:color w:val="auto"/>
              </w:rPr>
            </w:pPr>
            <w:r>
              <w:rPr>
                <w:rFonts w:ascii="Arial" w:cs="Arial" w:eastAsia="Arial" w:hAnsi="Arial"/>
                <w:sz w:val="14"/>
                <w:szCs w:val="14"/>
                <w:b w:val="1"/>
                <w:bCs w:val="1"/>
                <w:color w:val="auto"/>
                <w:w w:val="97"/>
              </w:rPr>
              <w:t>During</w:t>
            </w: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Fiscal Year Ended</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Costs Incurred</w:t>
            </w: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1440" w:type="dxa"/>
            <w:vAlign w:val="bottom"/>
          </w:tcPr>
          <w:p>
            <w:pPr>
              <w:jc w:val="center"/>
              <w:ind w:right="59"/>
              <w:spacing w:after="0" w:line="155" w:lineRule="exact"/>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26"/>
        </w:trPr>
        <w:tc>
          <w:tcPr>
            <w:tcW w:w="4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July 3, 2015</w:t>
            </w:r>
          </w:p>
        </w:tc>
        <w:tc>
          <w:tcPr>
            <w:tcW w:w="160" w:type="dxa"/>
            <w:vAlign w:val="bottom"/>
          </w:tcPr>
          <w:p>
            <w:pPr>
              <w:spacing w:after="0"/>
              <w:rPr>
                <w:sz w:val="10"/>
                <w:szCs w:val="10"/>
                <w:color w:val="auto"/>
              </w:rPr>
            </w:pPr>
          </w:p>
        </w:tc>
        <w:tc>
          <w:tcPr>
            <w:tcW w:w="130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Through</w:t>
            </w:r>
          </w:p>
        </w:tc>
        <w:tc>
          <w:tcPr>
            <w:tcW w:w="280" w:type="dxa"/>
            <w:vAlign w:val="bottom"/>
          </w:tcPr>
          <w:p>
            <w:pPr>
              <w:spacing w:after="0"/>
              <w:rPr>
                <w:sz w:val="10"/>
                <w:szCs w:val="10"/>
                <w:color w:val="auto"/>
              </w:rPr>
            </w:pPr>
          </w:p>
        </w:tc>
        <w:tc>
          <w:tcPr>
            <w:tcW w:w="130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10"/>
                <w:szCs w:val="10"/>
                <w:color w:val="auto"/>
              </w:rPr>
            </w:pPr>
          </w:p>
        </w:tc>
        <w:tc>
          <w:tcPr>
            <w:tcW w:w="1440" w:type="dxa"/>
            <w:vAlign w:val="bottom"/>
          </w:tcPr>
          <w:p>
            <w:pPr>
              <w:jc w:val="center"/>
              <w:ind w:right="59"/>
              <w:spacing w:after="0" w:line="126"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July 3, 2015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to be Incurred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8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20" w:type="dxa"/>
            <w:vAlign w:val="bottom"/>
          </w:tcPr>
          <w:p>
            <w:pPr>
              <w:spacing w:after="0"/>
              <w:rPr>
                <w:sz w:val="21"/>
                <w:szCs w:val="21"/>
                <w:color w:val="auto"/>
              </w:rPr>
            </w:pPr>
          </w:p>
        </w:tc>
        <w:tc>
          <w:tcPr>
            <w:tcW w:w="1520" w:type="dxa"/>
            <w:vAlign w:val="bottom"/>
          </w:tcPr>
          <w:p>
            <w:pPr>
              <w:jc w:val="right"/>
              <w:ind w:right="4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2015-2016 Plan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During fiscal 2015, we recorded $2.8 million in severance and related benefits costs and $0.6 million for a Slovenia government fund penalty charge related to the workforce reduction. We intend to substantially complete the remaining restructuring activities under the Fiscal 2015-2016 Plan by the first half of fiscal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2014-2015 Plan</w:t>
      </w:r>
    </w:p>
    <w:p>
      <w:pPr>
        <w:spacing w:after="0" w:line="171"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our costs incurred during fiscal 2014, estimated additional costs to be incurred and estimated total costs expected to be incurred as of July 3, 2015 under the Fiscal 2014-2015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380" w:type="dxa"/>
            <w:vAlign w:val="bottom"/>
            <w:gridSpan w:val="4"/>
          </w:tcPr>
          <w:p>
            <w:pPr>
              <w:jc w:val="center"/>
              <w:ind w:left="581"/>
              <w:spacing w:after="0"/>
              <w:rPr>
                <w:sz w:val="20"/>
                <w:szCs w:val="20"/>
                <w:color w:val="auto"/>
              </w:rPr>
            </w:pPr>
            <w:r>
              <w:rPr>
                <w:rFonts w:ascii="Arial" w:cs="Arial" w:eastAsia="Arial" w:hAnsi="Arial"/>
                <w:sz w:val="14"/>
                <w:szCs w:val="14"/>
                <w:b w:val="1"/>
                <w:bCs w:val="1"/>
                <w:color w:val="auto"/>
                <w:w w:val="93"/>
              </w:rPr>
              <w:t>Costs Incurred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gridSpan w:val="3"/>
          </w:tcPr>
          <w:p>
            <w:pPr>
              <w:jc w:val="center"/>
              <w:ind w:right="456"/>
              <w:spacing w:after="0" w:line="145" w:lineRule="exact"/>
              <w:rPr>
                <w:sz w:val="20"/>
                <w:szCs w:val="20"/>
                <w:color w:val="auto"/>
              </w:rPr>
            </w:pPr>
            <w:r>
              <w:rPr>
                <w:rFonts w:ascii="Arial" w:cs="Arial" w:eastAsia="Arial" w:hAnsi="Arial"/>
                <w:sz w:val="14"/>
                <w:szCs w:val="14"/>
                <w:b w:val="1"/>
                <w:bCs w:val="1"/>
                <w:color w:val="auto"/>
                <w:w w:val="97"/>
              </w:rPr>
              <w:t>During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380" w:type="dxa"/>
            <w:vAlign w:val="bottom"/>
            <w:gridSpan w:val="4"/>
          </w:tcPr>
          <w:p>
            <w:pPr>
              <w:jc w:val="center"/>
              <w:ind w:left="581"/>
              <w:spacing w:after="0" w:line="149" w:lineRule="exact"/>
              <w:rPr>
                <w:sz w:val="20"/>
                <w:szCs w:val="20"/>
                <w:color w:val="auto"/>
              </w:rPr>
            </w:pPr>
            <w:r>
              <w:rPr>
                <w:rFonts w:ascii="Arial" w:cs="Arial" w:eastAsia="Arial" w:hAnsi="Arial"/>
                <w:sz w:val="14"/>
                <w:szCs w:val="14"/>
                <w:b w:val="1"/>
                <w:bCs w:val="1"/>
                <w:color w:val="auto"/>
                <w:w w:val="92"/>
              </w:rPr>
              <w:t>Fiscal Year Ended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4"/>
                <w:szCs w:val="4"/>
                <w:color w:val="auto"/>
              </w:rPr>
            </w:pPr>
          </w:p>
        </w:tc>
        <w:tc>
          <w:tcPr>
            <w:tcW w:w="13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4"/>
                <w:szCs w:val="4"/>
                <w:color w:val="auto"/>
              </w:rPr>
            </w:pPr>
          </w:p>
        </w:tc>
        <w:tc>
          <w:tcPr>
            <w:tcW w:w="1440" w:type="dxa"/>
            <w:vAlign w:val="bottom"/>
            <w:vMerge w:val="restart"/>
          </w:tcPr>
          <w:p>
            <w:pPr>
              <w:jc w:val="center"/>
              <w:ind w:right="59"/>
              <w:spacing w:after="0" w:line="13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65"/>
        </w:trPr>
        <w:tc>
          <w:tcPr>
            <w:tcW w:w="366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July 3, 2015</w:t>
            </w: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June 27, 2014</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July 3, 2015</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to be Incurred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16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66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160" w:type="dxa"/>
            <w:vAlign w:val="bottom"/>
          </w:tcPr>
          <w:p>
            <w:pPr>
              <w:spacing w:after="0"/>
              <w:rPr>
                <w:sz w:val="21"/>
                <w:szCs w:val="21"/>
                <w:color w:val="auto"/>
              </w:rPr>
            </w:pPr>
          </w:p>
        </w:tc>
        <w:tc>
          <w:tcPr>
            <w:tcW w:w="360" w:type="dxa"/>
            <w:vAlign w:val="bottom"/>
          </w:tcPr>
          <w:p>
            <w:pPr>
              <w:jc w:val="right"/>
              <w:ind w:right="34"/>
              <w:spacing w:after="0"/>
              <w:rPr>
                <w:sz w:val="20"/>
                <w:szCs w:val="20"/>
                <w:color w:val="auto"/>
              </w:rPr>
            </w:pPr>
            <w:r>
              <w:rPr>
                <w:rFonts w:ascii="Arial" w:cs="Arial" w:eastAsia="Arial" w:hAnsi="Arial"/>
                <w:sz w:val="18"/>
                <w:szCs w:val="18"/>
                <w:color w:val="auto"/>
                <w:w w:val="87"/>
              </w:rPr>
              <w:t>1.4</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2014-2015 Plan</w:t>
            </w:r>
          </w:p>
        </w:tc>
        <w:tc>
          <w:tcPr>
            <w:tcW w:w="116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1.4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We have substantially completed the restructuring activities under the Fiscal 2014-2015 Plan as of July 3, 2015. The remaining additional costs to be incurred under the Fiscal 2014-2015 Plan primarily included our facility costs related to the cease-to-use space at our Santa Clara, California headquarters through the remaining lease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2013-2014 Plan</w:t>
      </w:r>
    </w:p>
    <w:p>
      <w:pPr>
        <w:spacing w:after="0" w:line="17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facility downsizing of our Santa Clara, California headquarters and certain international field offices.</w:t>
      </w:r>
    </w:p>
    <w:p>
      <w:pPr>
        <w:spacing w:after="0" w:line="12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summarizes our costs incurred during fiscal 2014 and 2013, estimated additional costs to be incurred and estimated total costs expected to be incurred as of July 3, 2015 under the Fiscal 2013-2014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Costs Incurred During</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Cumulative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Estimated</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Total Restructuring</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Fiscal Year Ended</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Through</w:t>
            </w:r>
          </w:p>
        </w:tc>
        <w:tc>
          <w:tcPr>
            <w:tcW w:w="120" w:type="dxa"/>
            <w:vAlign w:val="bottom"/>
          </w:tcPr>
          <w:p>
            <w:pPr>
              <w:spacing w:after="0"/>
              <w:rPr>
                <w:sz w:val="4"/>
                <w:szCs w:val="4"/>
                <w:color w:val="auto"/>
              </w:rPr>
            </w:pPr>
          </w:p>
        </w:tc>
        <w:tc>
          <w:tcPr>
            <w:tcW w:w="11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4"/>
                <w:szCs w:val="4"/>
                <w:color w:val="auto"/>
              </w:rPr>
            </w:pPr>
          </w:p>
        </w:tc>
        <w:tc>
          <w:tcPr>
            <w:tcW w:w="1200" w:type="dxa"/>
            <w:vAlign w:val="bottom"/>
            <w:vMerge w:val="restart"/>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79"/>
        </w:trPr>
        <w:tc>
          <w:tcPr>
            <w:tcW w:w="3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July 3, 2015</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27, 2014</w:t>
            </w:r>
          </w:p>
        </w:tc>
        <w:tc>
          <w:tcPr>
            <w:tcW w:w="16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28, 2013</w:t>
            </w:r>
          </w:p>
        </w:tc>
        <w:tc>
          <w:tcPr>
            <w:tcW w:w="1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July 3, 2015</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to be Incurred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2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2013-2014 Plan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have substantially completed the restructuring activities under the Fiscal 2013-2014 Plan as of June 27, 2014. The remaining additional costs to be incurred under the Fiscal 2013-2014 Plan primarily included our facility costs related to the cease-to-use space at our Santa Clara, California headquarters through the remaining lease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 Plan</w:t>
      </w:r>
    </w:p>
    <w:p>
      <w:pPr>
        <w:spacing w:after="0" w:line="171"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Activities under the Fiscal 2011 Plan included reductions in force to reduce our operating expenses and the downsizing or closure of our Morrisville, North Carolina, Santa Clara, California, Montreal, Canada and certain international field offices.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costs incurred during fiscal 2013 and 2012 and total costs incurred under the Fiscal 2011 Plan: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Costs Incurred During</w:t>
            </w:r>
          </w:p>
        </w:tc>
        <w:tc>
          <w:tcPr>
            <w:tcW w:w="280" w:type="dxa"/>
            <w:vAlign w:val="bottom"/>
          </w:tcPr>
          <w:p>
            <w:pPr>
              <w:spacing w:after="0"/>
              <w:rPr>
                <w:sz w:val="14"/>
                <w:szCs w:val="14"/>
                <w:color w:val="auto"/>
              </w:rPr>
            </w:pPr>
          </w:p>
        </w:tc>
        <w:tc>
          <w:tcPr>
            <w:tcW w:w="1540" w:type="dxa"/>
            <w:vAlign w:val="bottom"/>
          </w:tcPr>
          <w:p>
            <w:pPr>
              <w:jc w:val="center"/>
              <w:ind w:right="2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Fiscal Year Ended</w:t>
            </w:r>
          </w:p>
        </w:tc>
        <w:tc>
          <w:tcPr>
            <w:tcW w:w="280" w:type="dxa"/>
            <w:vAlign w:val="bottom"/>
          </w:tcPr>
          <w:p>
            <w:pPr>
              <w:spacing w:after="0"/>
              <w:rPr>
                <w:sz w:val="12"/>
                <w:szCs w:val="12"/>
                <w:color w:val="auto"/>
              </w:rPr>
            </w:pPr>
          </w:p>
        </w:tc>
        <w:tc>
          <w:tcPr>
            <w:tcW w:w="15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0" w:type="dxa"/>
            <w:vAlign w:val="bottom"/>
          </w:tcPr>
          <w:p>
            <w:pPr>
              <w:spacing w:after="0"/>
              <w:rPr>
                <w:sz w:val="1"/>
                <w:szCs w:val="1"/>
                <w:color w:val="auto"/>
              </w:rPr>
            </w:pPr>
          </w:p>
        </w:tc>
      </w:tr>
      <w:tr>
        <w:trPr>
          <w:trHeight w:val="139"/>
        </w:trPr>
        <w:tc>
          <w:tcPr>
            <w:tcW w:w="40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June 28, 2013</w:t>
            </w:r>
          </w:p>
        </w:tc>
        <w:tc>
          <w:tcPr>
            <w:tcW w:w="280" w:type="dxa"/>
            <w:vAlign w:val="bottom"/>
          </w:tcPr>
          <w:p>
            <w:pPr>
              <w:spacing w:after="0"/>
              <w:rPr>
                <w:sz w:val="12"/>
                <w:szCs w:val="12"/>
                <w:color w:val="auto"/>
              </w:rPr>
            </w:pPr>
          </w:p>
        </w:tc>
        <w:tc>
          <w:tcPr>
            <w:tcW w:w="1540" w:type="dxa"/>
            <w:vAlign w:val="bottom"/>
          </w:tcPr>
          <w:p>
            <w:pPr>
              <w:jc w:val="center"/>
              <w:ind w:right="200"/>
              <w:spacing w:after="0" w:line="13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0"/>
              </w:rPr>
              <w:t>June 28, 2013</w:t>
            </w:r>
          </w:p>
        </w:tc>
        <w:tc>
          <w:tcPr>
            <w:tcW w:w="0" w:type="dxa"/>
            <w:vAlign w:val="bottom"/>
          </w:tcPr>
          <w:p>
            <w:pPr>
              <w:spacing w:after="0"/>
              <w:rPr>
                <w:sz w:val="1"/>
                <w:szCs w:val="1"/>
                <w:color w:val="auto"/>
              </w:rPr>
            </w:pPr>
          </w:p>
        </w:tc>
      </w:tr>
      <w:tr>
        <w:trPr>
          <w:trHeight w:val="283"/>
        </w:trPr>
        <w:tc>
          <w:tcPr>
            <w:tcW w:w="4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3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3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3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initiatives under the Fiscal 2011 Plan were completed in fiscal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Liabilities</w:t>
      </w:r>
    </w:p>
    <w:p>
      <w:pPr>
        <w:spacing w:after="0" w:line="17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restructuring liabilities consisted primarily of accrued severance and benefits relating to one-time and ongoing benefit arrangements, as well as facility exit cost reserves primarily related to our office leases in California. The fair value of the liabilities related to operating lease terminations was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included anticipated timing of sublease rentals and estimates of sublease rental receipts and related costs based on market conditions. To the extent there are material differences between these estimates or assumptions and actual results, our restructuring liabilities and restructuring charges would be significantly affected.</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information in the following table summarizes our restructuring activities during fiscal 2015, 2014 and 2013 and restructuring liability as of July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Severance and</w:t>
            </w: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 and</w:t>
            </w:r>
          </w:p>
        </w:tc>
        <w:tc>
          <w:tcPr>
            <w:tcW w:w="360" w:type="dxa"/>
            <w:vAlign w:val="bottom"/>
          </w:tcPr>
          <w:p>
            <w:pPr>
              <w:spacing w:after="0"/>
              <w:rPr>
                <w:sz w:val="14"/>
                <w:szCs w:val="14"/>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Benefits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June 29,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Provision related to Fiscal 2013-2014 Plan</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related to Fiscal 2011 Plan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June 28, 2013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Provision related to Fiscal 2014-2015 Plan</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related to Fiscal 2013-2014 Plan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June 27, 2014</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Provision related to Fiscal 2015-2016 Plan</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related to Fiscal 2014-2015 Plan</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Provision related to Fiscal 2013-2014 Plan</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97"/>
        </w:trPr>
        <w:tc>
          <w:tcPr>
            <w:tcW w:w="64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liability as of July 3, 2015</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liability as of July 3, 2015</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180" w:type="dxa"/>
            <w:vAlign w:val="bottom"/>
            <w:gridSpan w:val="4"/>
          </w:tcPr>
          <w:p>
            <w:pPr>
              <w:ind w:left="40"/>
              <w:spacing w:after="0"/>
              <w:rPr>
                <w:sz w:val="20"/>
                <w:szCs w:val="20"/>
                <w:color w:val="auto"/>
              </w:rPr>
            </w:pPr>
            <w:r>
              <w:rPr>
                <w:rFonts w:ascii="Arial" w:cs="Arial" w:eastAsia="Arial" w:hAnsi="Arial"/>
                <w:sz w:val="18"/>
                <w:szCs w:val="18"/>
                <w:color w:val="auto"/>
              </w:rPr>
              <w:t>Long-term portion of restructuring liability (included in other long-term liabilities) as of July 3, 2015</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2007 Stock Equity Plan</w:t>
      </w:r>
    </w:p>
    <w:p>
      <w:pPr>
        <w:spacing w:after="0" w:line="1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As of July 3, 2015,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0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four vesting schedules: (1) 25% one year from the grant date and 1/48 each month thereafter over the remaining three-year period; (2) 50% one year from the grant date and 25% each year thereafter over the remaining two-year period; (3) one-third annually over a three-year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period from the date of grant; or (4) 25% annually over a four-year period from date of grant. Stock options are issued to directors annually and generally vest on the day before the annual stockholders’ meeting.</w:t>
      </w:r>
    </w:p>
    <w:p>
      <w:pPr>
        <w:spacing w:after="0" w:line="116"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Restricted stock is not transferable until vested and the restrictions lapse upon the achievement of continued employment or service over a specified time period. Restricted stock issued to employees generally vests on one of three vesting schedules: (1) one-third annually over a three-year period from the date of grant (2) 25% annually over a four-year period from date of grant; or (3) in full three years after the grant date. Restricted stock issued to directors annually and generally vests on the day before the annual stockholders’ meeting.</w:t>
      </w:r>
    </w:p>
    <w:p>
      <w:pPr>
        <w:spacing w:after="0" w:line="133"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1,351,936 as of July 3, 2015.</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Under the Employee Stock Purchase Plan (“ESPP”), employees are entitled to purchase shares of our common stock at a 5% discount from the fair market value at the end of a three-month purchase period. As of July 3, 2015, 755,636 shares were reserved for future issuances under the ESPP. We issued 10,621 shares under the ESPP during fiscal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Total compensation expense for share-based awards included in our consolidated statements of operations for fiscal 2015, 2014 and 2013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02"/>
        </w:trPr>
        <w:tc>
          <w:tcPr>
            <w:tcW w:w="77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7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74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Compensation expense for an award with only service conditions is recognized over the requisite service period, which is usually the vesting period of the award. For an award that have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 As of July 3, 2015, there was $2.1 million of total unrecognized compensation expense related to nonvested share-based awards units granted under our 2007 Stock Plan. This expense is expected to be recognized over a weighted-average period of 1.9 years.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combined stock option activity under our equity plans during fiscal 2015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as of June 27, 2014</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7,548,999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1,378,501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(1,552,689)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July 3, 2015</w:t>
            </w: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7,373,971</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as of July 3, 2015</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4,848,127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Options vested and expected to vest as of July 3, 2015</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7,129,857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The aggregate intrinsic value represents the total pre-tax intrinsic value or the aggregate difference between the closing price of our common stock on July 3, 2015 of $1.32 and the exercise price for in-the-money options that would have been received by the optionees if all options had been exercised on July 3, 2015. The options expected to vest are the result of applying the pre-vesting forfeiture rate assumptions to total outstanding options.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information related to our stock options is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Fiscal Year</w:t>
            </w:r>
          </w:p>
        </w:tc>
        <w:tc>
          <w:tcPr>
            <w:tcW w:w="1200" w:type="dxa"/>
            <w:vAlign w:val="bottom"/>
            <w:tcBorders>
              <w:bottom w:val="single" w:sz="8" w:color="auto"/>
            </w:tcBorders>
          </w:tcPr>
          <w:p>
            <w:pPr>
              <w:spacing w:after="0"/>
              <w:rPr>
                <w:sz w:val="16"/>
                <w:szCs w:val="16"/>
                <w:color w:val="auto"/>
              </w:rPr>
            </w:pPr>
          </w:p>
        </w:tc>
      </w:tr>
      <w:tr>
        <w:trPr>
          <w:trHeight w:val="264"/>
        </w:trPr>
        <w:tc>
          <w:tcPr>
            <w:tcW w:w="76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4.33</w:t>
            </w:r>
          </w:p>
        </w:tc>
      </w:tr>
    </w:tbl>
    <w:p>
      <w:pPr>
        <w:spacing w:after="0" w:line="17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Expected volatility is based on implied volatility for the expected term of the options from our stock price. The expected term of the options is calculated using the simplified method described in the SEC’s Staff Accounting Bulletin Topic 14.D.2. We use the simplified method because we do not have sufficient stock option exercise data and the types of employees that receive share option grants have been significantly changed due to the implementation of our GEP in fiscal 2012, under which we granted share-based awards to employees who are not eligible for the long-term incentive programs. The risk-free rate for the expected term of the option is based on the U.S. Treasury yield curve in effect at the time of grant. The expected dividend yield is zero because we have not historically paid dividends on our common stock and have no intention to pay dividends in the foreseeable future. The following summarizes all of our stock options outstanding and exercisable as of July 3,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80" w:type="dxa"/>
            <w:vAlign w:val="bottom"/>
            <w:gridSpan w:val="2"/>
            <w:vMerge w:val="continue"/>
          </w:tcPr>
          <w:p>
            <w:pPr>
              <w:spacing w:after="0"/>
              <w:rPr>
                <w:sz w:val="12"/>
                <w:szCs w:val="12"/>
                <w:color w:val="auto"/>
              </w:rPr>
            </w:pPr>
          </w:p>
        </w:tc>
        <w:tc>
          <w:tcPr>
            <w:tcW w:w="14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 Range of Exercise Prices</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gridSpan w:val="3"/>
            <w:vMerge w:val="continue"/>
          </w:tcPr>
          <w:p>
            <w:pPr>
              <w:spacing w:after="0"/>
              <w:rPr>
                <w:sz w:val="16"/>
                <w:szCs w:val="16"/>
                <w:color w:val="auto"/>
              </w:rPr>
            </w:pPr>
          </w:p>
        </w:tc>
        <w:tc>
          <w:tcPr>
            <w:tcW w:w="15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60" w:type="dxa"/>
            <w:vAlign w:val="bottom"/>
          </w:tcPr>
          <w:p>
            <w:pPr>
              <w:ind w:left="40"/>
              <w:spacing w:after="0"/>
              <w:rPr>
                <w:sz w:val="20"/>
                <w:szCs w:val="20"/>
                <w:color w:val="auto"/>
              </w:rPr>
            </w:pPr>
            <w:r>
              <w:rPr>
                <w:rFonts w:ascii="Arial" w:cs="Arial" w:eastAsia="Arial" w:hAnsi="Arial"/>
                <w:sz w:val="18"/>
                <w:szCs w:val="18"/>
                <w:color w:val="auto"/>
              </w:rPr>
              <w:t>$1.23</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rPr>
              <w:t>$1.30</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1,373,501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162,591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$1.72</w:t>
            </w:r>
          </w:p>
        </w:tc>
        <w:tc>
          <w:tcPr>
            <w:tcW w:w="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$2.19</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1,562,340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1,158,664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660" w:type="dxa"/>
            <w:vAlign w:val="bottom"/>
          </w:tcPr>
          <w:p>
            <w:pPr>
              <w:ind w:left="40"/>
              <w:spacing w:after="0"/>
              <w:rPr>
                <w:sz w:val="20"/>
                <w:szCs w:val="20"/>
                <w:color w:val="auto"/>
              </w:rPr>
            </w:pPr>
            <w:r>
              <w:rPr>
                <w:rFonts w:ascii="Arial" w:cs="Arial" w:eastAsia="Arial" w:hAnsi="Arial"/>
                <w:sz w:val="18"/>
                <w:szCs w:val="18"/>
                <w:color w:val="auto"/>
              </w:rPr>
              <w:t>$2.28</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rPr>
              <w:t>$2.56</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1,447,833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1,236,988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$2.60</w:t>
            </w:r>
          </w:p>
        </w:tc>
        <w:tc>
          <w:tcPr>
            <w:tcW w:w="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$2.71</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1,404,994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707,162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660" w:type="dxa"/>
            <w:vAlign w:val="bottom"/>
          </w:tcPr>
          <w:p>
            <w:pPr>
              <w:ind w:left="40"/>
              <w:spacing w:after="0"/>
              <w:rPr>
                <w:sz w:val="20"/>
                <w:szCs w:val="20"/>
                <w:color w:val="auto"/>
              </w:rPr>
            </w:pPr>
            <w:r>
              <w:rPr>
                <w:rFonts w:ascii="Arial" w:cs="Arial" w:eastAsia="Arial" w:hAnsi="Arial"/>
                <w:sz w:val="18"/>
                <w:szCs w:val="18"/>
                <w:color w:val="auto"/>
              </w:rPr>
              <w:t>$2.97</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rPr>
              <w:t>$6.11</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1,196,133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1,193,552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$6.44</w:t>
            </w:r>
          </w:p>
        </w:tc>
        <w:tc>
          <w:tcPr>
            <w:tcW w:w="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$24.60</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389,170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389,170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57"/>
        </w:trPr>
        <w:tc>
          <w:tcPr>
            <w:tcW w:w="660" w:type="dxa"/>
            <w:vAlign w:val="bottom"/>
          </w:tcPr>
          <w:p>
            <w:pPr>
              <w:ind w:left="40"/>
              <w:spacing w:after="0"/>
              <w:rPr>
                <w:sz w:val="20"/>
                <w:szCs w:val="20"/>
                <w:color w:val="auto"/>
              </w:rPr>
            </w:pPr>
            <w:r>
              <w:rPr>
                <w:rFonts w:ascii="Arial" w:cs="Arial" w:eastAsia="Arial" w:hAnsi="Arial"/>
                <w:sz w:val="18"/>
                <w:szCs w:val="18"/>
                <w:color w:val="auto"/>
              </w:rPr>
              <w:t>$1.23</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rPr>
              <w:t>$24.60</w:t>
            </w:r>
          </w:p>
        </w:tc>
        <w:tc>
          <w:tcPr>
            <w:tcW w:w="15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7,373,971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4,848,127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status of our restricted stock as of July 3, 2015 and changes during fiscal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27, 2014</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314,658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1,069,153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(384,810)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(7,162)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July 3, 2015</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991,839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fair value of each restricted stock grant is based on the closing price of our common stock on the date of grant. The total fair value of restricted stock that vested during fiscal 2015, 2014 and 2013 was $0.6 million, $0.7 million and $1.9 million, respectively.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status of our performance shares as of July 3, 2015 and changes during fiscal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 outstanding as of June 27, 2014</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66,667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803,210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(47,820)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Forfeited due to terminations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(18,847)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 outstanding as of July 3, 2015</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803,210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The fair value of each performance share is based on the closing price of our common stock on the date of grant and is amortized over its vesting period. We begin to recognize share-based compensation costs for the performance shares when achievement of the performance conditions is considered probable. Any previously recognized compensation cost would be reversed if the performance condition is not satisfied or if it is not probable that the performance conditions will be achieved.</w:t>
      </w:r>
    </w:p>
    <w:p>
      <w:pPr>
        <w:spacing w:after="0" w:line="133"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total fair value of performance share awards that vested during fiscal 2015, 2014 and 2013 was $0.1 million, $3.0 million and $0.9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 is not a determining factor in allocating resources and the CODM does not evaluate profitability below the level of the consolidated company.</w:t>
      </w:r>
    </w:p>
    <w:p>
      <w:pPr>
        <w:spacing w:after="0" w:line="13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2015, 2014 and 2013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182.2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60.6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471.3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by country comprising more than 5% of our total revenue for fiscal 2015, 2014 and 2013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Pr>
          <w:p>
            <w:pPr>
              <w:spacing w:after="0"/>
              <w:rPr>
                <w:sz w:val="14"/>
                <w:szCs w:val="14"/>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Revenue</w:t>
            </w: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8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250"/>
        </w:trPr>
        <w:tc>
          <w:tcPr>
            <w:tcW w:w="8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2015:</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Nigeria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Fiscal 2014:</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Nigeria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2013:</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Nigeria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8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long-lived assets, consisting primarily of property, plant and equipment, by geographic areas based on the physical location of the assets as of July 3, 2015 and June 27, 2014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4"/>
                <w:szCs w:val="14"/>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90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countries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Divestiture</w:t>
      </w:r>
    </w:p>
    <w:p>
      <w:pPr>
        <w:spacing w:after="0" w:line="17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We had received $0.1 million in total of such contingent payments through June 27, 2014 and do not expect any further payments from EION. In addition, EION is entitled to receive cash payments up to $2.0 million upon collection of certain WiMAX accounts receivable. As of September 26, 2014, we made $1.6 million in total of such payments to EION and wrote-off the remaining $0.4 million balance resulting from the write-downs of the corresponding WiMAX accounts receivable. As of July 3, 2015 and June 27, 2014, our accrued liabilities related to the disposition of WiMAX business were zero and $0.1 million, respectively.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were included in discontinued operations in our consolidated financial statements for all years presented. The loss incurred in fiscal 2013 was primarily due to write-down of certain WiMAX deferred cost of sales that were not transferred to EION and certain expenses we incurred to support a remaining customer obligation. The income recognized in fiscal 2015 and 2014 was primarily due to the recovery of certain WiMAX customer receivables that was previously written down.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196"/>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(loss) from operations of WiMAX</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disposal</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(loss) from discontinued operations, net of tax</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7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(loss) from continuing operations before provision for income taxes during fiscal year 2015, 2014 and 2013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196"/>
        </w:trPr>
        <w:tc>
          <w:tcPr>
            <w:tcW w:w="7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w:t>
            </w: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5.9</w:t>
            </w:r>
          </w:p>
        </w:tc>
      </w:tr>
      <w:tr>
        <w:trPr>
          <w:trHeight w:val="27"/>
        </w:trPr>
        <w:tc>
          <w:tcPr>
            <w:tcW w:w="74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Income (loss) from continuing operations before income taxes</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0"/>
        </w:trPr>
        <w:tc>
          <w:tcPr>
            <w:tcW w:w="7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Provision for income taxes from continuing operations for fiscal year 2015, 2014 and 2013 were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Current provision (benefit):</w:t>
            </w:r>
          </w:p>
        </w:tc>
        <w:tc>
          <w:tcPr>
            <w:tcW w:w="1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Foreign</w:t>
            </w: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1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provision (benefit):</w:t>
            </w:r>
          </w:p>
        </w:tc>
        <w:tc>
          <w:tcPr>
            <w:tcW w:w="1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w w:val="91"/>
              </w:rPr>
              <w:t>Total provision (benefit) for income taxes from continuing operations</w:t>
            </w:r>
          </w:p>
        </w:tc>
        <w:tc>
          <w:tcPr>
            <w:tcW w:w="19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960" w:type="dxa"/>
            <w:vAlign w:val="bottom"/>
            <w:vMerge w:val="restart"/>
          </w:tcPr>
          <w:p>
            <w:pPr>
              <w:jc w:val="right"/>
              <w:ind w:right="1550"/>
              <w:spacing w:after="0"/>
              <w:rPr>
                <w:sz w:val="20"/>
                <w:szCs w:val="20"/>
                <w:color w:val="auto"/>
              </w:rPr>
            </w:pPr>
            <w:r>
              <w:rPr>
                <w:rFonts w:ascii="Arial" w:cs="Arial" w:eastAsia="Arial" w:hAnsi="Arial"/>
                <w:sz w:val="18"/>
                <w:szCs w:val="18"/>
                <w:color w:val="auto"/>
              </w:rPr>
              <w:t>76</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our effective tax rate from continuing operations for fiscal year 2015,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Fiscal Year</w:t>
            </w:r>
          </w:p>
        </w:tc>
        <w:tc>
          <w:tcPr>
            <w:tcW w:w="1360" w:type="dxa"/>
            <w:vAlign w:val="bottom"/>
            <w:tcBorders>
              <w:bottom w:val="single" w:sz="8" w:color="auto"/>
            </w:tcBorders>
          </w:tcPr>
          <w:p>
            <w:pPr>
              <w:spacing w:after="0"/>
              <w:rPr>
                <w:sz w:val="16"/>
                <w:szCs w:val="16"/>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228.6 %</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non-deductible expenses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State and local taxes, net of U.S. federal tax benefit</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rates less than the U.S. statutory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Foreign branch income/withholding taxes</w:t>
            </w:r>
          </w:p>
        </w:tc>
        <w:tc>
          <w:tcPr>
            <w:tcW w:w="1340" w:type="dxa"/>
            <w:vAlign w:val="bottom"/>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92.9 %</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1,660.0 %</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7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1,900.0 %</w:t>
            </w:r>
          </w:p>
        </w:tc>
      </w:tr>
      <w:tr>
        <w:trPr>
          <w:trHeight w:val="20"/>
        </w:trPr>
        <w:tc>
          <w:tcPr>
            <w:tcW w:w="7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income tax benefit from continuing operations for fiscal year 2015 was $1.3 million. The difference between our income tax benefit from continuing operations and income tax expense at the statutory rate of 35% on our pre-tax loss of $26.0 million was primarily attributable to losses in tax jurisdictions in which we cannot recognize a tax benefit and increases in foreign withholding taxes, offset with the $4.4 million tax benefit from the release of valuation allowance in jurisdictions where management believes the utilization of deferred tax assets was more likely than not based on the weighting of positive and negative evidence.</w:t>
      </w:r>
    </w:p>
    <w:p>
      <w:pPr>
        <w:spacing w:after="0" w:line="134"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The income tax expense from continuing operations for fiscal year 2014 was $1.5 million. The difference between our income tax expense from continuing operations and income tax expense at the statutory rate of 35% on our pre-tax loss of $50.5 million was primarily attributable to losses in tax jurisdictions in which we cannot recognize a tax benefit and increases in foreign withholding taxes.</w:t>
      </w:r>
    </w:p>
    <w:p>
      <w:pPr>
        <w:spacing w:after="0" w:line="12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income tax expense from continuing operations for fiscal year 2013 was $13.3 million. The difference between our income tax expense from continuing operations and income tax benefit at the statutory rate of 35% on our pre-tax income of $0.7 million was primarily attributable to a $11.7 million increase in our reserve for uncertain tax positions, losses in tax jurisdictions in which we cannot recognize a tax benefit, and increases in foreign withholding taxes. The increase in our unrecognized tax benefits was the result of additional information obtained during the recent tax examinations in certain countries during fiscal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deferred tax assets and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July 3, 2015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June 27, 2014</w:t>
            </w:r>
          </w:p>
        </w:tc>
      </w:tr>
      <w:tr>
        <w:trPr>
          <w:trHeight w:val="264"/>
        </w:trPr>
        <w:tc>
          <w:tcPr>
            <w:tcW w:w="6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Non-Current</w:t>
            </w:r>
          </w:p>
        </w:tc>
      </w:tr>
      <w:tr>
        <w:trPr>
          <w:trHeight w:val="196"/>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and reserves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Bad debts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exchange gain/loss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133.2</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tax assets before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Branch undistributed earnings reserve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assets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valuation allowance related to deferred income taxes, as reflected in our consolidated balance sheet, was $194.7 million as of July 3, 2015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$189.7 million as of June 27, 2014. The increase in valuation allowance in fiscal 2015 was primarily due to the losses in tax jurisdictions in which we cannot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 tax benefits, partially offset by the $4.4 million valuation allowance released in certain foreign jurisdictions.</w:t>
      </w:r>
    </w:p>
    <w:p>
      <w:pPr>
        <w:spacing w:after="0" w:line="1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Tax loss and credit carryforwards as of July 3, 2015 have expiration dates ranging between one year and no expiration in certain instances. The amount of U.S. federal tax loss carryforwards as of July 3, 2015 and June 27, 2014 were $328.7 million and $291.6 million, respectively, and begin to expire in fiscal 2023. Credit carryforwards as of July 3, 2015 were $21.3 million, and certain credits will begin to expire in fiscal 2017. The amount of foreign tax loss carryforwards as of July 3, 2015 was $129.0 million.</w:t>
      </w:r>
    </w:p>
    <w:p>
      <w:pPr>
        <w:spacing w:after="0" w:line="13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United States income taxes have not been provided on basis differences in foreign subsidiaries of $5.4 million and $5.7 million, respectively, as of July 3, 2015 and June 27, 2014, because of our intention to reinvest these earnings indefinitely. The residual U.S. tax liability, if such amounts were remitted, would be nominal.</w:t>
      </w:r>
    </w:p>
    <w:p>
      <w:pPr>
        <w:spacing w:after="0" w:line="127"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We entered into a tax sharing agreement with Harris effective on January 26, 2007, the date of the acquisition of Stratex. The tax sharing agreement addresses, among other things, the settlement process associated with pre-merger tax liabilities and tax attributes that are attributable to the Microwave Communication Division when it was a division of Harris. There was no settlement payments recorded in fiscal year 2015, 2014 or 2013.</w:t>
      </w:r>
    </w:p>
    <w:p>
      <w:pPr>
        <w:spacing w:after="0" w:line="93"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of July 3, 2015 and June 27, 2014, we had unrecognized tax benefits of $26.9 million and $28.2 million, respectively, for various federal, foreign, and state income tax matters. Unrecognized tax benefits decreased by $1.3 million. Our total unrecognized tax benefits that, if recognized, would affect our effective tax rate were $1.4 million and $1.0 million, respectively, as of July 3, 2015 and June 27, 2014. These unrecognized tax benefits are presented on the accompanying consolidated balance sheet net of the tax effects of net operating loss carryforwards.</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income taxes. We accrued such interest of zero as of July 3, 2015 and $0.1 million as of June 27, 2014. No penalties have been accrued.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unrecognized tax benefit activity for fiscal 2015, 2014 and 2013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June 29, 2012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0.7</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June 28, 2013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change of foreign exchange rate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June 27, 2014</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July 3, 2015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26.9</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During the fiscal year 2014, we received an assessment letter from the Inland Revenue Authority of Singapore (“Singapore”) related to deductions claimed in prior years and made a prepayment of $13.2 million related to tax years 2007 through 2010, reflecting all of the taxes incrementally assessed by Singapore. We continue to defend our tax positions in Singapore and we continue to pursue remedies to object to this assessment. There was no settlement in fiscal year 2015. During the next twelve months, it is reasonably possible that an ultimate settlement will be achieved which would result in our unrecognized tax benefits changing by up to $14.0 million. We believe that we have adequately provided for any reasonably foreseeable outcomes related to our tax audits.</w:t>
      </w:r>
    </w:p>
    <w:p>
      <w:pPr>
        <w:spacing w:after="0" w:line="10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still open and subject to potential audits for these jurisdictions are as follows: U.S. —2003; Singapore — 2006; and Nigeria —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Beginning in the first quarter of fiscal 2015, approximately three-fourths of our Santa Clara headquarters building was vacated and made available for sublease. As of July 3, 2015, future minimum lease payments for our headquarters total $12.8 million through April 2020.</w:t>
      </w:r>
    </w:p>
    <w:p>
      <w:pPr>
        <w:spacing w:after="0" w:line="13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July 3, 2015,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Amount</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16.4</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parties and total minimum rentals to be received in the future under our non-cancelable subleases were $0.1 million as of July 3, 2015.</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$6.5 million, $7.7 million and $8.5 million in fiscal 2015, 2014 and 2013,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July 3, 2015, we had outstanding purchase obligations with our suppliers or contract manufacturers of $38.2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July 3, 2015, we had no guarantees applicable to our debt arrangements.</w:t>
      </w:r>
    </w:p>
    <w:p>
      <w:pPr>
        <w:spacing w:after="0" w:line="11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July 3, 2015, we had commercial commitments of $33.1 million outstanding that were not recorded in our consolidated balance sheets. We do not believe, based on historical experience and information currently available, that it is probable that any amounts will be required to be paid on the performance guarantees.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July 3, 2015,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July 3, 2015,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w:t>
      </w:r>
    </w:p>
    <w:p>
      <w:pPr>
        <w:spacing w:after="0" w:line="13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Quarterly Financial Data (Unaudited)</w:t>
      </w:r>
    </w:p>
    <w:p>
      <w:pPr>
        <w:spacing w:after="0" w:line="17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The third quarter of fiscal year 2015 included 14 weeks and other quarters each included 13 weeks. Summarized quarterly data for fiscal 2015 and 2014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Q1</w:t>
            </w:r>
          </w:p>
        </w:tc>
        <w:tc>
          <w:tcPr>
            <w:tcW w:w="22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Q2</w:t>
            </w:r>
          </w:p>
        </w:tc>
        <w:tc>
          <w:tcPr>
            <w:tcW w:w="260" w:type="dxa"/>
            <w:vAlign w:val="bottom"/>
          </w:tcPr>
          <w:p>
            <w:pPr>
              <w:spacing w:after="0"/>
              <w:rPr>
                <w:sz w:val="14"/>
                <w:szCs w:val="14"/>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Q3</w:t>
            </w:r>
          </w:p>
        </w:tc>
        <w:tc>
          <w:tcPr>
            <w:tcW w:w="260" w:type="dxa"/>
            <w:vAlign w:val="bottom"/>
          </w:tcPr>
          <w:p>
            <w:pPr>
              <w:spacing w:after="0"/>
              <w:rPr>
                <w:sz w:val="14"/>
                <w:szCs w:val="14"/>
                <w:color w:val="auto"/>
              </w:rPr>
            </w:pPr>
          </w:p>
        </w:tc>
        <w:tc>
          <w:tcPr>
            <w:tcW w:w="106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396"/>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260" w:type="dxa"/>
            <w:vAlign w:val="bottom"/>
          </w:tcPr>
          <w:p>
            <w:pPr>
              <w:jc w:val="right"/>
              <w:ind w:right="457"/>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100" w:type="dxa"/>
            <w:vAlign w:val="bottom"/>
          </w:tcPr>
          <w:p>
            <w:pPr>
              <w:jc w:val="right"/>
              <w:ind w:right="396"/>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06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9/26/2014</w:t>
            </w:r>
            <w:r>
              <w:rPr>
                <w:rFonts w:ascii="Arial" w:cs="Arial" w:eastAsia="Arial" w:hAnsi="Arial"/>
                <w:sz w:val="8"/>
                <w:szCs w:val="8"/>
                <w:b w:val="1"/>
                <w:bCs w:val="1"/>
                <w:color w:val="auto"/>
                <w:w w:val="94"/>
              </w:rPr>
              <w:t>(1)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5"/>
              </w:rPr>
              <w:t>12/26/2014</w:t>
            </w:r>
            <w:r>
              <w:rPr>
                <w:rFonts w:ascii="Arial" w:cs="Arial" w:eastAsia="Arial" w:hAnsi="Arial"/>
                <w:sz w:val="8"/>
                <w:szCs w:val="8"/>
                <w:b w:val="1"/>
                <w:bCs w:val="1"/>
                <w:color w:val="auto"/>
                <w:w w:val="95"/>
              </w:rPr>
              <w:t>(1)(2)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4/3/2015</w:t>
            </w:r>
            <w:r>
              <w:rPr>
                <w:rFonts w:ascii="Arial" w:cs="Arial" w:eastAsia="Arial" w:hAnsi="Arial"/>
                <w:sz w:val="8"/>
                <w:szCs w:val="8"/>
                <w:b w:val="1"/>
                <w:bCs w:val="1"/>
                <w:color w:val="auto"/>
                <w:w w:val="96"/>
              </w:rPr>
              <w:t>(1)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7/3/2015</w:t>
            </w:r>
          </w:p>
        </w:tc>
      </w:tr>
      <w:tr>
        <w:trPr>
          <w:trHeight w:val="19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82.4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90.9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74.8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87.8</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Net income (loss) attributable to Aviat Networks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data:</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(0.07)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net income (loss) per common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36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Q1</w:t>
            </w:r>
          </w:p>
        </w:tc>
        <w:tc>
          <w:tcPr>
            <w:tcW w:w="220" w:type="dxa"/>
            <w:vAlign w:val="bottom"/>
          </w:tcPr>
          <w:p>
            <w:pPr>
              <w:spacing w:after="0"/>
              <w:rPr>
                <w:sz w:val="24"/>
                <w:szCs w:val="2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Q2</w:t>
            </w:r>
          </w:p>
        </w:tc>
        <w:tc>
          <w:tcPr>
            <w:tcW w:w="260" w:type="dxa"/>
            <w:vAlign w:val="bottom"/>
          </w:tcPr>
          <w:p>
            <w:pPr>
              <w:spacing w:after="0"/>
              <w:rPr>
                <w:sz w:val="24"/>
                <w:szCs w:val="24"/>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Q3</w:t>
            </w:r>
          </w:p>
        </w:tc>
        <w:tc>
          <w:tcPr>
            <w:tcW w:w="260" w:type="dxa"/>
            <w:vAlign w:val="bottom"/>
          </w:tcPr>
          <w:p>
            <w:pPr>
              <w:spacing w:after="0"/>
              <w:rPr>
                <w:sz w:val="24"/>
                <w:szCs w:val="24"/>
                <w:color w:val="auto"/>
              </w:rPr>
            </w:pPr>
          </w:p>
        </w:tc>
        <w:tc>
          <w:tcPr>
            <w:tcW w:w="106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396"/>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260" w:type="dxa"/>
            <w:vAlign w:val="bottom"/>
          </w:tcPr>
          <w:p>
            <w:pPr>
              <w:jc w:val="right"/>
              <w:ind w:right="457"/>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100" w:type="dxa"/>
            <w:vAlign w:val="bottom"/>
          </w:tcPr>
          <w:p>
            <w:pPr>
              <w:jc w:val="right"/>
              <w:ind w:right="396"/>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06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9/27/2013</w:t>
            </w:r>
            <w:r>
              <w:rPr>
                <w:rFonts w:ascii="Arial" w:cs="Arial" w:eastAsia="Arial" w:hAnsi="Arial"/>
                <w:sz w:val="8"/>
                <w:szCs w:val="8"/>
                <w:b w:val="1"/>
                <w:bCs w:val="1"/>
                <w:color w:val="auto"/>
                <w:w w:val="94"/>
              </w:rPr>
              <w:t>(1)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7"/>
              </w:rPr>
              <w:t>12/27/2013</w:t>
            </w:r>
            <w:r>
              <w:rPr>
                <w:rFonts w:ascii="Arial" w:cs="Arial" w:eastAsia="Arial" w:hAnsi="Arial"/>
                <w:sz w:val="8"/>
                <w:szCs w:val="8"/>
                <w:b w:val="1"/>
                <w:bCs w:val="1"/>
                <w:color w:val="auto"/>
                <w:w w:val="97"/>
              </w:rPr>
              <w:t>(1)</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7"/>
              </w:rPr>
              <w:t>3/28/2014</w:t>
            </w:r>
            <w:r>
              <w:rPr>
                <w:rFonts w:ascii="Arial" w:cs="Arial" w:eastAsia="Arial" w:hAnsi="Arial"/>
                <w:sz w:val="8"/>
                <w:szCs w:val="8"/>
                <w:b w:val="1"/>
                <w:bCs w:val="1"/>
                <w:color w:val="auto"/>
                <w:w w:val="97"/>
              </w:rPr>
              <w:t>(1)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7"/>
              </w:rPr>
              <w:t>6/27/2014</w:t>
            </w:r>
            <w:r>
              <w:rPr>
                <w:rFonts w:ascii="Arial" w:cs="Arial" w:eastAsia="Arial" w:hAnsi="Arial"/>
                <w:sz w:val="8"/>
                <w:szCs w:val="8"/>
                <w:b w:val="1"/>
                <w:bCs w:val="1"/>
                <w:color w:val="auto"/>
                <w:w w:val="97"/>
              </w:rPr>
              <w:t>(1)</w:t>
            </w:r>
          </w:p>
        </w:tc>
      </w:tr>
      <w:tr>
        <w:trPr>
          <w:trHeight w:val="190"/>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Fiscal 2014</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85.4</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23.2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21.5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19.4</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Aviat Networks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Per share data:</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 net loss per common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3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Revised to include the effects of the error corrections to costs of service revenue for the interim periods set forth in Note 2.</w:t>
      </w:r>
    </w:p>
    <w:p>
      <w:pPr>
        <w:spacing w:after="0" w:line="63"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revised amounts for all lines presented, resulting from adjustments to second quarter’s revenue (a decrease of $1.6 million) and cost of sales (a decrease of $0.9 million) during the third quarter of fiscal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The effects of the error corrections set forth in Note 2 and adjustments to second quarter’s revenue and cost of revenue on the unaudited consolidated statements of operations for the interim periods within the years ended July 3, 2015 and June 27, 2014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w w:val="92"/>
              </w:rPr>
              <w:t>Previously Reported</w:t>
            </w: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Correction</w:t>
            </w: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Revised</w:t>
            </w: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Q1</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Q2</w:t>
            </w: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Q3</w:t>
            </w: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Q4</w:t>
            </w: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Q1</w:t>
            </w:r>
          </w:p>
        </w:tc>
        <w:tc>
          <w:tcPr>
            <w:tcW w:w="2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Q2</w:t>
            </w:r>
          </w:p>
        </w:tc>
        <w:tc>
          <w:tcPr>
            <w:tcW w:w="2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Q3</w:t>
            </w: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Q4</w:t>
            </w: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Q1</w:t>
            </w: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Q2</w:t>
            </w: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Q3</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Q4</w:t>
            </w:r>
          </w:p>
        </w:tc>
      </w:tr>
      <w:tr>
        <w:trPr>
          <w:trHeight w:val="244"/>
        </w:trPr>
        <w:tc>
          <w:tcPr>
            <w:tcW w:w="2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w w:val="99"/>
              </w:rPr>
              <w:t>(In millions)</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55"/>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Fiscal 2015 (Unaudited)</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74.8</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74.8</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N/A</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21"/>
                <w:szCs w:val="21"/>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1"/>
                <w:szCs w:val="21"/>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97"/>
              </w:rPr>
              <w:t>(1.6)</w:t>
            </w:r>
          </w:p>
        </w:tc>
        <w:tc>
          <w:tcPr>
            <w:tcW w:w="200" w:type="dxa"/>
            <w:vAlign w:val="bottom"/>
          </w:tcPr>
          <w:p>
            <w:pPr>
              <w:spacing w:after="0"/>
              <w:rPr>
                <w:sz w:val="21"/>
                <w:szCs w:val="21"/>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1"/>
                <w:szCs w:val="21"/>
                <w:color w:val="auto"/>
              </w:rPr>
            </w:pP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1"/>
                <w:szCs w:val="21"/>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(1.6)</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N/A</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97"/>
              </w:rPr>
              <w:t>(1.6)</w:t>
            </w:r>
          </w:p>
        </w:tc>
        <w:tc>
          <w:tcPr>
            <w:tcW w:w="200" w:type="dxa"/>
            <w:vAlign w:val="bottom"/>
          </w:tcPr>
          <w:p>
            <w:pPr>
              <w:spacing w:after="0"/>
              <w:rPr>
                <w:sz w:val="21"/>
                <w:szCs w:val="21"/>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3"/>
              </w:rPr>
              <w:t>(13.1)</w:t>
            </w:r>
          </w:p>
        </w:tc>
        <w:tc>
          <w:tcPr>
            <w:tcW w:w="220" w:type="dxa"/>
            <w:vAlign w:val="bottom"/>
          </w:tcPr>
          <w:p>
            <w:pPr>
              <w:spacing w:after="0"/>
              <w:rPr>
                <w:sz w:val="21"/>
                <w:szCs w:val="21"/>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 Aviat Networks</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(1.6)</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(13.1)</w:t>
            </w: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N/A</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Fiscal 2014 (Unaudited)</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1"/>
                <w:szCs w:val="21"/>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540" w:type="dxa"/>
            <w:vAlign w:val="bottom"/>
          </w:tcPr>
          <w:p>
            <w:pPr>
              <w:jc w:val="right"/>
              <w:ind w:right="74"/>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(13.4)</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(14.6)</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(12.2)</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97"/>
              </w:rPr>
              <w:t>(13.6)</w:t>
            </w:r>
          </w:p>
        </w:tc>
        <w:tc>
          <w:tcPr>
            <w:tcW w:w="20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540" w:type="dxa"/>
            <w:vAlign w:val="bottom"/>
          </w:tcPr>
          <w:p>
            <w:pPr>
              <w:jc w:val="right"/>
              <w:ind w:right="74"/>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97"/>
              </w:rPr>
              <w:t>(13.5)</w:t>
            </w:r>
          </w:p>
        </w:tc>
        <w:tc>
          <w:tcPr>
            <w:tcW w:w="22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3"/>
              </w:rPr>
              <w:t>(14.6)</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(13.3)</w:t>
            </w:r>
          </w:p>
        </w:tc>
      </w:tr>
    </w:tbl>
    <w:p>
      <w:pPr>
        <w:spacing w:after="0" w:line="391" w:lineRule="exact"/>
        <w:rPr>
          <w:sz w:val="20"/>
          <w:szCs w:val="20"/>
          <w:color w:val="auto"/>
        </w:rPr>
      </w:pPr>
    </w:p>
    <w:p>
      <w:pPr>
        <w:ind w:left="60" w:right="300" w:firstLine="486"/>
        <w:spacing w:after="0" w:line="277" w:lineRule="auto"/>
        <w:rPr>
          <w:sz w:val="20"/>
          <w:szCs w:val="20"/>
          <w:color w:val="auto"/>
        </w:rPr>
      </w:pPr>
      <w:r>
        <w:rPr>
          <w:rFonts w:ascii="Arial" w:cs="Arial" w:eastAsia="Arial" w:hAnsi="Arial"/>
          <w:sz w:val="18"/>
          <w:szCs w:val="18"/>
          <w:color w:val="auto"/>
        </w:rPr>
        <w:t>The following tables summarize certain charges, expenses and loss (income) from discontinued operations included in our results of operations for each of the fiscal quarters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center"/>
              <w:ind w:left="264"/>
              <w:spacing w:after="0"/>
              <w:rPr>
                <w:sz w:val="20"/>
                <w:szCs w:val="20"/>
                <w:color w:val="auto"/>
              </w:rPr>
            </w:pPr>
            <w:r>
              <w:rPr>
                <w:rFonts w:ascii="Arial" w:cs="Arial" w:eastAsia="Arial" w:hAnsi="Arial"/>
                <w:sz w:val="14"/>
                <w:szCs w:val="14"/>
                <w:b w:val="1"/>
                <w:bCs w:val="1"/>
                <w:color w:val="auto"/>
                <w:w w:val="96"/>
              </w:rPr>
              <w:t>Q1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Q2</w:t>
            </w:r>
          </w:p>
        </w:tc>
        <w:tc>
          <w:tcPr>
            <w:tcW w:w="34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14"/>
                <w:szCs w:val="14"/>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4980" w:type="dxa"/>
            <w:vAlign w:val="bottom"/>
          </w:tcPr>
          <w:p>
            <w:pPr>
              <w:spacing w:after="0"/>
              <w:rPr>
                <w:sz w:val="16"/>
                <w:szCs w:val="16"/>
                <w:color w:val="auto"/>
              </w:rPr>
            </w:pPr>
          </w:p>
        </w:tc>
        <w:tc>
          <w:tcPr>
            <w:tcW w:w="2000" w:type="dxa"/>
            <w:vAlign w:val="bottom"/>
            <w:gridSpan w:val="2"/>
          </w:tcPr>
          <w:p>
            <w:pPr>
              <w:jc w:val="center"/>
              <w:ind w:left="1334"/>
              <w:spacing w:after="0"/>
              <w:rPr>
                <w:sz w:val="20"/>
                <w:szCs w:val="20"/>
                <w:color w:val="auto"/>
              </w:rPr>
            </w:pPr>
            <w:r>
              <w:rPr>
                <w:rFonts w:ascii="Arial" w:cs="Arial" w:eastAsia="Arial" w:hAnsi="Arial"/>
                <w:sz w:val="14"/>
                <w:szCs w:val="14"/>
                <w:b w:val="1"/>
                <w:bCs w:val="1"/>
                <w:color w:val="auto"/>
                <w:w w:val="93"/>
              </w:rPr>
              <w:t>9/26/2014</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12/26/2014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4/3/2015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7/3/2015</w:t>
            </w:r>
          </w:p>
        </w:tc>
      </w:tr>
      <w:tr>
        <w:trPr>
          <w:trHeight w:val="250"/>
        </w:trPr>
        <w:tc>
          <w:tcPr>
            <w:tcW w:w="4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2015</w:t>
            </w:r>
          </w:p>
        </w:tc>
        <w:tc>
          <w:tcPr>
            <w:tcW w:w="10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Amortization of purchased technology and intangible assets</w:t>
            </w:r>
          </w:p>
        </w:tc>
        <w:tc>
          <w:tcPr>
            <w:tcW w:w="2000" w:type="dxa"/>
            <w:vAlign w:val="bottom"/>
            <w:gridSpan w:val="2"/>
          </w:tcPr>
          <w:p>
            <w:pPr>
              <w:jc w:val="right"/>
              <w:ind w:right="72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0.1</w:t>
            </w:r>
          </w:p>
        </w:tc>
      </w:tr>
      <w:tr>
        <w:trPr>
          <w:trHeight w:val="27"/>
        </w:trPr>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0.5</w:t>
            </w:r>
          </w:p>
        </w:tc>
      </w:tr>
      <w:tr>
        <w:trPr>
          <w:trHeight w:val="27"/>
        </w:trPr>
        <w:tc>
          <w:tcPr>
            <w:tcW w:w="49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72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000" w:type="dxa"/>
            <w:vAlign w:val="bottom"/>
            <w:gridSpan w:val="2"/>
          </w:tcPr>
          <w:p>
            <w:pPr>
              <w:jc w:val="right"/>
              <w:ind w:right="72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612"/>
        </w:trPr>
        <w:tc>
          <w:tcPr>
            <w:tcW w:w="4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jc w:val="center"/>
              <w:ind w:left="264"/>
              <w:spacing w:after="0"/>
              <w:rPr>
                <w:sz w:val="20"/>
                <w:szCs w:val="20"/>
                <w:color w:val="auto"/>
              </w:rPr>
            </w:pPr>
            <w:r>
              <w:rPr>
                <w:rFonts w:ascii="Arial" w:cs="Arial" w:eastAsia="Arial" w:hAnsi="Arial"/>
                <w:sz w:val="14"/>
                <w:szCs w:val="14"/>
                <w:b w:val="1"/>
                <w:bCs w:val="1"/>
                <w:color w:val="auto"/>
                <w:w w:val="96"/>
              </w:rPr>
              <w:t>Q1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Q2</w:t>
            </w:r>
          </w:p>
        </w:tc>
        <w:tc>
          <w:tcPr>
            <w:tcW w:w="34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24"/>
                <w:szCs w:val="24"/>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4980" w:type="dxa"/>
            <w:vAlign w:val="bottom"/>
          </w:tcPr>
          <w:p>
            <w:pPr>
              <w:spacing w:after="0"/>
              <w:rPr>
                <w:sz w:val="16"/>
                <w:szCs w:val="16"/>
                <w:color w:val="auto"/>
              </w:rPr>
            </w:pPr>
          </w:p>
        </w:tc>
        <w:tc>
          <w:tcPr>
            <w:tcW w:w="2000" w:type="dxa"/>
            <w:vAlign w:val="bottom"/>
            <w:gridSpan w:val="2"/>
          </w:tcPr>
          <w:p>
            <w:pPr>
              <w:jc w:val="center"/>
              <w:ind w:left="1334"/>
              <w:spacing w:after="0"/>
              <w:rPr>
                <w:sz w:val="20"/>
                <w:szCs w:val="20"/>
                <w:color w:val="auto"/>
              </w:rPr>
            </w:pPr>
            <w:r>
              <w:rPr>
                <w:rFonts w:ascii="Arial" w:cs="Arial" w:eastAsia="Arial" w:hAnsi="Arial"/>
                <w:sz w:val="14"/>
                <w:szCs w:val="14"/>
                <w:b w:val="1"/>
                <w:bCs w:val="1"/>
                <w:color w:val="auto"/>
                <w:w w:val="93"/>
              </w:rPr>
              <w:t>9/27/2013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12/27/2013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center"/>
              <w:ind w:right="256"/>
              <w:spacing w:after="0"/>
              <w:rPr>
                <w:sz w:val="20"/>
                <w:szCs w:val="20"/>
                <w:color w:val="auto"/>
              </w:rPr>
            </w:pPr>
            <w:r>
              <w:rPr>
                <w:rFonts w:ascii="Arial" w:cs="Arial" w:eastAsia="Arial" w:hAnsi="Arial"/>
                <w:sz w:val="14"/>
                <w:szCs w:val="14"/>
                <w:b w:val="1"/>
                <w:bCs w:val="1"/>
                <w:color w:val="auto"/>
                <w:w w:val="93"/>
              </w:rPr>
              <w:t>3/28/2014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6/27/2014</w:t>
            </w:r>
          </w:p>
        </w:tc>
      </w:tr>
      <w:tr>
        <w:trPr>
          <w:trHeight w:val="250"/>
        </w:trPr>
        <w:tc>
          <w:tcPr>
            <w:tcW w:w="4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2014</w:t>
            </w:r>
          </w:p>
        </w:tc>
        <w:tc>
          <w:tcPr>
            <w:tcW w:w="10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Amortization of purchased technology and intangible assets</w:t>
            </w:r>
          </w:p>
        </w:tc>
        <w:tc>
          <w:tcPr>
            <w:tcW w:w="2000" w:type="dxa"/>
            <w:vAlign w:val="bottom"/>
            <w:gridSpan w:val="2"/>
          </w:tcPr>
          <w:p>
            <w:pPr>
              <w:jc w:val="right"/>
              <w:ind w:right="72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0.1</w:t>
            </w:r>
          </w:p>
        </w:tc>
      </w:tr>
      <w:tr>
        <w:trPr>
          <w:trHeight w:val="27"/>
        </w:trPr>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Charges for excess and obsolete inventory mark-downs</w:t>
            </w: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1.2</w:t>
            </w:r>
          </w:p>
        </w:tc>
      </w:tr>
      <w:tr>
        <w:trPr>
          <w:trHeight w:val="27"/>
        </w:trPr>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tax assessments</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0.6</w:t>
            </w:r>
          </w:p>
        </w:tc>
      </w:tr>
      <w:tr>
        <w:trPr>
          <w:trHeight w:val="27"/>
        </w:trPr>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Warehouse consolidation costs</w:t>
            </w:r>
          </w:p>
        </w:tc>
        <w:tc>
          <w:tcPr>
            <w:tcW w:w="10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Borders>
              <w:top w:val="single" w:sz="8" w:color="auto"/>
            </w:tcBorders>
          </w:tcPr>
          <w:p>
            <w:pPr>
              <w:jc w:val="right"/>
              <w:ind w:right="72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6.3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w:t>
            </w:r>
          </w:p>
        </w:tc>
      </w:tr>
      <w:tr>
        <w:trPr>
          <w:trHeight w:val="27"/>
        </w:trPr>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2000" w:type="dxa"/>
            <w:vAlign w:val="bottom"/>
            <w:tcBorders>
              <w:bottom w:val="single" w:sz="8" w:color="CCEEFF"/>
            </w:tcBorders>
            <w:gridSpan w:val="2"/>
            <w:shd w:val="clear" w:color="auto" w:fill="CCEEFF"/>
          </w:tcPr>
          <w:p>
            <w:pPr>
              <w:jc w:val="right"/>
              <w:ind w:right="72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r>
      <w:tr>
        <w:trPr>
          <w:trHeight w:val="675"/>
        </w:trPr>
        <w:tc>
          <w:tcPr>
            <w:tcW w:w="4980" w:type="dxa"/>
            <w:vAlign w:val="bottom"/>
          </w:tcPr>
          <w:p>
            <w:pPr>
              <w:spacing w:after="0"/>
              <w:rPr>
                <w:sz w:val="24"/>
                <w:szCs w:val="24"/>
                <w:color w:val="auto"/>
              </w:rPr>
            </w:pP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83</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Management’s Report on Internal Control over Financial Reporting</w:t>
      </w:r>
    </w:p>
    <w:p>
      <w:pPr>
        <w:spacing w:after="0" w:line="17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management has assessed the effectiveness of the Company’s internal control over financial reporting based on the criteria set forth in the Internal Control - Integrated Framework (2013) issued by the Committee of Sponsoring Organizations of the Treadway Commission.</w:t>
      </w:r>
    </w:p>
    <w:p>
      <w:pPr>
        <w:spacing w:after="0" w:line="127" w:lineRule="exact"/>
        <w:rPr>
          <w:sz w:val="20"/>
          <w:szCs w:val="20"/>
          <w:color w:val="auto"/>
        </w:rPr>
      </w:pPr>
    </w:p>
    <w:p>
      <w:pPr>
        <w:ind w:right="580" w:firstLine="405"/>
        <w:spacing w:after="0" w:line="312" w:lineRule="auto"/>
        <w:rPr>
          <w:sz w:val="20"/>
          <w:szCs w:val="20"/>
          <w:color w:val="auto"/>
        </w:rPr>
      </w:pPr>
      <w:r>
        <w:rPr>
          <w:rFonts w:ascii="Arial" w:cs="Arial" w:eastAsia="Arial" w:hAnsi="Arial"/>
          <w:sz w:val="16"/>
          <w:szCs w:val="16"/>
          <w:color w:val="auto"/>
        </w:rPr>
        <w:t>A material weakness is a control deficiency or a combination of control deficiencies that results in more than a remote likelihood that a material misstatement of the annual or interim financial statements will not be prevented or detected. In connection with the Company’s assessment of the effectiveness of internal control over financial reporting, the Company identified the following material weaknesses that existed as of July 3, 2015:</w:t>
      </w:r>
    </w:p>
    <w:p>
      <w:pPr>
        <w:spacing w:after="0" w:line="93" w:lineRule="exact"/>
        <w:rPr>
          <w:sz w:val="20"/>
          <w:szCs w:val="20"/>
          <w:color w:val="auto"/>
        </w:rPr>
      </w:pPr>
    </w:p>
    <w:p>
      <w:pPr>
        <w:ind w:left="820" w:hanging="407"/>
        <w:spacing w:after="0" w:line="287" w:lineRule="auto"/>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COSO Components - Risk Assessment and Monitoring Activities. </w:t>
      </w:r>
      <w:r>
        <w:rPr>
          <w:rFonts w:ascii="Arial" w:cs="Arial" w:eastAsia="Arial" w:hAnsi="Arial"/>
          <w:sz w:val="16"/>
          <w:szCs w:val="16"/>
          <w:color w:val="auto"/>
        </w:rPr>
        <w:t>We determined that our controls pertaining to risk assessment and monitoring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did not operate effectively, resulting in a material weakness pertaining to these COSO components. Specifically, (i) with respect to risk assessment, we did not sufficiently identify and address risks associated with (a) the adequacy of training needs of employees whose job functions bear upon our accounting and financial reporting; (b) segregation of duty conflicts and the adequacy and effectiveness of compensating controls; and (c) certain processes, further noted in the Control Activities discussion below, resulting in inadequately designed control activities; and (ii) with respect to monitoring activities, (a) we did not design and maintain effective controls for the review, supervision and monitoring of our international accounting operations and for evaluating the adequacy of our internal control over financial reporting, including adequate documentation of control performance; and (b) there were insufficient procedures to effectively determine the adequacy of our internal control over financial reporting. The deficiencies in these COSO components are interrelated and represent a material weakness. This material weakness contributed to the other material weaknesses described below and an environment where there was more than a remote likelihood that a material misstatement of the interim and annual consolidated financial statements could occur and not be prevented or detected. As a result, adjustments to various accounts were made to correct errors that were determined to be immaterial to the prior period financial statements.</w:t>
      </w:r>
    </w:p>
    <w:p>
      <w:pPr>
        <w:spacing w:after="0" w:line="114" w:lineRule="exact"/>
        <w:rPr>
          <w:rFonts w:ascii="Arial" w:cs="Arial" w:eastAsia="Arial" w:hAnsi="Arial"/>
          <w:sz w:val="16"/>
          <w:szCs w:val="16"/>
          <w:color w:val="auto"/>
        </w:rPr>
      </w:pPr>
    </w:p>
    <w:p>
      <w:pPr>
        <w:jc w:val="both"/>
        <w:ind w:left="820" w:right="400" w:hanging="407"/>
        <w:spacing w:after="0" w:line="264" w:lineRule="auto"/>
        <w:tabs>
          <w:tab w:leader="none" w:pos="8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Control Activities - Account Reconciliations. </w:t>
      </w:r>
      <w:r>
        <w:rPr>
          <w:rFonts w:ascii="Arial" w:cs="Arial" w:eastAsia="Arial" w:hAnsi="Arial"/>
          <w:sz w:val="18"/>
          <w:szCs w:val="18"/>
          <w:color w:val="auto"/>
        </w:rPr>
        <w:t>The design and operating effectiveness of our controls were inadequate to ensure that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reconciliations were reviewed and approved for accuracy and completeness and that we identified, accumulated and documented appropriate information necessary to support account balances.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125" w:right="2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820" w:right="100" w:hanging="407"/>
        <w:spacing w:after="0" w:line="264" w:lineRule="auto"/>
        <w:tabs>
          <w:tab w:leader="none" w:pos="8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Control Activities - Revenue Recognition. </w:t>
      </w:r>
      <w:r>
        <w:rPr>
          <w:rFonts w:ascii="Arial" w:cs="Arial" w:eastAsia="Arial" w:hAnsi="Arial"/>
          <w:sz w:val="18"/>
          <w:szCs w:val="18"/>
          <w:color w:val="auto"/>
        </w:rPr>
        <w:t>The design and operating effectiveness of our controls were inadequate to ensure that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all negotiated customer discounts were agreed upon with the customer in advance of recognizing revenue to ensure that the reported amount and timing of revenue recognition was accurate.</w:t>
      </w:r>
    </w:p>
    <w:p>
      <w:pPr>
        <w:spacing w:after="0" w:line="127" w:lineRule="exact"/>
        <w:rPr>
          <w:rFonts w:ascii="Arial" w:cs="Arial" w:eastAsia="Arial" w:hAnsi="Arial"/>
          <w:sz w:val="18"/>
          <w:szCs w:val="18"/>
          <w:b w:val="1"/>
          <w:bCs w:val="1"/>
          <w:i w:val="1"/>
          <w:iCs w:val="1"/>
          <w:color w:val="auto"/>
        </w:rPr>
      </w:pPr>
    </w:p>
    <w:p>
      <w:pPr>
        <w:ind w:left="820" w:right="600" w:hanging="407"/>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Revenue Cut-off Procedures. </w:t>
      </w:r>
      <w:r>
        <w:rPr>
          <w:rFonts w:ascii="Arial" w:cs="Arial" w:eastAsia="Arial" w:hAnsi="Arial"/>
          <w:sz w:val="18"/>
          <w:szCs w:val="18"/>
          <w:color w:val="auto"/>
        </w:rPr>
        <w:t>The design and operating effectiveness of our controls were inadequate to ensure that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recognized on shipments made under FOB Destination terms was recognized in the proper period.</w:t>
      </w:r>
    </w:p>
    <w:p>
      <w:pPr>
        <w:spacing w:after="0" w:line="116"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Project Accruals. </w:t>
      </w:r>
      <w:r>
        <w:rPr>
          <w:rFonts w:ascii="Arial" w:cs="Arial" w:eastAsia="Arial" w:hAnsi="Arial"/>
          <w:sz w:val="18"/>
          <w:szCs w:val="18"/>
          <w:color w:val="auto"/>
        </w:rPr>
        <w:t>The design and operating effectiveness of our controls were inadequate to ensure that the project accrual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balances were accurate.</w:t>
      </w:r>
    </w:p>
    <w:p>
      <w:pPr>
        <w:spacing w:after="0" w:line="116" w:lineRule="exact"/>
        <w:rPr>
          <w:rFonts w:ascii="Arial" w:cs="Arial" w:eastAsia="Arial" w:hAnsi="Arial"/>
          <w:sz w:val="18"/>
          <w:szCs w:val="18"/>
          <w:color w:val="auto"/>
        </w:rPr>
      </w:pPr>
    </w:p>
    <w:p>
      <w:pPr>
        <w:ind w:left="820" w:right="420" w:hanging="407"/>
        <w:spacing w:after="0" w:line="342" w:lineRule="auto"/>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Control Activities - Inventory Existence</w:t>
      </w:r>
      <w:r>
        <w:rPr>
          <w:rFonts w:ascii="Arial" w:cs="Arial" w:eastAsia="Arial" w:hAnsi="Arial"/>
          <w:sz w:val="16"/>
          <w:szCs w:val="16"/>
          <w:color w:val="auto"/>
        </w:rPr>
        <w:t>. The design and operating effectiveness of our controls over inventory cycle counts and inventory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consigned locations were inadequate to ensure that the underlying quantities in support of inventory balances were accurate.</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Errors identified in our financial statements and the aforementioned material weaknesses resulted in a reasonable possibility that a material misstatement of our annual or interim consolidated financial statements would not be prevented or detected on a timely basis.</w:t>
      </w:r>
    </w:p>
    <w:p>
      <w:pPr>
        <w:spacing w:after="0" w:line="116"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The material weaknesses identified by management could result in a material misstatement to our annual or interim financial statements that would not be prevented or detected. Management has concluded that our internal control over financial reporting was not effective as of July 3, 2015 due to the material weaknesses identified. We reviewed the results of management’s assessment with the Audit Committee of the Company’s Board of Directors.</w:t>
      </w:r>
    </w:p>
    <w:p>
      <w:pPr>
        <w:spacing w:after="0" w:line="9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BDO USA, LLP, our independent registered public accounting firm, has issued an attestation report regarding its assessment of our internal control over financial reporting as of July 3, 2015, as set forth at the beginning of Part II, Item 8 of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Evaluation of Disclosure Controls and Procedures</w:t>
      </w:r>
    </w:p>
    <w:p>
      <w:pPr>
        <w:spacing w:after="0" w:line="17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as appropriate to allow timely decisions regarding required disclosure.</w:t>
      </w:r>
    </w:p>
    <w:p>
      <w:pPr>
        <w:spacing w:after="0" w:line="11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of July 3, 2015, management carried out an evaluation, under the supervision and with the participation of our Chief Executive Officer and Chief Financial Officer, of the effectiveness of our disclosure controls and procedures. Based upon the evaluation and as a result of the material weaknesses described above, our Chief Executive Officer and Chief Financial Officer concluded that, as of July 3, 2015, our disclosure controls and procedures were not effective at the reasonable assurance level.</w:t>
      </w:r>
    </w:p>
    <w:p>
      <w:pPr>
        <w:spacing w:after="0" w:line="13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Accordingly, even effective disclosure controls and procedures can only provide reasonable assurances of achieving their control objectives.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17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Other than the material weaknesses noted above and the remediation actions described below, there were no changes in our internal control over financial reporting during the quarter ended July 3, 2015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Remedial Actions to Address Material Weaknesses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continue to evaluate the effectiveness of our remediation efforts, including demonstrating that the new or improved controls operate effectively for a reasonable period of time. If appropriate, we expect to make further changes to our internal controls. The following actions have been taken, or we expect to take as soon as practicable, to strengthen our controls and organizational structure: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820" w:right="140" w:hanging="407"/>
        <w:spacing w:after="0" w:line="26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plan to provide additional training to employees whose job functions bear upon our accounting and financial reporting, including members of the sales and operations departments, in order to ensure that our employees develop a greater understanding of the control activities that they perform.</w:t>
      </w:r>
    </w:p>
    <w:p>
      <w:pPr>
        <w:spacing w:after="0" w:line="127" w:lineRule="exact"/>
        <w:rPr>
          <w:rFonts w:ascii="Arial" w:cs="Arial" w:eastAsia="Arial" w:hAnsi="Arial"/>
          <w:sz w:val="18"/>
          <w:szCs w:val="18"/>
          <w:color w:val="auto"/>
        </w:rPr>
      </w:pPr>
    </w:p>
    <w:p>
      <w:pPr>
        <w:ind w:left="820" w:right="20" w:hanging="407"/>
        <w:spacing w:after="0" w:line="25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expect to enhance our risk assessment process. With regard to segregation of duty (“SOD”) conflicts associated with our worldwide enterprise resource planning system, we are streamlining and narrowing user system responsibilities in order to reduce the number of SOD conflicts and are developing processes to monitor all remaining SOD conflicts on an ongoing basis. With regard to control design deficiencies, we plan to perform a more robust assessment of risks impacting our accounting and financial reporting and implement new controls or revise existing controls to address such risks.</w:t>
      </w:r>
    </w:p>
    <w:p>
      <w:pPr>
        <w:spacing w:after="0" w:line="134" w:lineRule="exact"/>
        <w:rPr>
          <w:rFonts w:ascii="Arial" w:cs="Arial" w:eastAsia="Arial" w:hAnsi="Arial"/>
          <w:sz w:val="18"/>
          <w:szCs w:val="18"/>
          <w:color w:val="auto"/>
        </w:rPr>
      </w:pPr>
    </w:p>
    <w:p>
      <w:pPr>
        <w:ind w:left="820" w:right="280" w:hanging="407"/>
        <w:spacing w:after="0" w:line="26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implementing processes to improve monitoring activities involving the review and supervision of our accounting operations. We expect this to involve (i) implementing increased and enhanced balance sheet reviews to allow more focus on quality account reconciliations; and (ii) enhancing monitoring over international activities.</w:t>
      </w:r>
    </w:p>
    <w:p>
      <w:pPr>
        <w:spacing w:after="0" w:line="127" w:lineRule="exact"/>
        <w:rPr>
          <w:rFonts w:ascii="Arial" w:cs="Arial" w:eastAsia="Arial" w:hAnsi="Arial"/>
          <w:sz w:val="18"/>
          <w:szCs w:val="18"/>
          <w:color w:val="auto"/>
        </w:rPr>
      </w:pPr>
    </w:p>
    <w:p>
      <w:pPr>
        <w:ind w:left="820" w:hanging="407"/>
        <w:spacing w:after="0" w:line="342"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improve the accuracy of our revenue cut-off procedures, we are expanding the time period over which FOB Destination shipments are reviewed at quarter-end to provide additional assurance that revenue on all shipments made during the cut-off period is recognized in the proper period.</w:t>
      </w:r>
    </w:p>
    <w:p>
      <w:pPr>
        <w:spacing w:after="0" w:line="69" w:lineRule="exact"/>
        <w:rPr>
          <w:rFonts w:ascii="Arial" w:cs="Arial" w:eastAsia="Arial" w:hAnsi="Arial"/>
          <w:sz w:val="16"/>
          <w:szCs w:val="16"/>
          <w:color w:val="auto"/>
        </w:rPr>
      </w:pPr>
    </w:p>
    <w:p>
      <w:pPr>
        <w:ind w:left="820" w:right="80" w:hanging="407"/>
        <w:spacing w:after="0" w:line="286"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improve the accuracy of our inventory quantities, we are reviewing (i) our inventory cycle count procedures, (ii) our review and supervision of such procedures and (ii) our monitoring activities specifically pertaining to cycle counts to ensure that our cycle count procedures address all relevant risks, are adequately documented and are sufficiently supervised and monitored on an ongoing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with the SEC within 120 days after the end of our fiscal year ended July 3,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 xml:space="preserve">We adopted a Code of Conduct that is available at </w:t>
      </w:r>
      <w:r>
        <w:rPr>
          <w:rFonts w:ascii="Arial" w:cs="Arial" w:eastAsia="Arial" w:hAnsi="Arial"/>
          <w:sz w:val="18"/>
          <w:szCs w:val="18"/>
          <w:u w:val="single" w:color="auto"/>
          <w:color w:val="auto"/>
        </w:rPr>
        <w:t>www.aviatnetworks.com</w:t>
      </w:r>
      <w:r>
        <w:rPr>
          <w:rFonts w:ascii="Arial" w:cs="Arial" w:eastAsia="Arial" w:hAnsi="Arial"/>
          <w:sz w:val="18"/>
          <w:szCs w:val="18"/>
          <w:color w:val="auto"/>
        </w:rPr>
        <w:t>. No amendments to our Code of Business Ethics or waivers from our Code of Conduct with respect to any of our executive officers or directors have been made. If, in the future, we amend our Code of Conduct or grant waivers from our Code of Conduct with respect to any of our executive officers or directors, we will make information regarding such amendments or waivers available on our corporate website (</w:t>
      </w:r>
      <w:r>
        <w:rPr>
          <w:rFonts w:ascii="Arial" w:cs="Arial" w:eastAsia="Arial" w:hAnsi="Arial"/>
          <w:sz w:val="18"/>
          <w:szCs w:val="18"/>
          <w:u w:val="single" w:color="auto"/>
          <w:color w:val="auto"/>
        </w:rPr>
        <w:t>www.aviatnetworks.com</w:t>
      </w:r>
      <w:r>
        <w:rPr>
          <w:rFonts w:ascii="Arial" w:cs="Arial" w:eastAsia="Arial" w:hAnsi="Arial"/>
          <w:sz w:val="18"/>
          <w:szCs w:val="18"/>
          <w:color w:val="auto"/>
        </w:rPr>
        <w:t>) for a period of at least 12 months.</w:t>
      </w:r>
    </w:p>
    <w:p>
      <w:pPr>
        <w:spacing w:after="0" w:line="133"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For information with respect to Executive Officers, see Part I, Item 1 of this Annual Report on Form 10-K, under “Executive Officers of the Registrant.”</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Information regarding our directors and compliance with Section 16(a) of the Exchange Act by our directors and executive officers will appear in our definitive Proxy Statement and is incorporated herein by reference</w:t>
      </w:r>
      <w:r>
        <w:rPr>
          <w:rFonts w:ascii="Arial" w:cs="Arial" w:eastAsia="Arial" w:hAnsi="Arial"/>
          <w:sz w:val="18"/>
          <w:szCs w:val="18"/>
          <w:color w:val="191919"/>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compensation will appear in our definitive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Summary</w:t>
      </w:r>
    </w:p>
    <w:p>
      <w:pPr>
        <w:spacing w:after="0" w:line="175"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following table provides information as of July 3, 2015, relating to our equity compensation plan pursuant to which grants of options, restricted stock and performance shares may be granted from time to time and the option plans and agreements assumed by us in connection with the Stratex acquisition: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Further Issuance Under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Options and Vesting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restricted Stock Units</w:t>
            </w: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Performance Share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Units</w:t>
            </w:r>
            <w:r>
              <w:rPr>
                <w:rFonts w:ascii="Arial" w:cs="Arial" w:eastAsia="Arial" w:hAnsi="Arial"/>
                <w:sz w:val="8"/>
                <w:szCs w:val="8"/>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the First Column)</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Equity Compensation plan approved by security holders</w:t>
            </w:r>
            <w:r>
              <w:rPr>
                <w:rFonts w:ascii="Arial" w:cs="Arial" w:eastAsia="Arial" w:hAnsi="Arial"/>
                <w:sz w:val="25"/>
                <w:szCs w:val="25"/>
                <w:color w:val="auto"/>
                <w:vertAlign w:val="superscript"/>
              </w:rPr>
              <w:t>(3)</w:t>
            </w:r>
          </w:p>
        </w:tc>
        <w:tc>
          <w:tcPr>
            <w:tcW w:w="2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9,107,014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1,351,936</w:t>
            </w:r>
          </w:p>
        </w:tc>
        <w:tc>
          <w:tcPr>
            <w:tcW w:w="0" w:type="dxa"/>
            <w:vAlign w:val="bottom"/>
          </w:tcPr>
          <w:p>
            <w:pPr>
              <w:spacing w:after="0"/>
              <w:rPr>
                <w:sz w:val="1"/>
                <w:szCs w:val="1"/>
                <w:color w:val="auto"/>
              </w:rPr>
            </w:pPr>
          </w:p>
        </w:tc>
      </w:tr>
      <w:tr>
        <w:trPr>
          <w:trHeight w:val="229"/>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18"/>
                <w:szCs w:val="18"/>
                <w:color w:val="auto"/>
              </w:rPr>
              <w:t>holders</w:t>
            </w:r>
            <w:r>
              <w:rPr>
                <w:rFonts w:ascii="Arial" w:cs="Arial" w:eastAsia="Arial" w:hAnsi="Arial"/>
                <w:sz w:val="25"/>
                <w:szCs w:val="25"/>
                <w:color w:val="auto"/>
                <w:vertAlign w:val="superscript"/>
              </w:rPr>
              <w:t>(4)</w:t>
            </w:r>
          </w:p>
        </w:tc>
        <w:tc>
          <w:tcPr>
            <w:tcW w:w="21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27,625</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9,134,639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1,351,936</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w:t>
            </w: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140" w:hanging="652"/>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Under the 2007 Stock Plan, in addition to options, we have granted share-based compensation awards in the form of performance shares, restricted stock, performance share units and restricted stock units. As of July 3, 2015, there were 1,780,932 such awards outstanding under that plan. The outstanding awards consisted of (i) performance share awards at target and restricted stock awards, for which all 20,264 shares were issued and outstanding; and (ii) 1,760,668 performance share unit awards at target and restricted stock unit awards, for which all 1,760,668 were payable in shares but for which no shares were yet issued and outstanding. The 9,107,014 shares to be issued upon exercise of outstanding options and vesting of restricted stock units and performance share units as listed in the first column consisted of shares to be issued in respect of the exercise of 7,346,346 outstanding options and in respect of the 1,760,668 performance share unit awards and restricted stock units awards payable in shares.</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Excluded weighted average fair value of restricted stock units and performance share units at issuance date.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Consisted solely of our 2007 Stock Plan, as amended and restated effective November 17, 2011.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22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Consisted of common stock that may be issued pursuant to option plans and agreements assumed pursuant to the Stratex acquisition. The Stratex plans were duly approved by the stockholders of Stratex prior to the merger with us. No shares are available for further issuance.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further information on our equity compensation plans see “Note 1. The Company and Summary of Significant Accounting Policies” and “Note 9.</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Stockholders’ Equity” in the notes to consolidated financial statements included in Item 8.</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other information required by this item will appear in our definitive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our principal accountant fees and services will appear in our definitive Proxy Statement and is incorporated herein by reference.</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00"/>
          </w:cols>
          <w:pgMar w:left="240" w:top="125" w:right="3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48" w:lineRule="exact"/>
        <w:rPr>
          <w:rFonts w:ascii="Arial" w:cs="Arial" w:eastAsia="Arial" w:hAnsi="Arial"/>
          <w:sz w:val="18"/>
          <w:szCs w:val="18"/>
          <w:color w:val="auto"/>
        </w:rPr>
      </w:pPr>
    </w:p>
    <w:p>
      <w:pPr>
        <w:ind w:left="840" w:hanging="184"/>
        <w:spacing w:after="0"/>
        <w:tabs>
          <w:tab w:leader="none" w:pos="84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of Aviat Networks, Inc. are set forth in Item 8 of this Annual Report on Form 10-K.</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II — Valuation and Qualifying Accounts for the three fiscal years ended July 3, 2015</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43"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160" w:type="dxa"/>
            <w:vAlign w:val="bottom"/>
          </w:tcPr>
          <w:p>
            <w:pPr>
              <w:spacing w:after="0"/>
              <w:rPr>
                <w:sz w:val="14"/>
                <w:szCs w:val="14"/>
                <w:color w:val="auto"/>
              </w:rPr>
            </w:pPr>
          </w:p>
        </w:tc>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Intentionally omitted</w:t>
            </w:r>
          </w:p>
        </w:tc>
        <w:tc>
          <w:tcPr>
            <w:tcW w:w="7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4"/>
                <w:szCs w:val="24"/>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Intentionally omitted</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Intentionally omitted</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w w:val="95"/>
              </w:rPr>
              <w:t>Asset Purchase Agreement by and among Aviat U.S., Inc. and EION Networks, Inc., dated as of September 2, 2011 (incorporated by</w:t>
            </w:r>
          </w:p>
        </w:tc>
      </w:tr>
      <w:tr>
        <w:trPr>
          <w:trHeight w:val="230"/>
        </w:trPr>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reference to Exhibit 2.1 to the Current Report on Form 8-K filed with the SEC on September 9, 2011, File No. 001-33278)</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w w:val="96"/>
              </w:rPr>
              <w:t>Amended and Restated Certificate of Incorporation of Harris Stratex Networks, Inc. as filed with the Secretary of State of the State of</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w w:val="97"/>
              </w:rPr>
              <w:t>Delaware on November 19, 2009 (incorporated by reference to Exhibit 3.1 to the Current Report on Form 8-K filed with the SEC on</w:t>
            </w:r>
          </w:p>
        </w:tc>
      </w:tr>
      <w:tr>
        <w:trPr>
          <w:trHeight w:val="230"/>
        </w:trPr>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November 23, 2009, File No. 001-33278)</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w w:val="91"/>
              </w:rPr>
              <w:t>Amended and Restated Bylaws of Harris Stratex Networks, Inc. (incorporated by reference to Exhibit 3.2 to the Current Report on Form 8-K</w:t>
            </w:r>
          </w:p>
        </w:tc>
      </w:tr>
      <w:tr>
        <w:trPr>
          <w:trHeight w:val="230"/>
        </w:trPr>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filed with the SEC on November 23, 2009, File No. 001-33278)</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w w:val="93"/>
              </w:rPr>
              <w:t>Certificate of Ownership and Merger Merging Aviat Networks, Inc. into Harris Stratex Networks, Inc., effective January 27, 2010, as filed</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w w:val="91"/>
              </w:rPr>
              <w:t>with the Secretary of State of the State of Delaware on January 27, 2010 (incorporated by reference to Exhibit 3.1 to the Current Report on</w:t>
            </w:r>
          </w:p>
        </w:tc>
      </w:tr>
      <w:tr>
        <w:trPr>
          <w:trHeight w:val="230"/>
        </w:trPr>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Form 8-K filed with the SEC on January 28, 2010, File No. 001-33278)</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Intentionally omitted</w:t>
            </w:r>
          </w:p>
        </w:tc>
      </w:tr>
      <w:tr>
        <w:trPr>
          <w:trHeight w:val="377"/>
        </w:trPr>
        <w:tc>
          <w:tcPr>
            <w:tcW w:w="740" w:type="dxa"/>
            <w:vAlign w:val="bottom"/>
            <w:gridSpan w:val="2"/>
          </w:tcPr>
          <w:p>
            <w:pPr>
              <w:spacing w:after="0"/>
              <w:rPr>
                <w:sz w:val="20"/>
                <w:szCs w:val="20"/>
                <w:color w:val="auto"/>
              </w:rPr>
            </w:pPr>
            <w:r>
              <w:rPr>
                <w:rFonts w:ascii="Arial" w:cs="Arial" w:eastAsia="Arial" w:hAnsi="Arial"/>
                <w:sz w:val="18"/>
                <w:szCs w:val="18"/>
                <w:color w:val="auto"/>
              </w:rPr>
              <w:t>4.1.1</w:t>
            </w: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w w:val="93"/>
              </w:rPr>
              <w:t>Specimen common stock certificate, adopted as of January 29, 2010 (incorporated by reference to Exhibit 4.1.1 to the Annual Report on</w:t>
            </w:r>
          </w:p>
        </w:tc>
      </w:tr>
      <w:tr>
        <w:trPr>
          <w:trHeight w:val="230"/>
        </w:trPr>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Form 10-K for fiscal year end July 2, 2010 filed with the SEC on September 9, 2010, File No. 001-33278)</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Intentionally omitted</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Intentionally omitted</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Intentionally omitted</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10.2</w:t>
            </w: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Intentionally omitted</w:t>
            </w:r>
          </w:p>
        </w:tc>
      </w:tr>
      <w:tr>
        <w:trPr>
          <w:trHeight w:val="377"/>
        </w:trPr>
        <w:tc>
          <w:tcPr>
            <w:tcW w:w="740" w:type="dxa"/>
            <w:vAlign w:val="bottom"/>
            <w:gridSpan w:val="2"/>
          </w:tcPr>
          <w:p>
            <w:pPr>
              <w:spacing w:after="0"/>
              <w:rPr>
                <w:sz w:val="20"/>
                <w:szCs w:val="20"/>
                <w:color w:val="auto"/>
              </w:rPr>
            </w:pPr>
            <w:r>
              <w:rPr>
                <w:rFonts w:ascii="Arial" w:cs="Arial" w:eastAsia="Arial" w:hAnsi="Arial"/>
                <w:sz w:val="18"/>
                <w:szCs w:val="18"/>
                <w:color w:val="auto"/>
              </w:rPr>
              <w:t>10.3</w:t>
            </w: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w w:val="94"/>
              </w:rPr>
              <w:t>Intellectual Property Agreement between Harris Stratex Networks, Inc. and Harris Corporation dated January 26, 2007 (incorporated by</w:t>
            </w:r>
          </w:p>
        </w:tc>
      </w:tr>
      <w:tr>
        <w:trPr>
          <w:trHeight w:val="230"/>
        </w:trPr>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reference to Exhibit 10.4 to the Current Report on Form 8-K filed with the SEC on February 1, 2007, File No. 001-33278)</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10.4</w:t>
            </w:r>
          </w:p>
        </w:tc>
        <w:tc>
          <w:tcPr>
            <w:tcW w:w="10560" w:type="dxa"/>
            <w:vAlign w:val="bottom"/>
            <w:gridSpan w:val="3"/>
          </w:tcPr>
          <w:p>
            <w:pPr>
              <w:ind w:left="400"/>
              <w:spacing w:after="0"/>
              <w:rPr>
                <w:sz w:val="20"/>
                <w:szCs w:val="20"/>
                <w:color w:val="auto"/>
              </w:rPr>
            </w:pPr>
            <w:r>
              <w:rPr>
                <w:rFonts w:ascii="Arial" w:cs="Arial" w:eastAsia="Arial" w:hAnsi="Arial"/>
                <w:sz w:val="18"/>
                <w:szCs w:val="18"/>
                <w:color w:val="auto"/>
              </w:rPr>
              <w:t>Intentionally omitted</w:t>
            </w:r>
          </w:p>
        </w:tc>
      </w:tr>
    </w:tbl>
    <w:p>
      <w:pPr>
        <w:spacing w:after="0" w:line="200" w:lineRule="exact"/>
        <w:rPr>
          <w:sz w:val="20"/>
          <w:szCs w:val="20"/>
          <w:color w:val="auto"/>
        </w:rPr>
      </w:pPr>
    </w:p>
    <w:p>
      <w:pPr>
        <w:sectPr>
          <w:pgSz w:w="11900" w:h="16838" w:orient="portrait"/>
          <w:cols w:equalWidth="0" w:num="1">
            <w:col w:w="11340"/>
          </w:cols>
          <w:pgMar w:left="240" w:top="125" w:right="319" w:bottom="1440" w:gutter="0" w:footer="0" w:header="0"/>
        </w:sectPr>
      </w:pP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40"/>
          </w:cols>
          <w:pgMar w:left="240" w:top="125" w:right="31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85"/>
        </w:trPr>
        <w:tc>
          <w:tcPr>
            <w:tcW w:w="880" w:type="dxa"/>
            <w:vAlign w:val="bottom"/>
            <w:gridSpan w:val="2"/>
          </w:tcPr>
          <w:p>
            <w:pPr>
              <w:spacing w:after="0"/>
              <w:rPr>
                <w:sz w:val="20"/>
                <w:szCs w:val="20"/>
                <w:color w:val="auto"/>
              </w:rPr>
            </w:pPr>
            <w:r>
              <w:rPr>
                <w:rFonts w:ascii="Arial" w:cs="Arial" w:eastAsia="Arial" w:hAnsi="Arial"/>
                <w:sz w:val="18"/>
                <w:szCs w:val="18"/>
                <w:color w:val="auto"/>
              </w:rPr>
              <w:t>10.5</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10.6</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10.6.1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10.7</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10.8</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10.9</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Tax Sharing Agreement between Harris Stratex Networks, Inc. and Harris Corporation dated January 26, 2007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Exhibit 10.11 to the Current Report on Form 8-K filed with the SEC on February 1, 2007,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10.12*</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10.13*</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10.13.1*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7"/>
              </w:rPr>
              <w:t>Standard Form of Executive Employment Agreement between Harris Stratex Networks, Inc. and certain executives (incorporated by</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reference to Exhibit 10.16 to the Current Report on Form 8-K filed with the SEC on February 1, 2007,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10.15</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Form of Indemnification Agreement between Harris Stratex Networks, Inc. and its directors and certain officers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Exhibit 10.16 to the Registration Statement on Form S-1 of Stratex Networks, Inc., File No. 33-13431)</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10.16</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3"/>
              </w:rPr>
              <w:t>Harris Stratex Networks, Inc. Annual Incentive Plan (incorporated by reference to Exhibit 10.17 to the Annual Report on Form 10-K for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fiscal year ended June 27, 2008 filed with the SEC on September 25, 2008,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10.18*</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10.18.1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10.18.2</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6"/>
              </w:rPr>
              <w:t>Aviat Networks, Inc. 2007 Stock Equity Plan (as Amended and Restated Effective November 17, 2011)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Appendix A to Schedule 14A filed with the SEC on October 3, 2011,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10.20.2</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10.20.3</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Second Amended and Restated Loan and Security Agreement, dated as of March 28, 2014, by and among Aviat Networks, Inc., Aviat U.S.,</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4"/>
              </w:rPr>
              <w:t>Inc., Aviat Networks (S) Pte. Ltd., and Silicon Valley Bank (incorporated by reference to Exhibit 10.1 to the Current Report on Form 8-K</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filed with the SEC on March 31, 2014,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10.20.4</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4"/>
              </w:rPr>
              <w:t>Amendment #1 to Second Amended and Restated Loan and Security Agreement, dated as of September 25, 2014, by and among Aviat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6"/>
              </w:rPr>
              <w:t>Networks, Inc., Aviat U.S., Inc., Aviat Networks (S) Pte. Ltd. and Silicon Valley Bank (incorporated by reference to Exhibit 10.1 to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Current Report on Form 8-K filed with the SEC on September 29, 2014, File No. 001-33278)</w:t>
            </w:r>
          </w:p>
        </w:tc>
      </w:tr>
      <w:tr>
        <w:trPr>
          <w:trHeight w:val="608"/>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90</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71"/>
        </w:trPr>
        <w:tc>
          <w:tcPr>
            <w:tcW w:w="880" w:type="dxa"/>
            <w:vAlign w:val="bottom"/>
            <w:gridSpan w:val="2"/>
          </w:tcPr>
          <w:p>
            <w:pPr>
              <w:spacing w:after="0"/>
              <w:rPr>
                <w:sz w:val="20"/>
                <w:szCs w:val="20"/>
                <w:color w:val="auto"/>
              </w:rPr>
            </w:pPr>
            <w:r>
              <w:rPr>
                <w:rFonts w:ascii="Arial" w:cs="Arial" w:eastAsia="Arial" w:hAnsi="Arial"/>
                <w:sz w:val="18"/>
                <w:szCs w:val="18"/>
                <w:color w:val="auto"/>
              </w:rPr>
              <w:t>10.20.5</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6"/>
              </w:rPr>
              <w:t>Amendment #2 to Second Amended and Restated Loan and Security Agreement, dated as of October 30,2014, by and among Aviat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6"/>
              </w:rPr>
              <w:t>Networks, Inc., Aviat U.S., Inc., Aviat Networks (S) Pte. Ltd. and Silicon Valley Bank (incorporated by reference to Exhibit 10.1 to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Current Report on Form 8-K filed with the SEC on October 30, 2014,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10.20.6</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5"/>
              </w:rPr>
              <w:t>Amendment #3 to Second Amended and Restated Loan and Security Agreement, dated as of December 2, 2014, by and among Aviat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6"/>
              </w:rPr>
              <w:t>Networks, Inc., Aviat U.S., Inc., Aviat Networks (S) Pte. Ltd., and Silicon Valley Bank (incorporated by reference to Exhibit 10.1 to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Current Report on Form 8-K filed with the SEC on December 5, 2014,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10.20.7</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Amendment #4 to Second Amended and Restated Loan and Security Agreement, dated February 27, 2015, by and among Aviat Networks,</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3"/>
              </w:rPr>
              <w:t>Inc., Aviat U.S., Inc., Aviat Networks (S) Pte. Ltd., and Silicon Valley Bank (incorporated by reference to Exhibit 10.1 to the Current Report</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on Form 8-K filed with the SEC on March 3, 2015,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10.22*</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10.22.1*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10.23*</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(incorporated by reference to</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3"/>
              </w:rPr>
              <w:t>Exhibit 10.15.2 to the Quarterly Report on Form 10-Q for the fiscal quarter ended March 30, 2007 filed with the SEC on May 8, 2007, File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10.24*</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10.24.1*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10.24.2*</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10.25*</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1"/>
              </w:rPr>
              <w:t>Employment Agreement, dated as of May 14, 2002, between Stratex Networks, Inc. and Shaun McFall (incorporated by reference to Exhibit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5"/>
              </w:rPr>
              <w:t>10.25 to the Annual Report on Form 10-K for the fiscal year ended July 3, 2009 filed with the SEC on September 4, 2009, File No. 001-</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10.25.1*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4"/>
              </w:rPr>
              <w:t>Amendment, effective April 1, 2006, to Employment Agreement, dated May 14, 2002, between Stratex Networks, Inc. and Shaun McFall</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1"/>
              </w:rPr>
              <w:t>(incorporated by reference to Exhibit 10.25.1 to the Annual Report on Form 10-K for the fiscal year ended July 3, 2009 filed with the SEC on</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September 4, 2009,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10.26*</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10.26.1*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10.27*</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10.28*</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3"/>
              </w:rPr>
              <w:t>Employment Agreement, dated July 18, 2011, between Aviat Networks, Inc. and Michael Pangia (incorporated by reference to the Current</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Report on Form 8-K filed with the SEC on July 20, 2011,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10.29*</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December 30, 2010, between Aviat Networks, Inc. and John Madigan (incorporated by reference to Exhibit</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10.1 to the Current Report on Form 8-K filed with the SEC on January 4, 2011,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10.30*</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0"/>
              </w:rPr>
              <w:t>Employment Agreement, dated December 29, 2014, between Aviat Networks, Inc. and Michael Shahbazian (incorporated by reference to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Current Report on Form 8-K filed with the SEC on December 29, 2014,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10.31*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3"/>
              </w:rPr>
              <w:t>Employment Agreement, dated April 29, 2015, between Aviat Networks, Inc. and Ralph S. Marimon (incorporated by reference to Exhibit</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10.1 to the Current Report on Form 8-K filed with the SEC on May 14, 2015,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10.32</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Letter Agreement, dated as of January 11, 2015, among Aviat Networks, Inc., Steel Partners Holdings L.P., Lone Star Value Management,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3"/>
              </w:rPr>
              <w:t>LLC and certain other parties (incorporated by reference to Exhibit 10.1 to the Current Report on Form 8-K filed with the SEC on January</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12, 2015,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16.1</w:t>
            </w: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125"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0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371"/>
        </w:trPr>
        <w:tc>
          <w:tcPr>
            <w:tcW w:w="900" w:type="dxa"/>
            <w:vAlign w:val="bottom"/>
            <w:gridSpan w:val="2"/>
          </w:tcPr>
          <w:p>
            <w:pPr>
              <w:spacing w:after="0"/>
              <w:rPr>
                <w:sz w:val="20"/>
                <w:szCs w:val="20"/>
                <w:color w:val="auto"/>
              </w:rPr>
            </w:pPr>
            <w:r>
              <w:rPr>
                <w:rFonts w:ascii="Arial" w:cs="Arial" w:eastAsia="Arial" w:hAnsi="Arial"/>
                <w:sz w:val="18"/>
                <w:szCs w:val="18"/>
                <w:color w:val="auto"/>
              </w:rPr>
              <w:t>16.2</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1"/>
              </w:rPr>
              <w:t>Letter from KPMG LLP to the Securities and Exchange Commission dated February 26, 2015 (incorporated by reference to Exhibit 16.1 to</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the Current Report on Form 8-K filed with the SEC on March 3, 2015)</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List of Subsidiaries of Aviat Networks, Inc.</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23.1</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Consent of BDO USA, LLP</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23.2</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Consent of KPMG LLP</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31.1</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31.2</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32.1</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32.2</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of Chief Financial Officer</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5620" w:right="1520" w:hanging="5585"/>
        <w:spacing w:after="0" w:line="778" w:lineRule="auto"/>
        <w:tabs>
          <w:tab w:leader="none" w:pos="4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 92</w:t>
      </w:r>
    </w:p>
    <w:p>
      <w:pPr>
        <w:sectPr>
          <w:pgSz w:w="11900" w:h="16838" w:orient="portrait"/>
          <w:cols w:equalWidth="0" w:num="1">
            <w:col w:w="11220"/>
          </w:cols>
          <w:pgMar w:left="240" w:top="125" w:right="4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6160"/>
        <w:spacing w:after="0"/>
        <w:tabs>
          <w:tab w:leader="none" w:pos="7480" w:val="left"/>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31750</wp:posOffset>
            </wp:positionV>
            <wp:extent cx="2512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Michael A. Pangia</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2015</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1360" w:type="dxa"/>
            <w:vAlign w:val="bottom"/>
          </w:tcPr>
          <w:p>
            <w:pPr>
              <w:ind w:left="1100"/>
              <w:spacing w:after="0"/>
              <w:rPr>
                <w:sz w:val="20"/>
                <w:szCs w:val="20"/>
                <w:color w:val="auto"/>
              </w:rPr>
            </w:pPr>
            <w:r>
              <w:rPr>
                <w:rFonts w:ascii="Arial" w:cs="Arial" w:eastAsia="Arial" w:hAnsi="Arial"/>
                <w:sz w:val="18"/>
                <w:szCs w:val="18"/>
                <w:color w:val="auto"/>
              </w:rPr>
              <w:t>/s/</w:t>
            </w:r>
          </w:p>
        </w:tc>
        <w:tc>
          <w:tcPr>
            <w:tcW w:w="254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Michael A. Pangia</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President and Chief Executive Officer</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41"/>
        </w:trPr>
        <w:tc>
          <w:tcPr>
            <w:tcW w:w="1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8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900" w:type="dxa"/>
            <w:vAlign w:val="bottom"/>
            <w:gridSpan w:val="5"/>
            <w:vMerge w:val="restart"/>
          </w:tcPr>
          <w:p>
            <w:pPr>
              <w:jc w:val="center"/>
              <w:spacing w:after="0"/>
              <w:rPr>
                <w:sz w:val="20"/>
                <w:szCs w:val="20"/>
                <w:color w:val="auto"/>
              </w:rPr>
            </w:pPr>
            <w:r>
              <w:rPr>
                <w:rFonts w:ascii="Arial" w:cs="Arial" w:eastAsia="Arial" w:hAnsi="Arial"/>
                <w:sz w:val="18"/>
                <w:szCs w:val="18"/>
                <w:color w:val="auto"/>
                <w:w w:val="92"/>
              </w:rPr>
              <w:t>Michael A. Pangia</w:t>
            </w:r>
          </w:p>
        </w:tc>
        <w:tc>
          <w:tcPr>
            <w:tcW w:w="482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900" w:type="dxa"/>
            <w:vAlign w:val="bottom"/>
            <w:gridSpan w:val="5"/>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1360" w:type="dxa"/>
            <w:vAlign w:val="bottom"/>
            <w:vMerge w:val="restart"/>
          </w:tcPr>
          <w:p>
            <w:pPr>
              <w:ind w:left="1120"/>
              <w:spacing w:after="0"/>
              <w:rPr>
                <w:sz w:val="20"/>
                <w:szCs w:val="20"/>
                <w:color w:val="auto"/>
              </w:rPr>
            </w:pPr>
            <w:r>
              <w:rPr>
                <w:rFonts w:ascii="Arial" w:cs="Arial" w:eastAsia="Arial" w:hAnsi="Arial"/>
                <w:sz w:val="18"/>
                <w:szCs w:val="18"/>
                <w:color w:val="auto"/>
              </w:rPr>
              <w:t>/s/</w:t>
            </w:r>
          </w:p>
        </w:tc>
        <w:tc>
          <w:tcPr>
            <w:tcW w:w="2540" w:type="dxa"/>
            <w:vAlign w:val="bottom"/>
            <w:gridSpan w:val="4"/>
            <w:vMerge w:val="restart"/>
          </w:tcPr>
          <w:p>
            <w:pPr>
              <w:jc w:val="center"/>
              <w:ind w:right="1000"/>
              <w:spacing w:after="0"/>
              <w:rPr>
                <w:sz w:val="20"/>
                <w:szCs w:val="20"/>
                <w:color w:val="auto"/>
              </w:rPr>
            </w:pPr>
            <w:r>
              <w:rPr>
                <w:rFonts w:ascii="Arial" w:cs="Arial" w:eastAsia="Arial" w:hAnsi="Arial"/>
                <w:sz w:val="18"/>
                <w:szCs w:val="18"/>
                <w:color w:val="auto"/>
                <w:w w:val="92"/>
              </w:rPr>
              <w:t>Ralph S. Marimon</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Senior Vice President and</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2540" w:type="dxa"/>
            <w:vAlign w:val="bottom"/>
            <w:gridSpan w:val="4"/>
            <w:vMerge w:val="continue"/>
          </w:tcPr>
          <w:p>
            <w:pPr>
              <w:spacing w:after="0"/>
              <w:rPr>
                <w:sz w:val="7"/>
                <w:szCs w:val="7"/>
                <w:color w:val="auto"/>
              </w:rPr>
            </w:pPr>
          </w:p>
        </w:tc>
        <w:tc>
          <w:tcPr>
            <w:tcW w:w="48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3"/>
              </w:rPr>
              <w:t>Chief Financial Officer</w:t>
            </w: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20" w:type="dxa"/>
            <w:vAlign w:val="bottom"/>
            <w:gridSpan w:val="3"/>
            <w:vMerge w:val="continue"/>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3900" w:type="dxa"/>
            <w:vAlign w:val="bottom"/>
            <w:gridSpan w:val="5"/>
            <w:vMerge w:val="restart"/>
          </w:tcPr>
          <w:p>
            <w:pPr>
              <w:jc w:val="center"/>
              <w:spacing w:after="0"/>
              <w:rPr>
                <w:sz w:val="20"/>
                <w:szCs w:val="20"/>
                <w:color w:val="auto"/>
              </w:rPr>
            </w:pPr>
            <w:r>
              <w:rPr>
                <w:rFonts w:ascii="Arial" w:cs="Arial" w:eastAsia="Arial" w:hAnsi="Arial"/>
                <w:sz w:val="18"/>
                <w:szCs w:val="18"/>
                <w:color w:val="auto"/>
                <w:w w:val="92"/>
              </w:rPr>
              <w:t>Ralph S. Marimon</w:t>
            </w:r>
          </w:p>
        </w:tc>
        <w:tc>
          <w:tcPr>
            <w:tcW w:w="4820" w:type="dxa"/>
            <w:vAlign w:val="bottom"/>
            <w:gridSpan w:val="3"/>
            <w:vMerge w:val="continue"/>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900" w:type="dxa"/>
            <w:vAlign w:val="bottom"/>
            <w:gridSpan w:val="5"/>
            <w:vMerge w:val="continue"/>
          </w:tcPr>
          <w:p>
            <w:pPr>
              <w:spacing w:after="0"/>
              <w:rPr>
                <w:sz w:val="12"/>
                <w:szCs w:val="12"/>
                <w:color w:val="auto"/>
              </w:rPr>
            </w:pPr>
          </w:p>
        </w:tc>
        <w:tc>
          <w:tcPr>
            <w:tcW w:w="48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5"/>
              </w:rPr>
              <w:t>(Principal Financial Officer)</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820" w:type="dxa"/>
            <w:vAlign w:val="bottom"/>
            <w:gridSpan w:val="3"/>
            <w:vMerge w:val="continue"/>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1360" w:type="dxa"/>
            <w:vAlign w:val="bottom"/>
            <w:vMerge w:val="restart"/>
          </w:tcPr>
          <w:p>
            <w:pPr>
              <w:ind w:left="1180"/>
              <w:spacing w:after="0"/>
              <w:rPr>
                <w:sz w:val="20"/>
                <w:szCs w:val="20"/>
                <w:color w:val="auto"/>
              </w:rPr>
            </w:pPr>
            <w:r>
              <w:rPr>
                <w:rFonts w:ascii="Arial" w:cs="Arial" w:eastAsia="Arial" w:hAnsi="Arial"/>
                <w:sz w:val="18"/>
                <w:szCs w:val="18"/>
                <w:color w:val="auto"/>
                <w:w w:val="83"/>
              </w:rPr>
              <w:t>/s/</w:t>
            </w:r>
          </w:p>
        </w:tc>
        <w:tc>
          <w:tcPr>
            <w:tcW w:w="160" w:type="dxa"/>
            <w:vAlign w:val="bottom"/>
          </w:tcPr>
          <w:p>
            <w:pPr>
              <w:spacing w:after="0"/>
              <w:rPr>
                <w:sz w:val="24"/>
                <w:szCs w:val="24"/>
                <w:color w:val="auto"/>
              </w:rPr>
            </w:pPr>
          </w:p>
        </w:tc>
        <w:tc>
          <w:tcPr>
            <w:tcW w:w="2380" w:type="dxa"/>
            <w:vAlign w:val="bottom"/>
            <w:gridSpan w:val="3"/>
            <w:vMerge w:val="restart"/>
          </w:tcPr>
          <w:p>
            <w:pPr>
              <w:jc w:val="center"/>
              <w:ind w:right="1160"/>
              <w:spacing w:after="0"/>
              <w:rPr>
                <w:sz w:val="20"/>
                <w:szCs w:val="20"/>
                <w:color w:val="auto"/>
              </w:rPr>
            </w:pPr>
            <w:r>
              <w:rPr>
                <w:rFonts w:ascii="Arial" w:cs="Arial" w:eastAsia="Arial" w:hAnsi="Arial"/>
                <w:sz w:val="18"/>
                <w:szCs w:val="18"/>
                <w:color w:val="auto"/>
                <w:w w:val="89"/>
              </w:rPr>
              <w:t>John J. Madigan</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Vice President, Corporate Controller and</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48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4"/>
              </w:rPr>
              <w:t>Principal Accounting Officer</w:t>
            </w: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20" w:type="dxa"/>
            <w:vAlign w:val="bottom"/>
            <w:gridSpan w:val="3"/>
            <w:vMerge w:val="continue"/>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820" w:type="dxa"/>
            <w:vAlign w:val="bottom"/>
            <w:gridSpan w:val="3"/>
            <w:vMerge w:val="continue"/>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540" w:type="dxa"/>
            <w:vAlign w:val="bottom"/>
            <w:gridSpan w:val="4"/>
          </w:tcPr>
          <w:p>
            <w:pPr>
              <w:jc w:val="center"/>
              <w:ind w:right="1360"/>
              <w:spacing w:after="0"/>
              <w:rPr>
                <w:sz w:val="20"/>
                <w:szCs w:val="20"/>
                <w:color w:val="auto"/>
              </w:rPr>
            </w:pPr>
            <w:r>
              <w:rPr>
                <w:rFonts w:ascii="Arial" w:cs="Arial" w:eastAsia="Arial" w:hAnsi="Arial"/>
                <w:sz w:val="18"/>
                <w:szCs w:val="18"/>
                <w:color w:val="auto"/>
                <w:w w:val="89"/>
              </w:rPr>
              <w:t>John J. Madigan</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(Principal Accounting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360"/>
              <w:spacing w:after="0"/>
              <w:rPr>
                <w:sz w:val="20"/>
                <w:szCs w:val="20"/>
                <w:color w:val="auto"/>
              </w:rPr>
            </w:pPr>
            <w:r>
              <w:rPr>
                <w:rFonts w:ascii="Arial" w:cs="Arial" w:eastAsia="Arial" w:hAnsi="Arial"/>
                <w:sz w:val="18"/>
                <w:szCs w:val="18"/>
                <w:color w:val="auto"/>
                <w:w w:val="73"/>
              </w:rPr>
              <w:t>/s/</w:t>
            </w:r>
          </w:p>
        </w:tc>
        <w:tc>
          <w:tcPr>
            <w:tcW w:w="140" w:type="dxa"/>
            <w:vAlign w:val="bottom"/>
          </w:tcPr>
          <w:p>
            <w:pPr>
              <w:spacing w:after="0"/>
              <w:rPr>
                <w:sz w:val="24"/>
                <w:szCs w:val="2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8"/>
                <w:szCs w:val="18"/>
                <w:color w:val="auto"/>
                <w:w w:val="92"/>
              </w:rPr>
              <w:t>John Mutch</w:t>
            </w:r>
          </w:p>
        </w:tc>
        <w:tc>
          <w:tcPr>
            <w:tcW w:w="482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Chairman of the Board</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3"/>
          </w:tcPr>
          <w:p>
            <w:pPr>
              <w:jc w:val="center"/>
              <w:ind w:right="1520"/>
              <w:spacing w:after="0"/>
              <w:rPr>
                <w:sz w:val="20"/>
                <w:szCs w:val="20"/>
                <w:color w:val="auto"/>
              </w:rPr>
            </w:pPr>
            <w:r>
              <w:rPr>
                <w:rFonts w:ascii="Arial" w:cs="Arial" w:eastAsia="Arial" w:hAnsi="Arial"/>
                <w:sz w:val="18"/>
                <w:szCs w:val="18"/>
                <w:color w:val="auto"/>
                <w:w w:val="92"/>
              </w:rPr>
              <w:t>John Mutch</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60" w:type="dxa"/>
            <w:vAlign w:val="bottom"/>
          </w:tcPr>
          <w:p>
            <w:pPr>
              <w:ind w:left="1120"/>
              <w:spacing w:after="0"/>
              <w:rPr>
                <w:sz w:val="20"/>
                <w:szCs w:val="20"/>
                <w:color w:val="auto"/>
              </w:rPr>
            </w:pPr>
            <w:r>
              <w:rPr>
                <w:rFonts w:ascii="Arial" w:cs="Arial" w:eastAsia="Arial" w:hAnsi="Arial"/>
                <w:sz w:val="18"/>
                <w:szCs w:val="18"/>
                <w:color w:val="auto"/>
              </w:rPr>
              <w:t>/s/</w:t>
            </w:r>
          </w:p>
        </w:tc>
        <w:tc>
          <w:tcPr>
            <w:tcW w:w="2540" w:type="dxa"/>
            <w:vAlign w:val="bottom"/>
            <w:gridSpan w:val="4"/>
          </w:tcPr>
          <w:p>
            <w:pPr>
              <w:jc w:val="center"/>
              <w:ind w:right="1020"/>
              <w:spacing w:after="0"/>
              <w:rPr>
                <w:sz w:val="20"/>
                <w:szCs w:val="20"/>
                <w:color w:val="auto"/>
              </w:rPr>
            </w:pPr>
            <w:r>
              <w:rPr>
                <w:rFonts w:ascii="Arial" w:cs="Arial" w:eastAsia="Arial" w:hAnsi="Arial"/>
                <w:sz w:val="18"/>
                <w:szCs w:val="18"/>
                <w:color w:val="auto"/>
                <w:w w:val="96"/>
              </w:rPr>
              <w:t>William A. Hasler</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7"/>
        </w:trPr>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5"/>
          </w:tcPr>
          <w:p>
            <w:pPr>
              <w:jc w:val="center"/>
              <w:spacing w:after="0"/>
              <w:rPr>
                <w:sz w:val="20"/>
                <w:szCs w:val="20"/>
                <w:color w:val="auto"/>
              </w:rPr>
            </w:pPr>
            <w:r>
              <w:rPr>
                <w:rFonts w:ascii="Arial" w:cs="Arial" w:eastAsia="Arial" w:hAnsi="Arial"/>
                <w:sz w:val="18"/>
                <w:szCs w:val="18"/>
                <w:color w:val="auto"/>
                <w:w w:val="96"/>
              </w:rPr>
              <w:t>William A. Hasler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60" w:type="dxa"/>
            <w:vAlign w:val="bottom"/>
          </w:tcPr>
          <w:p>
            <w:pPr>
              <w:ind w:left="1100"/>
              <w:spacing w:after="0"/>
              <w:rPr>
                <w:sz w:val="20"/>
                <w:szCs w:val="20"/>
                <w:color w:val="auto"/>
              </w:rPr>
            </w:pPr>
            <w:r>
              <w:rPr>
                <w:rFonts w:ascii="Arial" w:cs="Arial" w:eastAsia="Arial" w:hAnsi="Arial"/>
                <w:sz w:val="18"/>
                <w:szCs w:val="18"/>
                <w:color w:val="auto"/>
              </w:rPr>
              <w:t>/s/</w:t>
            </w:r>
          </w:p>
        </w:tc>
        <w:tc>
          <w:tcPr>
            <w:tcW w:w="2540" w:type="dxa"/>
            <w:vAlign w:val="bottom"/>
            <w:gridSpan w:val="4"/>
          </w:tcPr>
          <w:p>
            <w:pPr>
              <w:jc w:val="center"/>
              <w:ind w:right="1000"/>
              <w:spacing w:after="0"/>
              <w:rPr>
                <w:sz w:val="20"/>
                <w:szCs w:val="20"/>
                <w:color w:val="auto"/>
              </w:rPr>
            </w:pPr>
            <w:r>
              <w:rPr>
                <w:rFonts w:ascii="Arial" w:cs="Arial" w:eastAsia="Arial" w:hAnsi="Arial"/>
                <w:sz w:val="18"/>
                <w:szCs w:val="18"/>
                <w:color w:val="auto"/>
                <w:w w:val="91"/>
              </w:rPr>
              <w:t>Charles D. Kissner</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7"/>
        </w:trPr>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5"/>
          </w:tcPr>
          <w:p>
            <w:pPr>
              <w:jc w:val="center"/>
              <w:spacing w:after="0"/>
              <w:rPr>
                <w:sz w:val="20"/>
                <w:szCs w:val="20"/>
                <w:color w:val="auto"/>
              </w:rPr>
            </w:pPr>
            <w:r>
              <w:rPr>
                <w:rFonts w:ascii="Arial" w:cs="Arial" w:eastAsia="Arial" w:hAnsi="Arial"/>
                <w:sz w:val="18"/>
                <w:szCs w:val="18"/>
                <w:color w:val="auto"/>
                <w:w w:val="90"/>
              </w:rPr>
              <w:t>Charles D. Kissner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60" w:type="dxa"/>
            <w:vAlign w:val="bottom"/>
          </w:tcPr>
          <w:p>
            <w:pPr>
              <w:ind w:left="1040"/>
              <w:spacing w:after="0"/>
              <w:rPr>
                <w:sz w:val="20"/>
                <w:szCs w:val="20"/>
                <w:color w:val="auto"/>
              </w:rPr>
            </w:pPr>
            <w:r>
              <w:rPr>
                <w:rFonts w:ascii="Arial" w:cs="Arial" w:eastAsia="Arial" w:hAnsi="Arial"/>
                <w:sz w:val="18"/>
                <w:szCs w:val="18"/>
                <w:color w:val="auto"/>
              </w:rPr>
              <w:t>/s/</w:t>
            </w:r>
          </w:p>
        </w:tc>
        <w:tc>
          <w:tcPr>
            <w:tcW w:w="2540" w:type="dxa"/>
            <w:vAlign w:val="bottom"/>
            <w:gridSpan w:val="4"/>
          </w:tcPr>
          <w:p>
            <w:pPr>
              <w:jc w:val="center"/>
              <w:ind w:right="1000"/>
              <w:spacing w:after="0"/>
              <w:rPr>
                <w:sz w:val="20"/>
                <w:szCs w:val="20"/>
                <w:color w:val="auto"/>
              </w:rPr>
            </w:pPr>
            <w:r>
              <w:rPr>
                <w:rFonts w:ascii="Arial" w:cs="Arial" w:eastAsia="Arial" w:hAnsi="Arial"/>
                <w:sz w:val="18"/>
                <w:szCs w:val="18"/>
                <w:color w:val="auto"/>
                <w:w w:val="86"/>
              </w:rPr>
              <w:t>James R. Henderson</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7"/>
        </w:trPr>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5"/>
          </w:tcPr>
          <w:p>
            <w:pPr>
              <w:jc w:val="center"/>
              <w:spacing w:after="0"/>
              <w:rPr>
                <w:sz w:val="20"/>
                <w:szCs w:val="20"/>
                <w:color w:val="auto"/>
              </w:rPr>
            </w:pPr>
            <w:r>
              <w:rPr>
                <w:rFonts w:ascii="Arial" w:cs="Arial" w:eastAsia="Arial" w:hAnsi="Arial"/>
                <w:sz w:val="18"/>
                <w:szCs w:val="18"/>
                <w:color w:val="auto"/>
                <w:w w:val="87"/>
              </w:rPr>
              <w:t>James R. Henderson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60" w:type="dxa"/>
            <w:vAlign w:val="bottom"/>
          </w:tcPr>
          <w:p>
            <w:pPr>
              <w:ind w:left="1160"/>
              <w:spacing w:after="0"/>
              <w:rPr>
                <w:sz w:val="20"/>
                <w:szCs w:val="20"/>
                <w:color w:val="auto"/>
              </w:rPr>
            </w:pPr>
            <w:r>
              <w:rPr>
                <w:rFonts w:ascii="Arial" w:cs="Arial" w:eastAsia="Arial" w:hAnsi="Arial"/>
                <w:sz w:val="18"/>
                <w:szCs w:val="18"/>
                <w:color w:val="auto"/>
                <w:w w:val="94"/>
              </w:rPr>
              <w:t>/s/</w:t>
            </w:r>
          </w:p>
        </w:tc>
        <w:tc>
          <w:tcPr>
            <w:tcW w:w="2540" w:type="dxa"/>
            <w:vAlign w:val="bottom"/>
            <w:gridSpan w:val="4"/>
          </w:tcPr>
          <w:p>
            <w:pPr>
              <w:jc w:val="center"/>
              <w:ind w:right="1000"/>
              <w:spacing w:after="0"/>
              <w:rPr>
                <w:sz w:val="20"/>
                <w:szCs w:val="20"/>
                <w:color w:val="auto"/>
              </w:rPr>
            </w:pPr>
            <w:r>
              <w:rPr>
                <w:rFonts w:ascii="Arial" w:cs="Arial" w:eastAsia="Arial" w:hAnsi="Arial"/>
                <w:sz w:val="18"/>
                <w:szCs w:val="18"/>
                <w:color w:val="auto"/>
                <w:w w:val="87"/>
              </w:rPr>
              <w:t>Robert G. Pearse</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7"/>
        </w:trPr>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5"/>
          </w:tcPr>
          <w:p>
            <w:pPr>
              <w:jc w:val="center"/>
              <w:spacing w:after="0"/>
              <w:rPr>
                <w:sz w:val="20"/>
                <w:szCs w:val="20"/>
                <w:color w:val="auto"/>
              </w:rPr>
            </w:pPr>
            <w:r>
              <w:rPr>
                <w:rFonts w:ascii="Arial" w:cs="Arial" w:eastAsia="Arial" w:hAnsi="Arial"/>
                <w:sz w:val="18"/>
                <w:szCs w:val="18"/>
                <w:color w:val="auto"/>
                <w:w w:val="87"/>
              </w:rPr>
              <w:t>Robert G. Pearse</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320"/>
              <w:spacing w:after="0"/>
              <w:rPr>
                <w:sz w:val="20"/>
                <w:szCs w:val="20"/>
                <w:color w:val="auto"/>
              </w:rPr>
            </w:pPr>
            <w:r>
              <w:rPr>
                <w:rFonts w:ascii="Arial" w:cs="Arial" w:eastAsia="Arial" w:hAnsi="Arial"/>
                <w:sz w:val="18"/>
                <w:szCs w:val="18"/>
                <w:color w:val="auto"/>
                <w:w w:val="94"/>
              </w:rPr>
              <w:t>/s/</w:t>
            </w:r>
          </w:p>
        </w:tc>
        <w:tc>
          <w:tcPr>
            <w:tcW w:w="140" w:type="dxa"/>
            <w:vAlign w:val="bottom"/>
          </w:tcPr>
          <w:p>
            <w:pPr>
              <w:spacing w:after="0"/>
              <w:rPr>
                <w:sz w:val="24"/>
                <w:szCs w:val="2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John Quicke</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2540" w:type="dxa"/>
            <w:vAlign w:val="bottom"/>
            <w:gridSpan w:val="4"/>
          </w:tcPr>
          <w:p>
            <w:pPr>
              <w:jc w:val="center"/>
              <w:ind w:right="1360"/>
              <w:spacing w:after="0"/>
              <w:rPr>
                <w:sz w:val="20"/>
                <w:szCs w:val="20"/>
                <w:color w:val="auto"/>
              </w:rPr>
            </w:pPr>
            <w:r>
              <w:rPr>
                <w:rFonts w:ascii="Arial" w:cs="Arial" w:eastAsia="Arial" w:hAnsi="Arial"/>
                <w:sz w:val="18"/>
                <w:szCs w:val="18"/>
                <w:color w:val="auto"/>
                <w:w w:val="89"/>
              </w:rPr>
              <w:t>John Quicke</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60" w:type="dxa"/>
            <w:vAlign w:val="bottom"/>
          </w:tcPr>
          <w:p>
            <w:pPr>
              <w:ind w:left="1180"/>
              <w:spacing w:after="0"/>
              <w:rPr>
                <w:sz w:val="20"/>
                <w:szCs w:val="20"/>
                <w:color w:val="auto"/>
              </w:rPr>
            </w:pPr>
            <w:r>
              <w:rPr>
                <w:rFonts w:ascii="Arial" w:cs="Arial" w:eastAsia="Arial" w:hAnsi="Arial"/>
                <w:sz w:val="18"/>
                <w:szCs w:val="18"/>
                <w:color w:val="auto"/>
                <w:w w:val="83"/>
              </w:rPr>
              <w:t>/s/</w:t>
            </w:r>
          </w:p>
        </w:tc>
        <w:tc>
          <w:tcPr>
            <w:tcW w:w="160" w:type="dxa"/>
            <w:vAlign w:val="bottom"/>
          </w:tcPr>
          <w:p>
            <w:pPr>
              <w:spacing w:after="0"/>
              <w:rPr>
                <w:sz w:val="24"/>
                <w:szCs w:val="24"/>
                <w:color w:val="auto"/>
              </w:rPr>
            </w:pPr>
          </w:p>
        </w:tc>
        <w:tc>
          <w:tcPr>
            <w:tcW w:w="2380" w:type="dxa"/>
            <w:vAlign w:val="bottom"/>
            <w:gridSpan w:val="3"/>
          </w:tcPr>
          <w:p>
            <w:pPr>
              <w:jc w:val="center"/>
              <w:ind w:right="1160"/>
              <w:spacing w:after="0"/>
              <w:rPr>
                <w:sz w:val="20"/>
                <w:szCs w:val="20"/>
                <w:color w:val="auto"/>
              </w:rPr>
            </w:pPr>
            <w:r>
              <w:rPr>
                <w:rFonts w:ascii="Arial" w:cs="Arial" w:eastAsia="Arial" w:hAnsi="Arial"/>
                <w:sz w:val="18"/>
                <w:szCs w:val="18"/>
                <w:color w:val="auto"/>
                <w:w w:val="89"/>
              </w:rPr>
              <w:t>James C. Stoffel</w:t>
            </w:r>
          </w:p>
        </w:tc>
        <w:tc>
          <w:tcPr>
            <w:tcW w:w="482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2540" w:type="dxa"/>
            <w:vAlign w:val="bottom"/>
            <w:gridSpan w:val="4"/>
          </w:tcPr>
          <w:p>
            <w:pPr>
              <w:jc w:val="center"/>
              <w:ind w:right="1360"/>
              <w:spacing w:after="0"/>
              <w:rPr>
                <w:sz w:val="20"/>
                <w:szCs w:val="20"/>
                <w:color w:val="auto"/>
              </w:rPr>
            </w:pPr>
            <w:r>
              <w:rPr>
                <w:rFonts w:ascii="Arial" w:cs="Arial" w:eastAsia="Arial" w:hAnsi="Arial"/>
                <w:sz w:val="18"/>
                <w:szCs w:val="18"/>
                <w:color w:val="auto"/>
                <w:w w:val="89"/>
              </w:rPr>
              <w:t>James C. Stoffel</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240" w:top="125" w:right="719" w:bottom="1440" w:gutter="0" w:footer="0" w:header="0"/>
        </w:sectPr>
      </w:pP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940"/>
          </w:cols>
          <w:pgMar w:left="240" w:top="125" w:right="71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 2015, June 27, 2014 and June 28,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4"/>
              </w:rPr>
              <w:t>Balance at</w:t>
            </w:r>
          </w:p>
        </w:tc>
        <w:tc>
          <w:tcPr>
            <w:tcW w:w="380" w:type="dxa"/>
            <w:vAlign w:val="bottom"/>
          </w:tcPr>
          <w:p>
            <w:pPr>
              <w:spacing w:after="0"/>
              <w:rPr>
                <w:sz w:val="14"/>
                <w:szCs w:val="14"/>
                <w:color w:val="auto"/>
              </w:rPr>
            </w:pPr>
          </w:p>
        </w:tc>
        <w:tc>
          <w:tcPr>
            <w:tcW w:w="1200" w:type="dxa"/>
            <w:vAlign w:val="bottom"/>
          </w:tcPr>
          <w:p>
            <w:pPr>
              <w:jc w:val="center"/>
              <w:ind w:right="201"/>
              <w:spacing w:after="0"/>
              <w:rPr>
                <w:sz w:val="20"/>
                <w:szCs w:val="20"/>
                <w:color w:val="auto"/>
              </w:rPr>
            </w:pPr>
            <w:r>
              <w:rPr>
                <w:rFonts w:ascii="Arial" w:cs="Arial" w:eastAsia="Arial" w:hAnsi="Arial"/>
                <w:sz w:val="14"/>
                <w:szCs w:val="14"/>
                <w:b w:val="1"/>
                <w:bCs w:val="1"/>
                <w:color w:val="auto"/>
                <w:w w:val="92"/>
              </w:rPr>
              <w:t>Additions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Beginning of</w:t>
            </w:r>
          </w:p>
        </w:tc>
        <w:tc>
          <w:tcPr>
            <w:tcW w:w="3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88"/>
              </w:rPr>
              <w:t>Costs and</w:t>
            </w:r>
          </w:p>
        </w:tc>
        <w:tc>
          <w:tcPr>
            <w:tcW w:w="320" w:type="dxa"/>
            <w:vAlign w:val="bottom"/>
          </w:tcPr>
          <w:p>
            <w:pPr>
              <w:spacing w:after="0"/>
              <w:rPr>
                <w:sz w:val="12"/>
                <w:szCs w:val="12"/>
                <w:color w:val="auto"/>
              </w:rPr>
            </w:pPr>
          </w:p>
        </w:tc>
        <w:tc>
          <w:tcPr>
            <w:tcW w:w="9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Deductions</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Period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5"/>
              </w:rPr>
              <w:t>Expenses</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gridSpan w:val="3"/>
          </w:tcPr>
          <w:p>
            <w:pPr>
              <w:jc w:val="right"/>
              <w:ind w:right="674"/>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Allowances for collection losses: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Year ended July 3, 2015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7.4</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81"/>
              <w:spacing w:after="0"/>
              <w:rPr>
                <w:sz w:val="20"/>
                <w:szCs w:val="20"/>
                <w:color w:val="auto"/>
              </w:rPr>
            </w:pPr>
            <w:r>
              <w:rPr>
                <w:rFonts w:ascii="Arial" w:cs="Arial" w:eastAsia="Arial" w:hAnsi="Arial"/>
                <w:sz w:val="18"/>
                <w:szCs w:val="18"/>
                <w:color w:val="auto"/>
              </w:rPr>
              <w:t>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ind w:left="80"/>
              <w:spacing w:after="0"/>
              <w:rPr>
                <w:sz w:val="20"/>
                <w:szCs w:val="20"/>
                <w:color w:val="auto"/>
              </w:rPr>
            </w:pPr>
            <w:r>
              <w:rPr>
                <w:rFonts w:ascii="Arial" w:cs="Arial" w:eastAsia="Arial" w:hAnsi="Arial"/>
                <w:sz w:val="13"/>
                <w:szCs w:val="13"/>
                <w:color w:val="auto"/>
              </w:rPr>
              <w:t>(A)</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27,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10.2</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Year ended June 28, 2013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16.2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81"/>
              <w:spacing w:after="0"/>
              <w:rPr>
                <w:sz w:val="20"/>
                <w:szCs w:val="20"/>
                <w:color w:val="auto"/>
              </w:rPr>
            </w:pPr>
            <w:r>
              <w:rPr>
                <w:rFonts w:ascii="Arial" w:cs="Arial" w:eastAsia="Arial" w:hAnsi="Arial"/>
                <w:sz w:val="18"/>
                <w:szCs w:val="18"/>
                <w:color w:val="auto"/>
              </w:rPr>
              <w:t>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ind w:left="80"/>
              <w:spacing w:after="0"/>
              <w:rPr>
                <w:sz w:val="20"/>
                <w:szCs w:val="20"/>
                <w:color w:val="auto"/>
              </w:rPr>
            </w:pPr>
            <w:r>
              <w:rPr>
                <w:rFonts w:ascii="Arial" w:cs="Arial" w:eastAsia="Arial" w:hAnsi="Arial"/>
                <w:sz w:val="13"/>
                <w:szCs w:val="13"/>
                <w:color w:val="auto"/>
              </w:rPr>
              <w:t>(C)</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60" w:right="140" w:hanging="917"/>
        <w:spacing w:after="0" w:line="277" w:lineRule="auto"/>
        <w:tabs>
          <w:tab w:leader="none" w:pos="940" w:val="left"/>
        </w:tabs>
        <w:rPr>
          <w:sz w:val="20"/>
          <w:szCs w:val="20"/>
          <w:color w:val="auto"/>
        </w:rPr>
      </w:pPr>
      <w:r>
        <w:rPr>
          <w:rFonts w:ascii="Arial" w:cs="Arial" w:eastAsia="Arial" w:hAnsi="Arial"/>
          <w:sz w:val="18"/>
          <w:szCs w:val="18"/>
          <w:color w:val="auto"/>
        </w:rPr>
        <w:t>Note A</w:t>
      </w:r>
      <w:r>
        <w:rPr>
          <w:sz w:val="20"/>
          <w:szCs w:val="20"/>
          <w:color w:val="auto"/>
        </w:rPr>
        <w:tab/>
      </w:r>
      <w:r>
        <w:rPr>
          <w:rFonts w:ascii="Arial" w:cs="Arial" w:eastAsia="Arial" w:hAnsi="Arial"/>
          <w:sz w:val="18"/>
          <w:szCs w:val="18"/>
          <w:color w:val="auto"/>
        </w:rPr>
        <w:t>Consisted of changes to allowance for collection losses of $0.2 million for foreign currency translation losses and $1.8 million for uncollectible accounts charged off, net of recoveries on accounts previously charged off.</w:t>
      </w:r>
    </w:p>
    <w:p>
      <w:pPr>
        <w:spacing w:after="0" w:line="130" w:lineRule="exact"/>
        <w:rPr>
          <w:sz w:val="20"/>
          <w:szCs w:val="20"/>
          <w:color w:val="auto"/>
        </w:rPr>
      </w:pPr>
    </w:p>
    <w:p>
      <w:pPr>
        <w:ind w:left="960" w:right="420" w:hanging="917"/>
        <w:spacing w:after="0" w:line="277" w:lineRule="auto"/>
        <w:tabs>
          <w:tab w:leader="none" w:pos="940" w:val="left"/>
        </w:tabs>
        <w:rPr>
          <w:sz w:val="20"/>
          <w:szCs w:val="20"/>
          <w:color w:val="auto"/>
        </w:rPr>
      </w:pPr>
      <w:r>
        <w:rPr>
          <w:rFonts w:ascii="Arial" w:cs="Arial" w:eastAsia="Arial" w:hAnsi="Arial"/>
          <w:sz w:val="18"/>
          <w:szCs w:val="18"/>
          <w:color w:val="auto"/>
        </w:rPr>
        <w:t>Note B</w:t>
      </w:r>
      <w:r>
        <w:rPr>
          <w:sz w:val="20"/>
          <w:szCs w:val="20"/>
          <w:color w:val="auto"/>
        </w:rPr>
        <w:tab/>
      </w:r>
      <w:r>
        <w:rPr>
          <w:rFonts w:ascii="Arial" w:cs="Arial" w:eastAsia="Arial" w:hAnsi="Arial"/>
          <w:sz w:val="18"/>
          <w:szCs w:val="18"/>
          <w:color w:val="auto"/>
        </w:rPr>
        <w:t>Consisted of changes to allowance for collection losses of $4.3 million for uncollectible accounts charged off, net of recoveries on accounts previously charged off.</w:t>
      </w:r>
    </w:p>
    <w:p>
      <w:pPr>
        <w:spacing w:after="0" w:line="130" w:lineRule="exact"/>
        <w:rPr>
          <w:sz w:val="20"/>
          <w:szCs w:val="20"/>
          <w:color w:val="auto"/>
        </w:rPr>
      </w:pPr>
    </w:p>
    <w:p>
      <w:pPr>
        <w:ind w:left="960" w:right="140" w:hanging="917"/>
        <w:spacing w:after="0" w:line="277" w:lineRule="auto"/>
        <w:tabs>
          <w:tab w:leader="none" w:pos="940" w:val="left"/>
        </w:tabs>
        <w:rPr>
          <w:sz w:val="20"/>
          <w:szCs w:val="20"/>
          <w:color w:val="auto"/>
        </w:rPr>
      </w:pPr>
      <w:r>
        <w:rPr>
          <w:rFonts w:ascii="Arial" w:cs="Arial" w:eastAsia="Arial" w:hAnsi="Arial"/>
          <w:sz w:val="18"/>
          <w:szCs w:val="18"/>
          <w:color w:val="auto"/>
        </w:rPr>
        <w:t>Note C</w:t>
      </w:r>
      <w:r>
        <w:rPr>
          <w:sz w:val="20"/>
          <w:szCs w:val="20"/>
          <w:color w:val="auto"/>
        </w:rPr>
        <w:tab/>
      </w:r>
      <w:r>
        <w:rPr>
          <w:rFonts w:ascii="Arial" w:cs="Arial" w:eastAsia="Arial" w:hAnsi="Arial"/>
          <w:sz w:val="18"/>
          <w:szCs w:val="18"/>
          <w:color w:val="auto"/>
        </w:rPr>
        <w:t>Consisted of changes to allowance for collection losses of $0.1 million for foreign currency translation losses and $8.9 million for uncollectible accounts charged off, net of recoveries on accounts previously charged off.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300" w:type="dxa"/>
            <w:vAlign w:val="bottom"/>
          </w:tcPr>
          <w:p>
            <w:pPr>
              <w:spacing w:after="0"/>
              <w:rPr>
                <w:sz w:val="24"/>
                <w:szCs w:val="24"/>
                <w:color w:val="auto"/>
              </w:rPr>
            </w:pPr>
          </w:p>
        </w:tc>
        <w:tc>
          <w:tcPr>
            <w:tcW w:w="11000" w:type="dxa"/>
            <w:vAlign w:val="bottom"/>
            <w:gridSpan w:val="4"/>
          </w:tcPr>
          <w:p>
            <w:pPr>
              <w:ind w:left="10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tc>
      </w:tr>
      <w:tr>
        <w:trPr>
          <w:trHeight w:val="297"/>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8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Intentionally omitted</w:t>
            </w:r>
          </w:p>
        </w:tc>
        <w:tc>
          <w:tcPr>
            <w:tcW w:w="7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5"/>
              </w:rPr>
              <w:t>Asset Purchase Agreement by and among Aviat U.S., Inc. and EION Networks, Inc., dated as of September 2, 2011 (incorporated by</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reference to Exhibit 2.1 to the Current Report on Form 8-K filed with the SEC on September 9, 2011, File No. 001-33278)</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6"/>
              </w:rPr>
              <w:t>Amended and Restated Certificate of Incorporation of Harris Stratex Networks, Inc. as filed with the Secretary of State of the State of</w:t>
            </w:r>
          </w:p>
        </w:tc>
      </w:tr>
      <w:tr>
        <w:trPr>
          <w:trHeight w:val="216"/>
        </w:trPr>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7"/>
              </w:rPr>
              <w:t>Delaware on November 19, 2009 (incorporated by reference to Exhibit 3.1 to the Current Report on Form 8-K filed with the SEC on</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November 23, 2009, File No. 001-33278)</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1"/>
              </w:rPr>
              <w:t>Amended and Restated Bylaws of Harris Stratex Networks, Inc. (incorporated by reference to Exhibit 3.2 to the Current Report on Form 8-K</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filed with the SEC on November 23, 2009, File No. 001-33278)</w:t>
            </w:r>
          </w:p>
        </w:tc>
      </w:tr>
      <w:tr>
        <w:trPr>
          <w:trHeight w:val="377"/>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3"/>
              </w:rPr>
              <w:t>Certificate of Ownership and Merger Merging Aviat Networks, Inc. into Harris Stratex Networks, Inc., effective January 27, 2010, as filed</w:t>
            </w:r>
          </w:p>
        </w:tc>
      </w:tr>
      <w:tr>
        <w:trPr>
          <w:trHeight w:val="216"/>
        </w:trPr>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1"/>
              </w:rPr>
              <w:t>with the Secretary of State of the State of Delaware on January 27, 2010 (incorporated by reference to Exhibit 3.1 to the Current Report on</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Form 8-K filed with the SEC on January 28, 2010, File No. 001-33278)</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4.1.1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3"/>
              </w:rPr>
              <w:t>Specimen common stock certificate, adopted as of January 29, 2010 (incorporated by reference to Exhibit 4.1.1 to the Annual Report on</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Form 10-K for fiscal year end July 2, 2010 filed with the SEC on September 9, 2010, File No. 001-33278)</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10.3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4"/>
              </w:rPr>
              <w:t>Intellectual Property Agreement between Harris Stratex Networks, Inc. and Harris Corporation dated January 26, 2007 (incorporated by</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reference to Exhibit 10.4 to the Current Report on Form 8-K filed with the SEC on February 1, 2007, File No. 001-33278)</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10.4</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10.5</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10.6</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10.6.1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10.7</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10.8</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10.9</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0"/>
              </w:rPr>
              <w:t>Tax Sharing Agreement between Harris Stratex Networks, Inc. and Harris Corporation dated January 26, 2007 (incorporated by reference to</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Exhibit 10.11 to the Current Report on Form 8-K filed with the SEC on February 1, 2007, File No. 001-33278)</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bl>
    <w:p>
      <w:pPr>
        <w:spacing w:after="0" w:line="200" w:lineRule="exact"/>
        <w:rPr>
          <w:sz w:val="20"/>
          <w:szCs w:val="20"/>
          <w:color w:val="auto"/>
        </w:rPr>
      </w:pPr>
    </w:p>
    <w:p>
      <w:pPr>
        <w:sectPr>
          <w:pgSz w:w="11900" w:h="16838" w:orient="portrait"/>
          <w:cols w:equalWidth="0" w:num="1">
            <w:col w:w="11340"/>
          </w:cols>
          <w:pgMar w:left="240" w:top="125" w:right="319" w:bottom="1440" w:gutter="0" w:footer="0" w:header="0"/>
        </w:sectPr>
      </w:pP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340"/>
          </w:cols>
          <w:pgMar w:left="240" w:top="125" w:right="31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85"/>
        </w:trPr>
        <w:tc>
          <w:tcPr>
            <w:tcW w:w="880" w:type="dxa"/>
            <w:vAlign w:val="bottom"/>
            <w:gridSpan w:val="2"/>
          </w:tcPr>
          <w:p>
            <w:pPr>
              <w:spacing w:after="0"/>
              <w:rPr>
                <w:sz w:val="20"/>
                <w:szCs w:val="20"/>
                <w:color w:val="auto"/>
              </w:rPr>
            </w:pPr>
            <w:r>
              <w:rPr>
                <w:rFonts w:ascii="Arial" w:cs="Arial" w:eastAsia="Arial" w:hAnsi="Arial"/>
                <w:sz w:val="18"/>
                <w:szCs w:val="18"/>
                <w:color w:val="auto"/>
              </w:rPr>
              <w:t>10.13.1*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7"/>
              </w:rPr>
              <w:t>Standard Form of Executive Employment Agreement between Harris Stratex Networks, Inc. and certain executives (incorporated by</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reference to Exhibit 10.16 to the Current Report on Form 8-K filed with the SEC on February 1, 2007,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10.15</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Form of Indemnification Agreement between Harris Stratex Networks, Inc. and its directors and certain officers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Exhibit 10.16 to the Registration Statement on Form S-1 of Stratex Networks, Inc., File No. 33-13431)</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10.16</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3"/>
              </w:rPr>
              <w:t>Harris Stratex Networks, Inc. Annual Incentive Plan (incorporated by reference to Exhibit 10.17 to the Annual Report on Form 10-K for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fiscal year ended June 27, 2008 filed with the SEC on September 25, 2008,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10.18*</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10.18.1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10.18.2</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6"/>
              </w:rPr>
              <w:t>Aviat Networks, Inc. 2007 Stock Equity Plan (as Amended and Restated Effective November 17, 2011)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Appendix A to Schedule 14A filed with the SEC on October 3, 2011,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10.20.2</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10.20.3</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Second Amended and Restated Loan and Security Agreement, dated as of March 28, 2014, by and among Aviat Networks, Inc., Aviat U.S.,</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4"/>
              </w:rPr>
              <w:t>Inc., Aviat Networks (S) Pte. Ltd., and Silicon Valley Bank (incorporated by reference to Exhibit 10.1 to the Current Report on Form 8-K</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filed with the SEC on March 31, 2014,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10.20.4</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4"/>
              </w:rPr>
              <w:t>Amendment #1 to Second Amended and Restated Loan and Security Agreement, dated as of September 25, 2014, by and among Aviat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6"/>
              </w:rPr>
              <w:t>Networks, Inc., Aviat U.S., Inc., Aviat Networks (S) Pte. Ltd. and Silicon Valley Bank (incorporated by reference to Exhibit 10.1 to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Current Report on Form 8-K filed with the SEC on September 29, 2014,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10.20.5</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6"/>
              </w:rPr>
              <w:t>Amendment #2 to Second Amended and Restated Loan and Security Agreement, dated as of October 30,2014, by and among Aviat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6"/>
              </w:rPr>
              <w:t>Networks, Inc., Aviat U.S., Inc., Aviat Networks (S) Pte. Ltd. and Silicon Valley Bank (incorporated by reference to Exhibit 10.1 to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Current Report on Form 8-K filed with the SEC on October 30, 2014,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10.20.6</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5"/>
              </w:rPr>
              <w:t>Amendment #3 to Second Amended and Restated Loan and Security Agreement, dated as of December 2, 2014, by and among Aviat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6"/>
              </w:rPr>
              <w:t>Networks, Inc., Aviat U.S., Inc., Aviat Networks (S) Pte. Ltd., and Silicon Valley Bank (incorporated by reference to Exhibit 10.1 to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Current Report on Form 8-K filed with the SEC on December 5, 2014,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10.20.7</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Amendment #4 to Second Amended and Restated Loan and Security Agreement, dated February 27, 2015, by and among Aviat Networks,</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2"/>
              </w:rPr>
              <w:t>Inc., Aviat U.S., Inc., Aviat Networks (S) Pte. Ltd., and Silicon Valley Bank (incorporated by reference to Exhibit 10.1 to the Current Report</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on Form 8-K filed with the SEC on March 3, 2015,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10.22*</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10.22.1*</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10.23*</w:t>
            </w: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(incorporated by reference to</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3"/>
              </w:rPr>
              <w:t>Exhibit 10.15.2 to the Quarterly Report on Form 10-Q for the fiscal quarter ended March 30, 2007 filed with the SEC on May 8, 2007, File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No. 001-33278)</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80"/>
          </w:cols>
          <w:pgMar w:left="240" w:top="125" w:right="27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0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85"/>
        </w:trPr>
        <w:tc>
          <w:tcPr>
            <w:tcW w:w="900" w:type="dxa"/>
            <w:vAlign w:val="bottom"/>
            <w:gridSpan w:val="2"/>
          </w:tcPr>
          <w:p>
            <w:pPr>
              <w:spacing w:after="0"/>
              <w:rPr>
                <w:sz w:val="20"/>
                <w:szCs w:val="20"/>
                <w:color w:val="auto"/>
              </w:rPr>
            </w:pPr>
            <w:r>
              <w:rPr>
                <w:rFonts w:ascii="Arial" w:cs="Arial" w:eastAsia="Arial" w:hAnsi="Arial"/>
                <w:sz w:val="18"/>
                <w:szCs w:val="18"/>
                <w:color w:val="auto"/>
              </w:rPr>
              <w:t>10.24*</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Intentionally omitted</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10.24.1*</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Intentionally omitted</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10.24.2*</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Intentionally omitted</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10.25*</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1"/>
              </w:rPr>
              <w:t>Employment Agreement, dated as of May 14, 2002, between Stratex Networks, Inc. and Shaun McFall (incorporated by reference to Exhibit</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5"/>
              </w:rPr>
              <w:t>10.25 to the Annual Report on Form 10-K for the fiscal year ended July 3, 2009 filed with the SEC on September 4, 2009, File No. 001-</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10.25.1*</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4"/>
              </w:rPr>
              <w:t>Amendment, effective April 1, 2006, to Employment Agreement, dated May 14, 2002, between Stratex Networks, Inc. and Shaun McFall</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1"/>
              </w:rPr>
              <w:t>(incorporated by reference to Exhibit 10.25.1 to the Annual Report on Form 10-K for the fiscal year ended July 3, 2009 filed with the SEC on</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September 4, 2009, File No. 001-33278)</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10.26*</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Intentionally omitted</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10.26.1*</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Intentionally omitted</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10.27*</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Intentionally omitted</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10.28*</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3"/>
              </w:rPr>
              <w:t>Employment Agreement, dated July 18, 2011, between Aviat Networks, Inc. and Michael Pangia (incorporated by reference to the Current</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Report on Form 8-K filed with the SEC on July 20, 2011, File No. 001-33278)</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10.29*</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2"/>
              </w:rPr>
              <w:t>Employment Agreement, dated December 30, 2010, between Aviat Networks, Inc. and John Madigan (incorporated by reference to Exhibit</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10.1 to the Current Report on Form 8-K filed with the SEC on January 4, 2011, File No. 001-33278)</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10.30*</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0"/>
              </w:rPr>
              <w:t>Employment Agreement, dated December 29, 2014, between Aviat Networks, Inc. and Michael Shahbazian (incorporated by reference to the</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Current Report on Form 8-K filed with the SEC on December 29, 2014, File No. 001-33278)</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10.31*</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3"/>
              </w:rPr>
              <w:t>Employment Agreement, dated April 29, 2015, between Aviat Networks, Inc. and Ralph S. Marimon (incorporated by reference to Exhibit</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10.1 to the Current Report on Form 8-K filed with the SEC on May 14, 2015, File No. 001-33278)</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10.32</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2"/>
              </w:rPr>
              <w:t>Letter Agreement, dated as of January 11, 2015, among Aviat Networks, Inc., Steel Partners Holdings L.P., Lone Star Value Management,</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3"/>
              </w:rPr>
              <w:t>LLC and certain other parties (incorporated by reference to Exhibit 10.1 to the Current Report on Form 8-K filed with the SEC on January</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12, 2015, File No. 001-33278)</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16.1</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Intentionally omitted</w:t>
            </w: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16.2</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w w:val="92"/>
              </w:rPr>
              <w:t>Letter from KPMG LLP to the Securities and Exchange Commission dated February 26, 2015 (incorporated by reference to Exhibit 16.1 to</w:t>
            </w:r>
          </w:p>
        </w:tc>
      </w:tr>
      <w:tr>
        <w:trPr>
          <w:trHeight w:val="230"/>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the Current Report on Form 8-K filed with the SEC on March 3, 2015)</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List of Subsidiaries of Aviat Networks, Inc.</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23.1</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Consent of BDO USA, LLP</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23.2</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Consent of KPMG LLP</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31.1</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31.2</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32.1</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32.2</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of Chief Financial Officer</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00"/>
          </w:cols>
          <w:pgMar w:left="240" w:top="125" w:right="25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0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88"/>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385"/>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w:t>
      </w:r>
    </w:p>
    <w:p>
      <w:pPr>
        <w:spacing w:after="0" w:line="171" w:lineRule="exact"/>
        <w:rPr>
          <w:sz w:val="20"/>
          <w:szCs w:val="20"/>
          <w:color w:val="auto"/>
        </w:rPr>
      </w:pPr>
    </w:p>
    <w:p>
      <w:pPr>
        <w:ind w:left="5620" w:right="519" w:hanging="5585"/>
        <w:spacing w:after="0" w:line="731" w:lineRule="auto"/>
        <w:tabs>
          <w:tab w:leader="none" w:pos="4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 98</w:t>
      </w:r>
    </w:p>
    <w:p>
      <w:pPr>
        <w:sectPr>
          <w:pgSz w:w="11900" w:h="16838" w:orient="portrait"/>
          <w:cols w:equalWidth="0" w:num="1">
            <w:col w:w="10219"/>
          </w:cols>
          <w:pgMar w:left="240" w:top="125"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AVIAT NETWORKS, INC.</w:t>
      </w:r>
    </w:p>
    <w:p>
      <w:pPr>
        <w:spacing w:after="0" w:line="113"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SUBSIDIARIES AS OF JULY 3, 2015</w:t>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(100% direct or indirect ownership by Aviat Networks, Inc.)</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440" w:type="dxa"/>
            <w:vAlign w:val="bottom"/>
            <w:gridSpan w:val="2"/>
            <w:vMerge w:val="restart"/>
          </w:tcPr>
          <w:p>
            <w:pPr>
              <w:ind w:left="20"/>
              <w:spacing w:after="0"/>
              <w:rPr>
                <w:sz w:val="20"/>
                <w:szCs w:val="20"/>
                <w:color w:val="auto"/>
              </w:rPr>
            </w:pPr>
            <w:r>
              <w:rPr>
                <w:rFonts w:ascii="Arial" w:cs="Arial" w:eastAsia="Arial" w:hAnsi="Arial"/>
                <w:sz w:val="18"/>
                <w:szCs w:val="18"/>
                <w:color w:val="auto"/>
              </w:rPr>
              <w:t>Aviat Networks Algeria S.A.R.L.</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Algeria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(Australia) Pty. Ltd. .</w:t>
            </w:r>
          </w:p>
        </w:tc>
        <w:tc>
          <w:tcPr>
            <w:tcW w:w="36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(Bangladesh)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Bangladesh</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Brasil Servicos em Communicacoes Ltda.</w:t>
            </w:r>
          </w:p>
        </w:tc>
        <w:tc>
          <w:tcPr>
            <w:tcW w:w="366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Canada ULC</w:t>
            </w:r>
          </w:p>
        </w:tc>
        <w:tc>
          <w:tcPr>
            <w:tcW w:w="36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Communications Technology (Shenzhen) Company Ltd.</w:t>
            </w:r>
          </w:p>
        </w:tc>
        <w:tc>
          <w:tcPr>
            <w:tcW w:w="3660" w:type="dxa"/>
            <w:vAlign w:val="bottom"/>
          </w:tcPr>
          <w:p>
            <w:pPr>
              <w:ind w:left="20"/>
              <w:spacing w:after="0"/>
              <w:rPr>
                <w:sz w:val="20"/>
                <w:szCs w:val="20"/>
                <w:color w:val="auto"/>
              </w:rPr>
            </w:pPr>
            <w:r>
              <w:rPr>
                <w:rFonts w:ascii="Arial" w:cs="Arial" w:eastAsia="Arial" w:hAnsi="Arial"/>
                <w:sz w:val="18"/>
                <w:szCs w:val="18"/>
                <w:color w:val="auto"/>
              </w:rPr>
              <w:t>The People’s Republic of China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France S.A.S.</w:t>
            </w:r>
          </w:p>
        </w:tc>
        <w:tc>
          <w:tcPr>
            <w:tcW w:w="366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Ghana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Ghana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Holland B.V.</w:t>
            </w:r>
          </w:p>
        </w:tc>
        <w:tc>
          <w:tcPr>
            <w:tcW w:w="366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HK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(India) Private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Telsima Communications Private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Pt. Aviat Networks Indonesia</w:t>
            </w:r>
          </w:p>
        </w:tc>
        <w:tc>
          <w:tcPr>
            <w:tcW w:w="366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Networks Côte d’Ivoire</w:t>
            </w:r>
          </w:p>
        </w:tc>
        <w:tc>
          <w:tcPr>
            <w:tcW w:w="3660" w:type="dxa"/>
            <w:vAlign w:val="bottom"/>
          </w:tcPr>
          <w:p>
            <w:pPr>
              <w:ind w:left="20"/>
              <w:spacing w:after="0"/>
              <w:rPr>
                <w:sz w:val="20"/>
                <w:szCs w:val="20"/>
                <w:color w:val="auto"/>
              </w:rPr>
            </w:pPr>
            <w:r>
              <w:rPr>
                <w:rFonts w:ascii="Arial" w:cs="Arial" w:eastAsia="Arial" w:hAnsi="Arial"/>
                <w:sz w:val="18"/>
                <w:szCs w:val="18"/>
                <w:color w:val="auto"/>
              </w:rPr>
              <w:t>Ivory Coast</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(Kenya)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Networks Malaysia Sdn. Bhd.</w:t>
            </w:r>
          </w:p>
        </w:tc>
        <w:tc>
          <w:tcPr>
            <w:tcW w:w="3660" w:type="dxa"/>
            <w:vAlign w:val="bottom"/>
          </w:tcPr>
          <w:p>
            <w:pPr>
              <w:ind w:left="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Digital Microwave (Mauritius) Private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México S.A. de C.V.</w:t>
            </w:r>
          </w:p>
        </w:tc>
        <w:tc>
          <w:tcPr>
            <w:tcW w:w="366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(NZ)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 Solutions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Stratex Networks Nigeria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(Clark) Corporation</w:t>
            </w:r>
          </w:p>
        </w:tc>
        <w:tc>
          <w:tcPr>
            <w:tcW w:w="366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Philippines, Inc.</w:t>
            </w:r>
          </w:p>
        </w:tc>
        <w:tc>
          <w:tcPr>
            <w:tcW w:w="366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Polska Sp. z.o.o.</w:t>
            </w:r>
          </w:p>
        </w:tc>
        <w:tc>
          <w:tcPr>
            <w:tcW w:w="3660" w:type="dxa"/>
            <w:vAlign w:val="bottom"/>
          </w:tcPr>
          <w:p>
            <w:pPr>
              <w:ind w:left="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Solutions LLC</w:t>
            </w:r>
          </w:p>
        </w:tc>
        <w:tc>
          <w:tcPr>
            <w:tcW w:w="3660" w:type="dxa"/>
            <w:vAlign w:val="bottom"/>
          </w:tcPr>
          <w:p>
            <w:pPr>
              <w:ind w:left="2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(S) Pte. Ltd.</w:t>
            </w:r>
          </w:p>
        </w:tc>
        <w:tc>
          <w:tcPr>
            <w:tcW w:w="3660" w:type="dxa"/>
            <w:vAlign w:val="bottom"/>
          </w:tcPr>
          <w:p>
            <w:pPr>
              <w:ind w:left="20"/>
              <w:spacing w:after="0"/>
              <w:rPr>
                <w:sz w:val="20"/>
                <w:szCs w:val="20"/>
                <w:color w:val="auto"/>
              </w:rPr>
            </w:pPr>
            <w:r>
              <w:rPr>
                <w:rFonts w:ascii="Arial" w:cs="Arial" w:eastAsia="Arial" w:hAnsi="Arial"/>
                <w:sz w:val="18"/>
                <w:szCs w:val="18"/>
                <w:color w:val="auto"/>
              </w:rPr>
              <w:t>Republic of Singapore</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storitveno podjetje, d.o.o.</w:t>
            </w:r>
          </w:p>
        </w:tc>
        <w:tc>
          <w:tcPr>
            <w:tcW w:w="3660" w:type="dxa"/>
            <w:vAlign w:val="bottom"/>
          </w:tcPr>
          <w:p>
            <w:pPr>
              <w:ind w:left="20"/>
              <w:spacing w:after="0"/>
              <w:rPr>
                <w:sz w:val="20"/>
                <w:szCs w:val="20"/>
                <w:color w:val="auto"/>
              </w:rPr>
            </w:pPr>
            <w:r>
              <w:rPr>
                <w:rFonts w:ascii="Arial" w:cs="Arial" w:eastAsia="Arial" w:hAnsi="Arial"/>
                <w:sz w:val="18"/>
                <w:szCs w:val="18"/>
                <w:color w:val="auto"/>
              </w:rPr>
              <w:t>Slovenia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(South Africa) (Proprietary)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MAS Technology Holdings (Proprietary)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DMC Stratex Networks (South Africa) (Proprietary)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Ubuntu Telecommunication (Pty)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Tanzania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Tanzania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(Thailand) Ltd.</w:t>
            </w:r>
          </w:p>
        </w:tc>
        <w:tc>
          <w:tcPr>
            <w:tcW w:w="366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(UK)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International Holdings, Inc.</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U.S., Inc.</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Telsima Corporation</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420" w:top="580"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Santa Clara, California</w:t>
      </w:r>
    </w:p>
    <w:p>
      <w:pPr>
        <w:spacing w:after="0" w:line="308"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hereby consent to the incorporation by reference in the Registration Statements on Form S-8 (No. 333-178467, 333-163542 and 333-140442) of Aviat Networks, Inc. of our reports dated September 30, 2015, relating to the fiscal 2015 consolidated financial statements and financial statement schedule, and the effectiveness of Aviat Networks, Inc.’s internal control over financial reporting, which appear in this Form 10-K. Our report on the effectiveness of internal control over financial reporting expresses an adverse opinion on the effectiveness of the Company’s internal control over financial reporting as of July 3, 2015.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BDO USA, LLP</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San Jose, California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September 30, 2015</w:t>
      </w:r>
    </w:p>
    <w:p>
      <w:pPr>
        <w:sectPr>
          <w:pgSz w:w="11900" w:h="16838" w:orient="portrait"/>
          <w:cols w:equalWidth="0" w:num="1">
            <w:col w:w="11400"/>
          </w:cols>
          <w:pgMar w:left="240" w:top="391" w:right="259" w:bottom="1440" w:gutter="0" w:footer="0" w:header="0"/>
        </w:sectPr>
      </w:pPr>
    </w:p>
    <w:bookmarkStart w:id="100" w:name="page101"/>
    <w:bookmarkEnd w:id="100"/>
    <w:p>
      <w:pPr>
        <w:jc w:val="center"/>
        <w:ind w:right="-119"/>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Inc.:</w:t>
      </w:r>
    </w:p>
    <w:p>
      <w:pPr>
        <w:spacing w:after="0" w:line="308"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consent to the incorporation by reference in the registration statements (No. 333-178467, 333-163542 and 333-140442) on Form S-8 of Aviat Networks, Inc. of our report dated December 19, 2014, with respect to the consolidated balance sheets of Aviat Networks, Inc. as of June 27, 2014, and the related consolidated statements of operations, comprehensive loss, equity, and cash flows for each of the years in the two-year period ended June 27, 2014, and related financial statement schedule, which report appears in the July 3, 2015 annual report on Form 10-K of Aviat Networks,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Santa Clara, California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September 30, 2015</w:t>
      </w:r>
    </w:p>
    <w:p>
      <w:pPr>
        <w:sectPr>
          <w:pgSz w:w="11900" w:h="16838" w:orient="portrait"/>
          <w:cols w:equalWidth="0" w:num="1">
            <w:col w:w="11300"/>
          </w:cols>
          <w:pgMar w:left="240" w:top="391" w:right="3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July 3, 2015,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30, 2015</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S. Marimon, certify that:</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July 3, 2015,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30, 2015</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Ralph S. Marimon</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Ralph S. Marimon</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8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July 3, 2015, as filed with the Securities and Exchange Commission on the date hereof (the “Report”), the undersigned, Michael A. Pangia,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30, 2015</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Chapter 63 of Title 18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July 3, 2015, as filed with the Securities and Exchange Commission on the date hereof (the “Report”), the undersigned, Edward J. Hayes, Jr.,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Date: September 30, 2015</w:t>
            </w: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/s/ Ralph S. Marimon</w:t>
            </w:r>
          </w:p>
        </w:tc>
      </w:tr>
      <w:tr>
        <w:trPr>
          <w:trHeight w:val="27"/>
        </w:trPr>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rPr>
                <w:sz w:val="20"/>
                <w:szCs w:val="20"/>
                <w:color w:val="auto"/>
              </w:rPr>
            </w:pPr>
            <w:r>
              <w:rPr>
                <w:rFonts w:ascii="Arial" w:cs="Arial" w:eastAsia="Arial" w:hAnsi="Arial"/>
                <w:sz w:val="18"/>
                <w:szCs w:val="18"/>
                <w:color w:val="auto"/>
              </w:rPr>
              <w:t>Ralph S. Marimon</w:t>
            </w:r>
          </w:p>
        </w:tc>
      </w:tr>
      <w:tr>
        <w:trPr>
          <w:trHeight w:val="256"/>
        </w:trPr>
        <w:tc>
          <w:tcPr>
            <w:tcW w:w="58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5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Officer, 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lowerRoman"/>
      <w:start w:val="6"/>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4"/>
    </w:lvl>
  </w:abstractNum>
  <w:abstractNum w:abstractNumId="31">
    <w:nsid w:val="440BADFC"/>
    <w:multiLevelType w:val="hybridMultilevel"/>
    <w:lvl w:ilvl="0">
      <w:lvlJc w:val="left"/>
      <w:lvlText w:val="(%1)"/>
      <w:numFmt w:val="lowerLetter"/>
      <w:start w:val="1"/>
    </w:lvl>
    <w:lvl w:ilvl="1">
      <w:lvlJc w:val="left"/>
      <w:lvlText w:val="%2."/>
      <w:numFmt w:val="decimal"/>
      <w:start w:val="1"/>
    </w:lvl>
  </w:abstractNum>
  <w:abstractNum w:abstractNumId="32">
    <w:nsid w:val="5072367"/>
    <w:multiLevelType w:val="hybridMultilevel"/>
    <w:lvl w:ilvl="0">
      <w:lvlJc w:val="left"/>
      <w:lvlText w:val="(%1)"/>
      <w:numFmt w:val="lowerLetter"/>
      <w:start w:val="2"/>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2019-12-29T16:50:32Z</dcterms:created>
  <dcterms:modified xsi:type="dcterms:W3CDTF">2019-12-29T16:50:32Z</dcterms:modified>
</cp:coreProperties>
</file>