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346075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370840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6"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0"/>
          <w:szCs w:val="10"/>
          <w:b w:val="1"/>
          <w:bCs w:val="1"/>
          <w:color w:val="auto"/>
        </w:rPr>
        <w:t>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3"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April 1,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77"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_______ to 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001-33278</w:t>
      </w:r>
    </w:p>
    <w:p>
      <w:pPr>
        <w:spacing w:after="0" w:line="3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5"/>
          <w:szCs w:val="35"/>
          <w:b w:val="1"/>
          <w:bCs w:val="1"/>
          <w:color w:val="auto"/>
        </w:rPr>
        <w:t>AVIAT NETWORKS,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1005" w:right="339" w:bottom="1440" w:gutter="0" w:footer="0" w:header="0"/>
        </w:sectPr>
      </w:pPr>
    </w:p>
    <w:p>
      <w:pPr>
        <w:spacing w:after="0" w:line="200" w:lineRule="exact"/>
        <w:rPr>
          <w:sz w:val="24"/>
          <w:szCs w:val="24"/>
          <w:color w:val="auto"/>
        </w:rPr>
      </w:pPr>
    </w:p>
    <w:p>
      <w:pPr>
        <w:spacing w:after="0" w:line="23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34" w:lineRule="exact"/>
        <w:rPr>
          <w:sz w:val="24"/>
          <w:szCs w:val="24"/>
          <w:color w:val="auto"/>
        </w:rPr>
      </w:pPr>
    </w:p>
    <w:p>
      <w:pPr>
        <w:sectPr>
          <w:pgSz w:w="11900" w:h="16838" w:orient="portrait"/>
          <w:cols w:equalWidth="0" w:num="2">
            <w:col w:w="8100" w:space="720"/>
            <w:col w:w="2420"/>
          </w:cols>
          <w:pgMar w:left="320" w:top="1005"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82" w:lineRule="exact"/>
        <w:rPr>
          <w:sz w:val="24"/>
          <w:szCs w:val="24"/>
          <w:color w:val="auto"/>
        </w:rPr>
      </w:pPr>
    </w:p>
    <w:p>
      <w:pPr>
        <w:sectPr>
          <w:pgSz w:w="11900" w:h="16838" w:orient="portrait"/>
          <w:cols w:equalWidth="0" w:num="2">
            <w:col w:w="7320" w:space="720"/>
            <w:col w:w="3200"/>
          </w:cols>
          <w:pgMar w:left="320" w:top="1005"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Austin,</w:t>
      </w:r>
      <w:r>
        <w:rPr>
          <w:sz w:val="20"/>
          <w:szCs w:val="20"/>
          <w:color w:val="auto"/>
        </w:rPr>
        <w:tab/>
      </w: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78728</w:t>
      </w:r>
    </w:p>
    <w:p>
      <w:pPr>
        <w:spacing w:after="0" w:line="45" w:lineRule="exact"/>
        <w:rPr>
          <w:sz w:val="24"/>
          <w:szCs w:val="24"/>
          <w:color w:val="auto"/>
        </w:rPr>
      </w:pPr>
    </w:p>
    <w:p>
      <w:pPr>
        <w:sectPr>
          <w:pgSz w:w="11900" w:h="16838" w:orient="portrait"/>
          <w:cols w:equalWidth="0" w:num="3">
            <w:col w:w="3140" w:space="720"/>
            <w:col w:w="4440" w:space="720"/>
            <w:col w:w="2220"/>
          </w:cols>
          <w:pgMar w:left="320" w:top="1005" w:right="3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1" w:lineRule="exact"/>
        <w:rPr>
          <w:sz w:val="24"/>
          <w:szCs w:val="24"/>
          <w:color w:val="auto"/>
        </w:rPr>
      </w:pPr>
    </w:p>
    <w:p>
      <w:pPr>
        <w:sectPr>
          <w:pgSz w:w="11900" w:h="16838" w:orient="portrait"/>
          <w:cols w:equalWidth="0" w:num="2">
            <w:col w:w="8140" w:space="720"/>
            <w:col w:w="2380"/>
          </w:cols>
          <w:pgMar w:left="320" w:top="100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(408) 941-7100</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005" w:right="339" w:bottom="1440" w:gutter="0" w:footer="0" w:header="0"/>
          <w:type w:val="continuous"/>
        </w:sectPr>
      </w:pPr>
    </w:p>
    <w:p>
      <w:pPr>
        <w:spacing w:after="0" w:line="24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AVNW</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3680" w:space="720"/>
            <w:col w:w="2260" w:space="720"/>
            <w:col w:w="3860"/>
          </w:cols>
          <w:pgMar w:left="320" w:top="1005" w:right="339" w:bottom="1440" w:gutter="0" w:footer="0" w:header="0"/>
          <w:type w:val="continuous"/>
        </w:sectPr>
      </w:pPr>
    </w:p>
    <w:p>
      <w:pPr>
        <w:spacing w:after="0" w:line="18"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4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Accelerated filer</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22"/>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73"/>
        </w:trPr>
        <w:tc>
          <w:tcPr>
            <w:tcW w:w="2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234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49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1" w:name="page2"/>
    <w:bookmarkEnd w:id="1"/>
    <w:p>
      <w:pPr>
        <w:spacing w:after="0" w:line="229" w:lineRule="exact"/>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280035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304800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0"/>
          <w:szCs w:val="20"/>
          <w:color w:val="auto"/>
        </w:rPr>
      </w:pPr>
    </w:p>
    <w:p>
      <w:pPr>
        <w:ind w:right="2020"/>
        <w:spacing w:after="0" w:line="28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outstanding of the registrant’s Common Stock as of April 29, 2022 was 11,166,918.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April 1, 2022</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2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5"/>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4</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22"/>
        </w:trPr>
        <w:tc>
          <w:tcPr>
            <w:tcW w:w="10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32</w:t>
            </w:r>
          </w:p>
        </w:tc>
      </w:tr>
      <w:tr>
        <w:trPr>
          <w:trHeight w:val="222"/>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222"/>
        </w:trPr>
        <w:tc>
          <w:tcPr>
            <w:tcW w:w="10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w:t>
            </w:r>
          </w:p>
        </w:tc>
      </w:tr>
      <w:tr>
        <w:trPr>
          <w:trHeight w:val="222"/>
        </w:trPr>
        <w:tc>
          <w:tcPr>
            <w:tcW w:w="10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FF"/>
              </w:rPr>
              <w:t>36</w:t>
            </w:r>
          </w:p>
        </w:tc>
      </w:tr>
      <w:tr>
        <w:trPr>
          <w:trHeight w:val="222"/>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w:t>
            </w:r>
          </w:p>
        </w:tc>
      </w:tr>
      <w:tr>
        <w:trPr>
          <w:trHeight w:val="183"/>
        </w:trPr>
        <w:tc>
          <w:tcPr>
            <w:tcW w:w="102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0000FF"/>
              </w:rPr>
              <w:t>Exhibit Index</w:t>
            </w:r>
          </w:p>
        </w:tc>
        <w:tc>
          <w:tcPr>
            <w:tcW w:w="5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0000FF"/>
              </w:rPr>
              <w:t>37</w:t>
            </w:r>
          </w:p>
        </w:tc>
      </w:tr>
      <w:tr>
        <w:trPr>
          <w:trHeight w:val="39"/>
        </w:trPr>
        <w:tc>
          <w:tcPr>
            <w:tcW w:w="1020" w:type="dxa"/>
            <w:vAlign w:val="bottom"/>
            <w:shd w:val="clear" w:color="auto" w:fill="0000FF"/>
          </w:tcPr>
          <w:p>
            <w:pPr>
              <w:spacing w:after="0"/>
              <w:rPr>
                <w:sz w:val="3"/>
                <w:szCs w:val="3"/>
                <w:color w:val="auto"/>
              </w:rPr>
            </w:pPr>
          </w:p>
        </w:tc>
        <w:tc>
          <w:tcPr>
            <w:tcW w:w="9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060" w:right="53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amounts)</w:t>
            </w:r>
          </w:p>
        </w:tc>
        <w:tc>
          <w:tcPr>
            <w:tcW w:w="34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360" w:type="dxa"/>
            <w:vAlign w:val="bottom"/>
          </w:tcPr>
          <w:p>
            <w:pPr>
              <w:spacing w:after="0"/>
              <w:rPr>
                <w:sz w:val="13"/>
                <w:szCs w:val="13"/>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47,942</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48,135</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Unbilled receivables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23,436</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Customer service inventories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Assets held for sale</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9,556</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170,239</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11,701</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103,467</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8,430</w:t>
            </w:r>
          </w:p>
        </w:tc>
        <w:tc>
          <w:tcPr>
            <w:tcW w:w="0" w:type="dxa"/>
            <w:vAlign w:val="bottom"/>
          </w:tcPr>
          <w:p>
            <w:pPr>
              <w:spacing w:after="0"/>
              <w:rPr>
                <w:sz w:val="1"/>
                <w:szCs w:val="1"/>
                <w:color w:val="auto"/>
              </w:rPr>
            </w:pPr>
          </w:p>
        </w:tc>
      </w:tr>
      <w:tr>
        <w:trPr>
          <w:trHeight w:val="215"/>
        </w:trPr>
        <w:tc>
          <w:tcPr>
            <w:tcW w:w="80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319,682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297,653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32,405</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28,154</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Advance payments and unearned revenue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32,304</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8,592</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for uncertain tax positions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5,164</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114,318</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$0.01 par value, 50,000,000 shares authorized, none issued</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802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Common stock, $0.01 par value, 300,000,000 shares authorized, 11,166,918 shares issued and outstanding at</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April 1, 2022; 11,153,445 shares issued and outstanding at July 2, 2021</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818,939</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(620,602)</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183,335</w:t>
            </w:r>
          </w:p>
        </w:tc>
        <w:tc>
          <w:tcPr>
            <w:tcW w:w="0" w:type="dxa"/>
            <w:vAlign w:val="bottom"/>
          </w:tcPr>
          <w:p>
            <w:pPr>
              <w:spacing w:after="0"/>
              <w:rPr>
                <w:sz w:val="1"/>
                <w:szCs w:val="1"/>
                <w:color w:val="auto"/>
              </w:rPr>
            </w:pPr>
          </w:p>
        </w:tc>
      </w:tr>
      <w:tr>
        <w:trPr>
          <w:trHeight w:val="215"/>
        </w:trPr>
        <w:tc>
          <w:tcPr>
            <w:tcW w:w="80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319,682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297,653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28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94"/>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ind w:left="12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94"/>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0"/>
        </w:trPr>
        <w:tc>
          <w:tcPr>
            <w:tcW w:w="5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from product sales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52,047</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45,246</w:t>
            </w:r>
          </w:p>
        </w:tc>
        <w:tc>
          <w:tcPr>
            <w:tcW w:w="22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156,361</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21,158</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66,824</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74,516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66,404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203,225</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81,823</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44,666</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cost of revenues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40,826</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126,489</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margin</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25,578</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76,736</w:t>
            </w: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15,541</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41,555</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(recovery) charges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21,543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58,258</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18,478</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18,679</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(90,568)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(88,629)</w:t>
            </w:r>
          </w:p>
        </w:tc>
        <w:tc>
          <w:tcPr>
            <w:tcW w:w="0" w:type="dxa"/>
            <w:vAlign w:val="bottom"/>
          </w:tcPr>
          <w:p>
            <w:pPr>
              <w:spacing w:after="0"/>
              <w:rPr>
                <w:sz w:val="1"/>
                <w:szCs w:val="1"/>
                <w:color w:val="auto"/>
              </w:rPr>
            </w:pPr>
          </w:p>
        </w:tc>
      </w:tr>
      <w:tr>
        <w:trPr>
          <w:trHeight w:val="24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94,731</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107,308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 of common stock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22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10,994</w:t>
            </w:r>
          </w:p>
        </w:tc>
        <w:tc>
          <w:tcPr>
            <w:tcW w:w="0" w:type="dxa"/>
            <w:vAlign w:val="bottom"/>
          </w:tcPr>
          <w:p>
            <w:pPr>
              <w:spacing w:after="0"/>
              <w:rPr>
                <w:sz w:val="1"/>
                <w:szCs w:val="1"/>
                <w:color w:val="auto"/>
              </w:rPr>
            </w:pPr>
          </w:p>
        </w:tc>
      </w:tr>
      <w:tr>
        <w:trPr>
          <w:trHeight w:val="227"/>
        </w:trPr>
        <w:tc>
          <w:tcPr>
            <w:tcW w:w="5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11,532</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66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00" w:type="dxa"/>
            <w:vAlign w:val="bottom"/>
          </w:tcPr>
          <w:p>
            <w:pPr>
              <w:spacing w:after="0"/>
              <w:rPr>
                <w:sz w:val="10"/>
                <w:szCs w:val="10"/>
                <w:color w:val="auto"/>
              </w:rPr>
            </w:pPr>
          </w:p>
        </w:tc>
        <w:tc>
          <w:tcPr>
            <w:tcW w:w="1140" w:type="dxa"/>
            <w:vAlign w:val="bottom"/>
          </w:tcPr>
          <w:p>
            <w:pPr>
              <w:jc w:val="right"/>
              <w:ind w:right="419"/>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94,731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16,627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107,308</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income:</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cumulative translation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(1,058)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(1,058)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94,447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15,569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0"/>
                <w:szCs w:val="10"/>
                <w:color w:val="auto"/>
              </w:rPr>
            </w:pPr>
          </w:p>
        </w:tc>
        <w:tc>
          <w:tcPr>
            <w:tcW w:w="1180" w:type="dxa"/>
            <w:vAlign w:val="bottom"/>
            <w:gridSpan w:val="2"/>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60" w:type="dxa"/>
            <w:vAlign w:val="bottom"/>
          </w:tcPr>
          <w:p>
            <w:pPr>
              <w:spacing w:after="0"/>
              <w:rPr>
                <w:sz w:val="10"/>
                <w:szCs w:val="10"/>
                <w:color w:val="auto"/>
              </w:rPr>
            </w:pPr>
          </w:p>
        </w:tc>
        <w:tc>
          <w:tcPr>
            <w:tcW w:w="1060" w:type="dxa"/>
            <w:vAlign w:val="bottom"/>
          </w:tcPr>
          <w:p>
            <w:pPr>
              <w:jc w:val="right"/>
              <w:ind w:right="354"/>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16,627</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107,308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provided by operating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plant and equipment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(Recoveries) Provision for uncollectible receivables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assets,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(89,732)</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 for inventory and customer service inventory write-downs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disposition of property, plant and equipment,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lease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gain on 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 (recoveries) charges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Unbilled receivables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(15,389)</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Customer service inventories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Advance payments and unearned revenue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12,077</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payable or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15"/>
        </w:trPr>
        <w:tc>
          <w:tcPr>
            <w:tcW w:w="8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14,187</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acquisition of property, plant and equipment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Proceeds from sale of asset held for sale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02"/>
        </w:trPr>
        <w:tc>
          <w:tcPr>
            <w:tcW w:w="8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borrowings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for repurchase of common stock - treasury shares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for taxes related to net settlement of equity awards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 under employee stock plans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(7,736)</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increase in cash, cash equivalents, and restricted cash</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41,872</w:t>
            </w:r>
          </w:p>
        </w:tc>
        <w:tc>
          <w:tcPr>
            <w:tcW w:w="0" w:type="dxa"/>
            <w:vAlign w:val="bottom"/>
          </w:tcPr>
          <w:p>
            <w:pPr>
              <w:spacing w:after="0"/>
              <w:rPr>
                <w:sz w:val="1"/>
                <w:szCs w:val="1"/>
                <w:color w:val="auto"/>
              </w:rPr>
            </w:pPr>
          </w:p>
        </w:tc>
      </w:tr>
      <w:tr>
        <w:trPr>
          <w:trHeight w:val="24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1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April 1, 2022</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372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5"/>
                <w:szCs w:val="5"/>
                <w:color w:val="auto"/>
              </w:rPr>
            </w:pPr>
          </w:p>
        </w:tc>
        <w:tc>
          <w:tcPr>
            <w:tcW w:w="1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0"/>
        </w:trPr>
        <w:tc>
          <w:tcPr>
            <w:tcW w:w="3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11,195,542</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820,791</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(610,004)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(14,599)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192,892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37,327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(65,951)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1, 2022</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11,166,918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821,976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(603,975)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1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April 2, 2021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7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14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11,119,536</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816,988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(718,164)</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(14,371)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84,564</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54,324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(8,300)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98"/>
              </w:rPr>
              <w:t>(458)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 2021</w:t>
            </w:r>
          </w:p>
        </w:tc>
        <w:tc>
          <w:tcPr>
            <w:tcW w:w="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11,164,194</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(458)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818,155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(623,433)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(14,655)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179,721</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10"/>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April 1, 2022</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9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9"/>
                <w:szCs w:val="9"/>
                <w:color w:val="auto"/>
              </w:rPr>
            </w:pPr>
          </w:p>
        </w:tc>
        <w:tc>
          <w:tcPr>
            <w:tcW w:w="14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11,153,445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818,939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(620,602)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(14,327)</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183,335</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89"/>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9"/>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11,166,918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821,976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(603,975)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197,330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10"/>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April 2, 2021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19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0"/>
                <w:szCs w:val="10"/>
                <w:color w:val="auto"/>
              </w:rPr>
            </w:pPr>
          </w:p>
        </w:tc>
        <w:tc>
          <w:tcPr>
            <w:tcW w:w="9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0"/>
                <w:szCs w:val="10"/>
                <w:color w:val="auto"/>
              </w:rPr>
            </w:pPr>
          </w:p>
        </w:tc>
        <w:tc>
          <w:tcPr>
            <w:tcW w:w="14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0"/>
        </w:trPr>
        <w:tc>
          <w:tcPr>
            <w:tcW w:w="37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6"/>
                <w:szCs w:val="16"/>
                <w:color w:val="auto"/>
              </w:rPr>
            </w:pP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10,792,674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814,283</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(730,741)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(14,969)</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68,681</w:t>
            </w:r>
          </w:p>
        </w:tc>
        <w:tc>
          <w:tcPr>
            <w:tcW w:w="0" w:type="dxa"/>
            <w:vAlign w:val="bottom"/>
          </w:tcPr>
          <w:p>
            <w:pPr>
              <w:spacing w:after="0"/>
              <w:rPr>
                <w:sz w:val="1"/>
                <w:szCs w:val="1"/>
                <w:color w:val="auto"/>
              </w:rPr>
            </w:pPr>
          </w:p>
        </w:tc>
      </w:tr>
      <w:tr>
        <w:trPr>
          <w:trHeight w:val="189"/>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107,308</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Shares withheld for taxes related to vesting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9"/>
        </w:trPr>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repurchase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11,164,194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818,155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(623,433)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(14,655)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179,721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0" w:name="page11"/>
    <w:bookmarkEnd w:id="10"/>
    <w:p>
      <w:pPr>
        <w:ind w:left="4600"/>
        <w:spacing w:after="0"/>
        <w:rPr>
          <w:sz w:val="20"/>
          <w:szCs w:val="20"/>
          <w:color w:val="auto"/>
        </w:rPr>
      </w:pPr>
      <w:r>
        <w:rPr>
          <w:rFonts w:ascii="Times New Roman" w:cs="Times New Roman" w:eastAsia="Times New Roman" w:hAnsi="Times New Roman"/>
          <w:sz w:val="17"/>
          <w:szCs w:val="17"/>
          <w:b w:val="1"/>
          <w:bCs w:val="1"/>
          <w:color w:val="auto"/>
        </w:rPr>
        <w:t>AVIAT NETWORKS, INC.</w:t>
      </w:r>
    </w:p>
    <w:p>
      <w:pPr>
        <w:spacing w:after="0" w:line="1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The Company and Basis of Presentation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4"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April 1, 2022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2, 2021.</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the Company and its wholly owned and majority-owned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intercompany transactions and accounts have been eliminated.</w:t>
      </w:r>
    </w:p>
    <w:p>
      <w:pPr>
        <w:spacing w:after="0" w:line="15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operate on a 52-week or 53-week year ending on the Friday closest to June 30. The three months ended April 1, 2022 and the three months ended April 2, 2021 both consisted of 13 weeks. Fiscal year 2022 will be comprised of 52 weeks and will end on July 1, 2022. Fiscal year 2021 was comprised of 52 weeks and ended on July 2,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Significant Accounting Policies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There have been no material changes in our significant accounting policies as of April 1, 2022 and for the nine months ended April 1, 2022, as compared to the significant accounting policies described in our Annual Report on Form 10-K for the fiscal year ended July 2,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Adopted</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Standards Update (“ASU”) 2019-12, Income Taxes (Topic 740). This guidance simplifies the accounting for income taxes by removing certain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1" w:name="page12"/>
    <w:bookmarkEnd w:id="11"/>
    <w:p>
      <w:pPr>
        <w:jc w:val="both"/>
        <w:spacing w:after="0" w:line="276" w:lineRule="auto"/>
        <w:rPr>
          <w:sz w:val="20"/>
          <w:szCs w:val="20"/>
          <w:color w:val="auto"/>
        </w:rPr>
      </w:pPr>
      <w:r>
        <w:rPr>
          <w:rFonts w:ascii="Times New Roman" w:cs="Times New Roman" w:eastAsia="Times New Roman" w:hAnsi="Times New Roman"/>
          <w:sz w:val="17"/>
          <w:szCs w:val="17"/>
          <w:color w:val="auto"/>
        </w:rPr>
        <w:t>exceptions to the general principles and also simplifies areas such as franchise taxes, step-up in tax basis of goodwill, separate entity financial statements and interim recognition of enactment of tax laws and rate changes. ASU 2019-12 became effective for us in our first quarter of fiscal 2022. The adoption had no material impact on our unaudited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Not Yet Adopted</w:t>
      </w:r>
    </w:p>
    <w:p>
      <w:pPr>
        <w:spacing w:after="0" w:line="172"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w:t>
      </w:r>
      <w:r>
        <w:rPr>
          <w:rFonts w:ascii="Times New Roman" w:cs="Times New Roman" w:eastAsia="Times New Roman" w:hAnsi="Times New Roman"/>
          <w:sz w:val="17"/>
          <w:szCs w:val="17"/>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The adoption of ASU 2020-04 will not have a material impact on our unaudited condensed consolidated financial statements..</w:t>
      </w:r>
    </w:p>
    <w:p>
      <w:pPr>
        <w:spacing w:after="0" w:line="11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 Instruments</w:t>
      </w:r>
      <w:r>
        <w:rPr>
          <w:rFonts w:ascii="Times New Roman" w:cs="Times New Roman" w:eastAsia="Times New Roman" w:hAnsi="Times New Roman"/>
          <w:sz w:val="17"/>
          <w:szCs w:val="17"/>
          <w:color w:val="auto"/>
        </w:rPr>
        <w:t xml:space="preserve">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Balance Sheet Components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74" w:lineRule="exact"/>
        <w:rPr>
          <w:sz w:val="20"/>
          <w:szCs w:val="20"/>
          <w:color w:val="auto"/>
        </w:rPr>
      </w:pPr>
    </w:p>
    <w:p>
      <w:pPr>
        <w:ind w:right="10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5"/>
              </w:rPr>
              <w:t>July 2,</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47,942</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assets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cash, cash equivalents, and restricted cash in the Statement of Cash Flows</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48,198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5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Our net accounts receivable are summarized below:</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jc w:val="center"/>
              <w:ind w:left="521"/>
              <w:spacing w:after="0" w:line="15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center"/>
              <w:ind w:right="319"/>
              <w:spacing w:after="0" w:line="157" w:lineRule="exact"/>
              <w:rPr>
                <w:sz w:val="20"/>
                <w:szCs w:val="20"/>
                <w:color w:val="auto"/>
              </w:rPr>
            </w:pPr>
            <w:r>
              <w:rPr>
                <w:rFonts w:ascii="Times New Roman" w:cs="Times New Roman" w:eastAsia="Times New Roman" w:hAnsi="Times New Roman"/>
                <w:sz w:val="14"/>
                <w:szCs w:val="14"/>
                <w:b w:val="1"/>
                <w:bCs w:val="1"/>
                <w:color w:val="auto"/>
                <w:w w:val="95"/>
              </w:rPr>
              <w:t>July 2,</w:t>
            </w:r>
          </w:p>
        </w:tc>
        <w:tc>
          <w:tcPr>
            <w:tcW w:w="0" w:type="dxa"/>
            <w:vAlign w:val="bottom"/>
          </w:tcPr>
          <w:p>
            <w:pPr>
              <w:spacing w:after="0"/>
              <w:rPr>
                <w:sz w:val="1"/>
                <w:szCs w:val="1"/>
                <w:color w:val="auto"/>
              </w:rPr>
            </w:pPr>
          </w:p>
        </w:tc>
      </w:tr>
      <w:tr>
        <w:trPr>
          <w:trHeight w:val="190"/>
        </w:trPr>
        <w:tc>
          <w:tcPr>
            <w:tcW w:w="75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50,276</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Allowances for collection losses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Our inventories are summarized below</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jc w:val="center"/>
              <w:ind w:left="521"/>
              <w:spacing w:after="0" w:line="15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center"/>
              <w:ind w:right="319"/>
              <w:spacing w:after="0" w:line="159" w:lineRule="exact"/>
              <w:rPr>
                <w:sz w:val="20"/>
                <w:szCs w:val="20"/>
                <w:color w:val="auto"/>
              </w:rPr>
            </w:pPr>
            <w:r>
              <w:rPr>
                <w:rFonts w:ascii="Times New Roman" w:cs="Times New Roman" w:eastAsia="Times New Roman" w:hAnsi="Times New Roman"/>
                <w:sz w:val="14"/>
                <w:szCs w:val="14"/>
                <w:b w:val="1"/>
                <w:bCs w:val="1"/>
                <w:color w:val="auto"/>
                <w:w w:val="95"/>
              </w:rPr>
              <w:t>July 2,</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15,409</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Raw materials and supplies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inventories</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Consigned inventories included within raw materials and supplies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vMerge w:val="continue"/>
          </w:tcPr>
          <w:p>
            <w:pPr>
              <w:spacing w:after="0"/>
              <w:rPr>
                <w:sz w:val="17"/>
                <w:szCs w:val="17"/>
                <w:color w:val="auto"/>
              </w:rPr>
            </w:pPr>
          </w:p>
        </w:tc>
        <w:tc>
          <w:tcPr>
            <w:tcW w:w="1180" w:type="dxa"/>
            <w:vAlign w:val="bottom"/>
          </w:tcPr>
          <w:p>
            <w:pPr>
              <w:jc w:val="right"/>
              <w:ind w:right="10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120" w:type="dxa"/>
            <w:vAlign w:val="bottom"/>
          </w:tcPr>
          <w:p>
            <w:pPr>
              <w:spacing w:after="0"/>
              <w:rPr>
                <w:sz w:val="17"/>
                <w:szCs w:val="17"/>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7"/>
          <w:szCs w:val="17"/>
          <w:color w:val="auto"/>
        </w:rPr>
        <w:t>We increased certain levels of inventory during the three and nine months ended April 1, 2022 primarily to mitigate supply chain constraints.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currently rely on a few vendors for substantially all of our inventory purchases.</w:t>
      </w:r>
    </w:p>
    <w:p>
      <w:pPr>
        <w:spacing w:after="0" w:line="170"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color w:val="auto"/>
        </w:rPr>
        <w:t>We record charges to adjust our inventory and customer service inventory due to excess and obsolete inventory resulting from lower sales forecasts, product transitioning, or discontinuance. The charges during the three and nine months ended April 1, 2022 and April 2, 2021 were classified in cost of product sales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3"/>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3"/>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center"/>
              <w:ind w:left="402"/>
              <w:spacing w:after="0" w:line="125"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60" w:type="dxa"/>
            <w:vAlign w:val="bottom"/>
          </w:tcPr>
          <w:p>
            <w:pPr>
              <w:spacing w:after="0"/>
              <w:rPr>
                <w:sz w:val="10"/>
                <w:szCs w:val="10"/>
                <w:color w:val="auto"/>
              </w:rPr>
            </w:pPr>
          </w:p>
        </w:tc>
        <w:tc>
          <w:tcPr>
            <w:tcW w:w="1120" w:type="dxa"/>
            <w:vAlign w:val="bottom"/>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Excess and obsolete inventory</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02"/>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22"/>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Customer service inventory write-downs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40"/>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inventory charges</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right="1102"/>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center"/>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p>
      <w:pPr>
        <w:spacing w:after="0" w:line="16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We consider properties to be Assets held for sale when management approves and commits to a plan to dispose of a property or group of properties. The property held for sale prior to the sale date is separately presented on the balance sheet as Assets held for sale.</w:t>
      </w:r>
    </w:p>
    <w:p>
      <w:pPr>
        <w:spacing w:after="0" w:line="10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second quarter of fiscal 2021 management initiated the sale of our facility located in the United Kingdom. We completed the sale during the third quarter of fiscal 2022 with proceeds of $2.3 million, reflecting a gain of $0.1 million. We have no additional assets held for sale.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property, plant and equipment, net are summarized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6,914</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21,370</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52,065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51,244</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plant and equipment, gross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(68,037)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Included in the total plant, property and equipment above there were no assets in progress which have not been placed in service as of April 1, 2022 and $0.3 million as of July 2, 2021. Depreciation and amortization expense related to property, plant and equipment, including amortization of software developed for internal use,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70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center"/>
              <w:ind w:left="426"/>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445"/>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485"/>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center"/>
              <w:ind w:right="465"/>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accrued expenses are summarized below:</w:t>
      </w:r>
    </w:p>
    <w:p>
      <w:pPr>
        <w:spacing w:after="0" w:line="11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120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agent commissions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warranties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accrued expenses</w:t>
            </w:r>
          </w:p>
        </w:tc>
        <w:tc>
          <w:tcPr>
            <w:tcW w:w="120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Warranties</w:t>
      </w:r>
    </w:p>
    <w:p>
      <w:pPr>
        <w:spacing w:after="0" w:line="174"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680" w:type="dxa"/>
            <w:vAlign w:val="bottom"/>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6"/>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ind w:left="40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ind w:right="99"/>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7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the beginning of the period</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Warranty provision recorded during the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Consumption during the period</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the end of the period</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Advance Payments and Unearned Revenue</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2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2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Our advance payments and unearned revenue are summarized below:</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7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payments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Unearned revenue</w:t>
            </w:r>
          </w:p>
        </w:tc>
        <w:tc>
          <w:tcPr>
            <w:tcW w:w="1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advance payments and unearned revenue</w:t>
            </w:r>
          </w:p>
        </w:tc>
        <w:tc>
          <w:tcPr>
            <w:tcW w:w="10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420" w:firstLine="470"/>
        <w:spacing w:after="0" w:line="449" w:lineRule="auto"/>
        <w:rPr>
          <w:sz w:val="20"/>
          <w:szCs w:val="20"/>
          <w:color w:val="auto"/>
        </w:rPr>
      </w:pPr>
      <w:r>
        <w:rPr>
          <w:rFonts w:ascii="Times New Roman" w:cs="Times New Roman" w:eastAsia="Times New Roman" w:hAnsi="Times New Roman"/>
          <w:sz w:val="17"/>
          <w:szCs w:val="17"/>
          <w:color w:val="auto"/>
        </w:rPr>
        <w:t xml:space="preserve">Excluded from the balances above are $7.6 million and $8.6 million in long-term unearned revenue as of April 1, 2022 and July 2, 2021, respectively. </w:t>
      </w:r>
      <w:r>
        <w:rPr>
          <w:rFonts w:ascii="Times New Roman" w:cs="Times New Roman" w:eastAsia="Times New Roman" w:hAnsi="Times New Roman"/>
          <w:sz w:val="17"/>
          <w:szCs w:val="17"/>
          <w:b w:val="1"/>
          <w:bCs w:val="1"/>
          <w:color w:val="auto"/>
        </w:rPr>
        <w:t>Note 3. Fair Value Measurements of Assets and Liabilities</w:t>
      </w: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such as quoted prices in active markets for identical assets or liabilities;</w:t>
      </w:r>
    </w:p>
    <w:p>
      <w:pPr>
        <w:spacing w:after="0" w:line="65"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market-based inputs or observable inputs that are corroborated by market data; and</w:t>
      </w:r>
    </w:p>
    <w:p>
      <w:pPr>
        <w:spacing w:after="0" w:line="65"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15" w:right="239" w:bottom="1440" w:gutter="0" w:footer="0" w:header="0"/>
        </w:sectPr>
      </w:pPr>
    </w:p>
    <w:bookmarkStart w:id="14" w:name="page15"/>
    <w:bookmarkEnd w:id="14"/>
    <w:p>
      <w:pPr>
        <w:ind w:firstLine="470"/>
        <w:spacing w:after="0" w:line="295" w:lineRule="auto"/>
        <w:rPr>
          <w:sz w:val="20"/>
          <w:szCs w:val="20"/>
          <w:color w:val="auto"/>
        </w:rPr>
      </w:pPr>
      <w:r>
        <w:rPr>
          <w:rFonts w:ascii="Times New Roman" w:cs="Times New Roman" w:eastAsia="Times New Roman" w:hAnsi="Times New Roman"/>
          <w:sz w:val="17"/>
          <w:szCs w:val="17"/>
          <w:color w:val="auto"/>
        </w:rPr>
        <w:t>The fair values, and valuation input levels of our assets and liabilities that are measured at fair value on a recurring basis as of April 1, 2022 and July 2,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280" w:type="dxa"/>
            <w:vAlign w:val="bottom"/>
          </w:tcPr>
          <w:p>
            <w:pPr>
              <w:spacing w:after="0"/>
              <w:rPr>
                <w:sz w:val="16"/>
                <w:szCs w:val="16"/>
                <w:color w:val="auto"/>
              </w:rPr>
            </w:pPr>
          </w:p>
        </w:tc>
        <w:tc>
          <w:tcPr>
            <w:tcW w:w="12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24"/>
                <w:szCs w:val="24"/>
                <w:color w:val="auto"/>
              </w:rPr>
            </w:pPr>
          </w:p>
        </w:tc>
        <w:tc>
          <w:tcPr>
            <w:tcW w:w="12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Inputs</w:t>
            </w:r>
          </w:p>
        </w:tc>
      </w:tr>
      <w:tr>
        <w:trPr>
          <w:trHeight w:val="23"/>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2"/>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6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Level 1</w:t>
            </w:r>
          </w:p>
        </w:tc>
      </w:tr>
      <w:tr>
        <w:trPr>
          <w:trHeight w:val="222"/>
        </w:trPr>
        <w:tc>
          <w:tcPr>
            <w:tcW w:w="63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Bank certificates of deposit</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2</w:t>
            </w:r>
          </w:p>
        </w:tc>
      </w:tr>
      <w:tr>
        <w:trPr>
          <w:trHeight w:val="222"/>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securities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Level 1</w:t>
            </w:r>
          </w:p>
        </w:tc>
      </w:tr>
    </w:tbl>
    <w:p>
      <w:pPr>
        <w:spacing w:after="0" w:line="2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classify items within Level 1 if quoted prices are available in active markets. Our Level 1 items mainly are money market funds. As of April 1, 2022 and July 2, 2021, these money market funds were valued at $1.00 net asset value per share.</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marketable securities are included in non-current assets on our balance sheet as we intend to hold for longer than 12 months. These marketable securities are publicly traded stock measured at fair value and classified within Level 1.</w:t>
      </w:r>
    </w:p>
    <w:p>
      <w:pPr>
        <w:spacing w:after="0" w:line="94" w:lineRule="exact"/>
        <w:rPr>
          <w:sz w:val="20"/>
          <w:szCs w:val="20"/>
          <w:color w:val="auto"/>
        </w:rPr>
      </w:pPr>
    </w:p>
    <w:p>
      <w:pPr>
        <w:ind w:right="100" w:firstLine="470"/>
        <w:spacing w:after="0" w:line="276" w:lineRule="auto"/>
        <w:rPr>
          <w:sz w:val="20"/>
          <w:szCs w:val="20"/>
          <w:color w:val="auto"/>
        </w:rPr>
      </w:pPr>
      <w:r>
        <w:rPr>
          <w:rFonts w:ascii="Times New Roman" w:cs="Times New Roman" w:eastAsia="Times New Roman" w:hAnsi="Times New Roman"/>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April 1, 2022 and July 2, 2021, we did not have any recurring assets or liabilities that were valued using significant unobservable inputs.</w:t>
      </w:r>
    </w:p>
    <w:p>
      <w:pPr>
        <w:spacing w:after="0" w:line="17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policy is to recognize asset or liability transfers among Level 1, Level 2, and Level 3 as of the actual date of the events or change in circumstances that caused the transfer. During the first nine months of fiscal 2022 and 2021, we had no transfers between levels of the fair value hierarchy of our assets or liabilities measured at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Leases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nine months ended April 1, 2022.</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summarizes our lease costs (in thousands):</w:t>
      </w:r>
    </w:p>
    <w:p>
      <w:pPr>
        <w:sectPr>
          <w:pgSz w:w="11900" w:h="16838" w:orient="portrait"/>
          <w:cols w:equalWidth="0" w:num="1">
            <w:col w:w="11240"/>
          </w:cols>
          <w:pgMar w:left="320" w:top="1219" w:right="339" w:bottom="1440" w:gutter="0" w:footer="0" w:header="0"/>
        </w:sectPr>
      </w:pPr>
    </w:p>
    <w:p>
      <w:pPr>
        <w:spacing w:after="0" w:line="47" w:lineRule="exact"/>
        <w:rPr>
          <w:sz w:val="20"/>
          <w:szCs w:val="20"/>
          <w:color w:val="auto"/>
        </w:rPr>
      </w:pPr>
    </w:p>
    <w:tbl>
      <w:tblPr>
        <w:tblLayout w:type="fixed"/>
        <w:tblInd w:w="5320" w:type="dxa"/>
        <w:tblCellMar>
          <w:top w:w="0" w:type="dxa"/>
          <w:left w:w="0" w:type="dxa"/>
          <w:bottom w:w="0" w:type="dxa"/>
          <w:right w:w="0" w:type="dxa"/>
        </w:tblCellMar>
      </w:tblPr>
      <w:tr>
        <w:trPr>
          <w:trHeight w:val="184"/>
        </w:trPr>
        <w:tc>
          <w:tcPr>
            <w:tcW w:w="2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9"/>
        </w:trPr>
        <w:tc>
          <w:tcPr>
            <w:tcW w:w="960" w:type="dxa"/>
            <w:vAlign w:val="bottom"/>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2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April 2, 2021</w:t>
            </w:r>
          </w:p>
        </w:tc>
        <w:tc>
          <w:tcPr>
            <w:tcW w:w="0" w:type="dxa"/>
            <w:vAlign w:val="bottom"/>
          </w:tcPr>
          <w:p>
            <w:pPr>
              <w:spacing w:after="0"/>
              <w:rPr>
                <w:sz w:val="1"/>
                <w:szCs w:val="1"/>
                <w:color w:val="auto"/>
              </w:rPr>
            </w:pPr>
          </w:p>
        </w:tc>
      </w:tr>
      <w:tr>
        <w:trPr>
          <w:trHeight w:val="184"/>
        </w:trPr>
        <w:tc>
          <w:tcPr>
            <w:tcW w:w="9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-208915</wp:posOffset>
            </wp:positionV>
            <wp:extent cx="20167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April 1,</w:t>
            </w:r>
          </w:p>
        </w:tc>
        <w:tc>
          <w:tcPr>
            <w:tcW w:w="18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w w:val="98"/>
              </w:rPr>
              <w:t>April 2, 2021</w:t>
            </w:r>
          </w:p>
        </w:tc>
        <w:tc>
          <w:tcPr>
            <w:tcW w:w="0" w:type="dxa"/>
            <w:vAlign w:val="bottom"/>
          </w:tcPr>
          <w:p>
            <w:pPr>
              <w:spacing w:after="0"/>
              <w:rPr>
                <w:sz w:val="1"/>
                <w:szCs w:val="1"/>
                <w:color w:val="auto"/>
              </w:rPr>
            </w:pPr>
          </w:p>
        </w:tc>
      </w:tr>
      <w:tr>
        <w:trPr>
          <w:trHeight w:val="184"/>
        </w:trPr>
        <w:tc>
          <w:tcPr>
            <w:tcW w:w="4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-208915</wp:posOffset>
            </wp:positionV>
            <wp:extent cx="2033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80" w:space="720"/>
            <w:col w:w="2640"/>
          </w:cols>
          <w:pgMar w:left="320" w:top="1219"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Borders>
              <w:top w:val="single" w:sz="8" w:color="auto"/>
            </w:tcBorders>
          </w:tcPr>
          <w:p>
            <w:pPr>
              <w:spacing w:after="0"/>
              <w:rPr>
                <w:sz w:val="16"/>
                <w:szCs w:val="16"/>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5"/>
        </w:trPr>
        <w:tc>
          <w:tcPr>
            <w:tcW w:w="4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lease costs</w:t>
            </w: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2,487</w:t>
            </w:r>
          </w:p>
        </w:tc>
      </w:tr>
      <w:tr>
        <w:trPr>
          <w:trHeight w:val="20"/>
        </w:trPr>
        <w:tc>
          <w:tcPr>
            <w:tcW w:w="4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9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summarizes our lease term and discount rate for the nine months ended April 1, 2022:</w:t>
            </w:r>
          </w:p>
        </w:tc>
        <w:tc>
          <w:tcPr>
            <w:tcW w:w="2200" w:type="dxa"/>
            <w:vAlign w:val="bottom"/>
          </w:tcPr>
          <w:p>
            <w:pPr>
              <w:spacing w:after="0"/>
              <w:rPr>
                <w:sz w:val="19"/>
                <w:szCs w:val="19"/>
                <w:color w:val="auto"/>
              </w:rPr>
            </w:pPr>
          </w:p>
        </w:tc>
      </w:tr>
      <w:tr>
        <w:trPr>
          <w:trHeight w:val="183"/>
        </w:trPr>
        <w:tc>
          <w:tcPr>
            <w:tcW w:w="904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2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years</w:t>
            </w:r>
          </w:p>
        </w:tc>
      </w:tr>
      <w:tr>
        <w:trPr>
          <w:trHeight w:val="227"/>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r>
    </w:tbl>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April 1, 2022, our future minimum lease payments under all non-cancelable operating leases with an initial term in excess of one year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2"/>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(In thousands)</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2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2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22"/>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2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w:t>
            </w:r>
          </w:p>
        </w:tc>
      </w:tr>
      <w:tr>
        <w:trPr>
          <w:trHeight w:val="215"/>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w:t>
            </w:r>
          </w:p>
        </w:tc>
      </w:tr>
      <w:tr>
        <w:trPr>
          <w:trHeight w:val="240"/>
        </w:trPr>
        <w:tc>
          <w:tcPr>
            <w:tcW w:w="9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Credit Facility and Debt</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May 17, 2021, we entered into Amendment No. 4 to Third Amended and Restated Loan and Security Agreement with Silicon Valley Bank (the “SVB Credit Facility”) which extended the expiration date to June 28, 2024.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April 1, 2022, available credit under the SVB Credit Facility was $21.7 million, reflecting the lower available limit of $25.0 million less outstanding letters of credit of $3.3 million. As of July 3, 2020, our outstanding debt balance under the SVB Credit Facility, classified as a current liability, was $9.0 million, and the interest rate was 3.75%. We repaid the outstanding debt balance in July 2020. We have not borrowed against the SVB Credit Facility during the nine months ended April 1, 2022 and there were no borrowing outstanding as of April 1, 2022 or July 2, 2021.</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1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April 1, 2022, we were in compliance with the quarterly financial covenants contained in the SVB Credit Facility, as amended.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6" w:name="page17"/>
    <w:bookmarkEnd w:id="16"/>
    <w:p>
      <w:pPr>
        <w:jc w:val="both"/>
        <w:ind w:firstLine="470"/>
        <w:spacing w:after="0" w:line="268" w:lineRule="auto"/>
        <w:rPr>
          <w:sz w:val="20"/>
          <w:szCs w:val="20"/>
          <w:color w:val="auto"/>
        </w:rPr>
      </w:pPr>
      <w:r>
        <w:rPr>
          <w:rFonts w:ascii="Times New Roman" w:cs="Times New Roman" w:eastAsia="Times New Roman" w:hAnsi="Times New Roman"/>
          <w:sz w:val="17"/>
          <w:szCs w:val="17"/>
          <w:color w:val="auto"/>
        </w:rPr>
        <w:t>We also obtained an uncommitted short-term line of credit of $0.4 million from a bank in New Zealand to support the operations of our New Zealand subsidiary. This line of credit provides for up to $0.3 million in short-term advances at various interest rates, all of which was available as of April 1, 2022 and July 2, 2021. The line of credit also provides for the issuance of standby letters of credit and company credit cards, of which none was outstanding as of April 1, 2022 and July 2, 2021. This line of credit may be terminated upon notice, is reviewed annually for renewal or modification, and is supported by a corporate guarantee.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Revenue Recognition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 Performance Obligations, and Backlog</w:t>
      </w: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receivables and liabilities from contracts with customers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32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Assets</w:t>
            </w: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48,135</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45,700</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37,521</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commissions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 payments and unearned revenue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32,304</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Unearned revenue, long-term</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Significant changes in contract balances may arise as a result of recognition over time for services, transfer of control for equipment, and periodic payments (both in arrears and in advance).</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of April 1, 2022, we had $45.7 million in advance payments and unearned revenue and long-term unearned revenue, of which approximately 18% is expected to be recognized as revenue in the remainder of fiscal 2022 and the balance thereafter. During the three and nine months ended April 1, 2022 we recognized $5.3 million and $18.8 million, respectively, of revenue which was included in advance payments and unearned revenue at July 2,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aggregate amount of transaction price allocated to our unsatisfied (or partially unsatisfied) performance obligations was approximately $82.8 million at April 1, 2022. Of this amount, we expect to recognize approximately 70% as revenue during the next 12 months, with the remaining amount to be recognized as revenue within two to five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Segment and Geographic Information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operate in one reportable business segment: the design, manufacturing, and sale of a range of wireless networking products, solutions, and services.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financial performance is regularly reviewed by our chief operating decision maker who is our Chief Executive Officer (“CEO”).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 revenue by region and country based on the location where our customers accept delivery of our products and services. Revenue by region for the three and nine months ended April 1, 2022 and April 2,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68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2"/>
          </w:tcPr>
          <w:p>
            <w:pPr>
              <w:ind w:left="22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60" w:type="dxa"/>
            <w:vAlign w:val="bottom"/>
          </w:tcPr>
          <w:p>
            <w:pPr>
              <w:spacing w:after="0"/>
              <w:rPr>
                <w:sz w:val="10"/>
                <w:szCs w:val="10"/>
                <w:color w:val="auto"/>
              </w:rPr>
            </w:pPr>
          </w:p>
        </w:tc>
        <w:tc>
          <w:tcPr>
            <w:tcW w:w="1000" w:type="dxa"/>
            <w:vAlign w:val="bottom"/>
          </w:tcPr>
          <w:p>
            <w:pPr>
              <w:jc w:val="right"/>
              <w:ind w:right="458"/>
              <w:spacing w:after="0" w:line="124"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102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49,042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136,678</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Africa and the Middle East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13,123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31,138</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Latin America and Asia Pacific</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28,356</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74,516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66,404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225,538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203,225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color w:val="auto"/>
        </w:rPr>
        <w:t>The loss of a significant portion of business from any significant customers could adversely affect our unaudited condensed consolidated financial statements.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Customers</w:t>
            </w:r>
          </w:p>
        </w:tc>
        <w:tc>
          <w:tcPr>
            <w:tcW w:w="13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accounting</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or</w:t>
            </w:r>
          </w:p>
        </w:tc>
        <w:tc>
          <w:tcPr>
            <w:tcW w:w="1040" w:type="dxa"/>
            <w:vAlign w:val="bottom"/>
            <w:gridSpan w:val="2"/>
          </w:tcPr>
          <w:p>
            <w:pPr>
              <w:jc w:val="right"/>
              <w:ind w:right="305"/>
              <w:spacing w:after="0"/>
              <w:rPr>
                <w:sz w:val="20"/>
                <w:szCs w:val="20"/>
                <w:color w:val="auto"/>
              </w:rPr>
            </w:pPr>
            <w:r>
              <w:rPr>
                <w:rFonts w:ascii="Times New Roman" w:cs="Times New Roman" w:eastAsia="Times New Roman" w:hAnsi="Times New Roman"/>
                <w:sz w:val="17"/>
                <w:szCs w:val="17"/>
                <w:color w:val="auto"/>
              </w:rPr>
              <w:t>more</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w:t>
            </w:r>
          </w:p>
        </w:tc>
        <w:tc>
          <w:tcPr>
            <w:tcW w:w="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our</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99"/>
              </w:rPr>
              <w:t>total</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revenue</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were</w:t>
            </w:r>
          </w:p>
        </w:tc>
        <w:tc>
          <w:tcPr>
            <w:tcW w:w="80" w:type="dxa"/>
            <w:vAlign w:val="bottom"/>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r>
      <w:tr>
        <w:trPr>
          <w:trHeight w:val="199"/>
        </w:trPr>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880" w:type="dxa"/>
            <w:vAlign w:val="bottom"/>
          </w:tcPr>
          <w:p>
            <w:pPr>
              <w:spacing w:after="0"/>
              <w:rPr>
                <w:sz w:val="17"/>
                <w:szCs w:val="17"/>
                <w:color w:val="auto"/>
              </w:rPr>
            </w:pPr>
          </w:p>
        </w:tc>
      </w:tr>
      <w:tr>
        <w:trPr>
          <w:trHeight w:val="23"/>
        </w:trPr>
        <w:tc>
          <w:tcPr>
            <w:tcW w:w="1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25"/>
        </w:trPr>
        <w:tc>
          <w:tcPr>
            <w:tcW w:w="1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tcPr>
          <w:p>
            <w:pPr>
              <w:jc w:val="center"/>
              <w:ind w:left="22"/>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3"/>
          </w:tcPr>
          <w:p>
            <w:pPr>
              <w:jc w:val="right"/>
              <w:ind w:right="60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89"/>
        </w:trPr>
        <w:tc>
          <w:tcPr>
            <w:tcW w:w="14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2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Motorola Solutions, Inc.</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 U.S. State Government Customer</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12.5 %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Mobile Telephone Networks Group (MTN Group)</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0"/>
        </w:trPr>
        <w:tc>
          <w:tcPr>
            <w:tcW w:w="27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Less than 10.0%</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6"/>
        </w:trPr>
        <w:tc>
          <w:tcPr>
            <w:tcW w:w="14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Customer</w:t>
            </w:r>
          </w:p>
        </w:tc>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accounting</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10%</w:t>
            </w: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or</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more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of</w:t>
            </w:r>
          </w:p>
        </w:tc>
        <w:tc>
          <w:tcPr>
            <w:tcW w:w="7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auto"/>
              </w:rPr>
              <w:t>our</w:t>
            </w:r>
          </w:p>
        </w:tc>
        <w:tc>
          <w:tcPr>
            <w:tcW w:w="36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accounts</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receivable</w:t>
            </w:r>
          </w:p>
        </w:tc>
        <w:tc>
          <w:tcPr>
            <w:tcW w:w="44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6"/>
              </w:rPr>
              <w:t>were</w:t>
            </w:r>
          </w:p>
        </w:tc>
        <w:tc>
          <w:tcPr>
            <w:tcW w:w="80" w:type="dxa"/>
            <w:vAlign w:val="bottom"/>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r>
      <w:tr>
        <w:trPr>
          <w:trHeight w:val="199"/>
        </w:trPr>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3"/>
        </w:trPr>
        <w:tc>
          <w:tcPr>
            <w:tcW w:w="4140" w:type="dxa"/>
            <w:vAlign w:val="bottom"/>
            <w:tcBorders>
              <w:bottom w:val="single" w:sz="8" w:color="CCEEFF"/>
            </w:tcBorders>
            <w:gridSpan w:val="4"/>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5"/>
        </w:trPr>
        <w:tc>
          <w:tcPr>
            <w:tcW w:w="41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Mobile Telephone Networks Group (MTN Group)</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During the third quarter of fiscal 2022, we repurchased 65,951 shares of our common stock in the open market for an aggregate purchase price, including commissions, of $2.0 million. During the nine months ended of fiscal 2022, we repurchased 149,389 shares of our common stock in the open market for an aggregate purchase price, including commission of $4.6 million. These shares were recorded as treasury stock, and we do not anticipate retiring them.</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November 2021 our Board of Directors approved a stock repurchase program to purchase up to $10.0 million of our common stock. As of April 1, 2022, $8.0 million remains available and we may choose to suspend or discontinue the repurchase program at any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Incentive Programs</w:t>
      </w:r>
    </w:p>
    <w:p>
      <w:pPr>
        <w:spacing w:after="0" w:line="17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of April 1, 2022,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2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8" w:name="page19"/>
    <w:bookmarkEnd w:id="18"/>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nine months ended April 1, 2022, we granted 70,531 restricted stock units, 46,533 market-based stock units and 114,012 stock options to purchase shares of our common stock.</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compensation expense for share-based awards included in our unaudited condensed consolidated statements of operations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76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right"/>
              <w:ind w:right="457"/>
              <w:spacing w:after="0" w:line="125"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gridSpan w:val="3"/>
            <w:vMerge w:val="continue"/>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7"/>
                <w:szCs w:val="17"/>
                <w:b w:val="1"/>
                <w:bCs w:val="1"/>
                <w:color w:val="auto"/>
              </w:rPr>
              <w:t>By Expense Category:</w:t>
            </w:r>
          </w:p>
        </w:tc>
        <w:tc>
          <w:tcPr>
            <w:tcW w:w="30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Cost of revenues</w:t>
            </w:r>
          </w:p>
        </w:tc>
        <w:tc>
          <w:tcPr>
            <w:tcW w:w="110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1120" w:type="dxa"/>
            <w:vAlign w:val="bottom"/>
          </w:tcPr>
          <w:p>
            <w:pPr>
              <w:jc w:val="right"/>
              <w:ind w:right="91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Selling and administrative</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By Types of Award:</w:t>
            </w:r>
          </w:p>
        </w:tc>
        <w:tc>
          <w:tcPr>
            <w:tcW w:w="322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32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Restricted and performance stock awards and units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of April 1, 2022, there was approximately $1.1 million of total unrecognized compensation expense related to non-vested stock options granted which is expected to be recognized over a weighted-average period of 1.3 years. As of April 1, 2022, there was $4.8 million of total unrecognized compensation expense related to non-vested stock awards which is expected to be recognized over a weighted-average period of 1.3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Restructuring Activities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restructuring-related activities: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Facilities and Other</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2021 Plan</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Prior Years' Plan</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2015-2016 Plan</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Accrual balance, July 2,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Charges,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payments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impact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Accrual balance, October 1, 2021</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Recovery,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payments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impact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Accrual balance,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Recovery,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payments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impact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Accrual balance, April 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9" w:name="page20"/>
    <w:bookmarkEnd w:id="19"/>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As of April 1, 2022, the accrual balance of $1.0 million was in short-term restructuring liabilities on our unaudited condensed consolidated balance sheets. Included in the above plans for which we were carrying a provision were positions identified for termination that have not been executed from a restructuring perspective.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2021 Plan</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third quarter of fiscal 2021, our Board of Directors approved a restructuring plan (the “Fiscal 2021 Plan”) in order to continue to reduce operating costs and improve profitability as part of our transformational initiative to optimize our business model and increase efficiencies. The Fiscal 2021 Plan was anticipated to entail a reduction in force of approximately 30 employees to be implemented through the end of fiscal year 2022, with a certain number of positions being consolidated and/or relocated.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Prior Years’ Plan</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Activities under the Fiscal 2015-2016 Plan primarily included reductions in workforce across the Company, but primarily in operations outside the United States. Payments related to the accrued restructuring liability balance for this plan are complete. The Q4 2020 Plan was completed in the second quarter of fiscal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Income Taxes</w:t>
      </w:r>
    </w:p>
    <w:p>
      <w:pPr>
        <w:spacing w:after="0" w:line="17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2022.</w:t>
      </w: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determination of our income taxes for the nine months ended April 1, 2022 and April 2, 2021 was based on our estimated annual effective tax rate adjusted for losses in certain jurisdictions for which no tax benefit can be recognized. Our tax expense for the nine months ended April 1, 2022 was primarily due to tax expense related to U.S. and profitable subsidiaries. The tax benefit for the nine months ended April 2, 2021 was primarily due to the release of valuation allowance on our U.S. federal and state deferred tax assets</w:t>
      </w:r>
    </w:p>
    <w:p>
      <w:pPr>
        <w:spacing w:after="0" w:line="20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18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account for interest and penalties related to unrecognized tax benefits as part of our provision for federal, foreign, and state income taxes. Such interest expense was not material for the nine months ended April 1, 2022 and April 2, 2021.</w:t>
      </w:r>
    </w:p>
    <w:p>
      <w:pPr>
        <w:spacing w:after="0" w:line="173"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173"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CAA and ARPA and the impact they may have on our future business.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Note 11. Net Income Per Share of Common Stock</w:t>
      </w:r>
    </w:p>
    <w:p>
      <w:pPr>
        <w:spacing w:after="0" w:line="172" w:lineRule="exact"/>
        <w:rPr>
          <w:sz w:val="20"/>
          <w:szCs w:val="20"/>
          <w:color w:val="auto"/>
        </w:rPr>
      </w:pPr>
    </w:p>
    <w:p>
      <w:pPr>
        <w:jc w:val="both"/>
        <w:ind w:left="480"/>
        <w:spacing w:after="0"/>
        <w:tabs>
          <w:tab w:leader="none" w:pos="1120" w:val="left"/>
          <w:tab w:leader="none" w:pos="2200" w:val="left"/>
          <w:tab w:leader="none" w:pos="2940" w:val="left"/>
          <w:tab w:leader="none" w:pos="3920" w:val="left"/>
        </w:tabs>
        <w:rPr>
          <w:sz w:val="20"/>
          <w:szCs w:val="20"/>
          <w:color w:val="auto"/>
        </w:rPr>
      </w:pPr>
      <w:r>
        <w:rPr>
          <w:rFonts w:ascii="Times New Roman" w:cs="Times New Roman" w:eastAsia="Times New Roman" w:hAnsi="Times New Roman"/>
          <w:sz w:val="17"/>
          <w:szCs w:val="17"/>
          <w:color w:val="auto"/>
        </w:rPr>
        <w:t>The</w:t>
      </w:r>
      <w:r>
        <w:rPr>
          <w:sz w:val="20"/>
          <w:szCs w:val="20"/>
          <w:color w:val="auto"/>
        </w:rPr>
        <w:tab/>
      </w:r>
      <w:r>
        <w:rPr>
          <w:rFonts w:ascii="Times New Roman" w:cs="Times New Roman" w:eastAsia="Times New Roman" w:hAnsi="Times New Roman"/>
          <w:sz w:val="17"/>
          <w:szCs w:val="17"/>
          <w:color w:val="auto"/>
        </w:rPr>
        <w:t>following</w:t>
      </w:r>
      <w:r>
        <w:rPr>
          <w:sz w:val="20"/>
          <w:szCs w:val="20"/>
          <w:color w:val="auto"/>
        </w:rPr>
        <w:tab/>
      </w:r>
      <w:r>
        <w:rPr>
          <w:rFonts w:ascii="Times New Roman" w:cs="Times New Roman" w:eastAsia="Times New Roman" w:hAnsi="Times New Roman"/>
          <w:sz w:val="17"/>
          <w:szCs w:val="17"/>
          <w:color w:val="auto"/>
        </w:rPr>
        <w:t>table</w:t>
      </w:r>
      <w:r>
        <w:rPr>
          <w:sz w:val="20"/>
          <w:szCs w:val="20"/>
          <w:color w:val="auto"/>
        </w:rPr>
        <w:tab/>
      </w:r>
      <w:r>
        <w:rPr>
          <w:rFonts w:ascii="Times New Roman" w:cs="Times New Roman" w:eastAsia="Times New Roman" w:hAnsi="Times New Roman"/>
          <w:sz w:val="17"/>
          <w:szCs w:val="17"/>
          <w:color w:val="auto"/>
        </w:rPr>
        <w:t>presents</w:t>
      </w:r>
      <w:r>
        <w:rPr>
          <w:sz w:val="20"/>
          <w:szCs w:val="20"/>
          <w:color w:val="auto"/>
        </w:rPr>
        <w:tab/>
      </w:r>
      <w:r>
        <w:rPr>
          <w:rFonts w:ascii="Times New Roman" w:cs="Times New Roman" w:eastAsia="Times New Roman" w:hAnsi="Times New Roman"/>
          <w:sz w:val="17"/>
          <w:szCs w:val="17"/>
          <w:color w:val="auto"/>
        </w:rPr>
        <w:t>the</w:t>
      </w: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income</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p>
      <w:pPr>
        <w:spacing w:after="0" w:line="34" w:lineRule="exact"/>
        <w:rPr>
          <w:sz w:val="20"/>
          <w:szCs w:val="20"/>
          <w:color w:val="auto"/>
        </w:rPr>
      </w:pPr>
    </w:p>
    <w:p>
      <w:pPr>
        <w:ind w:left="180" w:right="760"/>
        <w:spacing w:after="0" w:line="293" w:lineRule="auto"/>
        <w:rPr>
          <w:sz w:val="20"/>
          <w:szCs w:val="20"/>
          <w:color w:val="auto"/>
        </w:rPr>
      </w:pPr>
      <w:r>
        <w:rPr>
          <w:rFonts w:ascii="Times New Roman" w:cs="Times New Roman" w:eastAsia="Times New Roman" w:hAnsi="Times New Roman"/>
          <w:sz w:val="17"/>
          <w:szCs w:val="17"/>
          <w:color w:val="auto"/>
        </w:rPr>
        <w:t>Weighted-average shares outstanding, basic Effect of potentially dilutive equivalent shares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Weighted-average shares outstanding, diluted</w:t>
      </w:r>
    </w:p>
    <w:p>
      <w:pPr>
        <w:spacing w:after="0" w:line="2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Net income per share of common stock outstanding:</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7"/>
                <w:szCs w:val="17"/>
                <w:color w:val="auto"/>
                <w:w w:val="98"/>
              </w:rPr>
              <w:t>computation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w:t>
            </w: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and</w:t>
            </w:r>
          </w:p>
        </w:tc>
        <w:tc>
          <w:tcPr>
            <w:tcW w:w="104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diluted</w:t>
            </w:r>
          </w:p>
        </w:tc>
        <w:tc>
          <w:tcPr>
            <w:tcW w:w="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w:t>
            </w: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income</w:t>
            </w: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w:t>
            </w:r>
          </w:p>
        </w:tc>
      </w:tr>
      <w:tr>
        <w:trPr>
          <w:trHeight w:val="199"/>
        </w:trPr>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gridSpan w:val="4"/>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7"/>
                <w:szCs w:val="17"/>
                <w:color w:val="auto"/>
              </w:rPr>
            </w:pPr>
          </w:p>
        </w:tc>
      </w:tr>
      <w:tr>
        <w:trPr>
          <w:trHeight w:val="23"/>
        </w:trPr>
        <w:tc>
          <w:tcPr>
            <w:tcW w:w="16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25"/>
        </w:trPr>
        <w:tc>
          <w:tcPr>
            <w:tcW w:w="160" w:type="dxa"/>
            <w:vAlign w:val="bottom"/>
          </w:tcPr>
          <w:p>
            <w:pPr>
              <w:spacing w:after="0"/>
              <w:rPr>
                <w:sz w:val="10"/>
                <w:szCs w:val="10"/>
                <w:color w:val="auto"/>
              </w:rPr>
            </w:pPr>
          </w:p>
        </w:tc>
        <w:tc>
          <w:tcPr>
            <w:tcW w:w="1640" w:type="dxa"/>
            <w:vAlign w:val="bottom"/>
            <w:gridSpan w:val="3"/>
          </w:tcPr>
          <w:p>
            <w:pPr>
              <w:ind w:left="540"/>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April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tcPr>
          <w:p>
            <w:pPr>
              <w:jc w:val="center"/>
              <w:ind w:right="213"/>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r>
      <w:tr>
        <w:trPr>
          <w:trHeight w:val="189"/>
        </w:trPr>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429"/>
        </w:trPr>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6,029</w:t>
            </w:r>
          </w:p>
        </w:tc>
        <w:tc>
          <w:tcPr>
            <w:tcW w:w="1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94,731</w:t>
            </w:r>
          </w:p>
        </w:tc>
        <w:tc>
          <w:tcPr>
            <w:tcW w:w="100" w:type="dxa"/>
            <w:vAlign w:val="bottom"/>
          </w:tcPr>
          <w:p>
            <w:pPr>
              <w:spacing w:after="0"/>
              <w:rPr>
                <w:sz w:val="24"/>
                <w:szCs w:val="24"/>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16,627</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107,308</w:t>
            </w:r>
          </w:p>
        </w:tc>
      </w:tr>
      <w:tr>
        <w:trPr>
          <w:trHeight w:val="20"/>
        </w:trPr>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667"/>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11,152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11,172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10,994</w:t>
            </w:r>
          </w:p>
        </w:tc>
      </w:tr>
      <w:tr>
        <w:trPr>
          <w:trHeight w:val="227"/>
        </w:trPr>
        <w:tc>
          <w:tcPr>
            <w:tcW w:w="1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15"/>
        </w:trPr>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11,842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11,848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11,532</w:t>
            </w:r>
          </w:p>
        </w:tc>
      </w:tr>
      <w:tr>
        <w:trPr>
          <w:trHeight w:val="20"/>
        </w:trPr>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67"/>
        </w:trPr>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tcPr>
          <w:p>
            <w:pPr>
              <w:spacing w:after="0"/>
              <w:rPr>
                <w:sz w:val="24"/>
                <w:szCs w:val="24"/>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7"/>
        </w:trPr>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-1642110</wp:posOffset>
            </wp:positionV>
            <wp:extent cx="7136765" cy="140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-1343660</wp:posOffset>
            </wp:positionV>
            <wp:extent cx="7136765" cy="165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-1036320</wp:posOffset>
            </wp:positionV>
            <wp:extent cx="7136765" cy="140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-754380</wp:posOffset>
            </wp:positionV>
            <wp:extent cx="7136765" cy="165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-422275</wp:posOffset>
            </wp:positionV>
            <wp:extent cx="7136765" cy="140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-140335</wp:posOffset>
            </wp:positionV>
            <wp:extent cx="713676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400"/>
            <w:col w:w="6680"/>
          </w:cols>
          <w:pgMar w:left="320" w:top="1217" w:right="339" w:bottom="1440" w:gutter="0" w:footer="0" w:header="0"/>
        </w:sectPr>
      </w:pPr>
    </w:p>
    <w:p>
      <w:pPr>
        <w:spacing w:after="0" w:line="30"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weighted-average equity awards that were excluded from the diluted net income per share calculations since they were anti-dilutive:</w:t>
      </w: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80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jc w:val="center"/>
              <w:ind w:left="37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left="310"/>
              <w:spacing w:after="0" w:line="124"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3"/>
          </w:tcPr>
          <w:p>
            <w:pPr>
              <w:ind w:left="54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940" w:type="dxa"/>
            <w:vAlign w:val="bottom"/>
          </w:tcPr>
          <w:p>
            <w:pPr>
              <w:jc w:val="right"/>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stock units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0"/>
        </w:trPr>
        <w:tc>
          <w:tcPr>
            <w:tcW w:w="48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shares of common stock excluded</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Orders and Other Commitments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April 1, 2022, we had outstanding purchase obligations with our suppliers or contract manufacturers of $40.1 million. In addition, we had contractual obligations of approximately $3.7 million associated with software licenses as of April 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Guarantees and Commercial Commitments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April 1, 2022, we had no guarantees applicable to our debt arrangements.</w:t>
      </w:r>
    </w:p>
    <w:p>
      <w:pPr>
        <w:spacing w:after="0" w:line="117"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April 1, 2022, we had commercial commitments of $65.1 million outstanding that were not recorded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type w:val="continuous"/>
        </w:sectPr>
      </w:pPr>
    </w:p>
    <w:bookmarkStart w:id="21" w:name="page22"/>
    <w:bookmarkEnd w:id="21"/>
    <w:p>
      <w:pPr>
        <w:jc w:val="both"/>
        <w:spacing w:after="0" w:line="295" w:lineRule="auto"/>
        <w:rPr>
          <w:sz w:val="20"/>
          <w:szCs w:val="20"/>
          <w:color w:val="auto"/>
        </w:rPr>
      </w:pPr>
      <w:r>
        <w:rPr>
          <w:rFonts w:ascii="Times New Roman" w:cs="Times New Roman" w:eastAsia="Times New Roman" w:hAnsi="Times New Roman"/>
          <w:sz w:val="17"/>
          <w:szCs w:val="17"/>
          <w:color w:val="auto"/>
        </w:rPr>
        <w:t>We do not believe, based on historical experience and information currently available, that it is probable that any significant amounts will be required to be paid on these performance guarantees in the future.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April 1, 2022,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April 1, 2022, we had not recorded any liabilities related to these indemnifications.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are subject from time to time to disputes with customers concerning our products and services. In May 2016, we received notification of a claim for damages from a customer alleging that certain of our products were defective which we settled with an immaterial amount during the third quarter of 2021.</w:t>
      </w:r>
    </w:p>
    <w:p>
      <w:pPr>
        <w:spacing w:after="0" w:line="9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9"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2" w:name="page23"/>
    <w:bookmarkEnd w:id="22"/>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w:t>
      </w:r>
    </w:p>
    <w:p>
      <w:pPr>
        <w:spacing w:after="0" w:line="17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significant.</w:t>
      </w:r>
    </w:p>
    <w:p>
      <w:pPr>
        <w:spacing w:after="0" w:line="1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gross margin in the current quarter was negatively impacted by inflationary pressures incurred to overcome supply chain and logistical bottlenecks. These were partially offset by price increases and surcharges. We continue to monitor, assess and adapt to the situation and prepare for implications to our business, supply chain and customer demand. We expect these challenges to continue until business and economic activities return to more normal levels.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Subsequent Events</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announced on April 13, 2022 that we have entered into an arrangement agreement under which we will acquire all outstanding shares of Redline Communications Group, Inc. (“Redline”) (TSX: RDL), for CAD$0.90 per common share (approximately USD$0.71 per share), in an all-cash transaction valued at approximately CAD $16.2 million (approximately USD $12.9 million). We expect to fully fund the acquisition from cash on hand. Subject to customary closing conditions and necessary regulatory approvals, the transaction is expected to close within 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7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33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65" w:lineRule="exact"/>
        <w:rPr>
          <w:sz w:val="20"/>
          <w:szCs w:val="20"/>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COVID-19 on our business, operations and cash flows;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continued price and margin erosion as a result of increased competition in the microwave transmission industry;</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the volume, timing, and customer, product, and geographic mix of our product orders;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meet financial covenant requirements which could impact, among other things, our liquidity;</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timing of our receipt of payment for products or services from our customers;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meet projected new product development dates or anticipated cost reductions of new products;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line="298" w:lineRule="auto"/>
        <w:tabs>
          <w:tab w:leader="none" w:pos="93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suppliers’ inability to perform and deliver on time as a result of their financial condition, component shortages, the effects of COVID-19 or other supply chain constraints;</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inflation and the timing and extent of changes in the prices and overall demand for and availability of our inputs;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customer acceptance of new products;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ability of our subcontractors to timely perform;</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weakness in the global economy affecting customer spending;</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retention of our key personnel;</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manage and maintain key customer relationships;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uncertain economic conditions in the telecommunications sector combined with operator and supplier consolidation;</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failure to protect our intellectual property rights or defend against intellectual property infringement claims by others;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results of our restructuring efforts;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ability to preserve and use our net operating loss carryforwards;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4" w:name="page25"/>
    <w:bookmarkEnd w:id="24"/>
    <w:p>
      <w:pPr>
        <w:ind w:left="940" w:hanging="308"/>
        <w:spacing w:after="0" w:line="298"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current and future government regulations, including the effects of current restrictions on various commercial and economic activities in response to the COVID-19 pandemic;</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line="298"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general economic conditions, including uncertainty regarding the timing, pace and extent of an economic recovery in the United States and other countries where we conduct business;</w:t>
      </w:r>
    </w:p>
    <w:p>
      <w:pPr>
        <w:spacing w:after="0" w:line="37"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conduct of unethical business practices in developing countries;</w:t>
      </w:r>
    </w:p>
    <w:p>
      <w:pPr>
        <w:spacing w:after="0" w:line="118"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political turmoil in countries where we have significant business;</w:t>
      </w:r>
    </w:p>
    <w:p>
      <w:pPr>
        <w:spacing w:after="0" w:line="118" w:lineRule="exact"/>
        <w:rPr>
          <w:rFonts w:ascii="Times New Roman" w:cs="Times New Roman" w:eastAsia="Times New Roman" w:hAnsi="Times New Roman"/>
          <w:sz w:val="17"/>
          <w:szCs w:val="17"/>
          <w:i w:val="1"/>
          <w:iCs w:val="1"/>
          <w:color w:val="auto"/>
        </w:rPr>
      </w:pPr>
    </w:p>
    <w:p>
      <w:pPr>
        <w:jc w:val="both"/>
        <w:ind w:left="940" w:hanging="308"/>
        <w:spacing w:after="0" w:line="289" w:lineRule="auto"/>
        <w:tabs>
          <w:tab w:leader="none" w:pos="9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261" w:lineRule="exact"/>
        <w:rPr>
          <w:rFonts w:ascii="Times New Roman" w:cs="Times New Roman" w:eastAsia="Times New Roman" w:hAnsi="Times New Roman"/>
          <w:sz w:val="17"/>
          <w:szCs w:val="17"/>
          <w:i w:val="1"/>
          <w:iCs w:val="1"/>
          <w:color w:val="auto"/>
        </w:rPr>
      </w:pPr>
    </w:p>
    <w:p>
      <w:pPr>
        <w:ind w:left="940" w:hanging="308"/>
        <w:spacing w:after="0"/>
        <w:tabs>
          <w:tab w:leader="none" w:pos="9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implement our stock repurchase program or that it will enhance long-term stockholder value.</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Other factors besides those listed here could also adversely affect us. See “Item 1A. Risk Factors” in our fiscal 2021 Annual Report on Form 10-K filed with the SEC on August 25, 2021 for more information regarding factors that may cause our results to differ materially from those expressed or implied by the forward-looking statements contained in this Quarterly Report on Form 10-Q.</w:t>
      </w:r>
    </w:p>
    <w:p>
      <w:pPr>
        <w:spacing w:after="0" w:line="110"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Business; Operating Environment and Key Factors Impacting Fiscal 2022 and 2021 Results</w:t>
      </w:r>
    </w:p>
    <w:p>
      <w:pPr>
        <w:spacing w:after="0" w:line="17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1, 2022 is referred to as “fiscal 2022” or “2022” and our fiscal year ended July 2, 2021 is referred to as “fiscal 2021” or “2021.”</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April 7, 2021, we effected a two-for-one split in the form of a stock dividend to shareholders of record as of April 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We anticipate growth in revenue in fiscal 2022. We continue to have a backlog entering the remaining quarters of fiscal 2022 and we anticipate continuing our strong momentum across all verticals. We have made inroads into the U.S. rural broadband and wireless internet service provider areas and there is now further evidence of investment to support 5G deployments with our U.S. service provider customers. We have also seen continued growth in our international regions.</w:t>
      </w:r>
    </w:p>
    <w:p>
      <w:pPr>
        <w:spacing w:after="0" w:line="326"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gross margin in the current quarter was negatively impacted by inflationary pressures incurred to overcome supply chain and logistical bottlenecks. These were partially offset by price increases and surcharges. We are monitoring, assessing and adapting to the situation and preparing for possible implications to our business, supply chain and customer demand. We expect the potential for these challenges to continue until business and economic activities return to more normal levels.</w:t>
      </w:r>
    </w:p>
    <w:p>
      <w:pPr>
        <w:spacing w:after="0" w:line="117"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5" w:name="page26"/>
    <w:bookmarkEnd w:id="25"/>
    <w:p>
      <w:pPr>
        <w:jc w:val="both"/>
        <w:spacing w:after="0" w:line="276" w:lineRule="auto"/>
        <w:rPr>
          <w:sz w:val="20"/>
          <w:szCs w:val="20"/>
          <w:color w:val="auto"/>
        </w:rPr>
      </w:pPr>
      <w:r>
        <w:rPr>
          <w:rFonts w:ascii="Times New Roman" w:cs="Times New Roman" w:eastAsia="Times New Roman" w:hAnsi="Times New Roman"/>
          <w:sz w:val="17"/>
          <w:szCs w:val="17"/>
          <w:color w:val="auto"/>
        </w:rPr>
        <w:t>with certainty, including, but not limited to, the duration and spread of the pandemic, its severity, the actions to contain the virus or treat its impact, including the ongoing vaccination efforts and how quickly and to what extent normal economic and operating activities can resume. Management is actively monitoring the impact of the COVID-19 pandemic on our financial condition, liquidity, operations, suppliers, industry, and workforce.</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 Review</w:t>
      </w:r>
    </w:p>
    <w:p>
      <w:pPr>
        <w:spacing w:after="0" w:line="172"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The market for mobile backhaul continued to be our primary addressable market segment globally in the first nine months of fiscal 2022.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LTE deployments, and 5G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25, 2021, a number of factors could prevent us from achieving our objectives, including ongoing pricing pressures attributable to competition and macroeconomic conditions in the geographic markets that we serve.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manage our sales activities primarily on a geographic basis in North America and three international geographic regions: (1) Africa and the Middle East, (2) Europe, and (3) Latin America and Asia Pacific. Revenue by region for the three and nine months ended April 1, 2022 and April 2, 2021 and the related changes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40" w:type="dxa"/>
            <w:vAlign w:val="bottom"/>
          </w:tcPr>
          <w:p>
            <w:pPr>
              <w:spacing w:after="0"/>
              <w:rPr>
                <w:sz w:val="9"/>
                <w:szCs w:val="9"/>
                <w:color w:val="auto"/>
              </w:rPr>
            </w:pPr>
          </w:p>
        </w:tc>
        <w:tc>
          <w:tcPr>
            <w:tcW w:w="8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9"/>
                <w:szCs w:val="9"/>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60" w:type="dxa"/>
            <w:vAlign w:val="bottom"/>
          </w:tcPr>
          <w:p>
            <w:pPr>
              <w:spacing w:after="0"/>
              <w:rPr>
                <w:sz w:val="9"/>
                <w:szCs w:val="9"/>
                <w:color w:val="auto"/>
              </w:rPr>
            </w:pPr>
          </w:p>
        </w:tc>
        <w:tc>
          <w:tcPr>
            <w:tcW w:w="8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9"/>
                <w:szCs w:val="9"/>
                <w:color w:val="auto"/>
              </w:rPr>
            </w:pPr>
          </w:p>
        </w:tc>
        <w:tc>
          <w:tcPr>
            <w:tcW w:w="11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49,042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6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13,123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0" w:type="dxa"/>
            <w:vAlign w:val="bottom"/>
          </w:tcPr>
          <w:p>
            <w:pPr>
              <w:spacing w:after="0"/>
              <w:rPr>
                <w:sz w:val="1"/>
                <w:szCs w:val="1"/>
                <w:color w:val="auto"/>
              </w:rPr>
            </w:pPr>
          </w:p>
        </w:tc>
      </w:tr>
      <w:tr>
        <w:trPr>
          <w:trHeight w:val="157"/>
        </w:trPr>
        <w:tc>
          <w:tcPr>
            <w:tcW w:w="184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Latin America and Asia</w:t>
            </w:r>
          </w:p>
        </w:tc>
        <w:tc>
          <w:tcPr>
            <w:tcW w:w="160" w:type="dxa"/>
            <w:vAlign w:val="bottom"/>
          </w:tcPr>
          <w:p>
            <w:pPr>
              <w:spacing w:after="0"/>
              <w:rPr>
                <w:sz w:val="13"/>
                <w:szCs w:val="13"/>
                <w:color w:val="auto"/>
              </w:rPr>
            </w:pPr>
          </w:p>
        </w:tc>
        <w:tc>
          <w:tcPr>
            <w:tcW w:w="10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9,453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28,356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6"/>
        </w:trPr>
        <w:tc>
          <w:tcPr>
            <w:tcW w:w="1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Pacific</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74,516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revenue in North America increased by $7.0 million, or 16.7%, during the third quarter of fiscal 2022 compared with the same period of fiscal 2021. Revenue in North America increased by $14.3 million, or 10.5%, during the first nine months of fiscal 2022 compared with the same period of fiscal 2021. The increase in North America revenue during the three and nine months of fiscal 2022 was primarily due to an increase in the number of private network projects.</w:t>
      </w:r>
    </w:p>
    <w:p>
      <w:pPr>
        <w:spacing w:after="0" w:line="110"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Our revenue in Africa and the Middle East increased by $3.2 million or 32.5% during the third quarter of fiscal 2022 compared with the same period of fiscal 2021. Revenue in Africa and the Middle East increased by $6.2 million, or 20.0%, during the first nine months of fiscal 2022 compared with the same period of fiscal 2021. This increase in revenue during the three and nine months of fiscal 2022 was primarily due to increased sales to mobile operators in the region.</w:t>
      </w:r>
    </w:p>
    <w:p>
      <w:pPr>
        <w:spacing w:after="0" w:line="32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Revenue in Europe decreased by $0.4 million, or 11.6%, for the third quarter of fiscal 2022 compared with the same period of fiscal 2021. Revenue in Europe increased by $1.5 million, or 20.6%, during the first nine months of fiscal 2022 compared with the same period of fiscal 2021. This increase during the three and nine months of fiscal 2022 was primarily due to increased sales to mobile operators in the region.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Revenue in Latin America and Asia Pacific decreased by $1.7 million, or 15.6%, during the third quarter of fiscal 2022 compared with the same period of fiscal 2021. This decrease in revenue during the third quarter of fiscal 2022 was primarily due to timing of customer specific order in prior year. Revenue in Latin America and Asia Pacific increased by $0.3 million, or 1.0%, during the first nine months of fiscal 2022 compared with the same period of fiscal 2021. The increase during the nine months of fiscal 2022 was from increased sales to mobile operator customers.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4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40" w:type="dxa"/>
            <w:vAlign w:val="bottom"/>
          </w:tcPr>
          <w:p>
            <w:pPr>
              <w:spacing w:after="0"/>
              <w:rPr>
                <w:sz w:val="9"/>
                <w:szCs w:val="9"/>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9"/>
                <w:szCs w:val="9"/>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60" w:type="dxa"/>
            <w:vAlign w:val="bottom"/>
          </w:tcPr>
          <w:p>
            <w:pPr>
              <w:spacing w:after="0"/>
              <w:rPr>
                <w:sz w:val="9"/>
                <w:szCs w:val="9"/>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9"/>
                <w:szCs w:val="9"/>
                <w:color w:val="auto"/>
              </w:rPr>
            </w:pPr>
          </w:p>
        </w:tc>
        <w:tc>
          <w:tcPr>
            <w:tcW w:w="11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revenue from product sales increased by $6.8 million, or 15.0%, for the third quarter of fiscal 2022 compared with the same quarter of fiscal 2021.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services revenue increased by $1.3 million, or 6.2%, during the third quarter of fiscal 2022 compared with the same quarter of fiscal 2021.</w:t>
      </w:r>
    </w:p>
    <w:p>
      <w:pPr>
        <w:spacing w:after="0" w:line="15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Our revenue from product sales increased by $20.0 million, or 14.6%, for the first nine months of fiscal 2022 compared with the same period of fiscal 2021. Our services revenue increased by $2.4 million, or 3.5%, during the first nine months of fiscal 2022 compared with the same period of fiscal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1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2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20" w:type="dxa"/>
            <w:vAlign w:val="bottom"/>
          </w:tcPr>
          <w:p>
            <w:pPr>
              <w:spacing w:after="0"/>
              <w:rPr>
                <w:sz w:val="8"/>
                <w:szCs w:val="8"/>
                <w:color w:val="auto"/>
              </w:rPr>
            </w:pPr>
          </w:p>
        </w:tc>
        <w:tc>
          <w:tcPr>
            <w:tcW w:w="78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8"/>
                <w:szCs w:val="8"/>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40" w:type="dxa"/>
            <w:vAlign w:val="bottom"/>
          </w:tcPr>
          <w:p>
            <w:pPr>
              <w:spacing w:after="0"/>
              <w:rPr>
                <w:sz w:val="8"/>
                <w:szCs w:val="8"/>
                <w:color w:val="auto"/>
              </w:rPr>
            </w:pPr>
          </w:p>
        </w:tc>
        <w:tc>
          <w:tcPr>
            <w:tcW w:w="80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8"/>
                <w:szCs w:val="8"/>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1"/>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percentages)</w:t>
            </w: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74,516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66,404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225,538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203,225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6"/>
        </w:trPr>
        <w:tc>
          <w:tcPr>
            <w:tcW w:w="1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46,980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40,826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143,765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126,489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27,536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25,578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81,773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76,736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37.0 %</w:t>
            </w:r>
          </w:p>
        </w:tc>
        <w:tc>
          <w:tcPr>
            <w:tcW w:w="2320" w:type="dxa"/>
            <w:vAlign w:val="bottom"/>
          </w:tcPr>
          <w:p>
            <w:pPr>
              <w:jc w:val="right"/>
              <w:ind w:right="1442"/>
              <w:spacing w:after="0"/>
              <w:rPr>
                <w:sz w:val="20"/>
                <w:szCs w:val="20"/>
                <w:color w:val="auto"/>
              </w:rPr>
            </w:pPr>
            <w:r>
              <w:rPr>
                <w:rFonts w:ascii="Times New Roman" w:cs="Times New Roman" w:eastAsia="Times New Roman" w:hAnsi="Times New Roman"/>
                <w:sz w:val="16"/>
                <w:szCs w:val="16"/>
                <w:color w:val="auto"/>
              </w:rPr>
              <w:t>38.5 %</w:t>
            </w:r>
          </w:p>
        </w:tc>
        <w:tc>
          <w:tcPr>
            <w:tcW w:w="24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36.3 %</w:t>
            </w:r>
          </w:p>
        </w:tc>
        <w:tc>
          <w:tcPr>
            <w:tcW w:w="3100" w:type="dxa"/>
            <w:vAlign w:val="bottom"/>
          </w:tcPr>
          <w:p>
            <w:pPr>
              <w:jc w:val="right"/>
              <w:ind w:right="2122"/>
              <w:spacing w:after="0"/>
              <w:rPr>
                <w:sz w:val="20"/>
                <w:szCs w:val="20"/>
                <w:color w:val="auto"/>
              </w:rPr>
            </w:pPr>
            <w:r>
              <w:rPr>
                <w:rFonts w:ascii="Times New Roman" w:cs="Times New Roman" w:eastAsia="Times New Roman" w:hAnsi="Times New Roman"/>
                <w:sz w:val="16"/>
                <w:szCs w:val="16"/>
                <w:color w:val="auto"/>
              </w:rPr>
              <w:t>37.8 %</w:t>
            </w:r>
          </w:p>
        </w:tc>
      </w:tr>
      <w:tr>
        <w:trPr>
          <w:trHeight w:val="21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margin %</w:t>
            </w:r>
          </w:p>
        </w:tc>
        <w:tc>
          <w:tcPr>
            <w:tcW w:w="1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38.8 %</w:t>
            </w:r>
          </w:p>
        </w:tc>
        <w:tc>
          <w:tcPr>
            <w:tcW w:w="2320" w:type="dxa"/>
            <w:vAlign w:val="bottom"/>
            <w:shd w:val="clear" w:color="auto" w:fill="CCEEFF"/>
          </w:tcPr>
          <w:p>
            <w:pPr>
              <w:jc w:val="right"/>
              <w:ind w:right="1442"/>
              <w:spacing w:after="0"/>
              <w:rPr>
                <w:sz w:val="20"/>
                <w:szCs w:val="20"/>
                <w:color w:val="auto"/>
              </w:rPr>
            </w:pPr>
            <w:r>
              <w:rPr>
                <w:rFonts w:ascii="Times New Roman" w:cs="Times New Roman" w:eastAsia="Times New Roman" w:hAnsi="Times New Roman"/>
                <w:sz w:val="16"/>
                <w:szCs w:val="16"/>
                <w:color w:val="auto"/>
              </w:rPr>
              <w:t>41.5 %</w:t>
            </w:r>
          </w:p>
        </w:tc>
        <w:tc>
          <w:tcPr>
            <w:tcW w:w="24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37.5 %</w:t>
            </w:r>
          </w:p>
        </w:tc>
        <w:tc>
          <w:tcPr>
            <w:tcW w:w="3100" w:type="dxa"/>
            <w:vAlign w:val="bottom"/>
            <w:shd w:val="clear" w:color="auto" w:fill="CCEEFF"/>
          </w:tcPr>
          <w:p>
            <w:pPr>
              <w:jc w:val="right"/>
              <w:ind w:right="2122"/>
              <w:spacing w:after="0"/>
              <w:rPr>
                <w:sz w:val="20"/>
                <w:szCs w:val="20"/>
                <w:color w:val="auto"/>
              </w:rPr>
            </w:pPr>
            <w:r>
              <w:rPr>
                <w:rFonts w:ascii="Times New Roman" w:cs="Times New Roman" w:eastAsia="Times New Roman" w:hAnsi="Times New Roman"/>
                <w:sz w:val="16"/>
                <w:szCs w:val="16"/>
                <w:color w:val="auto"/>
              </w:rPr>
              <w:t>40.0 %</w:t>
            </w:r>
          </w:p>
        </w:tc>
      </w:tr>
      <w:tr>
        <w:trPr>
          <w:trHeight w:val="204"/>
        </w:trPr>
        <w:tc>
          <w:tcPr>
            <w:tcW w:w="1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margin %</w:t>
            </w:r>
          </w:p>
        </w:tc>
        <w:tc>
          <w:tcPr>
            <w:tcW w:w="1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32.7 %</w:t>
            </w:r>
          </w:p>
        </w:tc>
        <w:tc>
          <w:tcPr>
            <w:tcW w:w="2320" w:type="dxa"/>
            <w:vAlign w:val="bottom"/>
          </w:tcPr>
          <w:p>
            <w:pPr>
              <w:jc w:val="right"/>
              <w:ind w:right="1442"/>
              <w:spacing w:after="0"/>
              <w:rPr>
                <w:sz w:val="20"/>
                <w:szCs w:val="20"/>
                <w:color w:val="auto"/>
              </w:rPr>
            </w:pPr>
            <w:r>
              <w:rPr>
                <w:rFonts w:ascii="Times New Roman" w:cs="Times New Roman" w:eastAsia="Times New Roman" w:hAnsi="Times New Roman"/>
                <w:sz w:val="16"/>
                <w:szCs w:val="16"/>
                <w:color w:val="auto"/>
              </w:rPr>
              <w:t>32.1 %</w:t>
            </w:r>
          </w:p>
        </w:tc>
        <w:tc>
          <w:tcPr>
            <w:tcW w:w="244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33.5 %</w:t>
            </w:r>
          </w:p>
        </w:tc>
        <w:tc>
          <w:tcPr>
            <w:tcW w:w="3100" w:type="dxa"/>
            <w:vAlign w:val="bottom"/>
          </w:tcPr>
          <w:p>
            <w:pPr>
              <w:jc w:val="right"/>
              <w:ind w:right="2122"/>
              <w:spacing w:after="0"/>
              <w:rPr>
                <w:sz w:val="20"/>
                <w:szCs w:val="20"/>
                <w:color w:val="auto"/>
              </w:rPr>
            </w:pPr>
            <w:r>
              <w:rPr>
                <w:rFonts w:ascii="Times New Roman" w:cs="Times New Roman" w:eastAsia="Times New Roman" w:hAnsi="Times New Roman"/>
                <w:sz w:val="16"/>
                <w:szCs w:val="16"/>
                <w:color w:val="auto"/>
              </w:rPr>
              <w:t>33.2 %</w:t>
            </w:r>
          </w:p>
        </w:tc>
      </w:tr>
    </w:tbl>
    <w:p>
      <w:pPr>
        <w:spacing w:after="0" w:line="235" w:lineRule="exact"/>
        <w:rPr>
          <w:sz w:val="20"/>
          <w:szCs w:val="20"/>
          <w:color w:val="auto"/>
        </w:rPr>
      </w:pPr>
    </w:p>
    <w:p>
      <w:pPr>
        <w:ind w:right="40" w:firstLine="470"/>
        <w:spacing w:after="0" w:line="266" w:lineRule="auto"/>
        <w:rPr>
          <w:sz w:val="20"/>
          <w:szCs w:val="20"/>
          <w:color w:val="auto"/>
        </w:rPr>
      </w:pPr>
      <w:r>
        <w:rPr>
          <w:rFonts w:ascii="Times New Roman" w:cs="Times New Roman" w:eastAsia="Times New Roman" w:hAnsi="Times New Roman"/>
          <w:sz w:val="17"/>
          <w:szCs w:val="17"/>
          <w:color w:val="auto"/>
        </w:rPr>
        <w:t>Gross margin for the third quarter of fiscal 2022 increased by $2.0 million, or 7.7% compared with the same quarter of fiscal 2021. Gross margin for the first nine months of fiscal 2022 increased by $5.0 million, or 6.6%. For the three and nine months of fiscal 2022, gross margin improved over the same period in fiscal 2021 primarily due to higher volume of Private Network business and increased sales through the Aviat Store which serves primarily the Rural Broadband space. Gross margins continue to be pressured by expedite fees and inflation as we work to overcome supply chain issues. However, our pricing actions to offset higher costs continue to gain momentum.</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Product margin as a percentage of product revenue decreased in the third quarter and in the first nine months of fiscal 2022 compared with the same</w:t>
      </w:r>
    </w:p>
    <w:p>
      <w:pPr>
        <w:spacing w:after="0" w:line="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period of fiscal 2021 primarily due to increased supply chain costs. Service margin as a percentage of service revenue in the third quarter and in the first nine months of fiscal 2022 compared to the same periods in fiscal 2021 were relatively flat.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9"/>
                <w:szCs w:val="9"/>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Research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5,259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5,275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2"/>
                <w:szCs w:val="12"/>
                <w:color w:val="auto"/>
              </w:rPr>
            </w:pPr>
          </w:p>
        </w:tc>
        <w:tc>
          <w:tcPr>
            <w:tcW w:w="13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  $</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17,338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15,541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research and development expenses increased by $1.8 million, or 11.6%, in the nine months of fiscal 2022 compared with the same periods of fiscal 2021 primarily due to the increased spend in prior six month period resulting from R&amp;D efforts to design around problematic suppliers and deceleration of grant programs for nine month period to date compared to prior year.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Administrative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9"/>
                <w:szCs w:val="9"/>
                <w:color w:val="auto"/>
              </w:rPr>
            </w:pPr>
          </w:p>
        </w:tc>
        <w:tc>
          <w:tcPr>
            <w:tcW w:w="180" w:type="dxa"/>
            <w:vAlign w:val="bottom"/>
            <w:vMerge w:val="restart"/>
          </w:tcPr>
          <w:p>
            <w:pPr>
              <w:spacing w:after="0"/>
              <w:rPr>
                <w:sz w:val="9"/>
                <w:szCs w:val="9"/>
                <w:color w:val="auto"/>
              </w:rPr>
            </w:pPr>
          </w:p>
        </w:tc>
        <w:tc>
          <w:tcPr>
            <w:tcW w:w="106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0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Selling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14,867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15,106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  $</w:t>
            </w:r>
          </w:p>
        </w:tc>
        <w:tc>
          <w:tcPr>
            <w:tcW w:w="106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41,304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41,555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selling and administrative expenses decreased by $0.2 million, or 1.6%, in the third quarter of fiscal 2022 compared with the same period in fiscal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Our selling and administrative expenses decreased by $0.3 million, or 0.6%, for the nine months of fiscal 2022 compared with the same period in fiscal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The decrease for the three and nine months of fiscal 2022 compared to comparable period of fiscal 2021 was primarily due to variable compensation.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vMerge w:val="restart"/>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0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1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Restructuring (recovery)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2"/>
                <w:szCs w:val="12"/>
                <w:color w:val="auto"/>
              </w:rPr>
            </w:pPr>
          </w:p>
        </w:tc>
        <w:tc>
          <w:tcPr>
            <w:tcW w:w="13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(106.2)%  $</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the third quarter of fiscal 2022, we recorded restructuring recoveries of $0.1 million primarily related to the restructuring plan (the “Fiscal 2021 Plan”).</w:t>
      </w:r>
    </w:p>
    <w:p>
      <w:pPr>
        <w:spacing w:after="0" w:line="144"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As of April 1, 2022, the accrual balance of $1.0 million was in short-term restructuring liabilities on our unaudited condensed consolidated balance sheets. Included in the above plans for which we were carrying a provision were positions identified for termination that have not been executed from a restructuring perspective.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Expense/Income,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0" w:type="dxa"/>
            <w:vAlign w:val="bottom"/>
            <w:vMerge w:val="restart"/>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9"/>
                <w:szCs w:val="9"/>
                <w:color w:val="auto"/>
              </w:rPr>
            </w:pPr>
          </w:p>
        </w:tc>
        <w:tc>
          <w:tcPr>
            <w:tcW w:w="160" w:type="dxa"/>
            <w:vAlign w:val="bottom"/>
            <w:vMerge w:val="restart"/>
          </w:tcPr>
          <w:p>
            <w:pPr>
              <w:spacing w:after="0"/>
              <w:rPr>
                <w:sz w:val="9"/>
                <w:szCs w:val="9"/>
                <w:color w:val="auto"/>
              </w:rPr>
            </w:pPr>
          </w:p>
        </w:tc>
        <w:tc>
          <w:tcPr>
            <w:tcW w:w="100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9"/>
                <w:szCs w:val="9"/>
                <w:color w:val="auto"/>
              </w:rPr>
            </w:pPr>
          </w:p>
        </w:tc>
        <w:tc>
          <w:tcPr>
            <w:tcW w:w="11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2"/>
                <w:szCs w:val="12"/>
                <w:color w:val="auto"/>
              </w:rPr>
            </w:pPr>
          </w:p>
        </w:tc>
        <w:tc>
          <w:tcPr>
            <w:tcW w:w="14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(236.7)%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0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Our other expenses (income), net increased by $0.3 million and $0.6 million, in the three and nine months of fiscal 2022, respectively, compared with the same periods of fiscal 2021 primarily due to the movement in foreign exchange.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vMerge w:val="restart"/>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6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60" w:type="dxa"/>
            <w:vAlign w:val="bottom"/>
          </w:tcPr>
          <w:p>
            <w:pPr>
              <w:spacing w:after="0"/>
              <w:rPr>
                <w:sz w:val="9"/>
                <w:szCs w:val="9"/>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April 1, 2022</w:t>
            </w:r>
          </w:p>
        </w:tc>
        <w:tc>
          <w:tcPr>
            <w:tcW w:w="14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April 2, 2021</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before income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7,307</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75.5 %</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76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Provision for (benefit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(90,568)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91,846</w:t>
            </w:r>
          </w:p>
        </w:tc>
        <w:tc>
          <w:tcPr>
            <w:tcW w:w="1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(88,629)</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95,119</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0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from) income taxes</w:t>
            </w:r>
          </w:p>
        </w:tc>
        <w:tc>
          <w:tcPr>
            <w:tcW w:w="1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60"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The tax expense for the first nine months of fiscal 2022 was primarily due to the tax expense related to U.S. and profitable foreign subsidiaries. The tax benefit for the first nine months of fiscal 2021 was primarily due to the release of valuation allowance on our U.S. federal and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8" w:name="page29"/>
    <w:bookmarkEnd w:id="28"/>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Capital Resources, and Financial Strategies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Cash</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April 1, 2022, our total cash and cash equivalents were $31.3 million. Approximately $12.2 million, or 39.1%, was held in the United States. The remaining balance of $19.1 million, or 60.9%, was held by entities outside the United States. Of the amount of cash and cash equivalents held by our foreign subsidiaries on April 1, 2022, $16.8 million was held in jurisdictions where our undistributed earnings are indefinitely reinvested, and if repatriated, would be subject to foreign withholding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provided by or used in operating activities is presented as net income adjusted for non-cash items and changes in operating assets and liabilities. Net cash used in operating activities was $10.8 million for the first nine months of fiscal 2022, compared to $14.2 million cash provided from operations for the first nine months of fiscal 2021; this difference was primarily related to a net change in Accounts receivable and partially offset by the net change in Accounts payable. Net cash provided by noncash items was $12.6 million for the first nine months of 2022. The net changes in operating assets and liabilities resulted in a net use of cash of $40.0 million for the first nine months of fiscal 2022, compared to net use of cash of $12.5 million for the same period in fiscal 2021.</w:t>
      </w:r>
    </w:p>
    <w:p>
      <w:pPr>
        <w:spacing w:after="0" w:line="1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Changes in operating assets and liabilities resulted in a net use of cash for the first nine months of fiscal 2022 primarily related to Accounts receivable that fluctuate from period to period, depending on the amount, timing of sales and billing activities and cash collections; and an increase in certain levels of inventories primarily to mitigate supply chain constraints. The use of cash from assets and liabilities was partially offset by the timing of payments from Accounts payable and by customer Advance payments and unearned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Net cash used in investing activities was $1.2 million and $2.4 million for the first nine months of fiscal 2022 and 2021, respectively, which consisted of purchases of marketable securities and acquisition of capital expenditures offset by proceeds from asset held for sale. During the remainder of fiscal year 2022, we expect to spend approximately $2.0 million for capital expenditures, primarily on equipment for development and manufacturing of new products and IT infrastructure.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74"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Financing cash flows consist primarily from repayments of short-term debt, repurchase of stock and proceeds from the sale of shares of common stock through employee equity plans. Net cash used in financing activities was $4.0 million for the first nine months of fiscal 2022, primarily due to repurchase of $4.6 million of stock which was partially offset by cash proceeds from the issuance of common stock under employee stock plans of $0.9 million net of payments for taxes related to settlement of equity awards of $0.4 million. Net cash used in financing activities was $7.7 million for the first nine months of fiscal 2021, primarily due to $9.0 million repayment of short-term debt partially offset by cash proceeds from the issuance of common stock under employee stock plans of $1.9 net of the payments for taxes related to settlement of equity awards of $0.2 million.</w:t>
      </w:r>
    </w:p>
    <w:p>
      <w:pPr>
        <w:spacing w:after="0" w:line="12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April 1, 2022, our principal sources of liquidity consisted of $31.3 million in cash and cash equivalents; $21.7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spacing w:after="0" w:line="121"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spacing w:after="0" w:line="263" w:lineRule="auto"/>
        <w:rPr>
          <w:sz w:val="20"/>
          <w:szCs w:val="20"/>
          <w:color w:val="auto"/>
        </w:rPr>
      </w:pPr>
      <w:r>
        <w:rPr>
          <w:rFonts w:ascii="Times New Roman" w:cs="Times New Roman" w:eastAsia="Times New Roman" w:hAnsi="Times New Roman"/>
          <w:sz w:val="17"/>
          <w:szCs w:val="17"/>
          <w:color w:val="auto"/>
        </w:rPr>
        <w:t>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As of April 1, 2022, available credit under the SVB Credit Facility was $21.7 million, reflecting the lower available limit of $25.0 million less outstanding letters of credit of $3.3 million. As of July 3, 2020, our outstanding debt balance under the SVB Credit Facility, classified as a current liability, was $9.0 million, and the interest rate was 3.75%. We repaid the outstanding debt balance in July 2020. We have not borrowed against the SVB Credit Facility during the nine months ended April 1, 2022 and there were no borrowing outstanding as of April 1, 2022 or July 2, 2021.</w:t>
      </w:r>
    </w:p>
    <w:p>
      <w:pPr>
        <w:spacing w:after="0" w:line="12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April 1, 2022, we were in compliance with the quarterly financial covenants, as amended, contained in the SVB Credit Facility and there was no amount outstanding under the SVB Credit Facility.</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April 1, 2022 and July 2, 2021. The line of credit also provides for the issuance of standby letters of credit and company credit cards, of which none was outstanding as of April 1, 2022 and July 2, 2021. This facility may be terminated upon notice, is reviewed annually for renewal or modification, and is supported by a corporate guarantee.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Payments</w:t>
      </w:r>
    </w:p>
    <w:p>
      <w:pPr>
        <w:spacing w:after="0" w:line="17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had liabilities for restructuring activities totaling $1.0 million as of April 1, 2022, which were classified as current liabilities and expected to be paid out in cash over the next 12 months. We expect to fund these future payments with available cash and cash provided by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w:t>
      </w:r>
    </w:p>
    <w:p>
      <w:pPr>
        <w:spacing w:after="0" w:line="17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amounts disclosed in our fiscal 2021 Annual Report on Form 10-K filed with the SEC on August 25, 2021 include our commercial commitments and contractual obligations. During the first nine months of fiscal 2022, no material changes occurred in our contractual obligations to purchase goods and services or to make payments under operating leases or our contingent liabilities on outstanding letters of credit, guarantees, and other arrangements as disclosed in our fiscal 2021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consider the following items to qualify as off-balance sheet arrangements:</w:t>
      </w:r>
    </w:p>
    <w:p>
      <w:pPr>
        <w:spacing w:after="0" w:line="118" w:lineRule="exact"/>
        <w:rPr>
          <w:sz w:val="20"/>
          <w:szCs w:val="20"/>
          <w:color w:val="auto"/>
        </w:rPr>
      </w:pPr>
    </w:p>
    <w:p>
      <w:pPr>
        <w:ind w:left="940" w:hanging="308"/>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under certain guarantee contracts;</w:t>
      </w:r>
    </w:p>
    <w:p>
      <w:pPr>
        <w:spacing w:after="0" w:line="118"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retained or contingent interest in assets transferred to an unconsolidated entity or similar entity or similar arrangement that serves as credit, liquidity or market risk support to that entity for such assets;</w:t>
      </w:r>
    </w:p>
    <w:p>
      <w:pPr>
        <w:spacing w:after="0" w:line="42"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including a contingent obligation, under certain derivative instruments; and</w:t>
      </w:r>
    </w:p>
    <w:p>
      <w:pPr>
        <w:spacing w:after="0" w:line="118" w:lineRule="exact"/>
        <w:rPr>
          <w:rFonts w:ascii="Times New Roman" w:cs="Times New Roman" w:eastAsia="Times New Roman" w:hAnsi="Times New Roman"/>
          <w:sz w:val="17"/>
          <w:szCs w:val="17"/>
          <w:color w:val="auto"/>
        </w:rPr>
      </w:pPr>
    </w:p>
    <w:p>
      <w:pPr>
        <w:ind w:left="940" w:hanging="308"/>
        <w:spacing w:after="0" w:line="295"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April 1, 2022, we did not have material financial guarantees or other contractual commitments that are reasonably likely to adversely affect our current or future financial condition. In addition, we are not currently a party to any related party transactions that materially affect our results of operations, cash flows or financial condition.</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April 1, 2022, we had commercial commitments of $65.1 million.</w:t>
      </w:r>
    </w:p>
    <w:p>
      <w:pPr>
        <w:spacing w:after="0" w:line="157"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For information about our critical accounting estimates, see the “Critical Accounting Estimates” section of “Item 7. Management’s Discussion and Analysis of Financial Condition and Results of Operations” in our fiscal 2021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Rate Risk</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use foreign exchange forward contracts to hedge forecasted foreign currency transactions relating to forecasted sales and purchase transactions. The foreign exchange hedges do not qualify as cash flow hedges. The changes in fair value related to the hedges were recorded in income or expenses line items on our statements of operations.</w:t>
      </w:r>
    </w:p>
    <w:p>
      <w:pPr>
        <w:spacing w:after="0" w:line="1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April 1, 2022, we had multiple forward contracts in one foreign currency outstanding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Notional Contract Amount</w:t>
            </w:r>
          </w:p>
        </w:tc>
        <w:tc>
          <w:tcPr>
            <w:tcW w:w="400" w:type="dxa"/>
            <w:vAlign w:val="bottom"/>
          </w:tcPr>
          <w:p>
            <w:pPr>
              <w:spacing w:after="0"/>
              <w:rPr>
                <w:sz w:val="16"/>
                <w:szCs w:val="16"/>
                <w:color w:val="auto"/>
              </w:rPr>
            </w:pPr>
          </w:p>
        </w:tc>
        <w:tc>
          <w:tcPr>
            <w:tcW w:w="206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w w:val="99"/>
              </w:rPr>
              <w:t>Notional Contract Amount</w:t>
            </w:r>
          </w:p>
        </w:tc>
      </w:tr>
      <w:tr>
        <w:trPr>
          <w:trHeight w:val="19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(Local Currency)</w:t>
            </w:r>
          </w:p>
        </w:tc>
        <w:tc>
          <w:tcPr>
            <w:tcW w:w="400" w:type="dxa"/>
            <w:vAlign w:val="bottom"/>
          </w:tcPr>
          <w:p>
            <w:pPr>
              <w:spacing w:after="0"/>
              <w:rPr>
                <w:sz w:val="17"/>
                <w:szCs w:val="17"/>
                <w:color w:val="auto"/>
              </w:rPr>
            </w:pPr>
          </w:p>
        </w:tc>
        <w:tc>
          <w:tcPr>
            <w:tcW w:w="206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(USD)</w:t>
            </w:r>
          </w:p>
        </w:tc>
      </w:tr>
      <w:tr>
        <w:trPr>
          <w:trHeight w:val="23"/>
        </w:trPr>
        <w:tc>
          <w:tcPr>
            <w:tcW w:w="6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82"/>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2060" w:type="dxa"/>
            <w:vAlign w:val="bottom"/>
          </w:tcPr>
          <w:p>
            <w:pPr>
              <w:spacing w:after="0"/>
              <w:rPr>
                <w:sz w:val="15"/>
                <w:szCs w:val="15"/>
                <w:color w:val="auto"/>
              </w:rPr>
            </w:pPr>
          </w:p>
        </w:tc>
      </w:tr>
      <w:tr>
        <w:trPr>
          <w:trHeight w:val="254"/>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w:t>
            </w:r>
          </w:p>
        </w:tc>
        <w:tc>
          <w:tcPr>
            <w:tcW w:w="24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Net foreign exchange income (loss) recorded in our unaudited condensed consolidated statements of operations during the three and nine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2022 and April 2, 2021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7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jc w:val="right"/>
              <w:ind w:right="23"/>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ind w:right="2"/>
              <w:spacing w:after="0" w:line="12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right"/>
              <w:ind w:right="462"/>
              <w:spacing w:after="0" w:line="125" w:lineRule="exact"/>
              <w:rPr>
                <w:sz w:val="20"/>
                <w:szCs w:val="20"/>
                <w:color w:val="auto"/>
              </w:rPr>
            </w:pPr>
            <w:r>
              <w:rPr>
                <w:rFonts w:ascii="Times New Roman" w:cs="Times New Roman" w:eastAsia="Times New Roman" w:hAnsi="Times New Roman"/>
                <w:sz w:val="14"/>
                <w:szCs w:val="14"/>
                <w:b w:val="1"/>
                <w:bCs w:val="1"/>
                <w:color w:val="auto"/>
                <w:w w:val="95"/>
              </w:rPr>
              <w:t>April 2,</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included in costs of revenues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 included in other expense/(income), net</w:t>
            </w: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19"/>
                <w:szCs w:val="19"/>
                <w:color w:val="auto"/>
              </w:rPr>
            </w:pPr>
          </w:p>
        </w:tc>
        <w:tc>
          <w:tcPr>
            <w:tcW w:w="1080" w:type="dxa"/>
            <w:vAlign w:val="bottom"/>
          </w:tcPr>
          <w:p>
            <w:pPr>
              <w:jc w:val="right"/>
              <w:ind w:right="882"/>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Pr>
          <w:p>
            <w:pPr>
              <w:spacing w:after="0"/>
              <w:rPr>
                <w:sz w:val="19"/>
                <w:szCs w:val="19"/>
                <w:color w:val="auto"/>
              </w:rPr>
            </w:pPr>
          </w:p>
        </w:tc>
        <w:tc>
          <w:tcPr>
            <w:tcW w:w="5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 10% adverse change in currency exchange rates for our foreign currency derivatives held as of April 1, 2022 would have an impact of approximately $0.5 million on the fair value of such instruments.</w:t>
      </w:r>
    </w:p>
    <w:p>
      <w:pPr>
        <w:spacing w:after="0" w:line="9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2022 and 2021 was $(1.1) million and $0.3 million, respectively, and was included as a component of stockholders’ equity. As of April 1, 2022 and July 2, 2021, the cumulative translation adjustment decreased our equity by $15.4 million and $14.3 million, respectively.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exposure to market risk for changes in interest rates relates primarily to our cash equivalents and borrowings under our credit facility.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Exposure on Cash Equivalents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had $31.3 million in total cash and cash equivalents as of April 1, 2022. Cash equivalents totaled $12.3 million as of April 1, 2022 and were comprised of money market funds and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 Assets and Liabilities” of the Notes to unaudited condensed consolidated financial statements in this Quarterly Report on Form 10-Q.</w:t>
      </w:r>
    </w:p>
    <w:p>
      <w:pPr>
        <w:spacing w:after="0" w:line="1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cash equivalents earn interest at fixed rates; therefore, changes in interest rates will not generate a gain or loss on these investments unless they are sold prior to maturity. The weighted-average days to maturity for cash equivalents held as of April 1, 2022 was 27 days, and these investments had an average yield of approximately 4.9% per annum. A 10% change in interest rates on our cash equivalents is not expected to have a material impact on our financial position, results of operations, or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Exposure on Borrowings</w:t>
      </w:r>
    </w:p>
    <w:p>
      <w:pPr>
        <w:spacing w:after="0" w:line="174"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borrowings under the SVB Credit Facility incurred interest at the prime rate plus a spread of 0.50% to 1.50% with such spread determined based on our adjusted quick ratio. During the first nine months of fiscal 2022, our weighted-average interest rate was 3.50%, and the interest expense on these borrowings was immaterial.</w:t>
      </w:r>
    </w:p>
    <w:p>
      <w:pPr>
        <w:spacing w:after="0" w:line="11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Based on management’s evaluation, with the participation of our President and CEO, and Chief Financial Officer (“CFO”), as of April 1, 2022,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Controls over Financial Reporting</w:t>
      </w:r>
    </w:p>
    <w:p>
      <w:pPr>
        <w:spacing w:after="0" w:line="174"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There were no changes to our internal controls over financial reporting as defined in Rules 13a-15(f) or 15d-15(f) that occurred during the quarter ended April 1, 2022 that have materially affected, or are reasonably likely to materially affect, our internal controls over financial reporting. Management is actively monitoring the impact of the COVID-19 pandemic on our financial condition, liquidity, operations, suppliers, industry, and workforce. Additionally we have undertaken measures to protect our employees, suppliers, and customers, including encouraging, and in many cases requiring employees to work remotely as appropriate. We have also modified some of our controls procedures but those changes have not been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174"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2" w:name="page33"/>
    <w:bookmarkEnd w:id="32"/>
    <w:p>
      <w:pPr>
        <w:spacing w:after="0" w:line="295" w:lineRule="auto"/>
        <w:rPr>
          <w:sz w:val="20"/>
          <w:szCs w:val="20"/>
          <w:color w:val="auto"/>
        </w:rPr>
      </w:pPr>
      <w:r>
        <w:rPr>
          <w:rFonts w:ascii="Times New Roman" w:cs="Times New Roman" w:eastAsia="Times New Roman" w:hAnsi="Times New Roman"/>
          <w:sz w:val="17"/>
          <w:szCs w:val="17"/>
          <w:color w:val="auto"/>
        </w:rPr>
        <w:t>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3" w:name="page34"/>
    <w:bookmarkEnd w:id="33"/>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a discussion of legal proceedings as of April 1, 2022,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72" w:lineRule="exact"/>
        <w:rPr>
          <w:sz w:val="20"/>
          <w:szCs w:val="20"/>
          <w:color w:val="auto"/>
        </w:rPr>
      </w:pPr>
    </w:p>
    <w:p>
      <w:pPr>
        <w:jc w:val="both"/>
        <w:ind w:firstLine="627"/>
        <w:spacing w:after="0" w:line="288" w:lineRule="auto"/>
        <w:rPr>
          <w:sz w:val="20"/>
          <w:szCs w:val="20"/>
          <w:color w:val="auto"/>
        </w:rPr>
      </w:pPr>
      <w:r>
        <w:rPr>
          <w:rFonts w:ascii="Times New Roman" w:cs="Times New Roman" w:eastAsia="Times New Roman" w:hAnsi="Times New Roman"/>
          <w:sz w:val="17"/>
          <w:szCs w:val="17"/>
          <w:color w:val="auto"/>
        </w:rPr>
        <w:t>Investors should carefully review and consider the information regarding certain factors which could materially affect our business, operating results, cash flows, and financial condition set forth under Item 1A, Risk Factors, in our fiscal 2021 Annual Report on Form 10-K filed with the SEC on August 25, 2021.</w:t>
      </w:r>
    </w:p>
    <w:p>
      <w:pPr>
        <w:spacing w:after="0" w:line="31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third quarter of fiscal 2022 we repurchased 65,951 shares of our common stock in the open market for an aggregate purchase price, including commissions, of $2.0 million. These shares were recorded as treasury stock and we do not anticipate retiring them.</w:t>
      </w:r>
    </w:p>
    <w:p>
      <w:pPr>
        <w:spacing w:after="0" w:line="94"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November 2021 our Board of Directors approved a stock repurchase program to purchase up to $10.0 million of our common stock. As of April 1, 2022, $8.0 million remains available under the stock repurchase program, and we may choose to suspend or discontinue the repurchase program at any time.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Following is a summary of stock repurchases for the three months ended April 1,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2273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1, 2022 through January 28, 2022</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January 29, 2022 through February 25, 2022</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26 through April 1, 2022</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 Shares that</w:t>
            </w:r>
          </w:p>
        </w:tc>
        <w:tc>
          <w:tcPr>
            <w:tcW w:w="0" w:type="dxa"/>
            <w:vAlign w:val="bottom"/>
          </w:tcPr>
          <w:p>
            <w:pPr>
              <w:spacing w:after="0"/>
              <w:rPr>
                <w:sz w:val="1"/>
                <w:szCs w:val="1"/>
                <w:color w:val="auto"/>
              </w:rPr>
            </w:pPr>
          </w:p>
        </w:tc>
      </w:tr>
      <w:tr>
        <w:trPr>
          <w:trHeight w:val="142"/>
        </w:trPr>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16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Repurchased as Part of Publicly</w:t>
            </w:r>
          </w:p>
        </w:tc>
        <w:tc>
          <w:tcPr>
            <w:tcW w:w="140" w:type="dxa"/>
            <w:vAlign w:val="bottom"/>
          </w:tcPr>
          <w:p>
            <w:pPr>
              <w:spacing w:after="0"/>
              <w:rPr>
                <w:sz w:val="12"/>
                <w:szCs w:val="12"/>
                <w:color w:val="auto"/>
              </w:rPr>
            </w:pPr>
          </w:p>
        </w:tc>
        <w:tc>
          <w:tcPr>
            <w:tcW w:w="2340" w:type="dxa"/>
            <w:vAlign w:val="bottom"/>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Yet be Repurchased Under the</w:t>
            </w:r>
          </w:p>
        </w:tc>
        <w:tc>
          <w:tcPr>
            <w:tcW w:w="0" w:type="dxa"/>
            <w:vAlign w:val="bottom"/>
          </w:tcPr>
          <w:p>
            <w:pPr>
              <w:spacing w:after="0"/>
              <w:rPr>
                <w:sz w:val="1"/>
                <w:szCs w:val="1"/>
                <w:color w:val="auto"/>
              </w:rPr>
            </w:pPr>
          </w:p>
        </w:tc>
      </w:tr>
      <w:tr>
        <w:trPr>
          <w:trHeight w:val="191"/>
        </w:trPr>
        <w:tc>
          <w:tcPr>
            <w:tcW w:w="15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Announced Program</w:t>
            </w:r>
          </w:p>
        </w:tc>
        <w:tc>
          <w:tcPr>
            <w:tcW w:w="140" w:type="dxa"/>
            <w:vAlign w:val="bottom"/>
          </w:tcPr>
          <w:p>
            <w:pPr>
              <w:spacing w:after="0"/>
              <w:rPr>
                <w:sz w:val="16"/>
                <w:szCs w:val="16"/>
                <w:color w:val="auto"/>
              </w:rPr>
            </w:pPr>
          </w:p>
        </w:tc>
        <w:tc>
          <w:tcPr>
            <w:tcW w:w="2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 xml:space="preserve">Program </w:t>
            </w:r>
            <w:r>
              <w:rPr>
                <w:rFonts w:ascii="Times New Roman" w:cs="Times New Roman" w:eastAsia="Times New Roman" w:hAnsi="Times New Roman"/>
                <w:sz w:val="9"/>
                <w:szCs w:val="9"/>
                <w:b w:val="1"/>
                <w:bCs w:val="1"/>
                <w:color w:val="auto"/>
                <w:w w:val="99"/>
              </w:rPr>
              <w:t>(1)(2)</w:t>
            </w:r>
          </w:p>
        </w:tc>
        <w:tc>
          <w:tcPr>
            <w:tcW w:w="0" w:type="dxa"/>
            <w:vAlign w:val="bottom"/>
          </w:tcPr>
          <w:p>
            <w:pPr>
              <w:spacing w:after="0"/>
              <w:rPr>
                <w:sz w:val="1"/>
                <w:szCs w:val="1"/>
                <w:color w:val="auto"/>
              </w:rPr>
            </w:pPr>
          </w:p>
        </w:tc>
      </w:tr>
      <w:tr>
        <w:trPr>
          <w:trHeight w:val="202"/>
        </w:trPr>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22"/>
        </w:trPr>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0" w:type="dxa"/>
            <w:vAlign w:val="bottom"/>
          </w:tcPr>
          <w:p>
            <w:pPr>
              <w:spacing w:after="0"/>
              <w:rPr>
                <w:sz w:val="1"/>
                <w:szCs w:val="1"/>
                <w:color w:val="auto"/>
              </w:rPr>
            </w:pPr>
          </w:p>
        </w:tc>
      </w:tr>
      <w:tr>
        <w:trPr>
          <w:trHeight w:val="222"/>
        </w:trPr>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24,911</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8,505</w:t>
            </w:r>
          </w:p>
        </w:tc>
        <w:tc>
          <w:tcPr>
            <w:tcW w:w="0" w:type="dxa"/>
            <w:vAlign w:val="bottom"/>
          </w:tcPr>
          <w:p>
            <w:pPr>
              <w:spacing w:after="0"/>
              <w:rPr>
                <w:sz w:val="1"/>
                <w:szCs w:val="1"/>
                <w:color w:val="auto"/>
              </w:rPr>
            </w:pPr>
          </w:p>
        </w:tc>
      </w:tr>
      <w:tr>
        <w:trPr>
          <w:trHeight w:val="227"/>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8,010</w:t>
            </w:r>
          </w:p>
        </w:tc>
        <w:tc>
          <w:tcPr>
            <w:tcW w:w="0" w:type="dxa"/>
            <w:vAlign w:val="bottom"/>
          </w:tcPr>
          <w:p>
            <w:pPr>
              <w:spacing w:after="0"/>
              <w:rPr>
                <w:sz w:val="1"/>
                <w:szCs w:val="1"/>
                <w:color w:val="auto"/>
              </w:rPr>
            </w:pPr>
          </w:p>
        </w:tc>
      </w:tr>
      <w:tr>
        <w:trPr>
          <w:trHeight w:val="215"/>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-605155</wp:posOffset>
            </wp:positionV>
            <wp:extent cx="7136765" cy="140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-2332990</wp:posOffset>
            </wp:positionH>
            <wp:positionV relativeFrom="paragraph">
              <wp:posOffset>-323215</wp:posOffset>
            </wp:positionV>
            <wp:extent cx="7136765" cy="140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560"/>
            <w:col w:w="7560"/>
          </w:cols>
          <w:pgMar w:left="320" w:top="1440" w:right="339" w:bottom="1440" w:gutter="0" w:footer="0" w:header="0"/>
          <w:type w:val="continuous"/>
        </w:sectPr>
      </w:pPr>
    </w:p>
    <w:p>
      <w:pPr>
        <w:spacing w:after="0" w:line="108" w:lineRule="exact"/>
        <w:rPr>
          <w:sz w:val="20"/>
          <w:szCs w:val="20"/>
          <w:color w:val="auto"/>
        </w:rPr>
      </w:pPr>
    </w:p>
    <w:p>
      <w:pPr>
        <w:ind w:left="240" w:hanging="235"/>
        <w:spacing w:after="0" w:line="23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May 2018, our Board of Directors approved a stock repurchase program, which does not have an expiration date, for the repurchase of up to $7.5 million of our common stock. The May 2018 program has been completed and no amount remains available under the program.</w:t>
      </w:r>
    </w:p>
    <w:p>
      <w:pPr>
        <w:ind w:left="240" w:hanging="235"/>
        <w:spacing w:after="0" w:line="22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November 2021, our Board of Directors approved a stock repurchase program, which does not have an expiration date, for the repurchase of up to $10.0 million of our common stock.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jc w:val="center"/>
        <w:ind w:right="779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72" w:lineRule="exact"/>
        <w:rPr>
          <w:sz w:val="20"/>
          <w:szCs w:val="20"/>
          <w:color w:val="auto"/>
        </w:rPr>
      </w:pPr>
    </w:p>
    <w:p>
      <w:pPr>
        <w:jc w:val="center"/>
        <w:ind w:right="8139"/>
        <w:spacing w:after="0"/>
        <w:rPr>
          <w:sz w:val="20"/>
          <w:szCs w:val="20"/>
          <w:color w:val="auto"/>
        </w:rPr>
      </w:pPr>
      <w:r>
        <w:rPr>
          <w:rFonts w:ascii="Times New Roman" w:cs="Times New Roman" w:eastAsia="Times New Roman" w:hAnsi="Times New Roman"/>
          <w:sz w:val="17"/>
          <w:szCs w:val="17"/>
          <w:color w:val="auto"/>
        </w:rPr>
        <w:t>Not applicable.</w:t>
      </w:r>
    </w:p>
    <w:p>
      <w:pPr>
        <w:spacing w:after="0" w:line="168" w:lineRule="exact"/>
        <w:rPr>
          <w:sz w:val="20"/>
          <w:szCs w:val="20"/>
          <w:color w:val="auto"/>
        </w:rPr>
      </w:pPr>
    </w:p>
    <w:p>
      <w:pPr>
        <w:jc w:val="center"/>
        <w:ind w:right="8179"/>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2" w:lineRule="exact"/>
        <w:rPr>
          <w:sz w:val="20"/>
          <w:szCs w:val="20"/>
          <w:color w:val="auto"/>
        </w:rPr>
      </w:pPr>
    </w:p>
    <w:p>
      <w:pPr>
        <w:jc w:val="center"/>
        <w:ind w:right="8139"/>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exhibits are filed herewith or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76"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Amended and Restated Certificate of Incorporation of Aviat Networks, Inc., as amended (incorporated by reference to Exhibit 3.1 to the</w:t>
              </w:r>
            </w:hyperlink>
          </w:p>
        </w:tc>
      </w:tr>
      <w:tr>
        <w:trPr>
          <w:trHeight w:val="182"/>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80" w:type="dxa"/>
            <w:vAlign w:val="bottom"/>
            <w:tcBorders>
              <w:top w:val="single" w:sz="8" w:color="0000FF"/>
              <w:bottom w:val="single" w:sz="8" w:color="0000FF"/>
            </w:tcBorders>
            <w:gridSpan w:val="5"/>
            <w:shd w:val="clear" w:color="auto" w:fill="CCEEFF"/>
          </w:tcPr>
          <w:p>
            <w:pPr>
              <w:spacing w:after="0" w:line="150"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Current Report on Form 10-Q filed with the SEC on February 10, 2017, File No. 001-33278)</w:t>
              </w:r>
            </w:hyperlink>
          </w:p>
        </w:tc>
        <w:tc>
          <w:tcPr>
            <w:tcW w:w="34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12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8"/>
          </w:tcPr>
          <w:p>
            <w:pPr>
              <w:spacing w:after="0" w:line="183"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Amended and Restated Bylaws of Aviat Networks, Inc. (incorporated by reference to Exhibit 3.1 to the Current Report on Form 8-K filed with</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the SEC on September 24, 2020, File No. 001-33278)</w:t>
              </w:r>
            </w:hyperlink>
          </w:p>
        </w:tc>
        <w:tc>
          <w:tcPr>
            <w:tcW w:w="20" w:type="dxa"/>
            <w:vAlign w:val="bottom"/>
          </w:tcPr>
          <w:p>
            <w:pPr>
              <w:spacing w:after="0"/>
              <w:rPr>
                <w:sz w:val="13"/>
                <w:szCs w:val="13"/>
                <w:color w:val="auto"/>
              </w:rPr>
            </w:pPr>
          </w:p>
        </w:tc>
      </w:tr>
      <w:tr>
        <w:trPr>
          <w:trHeight w:val="32"/>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4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1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31.1*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rPr>
              <w:t>Rule 13a-14(a)/15d-14(a) Certification of President and Chief Executive Officer</w:t>
            </w:r>
          </w:p>
        </w:tc>
      </w:tr>
      <w:tr>
        <w:trPr>
          <w:trHeight w:val="193"/>
        </w:trPr>
        <w:tc>
          <w:tcPr>
            <w:tcW w:w="1120" w:type="dxa"/>
            <w:vAlign w:val="bottom"/>
            <w:tcBorders>
              <w:top w:val="single" w:sz="8" w:color="CCEEFF"/>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Rule 13a-14(a)/15d-14(a) Certification of Chief Financial Officer</w:t>
            </w:r>
          </w:p>
        </w:tc>
        <w:tc>
          <w:tcPr>
            <w:tcW w:w="1020" w:type="dxa"/>
            <w:vAlign w:val="bottom"/>
            <w:tcBorders>
              <w:top w:val="single" w:sz="8" w:color="0000FF"/>
            </w:tcBorders>
          </w:tcPr>
          <w:p>
            <w:pPr>
              <w:spacing w:after="0"/>
              <w:rPr>
                <w:sz w:val="16"/>
                <w:szCs w:val="16"/>
                <w:color w:val="auto"/>
              </w:rPr>
            </w:pPr>
          </w:p>
        </w:tc>
        <w:tc>
          <w:tcPr>
            <w:tcW w:w="4420" w:type="dxa"/>
            <w:vAlign w:val="bottom"/>
            <w:tcBorders>
              <w:top w:val="single" w:sz="8" w:color="CCEEFF"/>
            </w:tcBorders>
            <w:gridSpan w:val="5"/>
          </w:tcPr>
          <w:p>
            <w:pPr>
              <w:spacing w:after="0"/>
              <w:rPr>
                <w:sz w:val="16"/>
                <w:szCs w:val="16"/>
                <w:color w:val="auto"/>
              </w:rPr>
            </w:pPr>
          </w:p>
        </w:tc>
      </w:tr>
      <w:tr>
        <w:trPr>
          <w:trHeight w:val="212"/>
        </w:trPr>
        <w:tc>
          <w:tcPr>
            <w:tcW w:w="112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0000FF"/>
            </w:tcBorders>
            <w:gridSpan w:val="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c>
          <w:tcPr>
            <w:tcW w:w="4300" w:type="dxa"/>
            <w:vAlign w:val="bottom"/>
            <w:tcBorders>
              <w:bottom w:val="single" w:sz="8" w:color="CCEEFF"/>
            </w:tcBorders>
            <w:gridSpan w:val="4"/>
            <w:shd w:val="clear" w:color="auto" w:fill="CCEEFF"/>
          </w:tcPr>
          <w:p>
            <w:pPr>
              <w:spacing w:after="0"/>
              <w:rPr>
                <w:sz w:val="18"/>
                <w:szCs w:val="18"/>
                <w:color w:val="auto"/>
              </w:rPr>
            </w:pP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7"/>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140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1260" w:hanging="1238"/>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ind w:left="1260" w:hanging="1238"/>
        <w:spacing w:after="0"/>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4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AVIAT NETWORKS, INC.</w:t>
      </w:r>
    </w:p>
    <w:p>
      <w:pPr>
        <w:ind w:left="6220"/>
        <w:spacing w:after="0"/>
        <w:rPr>
          <w:sz w:val="20"/>
          <w:szCs w:val="20"/>
          <w:color w:val="auto"/>
        </w:rPr>
      </w:pPr>
      <w:r>
        <w:rPr>
          <w:rFonts w:ascii="Times New Roman" w:cs="Times New Roman" w:eastAsia="Times New Roman" w:hAnsi="Times New Roman"/>
          <w:sz w:val="17"/>
          <w:szCs w:val="17"/>
          <w:color w:val="auto"/>
        </w:rPr>
        <w:t>(Registrant)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4, 2022</w:t>
      </w:r>
    </w:p>
    <w:p>
      <w:pPr>
        <w:spacing w:after="0" w:line="314"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7"/>
          <w:szCs w:val="17"/>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36830</wp:posOffset>
            </wp:positionV>
            <wp:extent cx="3161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61665" cy="8255"/>
                    </a:xfrm>
                    <a:prstGeom prst="rect">
                      <a:avLst/>
                    </a:prstGeom>
                    <a:noFill/>
                  </pic:spPr>
                </pic:pic>
              </a:graphicData>
            </a:graphic>
          </wp:anchor>
        </w:drawing>
      </w:r>
    </w:p>
    <w:p>
      <w:pPr>
        <w:spacing w:after="0" w:line="1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David M. Gray</w:t>
      </w:r>
    </w:p>
    <w:p>
      <w:pPr>
        <w:ind w:left="6280"/>
        <w:spacing w:after="0" w:line="224" w:lineRule="auto"/>
        <w:rPr>
          <w:sz w:val="20"/>
          <w:szCs w:val="20"/>
          <w:color w:val="auto"/>
        </w:rPr>
      </w:pPr>
      <w:r>
        <w:rPr>
          <w:rFonts w:ascii="Times New Roman" w:cs="Times New Roman" w:eastAsia="Times New Roman" w:hAnsi="Times New Roman"/>
          <w:sz w:val="17"/>
          <w:szCs w:val="17"/>
          <w:color w:val="auto"/>
        </w:rPr>
        <w:t>Senior Vice President and Chief Financial Officer (duly authorized</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29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fiscal quarter ended April 1, 2022, of Aviat Networks, Inc.;</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88"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4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May 4, 2022</w:t>
            </w:r>
          </w:p>
        </w:tc>
        <w:tc>
          <w:tcPr>
            <w:tcW w:w="4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Peter A. Smith</w:t>
            </w:r>
          </w:p>
        </w:tc>
      </w:tr>
      <w:tr>
        <w:trPr>
          <w:trHeight w:val="210"/>
        </w:trPr>
        <w:tc>
          <w:tcPr>
            <w:tcW w:w="6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Peter A. Smith</w:t>
            </w:r>
          </w:p>
        </w:tc>
      </w:tr>
      <w:tr>
        <w:trPr>
          <w:trHeight w:val="227"/>
        </w:trPr>
        <w:tc>
          <w:tcPr>
            <w:tcW w:w="63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6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fiscal quarter ended April 1, 2022, of Aviat Networks, Inc.;</w:t>
      </w:r>
    </w:p>
    <w:p>
      <w:pPr>
        <w:spacing w:after="0" w:line="170" w:lineRule="exact"/>
        <w:rPr>
          <w:rFonts w:ascii="Times New Roman" w:cs="Times New Roman" w:eastAsia="Times New Roman" w:hAnsi="Times New Roman"/>
          <w:sz w:val="17"/>
          <w:szCs w:val="17"/>
          <w:color w:val="auto"/>
        </w:rPr>
      </w:pPr>
    </w:p>
    <w:p>
      <w:pPr>
        <w:jc w:val="both"/>
        <w:ind w:left="640" w:hanging="322"/>
        <w:spacing w:after="0" w:line="288"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4"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jc w:val="both"/>
        <w:ind w:left="640" w:hanging="322"/>
        <w:spacing w:after="0" w:line="276"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5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jc w:val="both"/>
        <w:ind w:left="1260" w:hanging="315"/>
        <w:spacing w:after="0" w:line="276" w:lineRule="auto"/>
        <w:tabs>
          <w:tab w:leader="none" w:pos="124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5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left="1260" w:hanging="315"/>
        <w:spacing w:after="0" w:line="295" w:lineRule="auto"/>
        <w:tabs>
          <w:tab w:leader="none" w:pos="124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27"/>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Date: May 4, 2022</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David M. Gray</w:t>
            </w:r>
          </w:p>
        </w:tc>
      </w:tr>
      <w:tr>
        <w:trPr>
          <w:trHeight w:val="210"/>
        </w:trPr>
        <w:tc>
          <w:tcPr>
            <w:tcW w:w="55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David M. Gray</w:t>
            </w:r>
          </w:p>
        </w:tc>
      </w:tr>
      <w:tr>
        <w:trPr>
          <w:trHeight w:val="227"/>
        </w:trPr>
        <w:tc>
          <w:tcPr>
            <w:tcW w:w="5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bl>
    <w:p>
      <w:pPr>
        <w:sectPr>
          <w:pgSz w:w="11900" w:h="16838" w:orient="portrait"/>
          <w:cols w:equalWidth="0" w:num="1">
            <w:col w:w="11240"/>
          </w:cols>
          <w:pgMar w:left="320" w:top="86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01" w:lineRule="exact"/>
        <w:rPr>
          <w:sz w:val="20"/>
          <w:szCs w:val="20"/>
          <w:color w:val="auto"/>
        </w:rPr>
      </w:pPr>
    </w:p>
    <w:p>
      <w:pPr>
        <w:jc w:val="center"/>
        <w:spacing w:after="0" w:line="334" w:lineRule="auto"/>
        <w:rPr>
          <w:sz w:val="20"/>
          <w:szCs w:val="20"/>
          <w:color w:val="auto"/>
        </w:rPr>
      </w:pPr>
      <w:r>
        <w:rPr>
          <w:rFonts w:ascii="Times New Roman" w:cs="Times New Roman" w:eastAsia="Times New Roman" w:hAnsi="Times New Roman"/>
          <w:sz w:val="17"/>
          <w:szCs w:val="17"/>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of Aviat Networks, Inc. (“Aviat Networks”) for the fiscal quarter ended April 1, 2022,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0" w:lineRule="exact"/>
        <w:rPr>
          <w:sz w:val="20"/>
          <w:szCs w:val="20"/>
          <w:color w:val="auto"/>
        </w:rPr>
      </w:pPr>
    </w:p>
    <w:p>
      <w:pPr>
        <w:ind w:left="640" w:hanging="32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6" w:lineRule="exact"/>
        <w:rPr>
          <w:rFonts w:ascii="Times New Roman" w:cs="Times New Roman" w:eastAsia="Times New Roman" w:hAnsi="Times New Roman"/>
          <w:sz w:val="17"/>
          <w:szCs w:val="17"/>
          <w:color w:val="auto"/>
        </w:rPr>
      </w:pPr>
    </w:p>
    <w:p>
      <w:pPr>
        <w:ind w:left="640" w:hanging="322"/>
        <w:spacing w:after="0" w:line="295"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spacing w:after="0"/>
              <w:rPr>
                <w:sz w:val="17"/>
                <w:szCs w:val="17"/>
                <w:color w:val="auto"/>
              </w:rPr>
            </w:pPr>
          </w:p>
        </w:tc>
      </w:tr>
      <w:tr>
        <w:trPr>
          <w:trHeight w:val="227"/>
        </w:trPr>
        <w:tc>
          <w:tcPr>
            <w:tcW w:w="58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May 4, 2022</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Peter A. Smith</w:t>
            </w:r>
          </w:p>
        </w:tc>
      </w:tr>
      <w:tr>
        <w:trPr>
          <w:trHeight w:val="210"/>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Name: Peter A. Smith</w:t>
            </w:r>
          </w:p>
        </w:tc>
      </w:tr>
      <w:tr>
        <w:trPr>
          <w:trHeight w:val="227"/>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Title: President and Chief Executive Officer</w:t>
            </w:r>
          </w:p>
        </w:tc>
      </w:tr>
      <w:tr>
        <w:trPr>
          <w:trHeight w:val="413"/>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080" w:type="dxa"/>
            <w:vAlign w:val="bottom"/>
          </w:tcPr>
          <w:p>
            <w:pPr>
              <w:spacing w:after="0"/>
              <w:rPr>
                <w:sz w:val="24"/>
                <w:szCs w:val="24"/>
                <w:color w:val="auto"/>
              </w:rPr>
            </w:pPr>
          </w:p>
        </w:tc>
      </w:tr>
      <w:tr>
        <w:trPr>
          <w:trHeight w:val="227"/>
        </w:trPr>
        <w:tc>
          <w:tcPr>
            <w:tcW w:w="58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May 4, 2022</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M. Gray</w:t>
            </w:r>
          </w:p>
        </w:tc>
      </w:tr>
      <w:tr>
        <w:trPr>
          <w:trHeight w:val="210"/>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Name: David M. Gray</w:t>
            </w:r>
          </w:p>
        </w:tc>
      </w:tr>
      <w:tr>
        <w:trPr>
          <w:trHeight w:val="227"/>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1" Type="http://schemas.openxmlformats.org/officeDocument/2006/relationships/hyperlink" Target="http://www.sec.gov/Archives/edgar/data/1377789/000137778917000022/avnwexhibit31amendedandres.htm" TargetMode="External"/><Relationship Id="rId62" Type="http://schemas.openxmlformats.org/officeDocument/2006/relationships/hyperlink" Target="http://www.sec.gov/Archives/edgar/data/1377789/000137778920000079/bylawupdate92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2022-05-04T15:31:27Z</dcterms:created>
  <dcterms:modified xsi:type="dcterms:W3CDTF">2022-05-04T15:31:27Z</dcterms:modified>
</cp:coreProperties>
</file>