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0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29, 2013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40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454660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AVIAT NETWORKS,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20-5961564</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5200 Great America Parkway</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Santa Clara, California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95054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420" w:type="dxa"/>
            <w:vAlign w:val="bottom"/>
          </w:tcPr>
          <w:p>
            <w:pPr>
              <w:spacing w:after="0"/>
              <w:rPr>
                <w:sz w:val="24"/>
                <w:szCs w:val="24"/>
                <w:color w:val="auto"/>
              </w:rPr>
            </w:pPr>
          </w:p>
        </w:tc>
        <w:tc>
          <w:tcPr>
            <w:tcW w:w="5260" w:type="dxa"/>
            <w:vAlign w:val="bottom"/>
          </w:tcPr>
          <w:p>
            <w:pPr>
              <w:jc w:val="right"/>
              <w:ind w:right="2940"/>
              <w:spacing w:after="0"/>
              <w:rPr>
                <w:sz w:val="20"/>
                <w:szCs w:val="20"/>
                <w:color w:val="auto"/>
              </w:rPr>
            </w:pPr>
            <w:r>
              <w:rPr>
                <w:rFonts w:ascii="Arial" w:cs="Arial" w:eastAsia="Arial" w:hAnsi="Arial"/>
                <w:sz w:val="18"/>
                <w:szCs w:val="18"/>
                <w:b w:val="1"/>
                <w:bCs w:val="1"/>
                <w:color w:val="auto"/>
              </w:rPr>
              <w:t>(408) 567-7000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 changes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7" w:lineRule="exact"/>
        <w:rPr>
          <w:sz w:val="24"/>
          <w:szCs w:val="24"/>
          <w:color w:val="auto"/>
        </w:rPr>
      </w:pPr>
    </w:p>
    <w:p>
      <w:pPr>
        <w:ind w:left="4760"/>
        <w:spacing w:after="0"/>
        <w:rPr>
          <w:sz w:val="20"/>
          <w:szCs w:val="20"/>
          <w:color w:val="auto"/>
        </w:rPr>
      </w:pPr>
      <w:r>
        <w:rPr>
          <w:rFonts w:ascii="Arial" w:cs="Arial" w:eastAsia="Arial" w:hAnsi="Arial"/>
          <w:sz w:val="14"/>
          <w:szCs w:val="14"/>
          <w:color w:val="auto"/>
        </w:rPr>
        <w:t>__________________________</w:t>
      </w:r>
    </w:p>
    <w:p>
      <w:pPr>
        <w:spacing w:after="0" w:line="91"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3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102" w:right="25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600" w:space="720"/>
            <w:col w:w="4380" w:space="720"/>
            <w:col w:w="2800" w:space="720"/>
            <w:col w:w="460"/>
          </w:cols>
          <w:pgMar w:left="240" w:top="1102"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11" w:lineRule="exact"/>
        <w:rPr>
          <w:sz w:val="24"/>
          <w:szCs w:val="24"/>
          <w:color w:val="auto"/>
        </w:rPr>
      </w:pPr>
    </w:p>
    <w:p>
      <w:pPr>
        <w:sectPr>
          <w:pgSz w:w="11900" w:h="16838" w:orient="portrait"/>
          <w:cols w:equalWidth="0" w:num="4">
            <w:col w:w="1600" w:space="720"/>
            <w:col w:w="4380" w:space="720"/>
            <w:col w:w="2800" w:space="720"/>
            <w:col w:w="460"/>
          </w:cols>
          <w:pgMar w:left="240" w:top="1102" w:right="259" w:bottom="1440" w:gutter="0" w:footer="0" w:header="0"/>
          <w:type w:val="continuous"/>
        </w:sectPr>
      </w:pP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200" w:lineRule="exact"/>
        <w:rPr>
          <w:sz w:val="24"/>
          <w:szCs w:val="24"/>
          <w:color w:val="auto"/>
        </w:rPr>
      </w:pPr>
    </w:p>
    <w:p>
      <w:pPr>
        <w:sectPr>
          <w:pgSz w:w="11900" w:h="16838" w:orient="portrait"/>
          <w:cols w:equalWidth="0" w:num="3">
            <w:col w:w="7380" w:space="140"/>
            <w:col w:w="400" w:space="160"/>
            <w:col w:w="3320"/>
          </w:cols>
          <w:pgMar w:left="240" w:top="1102" w:right="25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as of April 30, 2013 was 61,242,098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02"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380" w:type="dxa"/>
            <w:vAlign w:val="bottom"/>
            <w:gridSpan w:val="8"/>
          </w:tcPr>
          <w:p>
            <w:pPr>
              <w:jc w:val="center"/>
              <w:ind w:right="2660"/>
              <w:spacing w:after="0"/>
              <w:rPr>
                <w:sz w:val="20"/>
                <w:szCs w:val="20"/>
                <w:color w:val="auto"/>
              </w:rPr>
            </w:pPr>
            <w:r>
              <w:rPr>
                <w:rFonts w:ascii="Arial" w:cs="Arial" w:eastAsia="Arial" w:hAnsi="Arial"/>
                <w:sz w:val="18"/>
                <w:szCs w:val="18"/>
                <w:b w:val="1"/>
                <w:bCs w:val="1"/>
                <w:color w:val="auto"/>
              </w:rPr>
              <w:t>AVIAT NETWORKS, INC.</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80" w:type="dxa"/>
            <w:vAlign w:val="bottom"/>
            <w:gridSpan w:val="8"/>
          </w:tcPr>
          <w:p>
            <w:pPr>
              <w:jc w:val="center"/>
              <w:ind w:right="2680"/>
              <w:spacing w:after="0"/>
              <w:rPr>
                <w:sz w:val="20"/>
                <w:szCs w:val="20"/>
                <w:color w:val="auto"/>
              </w:rPr>
            </w:pPr>
            <w:r>
              <w:rPr>
                <w:rFonts w:ascii="Arial" w:cs="Arial" w:eastAsia="Arial" w:hAnsi="Arial"/>
                <w:sz w:val="18"/>
                <w:szCs w:val="18"/>
                <w:b w:val="1"/>
                <w:bCs w:val="1"/>
                <w:color w:val="auto"/>
                <w:w w:val="99"/>
              </w:rPr>
              <w:t>FORM 10-Q</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80" w:type="dxa"/>
            <w:vAlign w:val="bottom"/>
            <w:gridSpan w:val="8"/>
          </w:tcPr>
          <w:p>
            <w:pPr>
              <w:jc w:val="center"/>
              <w:ind w:right="2660"/>
              <w:spacing w:after="0"/>
              <w:rPr>
                <w:sz w:val="20"/>
                <w:szCs w:val="20"/>
                <w:color w:val="auto"/>
              </w:rPr>
            </w:pPr>
            <w:r>
              <w:rPr>
                <w:rFonts w:ascii="Arial" w:cs="Arial" w:eastAsia="Arial" w:hAnsi="Arial"/>
                <w:sz w:val="18"/>
                <w:szCs w:val="18"/>
                <w:b w:val="1"/>
                <w:bCs w:val="1"/>
                <w:color w:val="auto"/>
                <w:w w:val="92"/>
              </w:rPr>
              <w:t>For the Quarterly Period Ended March 29, 2013</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80" w:type="dxa"/>
            <w:vAlign w:val="bottom"/>
            <w:gridSpan w:val="8"/>
          </w:tcPr>
          <w:p>
            <w:pPr>
              <w:jc w:val="center"/>
              <w:ind w:right="2660"/>
              <w:spacing w:after="0"/>
              <w:rPr>
                <w:sz w:val="20"/>
                <w:szCs w:val="20"/>
                <w:color w:val="auto"/>
              </w:rPr>
            </w:pPr>
            <w:r>
              <w:rPr>
                <w:rFonts w:ascii="Arial" w:cs="Arial" w:eastAsia="Arial" w:hAnsi="Arial"/>
                <w:sz w:val="18"/>
                <w:szCs w:val="18"/>
                <w:b w:val="1"/>
                <w:bCs w:val="1"/>
                <w:color w:val="auto"/>
                <w:w w:val="89"/>
              </w:rPr>
              <w:t>Table of Contents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4"/>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189"/>
        </w:trPr>
        <w:tc>
          <w:tcPr>
            <w:tcW w:w="2260" w:type="dxa"/>
            <w:vAlign w:val="bottom"/>
            <w:tcBorders>
              <w:bottom w:val="single" w:sz="8" w:color="0000FF"/>
            </w:tcBorders>
            <w:gridSpan w:val="8"/>
          </w:tcPr>
          <w:p>
            <w:pPr>
              <w:spacing w:after="0" w:line="189" w:lineRule="exact"/>
              <w:rPr>
                <w:sz w:val="20"/>
                <w:szCs w:val="20"/>
                <w:color w:val="auto"/>
              </w:rPr>
            </w:pPr>
            <w:r>
              <w:rPr>
                <w:rFonts w:ascii="Arial" w:cs="Arial" w:eastAsia="Arial" w:hAnsi="Arial"/>
                <w:sz w:val="18"/>
                <w:szCs w:val="18"/>
                <w:b w:val="1"/>
                <w:bCs w:val="1"/>
                <w:color w:val="0000FF"/>
                <w:w w:val="94"/>
              </w:rPr>
              <w:t>Part I. Financial Information</w:t>
            </w:r>
          </w:p>
        </w:tc>
        <w:tc>
          <w:tcPr>
            <w:tcW w:w="8440" w:type="dxa"/>
            <w:vAlign w:val="bottom"/>
            <w:gridSpan w:val="12"/>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340" w:type="dxa"/>
            <w:vAlign w:val="bottom"/>
          </w:tcPr>
          <w:p>
            <w:pPr>
              <w:spacing w:after="0"/>
              <w:rPr>
                <w:sz w:val="22"/>
                <w:szCs w:val="22"/>
                <w:color w:val="auto"/>
              </w:rPr>
            </w:pPr>
          </w:p>
        </w:tc>
        <w:tc>
          <w:tcPr>
            <w:tcW w:w="10360" w:type="dxa"/>
            <w:vAlign w:val="bottom"/>
            <w:gridSpan w:val="19"/>
          </w:tcPr>
          <w:p>
            <w:pPr>
              <w:spacing w:after="0"/>
              <w:rPr>
                <w:sz w:val="20"/>
                <w:szCs w:val="20"/>
                <w:color w:val="auto"/>
              </w:rPr>
            </w:pPr>
            <w:r>
              <w:rPr>
                <w:rFonts w:ascii="Arial" w:cs="Arial" w:eastAsia="Arial" w:hAnsi="Arial"/>
                <w:sz w:val="18"/>
                <w:szCs w:val="18"/>
                <w:color w:val="0000FF"/>
              </w:rPr>
              <w:t>Item 1. Financial Statements (Unaudited)</w:t>
            </w:r>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 for the Quarter and Three Quarters ended</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10"/>
          </w:tcPr>
          <w:p>
            <w:pPr>
              <w:ind w:left="240"/>
              <w:spacing w:after="0" w:line="196" w:lineRule="exact"/>
              <w:rPr>
                <w:sz w:val="20"/>
                <w:szCs w:val="20"/>
                <w:color w:val="auto"/>
              </w:rPr>
            </w:pPr>
            <w:r>
              <w:rPr>
                <w:rFonts w:ascii="Arial" w:cs="Arial" w:eastAsia="Arial" w:hAnsi="Arial"/>
                <w:sz w:val="18"/>
                <w:szCs w:val="18"/>
                <w:color w:val="0000FF"/>
                <w:w w:val="90"/>
              </w:rPr>
              <w:t>March 29, 2013 and March 30, 2012</w:t>
            </w:r>
          </w:p>
        </w:tc>
        <w:tc>
          <w:tcPr>
            <w:tcW w:w="3800" w:type="dxa"/>
            <w:vAlign w:val="bottom"/>
            <w:tcBorders>
              <w:top w:val="single" w:sz="8" w:color="0000FF"/>
            </w:tcBorders>
            <w:gridSpan w:val="6"/>
          </w:tcPr>
          <w:p>
            <w:pPr>
              <w:spacing w:after="0"/>
              <w:rPr>
                <w:sz w:val="17"/>
                <w:szCs w:val="17"/>
                <w:color w:val="auto"/>
              </w:rPr>
            </w:pPr>
          </w:p>
        </w:tc>
        <w:tc>
          <w:tcPr>
            <w:tcW w:w="3680" w:type="dxa"/>
            <w:vAlign w:val="bottom"/>
            <w:gridSpan w:val="3"/>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0"/>
        </w:trPr>
        <w:tc>
          <w:tcPr>
            <w:tcW w:w="340" w:type="dxa"/>
            <w:vAlign w:val="bottom"/>
          </w:tcPr>
          <w:p>
            <w:pPr>
              <w:spacing w:after="0"/>
              <w:rPr>
                <w:sz w:val="21"/>
                <w:szCs w:val="21"/>
                <w:color w:val="auto"/>
              </w:rPr>
            </w:pPr>
          </w:p>
        </w:tc>
        <w:tc>
          <w:tcPr>
            <w:tcW w:w="742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Comprehensive Loss for the Quarter and Three Quarters ended</w:t>
              </w:r>
            </w:hyperlink>
          </w:p>
        </w:tc>
        <w:tc>
          <w:tcPr>
            <w:tcW w:w="2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10360" w:type="dxa"/>
            <w:vAlign w:val="bottom"/>
            <w:gridSpan w:val="19"/>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March 29, 2013 and March 30, 2012</w:t>
              </w:r>
            </w:hyperlink>
          </w:p>
        </w:tc>
        <w:tc>
          <w:tcPr>
            <w:tcW w:w="680" w:type="dxa"/>
            <w:vAlign w:val="bottom"/>
            <w:gridSpan w:val="4"/>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8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Consolidated Balance Sheets as of March 29, 2013 and June 29, 2012</w:t>
            </w:r>
          </w:p>
        </w:tc>
        <w:tc>
          <w:tcPr>
            <w:tcW w:w="448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for the Three Quarters ended</w:t>
              </w:r>
            </w:hyperlink>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58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March 29, 2013 and March 30, 2012</w:t>
              </w:r>
            </w:hyperlink>
          </w:p>
        </w:tc>
        <w:tc>
          <w:tcPr>
            <w:tcW w:w="452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9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5440" w:type="dxa"/>
            <w:vAlign w:val="bottom"/>
            <w:gridSpan w:val="6"/>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9"/>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68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020" w:type="dxa"/>
            <w:vAlign w:val="bottom"/>
            <w:gridSpan w:val="17"/>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334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340" w:type="dxa"/>
            <w:vAlign w:val="bottom"/>
            <w:gridSpan w:val="8"/>
          </w:tcPr>
          <w:p>
            <w:pPr>
              <w:spacing w:after="0"/>
              <w:rPr>
                <w:sz w:val="20"/>
                <w:szCs w:val="20"/>
                <w:color w:val="auto"/>
              </w:rPr>
            </w:pPr>
            <w:r>
              <w:rPr>
                <w:rFonts w:ascii="Arial" w:cs="Arial" w:eastAsia="Arial" w:hAnsi="Arial"/>
                <w:sz w:val="18"/>
                <w:szCs w:val="18"/>
                <w:color w:val="0000FF"/>
                <w:w w:val="89"/>
              </w:rPr>
              <w:t>Item 4. Controls and Procedures</w:t>
            </w:r>
          </w:p>
        </w:tc>
        <w:tc>
          <w:tcPr>
            <w:tcW w:w="2520" w:type="dxa"/>
            <w:vAlign w:val="bottom"/>
            <w:gridSpan w:val="4"/>
          </w:tcPr>
          <w:p>
            <w:pPr>
              <w:spacing w:after="0"/>
              <w:rPr>
                <w:sz w:val="21"/>
                <w:szCs w:val="21"/>
                <w:color w:val="auto"/>
              </w:rPr>
            </w:pPr>
          </w:p>
        </w:tc>
        <w:tc>
          <w:tcPr>
            <w:tcW w:w="550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6"/>
              </w:rPr>
              <w:t>Part II. Other Information</w:t>
            </w:r>
          </w:p>
        </w:tc>
        <w:tc>
          <w:tcPr>
            <w:tcW w:w="8640" w:type="dxa"/>
            <w:vAlign w:val="bottom"/>
            <w:gridSpan w:val="14"/>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1900" w:type="dxa"/>
            <w:vAlign w:val="bottom"/>
            <w:gridSpan w:val="6"/>
          </w:tcPr>
          <w:p>
            <w:pPr>
              <w:spacing w:after="0"/>
              <w:rPr>
                <w:sz w:val="20"/>
                <w:szCs w:val="20"/>
                <w:color w:val="auto"/>
              </w:rPr>
            </w:pPr>
            <w:r>
              <w:rPr>
                <w:rFonts w:ascii="Arial" w:cs="Arial" w:eastAsia="Arial" w:hAnsi="Arial"/>
                <w:sz w:val="18"/>
                <w:szCs w:val="18"/>
                <w:color w:val="0000FF"/>
                <w:w w:val="89"/>
              </w:rPr>
              <w:t>Item 1. Legal Proceedings</w:t>
            </w:r>
          </w:p>
        </w:tc>
        <w:tc>
          <w:tcPr>
            <w:tcW w:w="846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46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600" w:type="dxa"/>
            <w:vAlign w:val="bottom"/>
            <w:gridSpan w:val="4"/>
          </w:tcPr>
          <w:p>
            <w:pPr>
              <w:spacing w:after="0"/>
              <w:rPr>
                <w:sz w:val="20"/>
                <w:szCs w:val="20"/>
                <w:color w:val="auto"/>
              </w:rPr>
            </w:pPr>
            <w:r>
              <w:rPr>
                <w:rFonts w:ascii="Arial" w:cs="Arial" w:eastAsia="Arial" w:hAnsi="Arial"/>
                <w:sz w:val="18"/>
                <w:szCs w:val="18"/>
                <w:color w:val="0000FF"/>
                <w:w w:val="91"/>
              </w:rPr>
              <w:t>Item 1A. Risk Factors</w:t>
            </w:r>
          </w:p>
        </w:tc>
        <w:tc>
          <w:tcPr>
            <w:tcW w:w="300" w:type="dxa"/>
            <w:vAlign w:val="bottom"/>
            <w:gridSpan w:val="2"/>
          </w:tcPr>
          <w:p>
            <w:pPr>
              <w:spacing w:after="0"/>
              <w:rPr>
                <w:sz w:val="21"/>
                <w:szCs w:val="21"/>
                <w:color w:val="auto"/>
              </w:rPr>
            </w:pPr>
          </w:p>
        </w:tc>
        <w:tc>
          <w:tcPr>
            <w:tcW w:w="846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76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600" w:type="dxa"/>
            <w:vAlign w:val="bottom"/>
            <w:gridSpan w:val="4"/>
          </w:tcPr>
          <w:p>
            <w:pPr>
              <w:spacing w:after="0"/>
              <w:rPr>
                <w:sz w:val="20"/>
                <w:szCs w:val="20"/>
                <w:color w:val="auto"/>
              </w:rPr>
            </w:pPr>
            <w:r>
              <w:rPr>
                <w:rFonts w:ascii="Arial" w:cs="Arial" w:eastAsia="Arial" w:hAnsi="Arial"/>
                <w:sz w:val="18"/>
                <w:szCs w:val="18"/>
                <w:color w:val="0000FF"/>
              </w:rPr>
              <w:t>Item 6. Exhibits</w:t>
            </w:r>
          </w:p>
        </w:tc>
        <w:tc>
          <w:tcPr>
            <w:tcW w:w="8760" w:type="dxa"/>
            <w:vAlign w:val="bottom"/>
            <w:gridSpan w:val="1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20"/>
          </w:tcPr>
          <w:p>
            <w:pPr>
              <w:spacing w:after="0"/>
              <w:rPr>
                <w:sz w:val="20"/>
                <w:szCs w:val="20"/>
                <w:color w:val="auto"/>
              </w:rPr>
            </w:pPr>
            <w:r>
              <w:rPr>
                <w:rFonts w:ascii="Arial" w:cs="Arial" w:eastAsia="Arial" w:hAnsi="Arial"/>
                <w:sz w:val="18"/>
                <w:szCs w:val="18"/>
                <w:b w:val="1"/>
                <w:bCs w:val="1"/>
                <w:color w:val="0000FF"/>
              </w:rPr>
              <w:t>Signature</w:t>
            </w:r>
          </w:p>
        </w:tc>
        <w:tc>
          <w:tcPr>
            <w:tcW w:w="6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r>
      <w:tr>
        <w:trPr>
          <w:trHeight w:val="20"/>
        </w:trPr>
        <w:tc>
          <w:tcPr>
            <w:tcW w:w="7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4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60" w:type="dxa"/>
            <w:vAlign w:val="bottom"/>
            <w:gridSpan w:val="3"/>
          </w:tcPr>
          <w:p>
            <w:pPr>
              <w:spacing w:after="0"/>
              <w:rPr>
                <w:sz w:val="20"/>
                <w:szCs w:val="20"/>
                <w:color w:val="auto"/>
              </w:rPr>
            </w:pPr>
            <w:r>
              <w:rPr>
                <w:rFonts w:ascii="Arial" w:cs="Arial" w:eastAsia="Arial" w:hAnsi="Arial"/>
                <w:sz w:val="18"/>
                <w:szCs w:val="18"/>
                <w:b w:val="1"/>
                <w:bCs w:val="1"/>
                <w:color w:val="0000FF"/>
                <w:w w:val="92"/>
              </w:rPr>
              <w:t>Exhibit Index</w:t>
            </w:r>
          </w:p>
        </w:tc>
        <w:tc>
          <w:tcPr>
            <w:tcW w:w="964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r>
      <w:tr>
        <w:trPr>
          <w:trHeight w:val="723"/>
        </w:trPr>
        <w:tc>
          <w:tcPr>
            <w:tcW w:w="1060" w:type="dxa"/>
            <w:vAlign w:val="bottom"/>
            <w:tcBorders>
              <w:top w:val="single" w:sz="8" w:color="0000FF"/>
            </w:tcBorders>
            <w:gridSpan w:val="3"/>
          </w:tcPr>
          <w:p>
            <w:pPr>
              <w:spacing w:after="0"/>
              <w:rPr>
                <w:sz w:val="24"/>
                <w:szCs w:val="24"/>
                <w:color w:val="auto"/>
              </w:rPr>
            </w:pPr>
          </w:p>
        </w:tc>
        <w:tc>
          <w:tcPr>
            <w:tcW w:w="5120" w:type="dxa"/>
            <w:vAlign w:val="bottom"/>
            <w:gridSpan w:val="12"/>
          </w:tcPr>
          <w:p>
            <w:pPr>
              <w:jc w:val="center"/>
              <w:ind w:left="401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tabs>
          <w:tab w:leader="none" w:pos="840" w:val="left"/>
        </w:tabs>
        <w:rPr>
          <w:sz w:val="20"/>
          <w:szCs w:val="20"/>
          <w:color w:val="auto"/>
        </w:rPr>
      </w:pPr>
      <w:r>
        <w:rPr>
          <w:rFonts w:ascii="Arial" w:cs="Arial" w:eastAsia="Arial" w:hAnsi="Arial"/>
          <w:sz w:val="18"/>
          <w:szCs w:val="18"/>
          <w:b w:val="1"/>
          <w:bCs w:val="1"/>
          <w:color w:val="auto"/>
        </w:rPr>
        <w:t>PART I.</w:t>
        <w:tab/>
        <w:t>FINANCIAL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AVIAT NETWORKS,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6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00" w:type="dxa"/>
            <w:vAlign w:val="bottom"/>
          </w:tcPr>
          <w:p>
            <w:pPr>
              <w:spacing w:after="0"/>
              <w:rPr>
                <w:sz w:val="13"/>
                <w:szCs w:val="13"/>
                <w:color w:val="auto"/>
              </w:rPr>
            </w:pPr>
          </w:p>
        </w:tc>
        <w:tc>
          <w:tcPr>
            <w:tcW w:w="12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c>
          <w:tcPr>
            <w:tcW w:w="1040" w:type="dxa"/>
            <w:vAlign w:val="bottom"/>
          </w:tcPr>
          <w:p>
            <w:pPr>
              <w:jc w:val="right"/>
              <w:ind w:right="240"/>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product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248.7</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20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328.0</w:t>
            </w:r>
          </w:p>
        </w:tc>
        <w:tc>
          <w:tcPr>
            <w:tcW w:w="0" w:type="dxa"/>
            <w:vAlign w:val="bottom"/>
          </w:tcPr>
          <w:p>
            <w:pPr>
              <w:spacing w:after="0"/>
              <w:rPr>
                <w:sz w:val="1"/>
                <w:szCs w:val="1"/>
                <w:color w:val="auto"/>
              </w:rPr>
            </w:pP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Cost of revenues:</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170.4</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22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Amortization of identifiable intangible assets</w:t>
            </w:r>
          </w:p>
        </w:tc>
        <w:tc>
          <w:tcPr>
            <w:tcW w:w="20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2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Basic and diluted loss per common share:</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20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580"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5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12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3"/>
                <w:szCs w:val="13"/>
                <w:color w:val="auto"/>
              </w:rPr>
            </w:pPr>
          </w:p>
        </w:tc>
        <w:tc>
          <w:tcPr>
            <w:tcW w:w="1140" w:type="dxa"/>
            <w:vAlign w:val="bottom"/>
          </w:tcPr>
          <w:p>
            <w:pPr>
              <w:jc w:val="right"/>
              <w:ind w:right="315"/>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5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gain (loss)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580" w:type="dxa"/>
            <w:vAlign w:val="bottom"/>
          </w:tcPr>
          <w:p>
            <w:pPr>
              <w:ind w:left="200"/>
              <w:spacing w:after="0"/>
              <w:rPr>
                <w:sz w:val="20"/>
                <w:szCs w:val="20"/>
                <w:color w:val="auto"/>
              </w:rPr>
            </w:pPr>
            <w:r>
              <w:rPr>
                <w:rFonts w:ascii="Arial" w:cs="Arial" w:eastAsia="Arial" w:hAnsi="Arial"/>
                <w:sz w:val="18"/>
                <w:szCs w:val="18"/>
                <w:color w:val="auto"/>
              </w:rPr>
              <w:t>Change in unrealized gain or loss on hedging activities</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5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858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Unbilled costs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Customer service inventories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Long-Term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Identifiable intangible assets, net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assets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304.1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 and 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8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3"/>
                <w:szCs w:val="13"/>
                <w:color w:val="auto"/>
              </w:rPr>
            </w:pPr>
          </w:p>
        </w:tc>
        <w:tc>
          <w:tcPr>
            <w:tcW w:w="1200" w:type="dxa"/>
            <w:vAlign w:val="bottom"/>
          </w:tcPr>
          <w:p>
            <w:pPr>
              <w:jc w:val="right"/>
              <w:ind w:right="351"/>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83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0"/>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Amortization of identifiable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8300" w:type="dxa"/>
            <w:vAlign w:val="bottom"/>
          </w:tcPr>
          <w:p>
            <w:pPr>
              <w:ind w:left="880"/>
              <w:spacing w:after="0"/>
              <w:rPr>
                <w:sz w:val="20"/>
                <w:szCs w:val="20"/>
                <w:color w:val="auto"/>
              </w:rPr>
            </w:pPr>
            <w:r>
              <w:rPr>
                <w:rFonts w:ascii="Arial" w:cs="Arial" w:eastAsia="Arial" w:hAnsi="Arial"/>
                <w:sz w:val="18"/>
                <w:szCs w:val="18"/>
                <w:color w:val="auto"/>
              </w:rPr>
              <w:t>Goodwill impairment charges</w:t>
            </w: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Depreciation and amortization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Bad debt expenses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Charges for inventory write-downs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(gain) on disposition of the WiMAX business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300" w:type="dxa"/>
            <w:vAlign w:val="bottom"/>
          </w:tcPr>
          <w:p>
            <w:pPr>
              <w:ind w:left="360"/>
              <w:spacing w:after="0"/>
              <w:rPr>
                <w:sz w:val="20"/>
                <w:szCs w:val="20"/>
                <w:color w:val="auto"/>
              </w:rPr>
            </w:pPr>
            <w:r>
              <w:rPr>
                <w:rFonts w:ascii="Arial" w:cs="Arial" w:eastAsia="Arial" w:hAnsi="Arial"/>
                <w:sz w:val="18"/>
                <w:szCs w:val="18"/>
                <w:color w:val="auto"/>
              </w:rPr>
              <w:t>Other non-cash items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Unbilled costs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Customer service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Advance payments and unearned income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Income taxes payable or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Reserve for uncertain tax positions and deferred taxes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Other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8300" w:type="dxa"/>
            <w:vAlign w:val="bottom"/>
          </w:tcPr>
          <w:p>
            <w:pPr>
              <w:ind w:left="68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Cash disbursed related to sale of WiMAX business,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Additions of property, plant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8300" w:type="dxa"/>
            <w:vAlign w:val="bottom"/>
          </w:tcPr>
          <w:p>
            <w:pPr>
              <w:ind w:left="7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Proceeds from long-term debt</w:t>
            </w: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Redemption of preference shares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Payments on long-term debt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capitalized leases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Proceeds from share-based compensation awards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360"/>
          </w:cols>
          <w:pgMar w:left="240" w:top="580" w:right="29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40" w:top="580" w:right="299" w:bottom="1440" w:gutter="0" w:footer="0" w:header="0"/>
          <w:type w:val="continuous"/>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90"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Aviat Networks, Inc. (the "Company” or “we”) designs, manufactures and sells a range of wireless networking products,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by us in accordance with U.S. generally accepted accounting principles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management, such interim financial statements reflect all adjustments (consisting of normal recurring adjustments) considered necessary for a fair presentation of financial position, results of operations and cash flows for such periods. The results for the quarter and three quarters ended March 29, 2013 (the “third quarter and first three quarters of fiscal 2013”)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29, 2012.</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financial statements include the accounts of Aviat Networks and its wholly-owned and majority 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intercompany transactions and accounts have been eliminated.</w:t>
      </w:r>
    </w:p>
    <w:p>
      <w:pPr>
        <w:spacing w:after="0" w:line="15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operate on a 52-week or 53-week year ending on the Friday nearest June 30. The first three quarters of fiscal 2013 and 2012 included 13 weeks in each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amounts in the fiscal 2012 financial statements have been reclassified to conform to the fiscal 2013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restructuring obligations, product warranty obligations, share-based awards, contingencies and useful lives of property, plant and equipment.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5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There have been no significant changes in our significant accounting policies as of and for the three quarters ended March 29, 2013, as compared to the significant accounting policies described in our Annual Report on Form 10-K for the fiscal year ended June 29, 2012.</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In February 2013, the Financial Accounting Standards Board issued an accounting standards update on reporting amounts reclassified out of accumulated other comprehensive income ("AOCI"), which requires companies to present information about reclassifications out of AOCI in one place. Companies also are required to present reclassifications by component when reporting changes in AOCI balances. For significant items reclassified out of AOCI to net income in their entirety in the period, companies must report the effect of the reclassifications on the respective line items in the statement where net income is presented. This information may be provided either in the notes or parenthetically on the face of that statement as long as all the information is disclosed in a single location. For items not reclassified to net income in their entirety in the period, companies must cross-reference in a note to other required disclosures. This new guidance is to be adopted prospectively and is effective for us beginning in our first quarter of fiscal 2014. The adoption of this new guidance will not impact our consolidated financial position or results of operations, as the guidance relates only to financial statement presentation.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Accumulated Other Comprehensive Income (Loss)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changes in components of our accumulated other comprehensive income (loss) during the first three quarters of fiscal 2013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Hedging</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Adjustment</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(“CTA”)</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Derivatives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29,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Foreign currency translation gain</w:t>
            </w:r>
          </w:p>
        </w:tc>
        <w:tc>
          <w:tcPr>
            <w:tcW w:w="220" w:type="dxa"/>
            <w:vAlign w:val="bottom"/>
          </w:tcPr>
          <w:p>
            <w:pPr>
              <w:spacing w:after="0"/>
              <w:rPr>
                <w:sz w:val="21"/>
                <w:szCs w:val="21"/>
                <w:color w:val="auto"/>
              </w:rPr>
            </w:pP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hedging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Balance as of March 29, 2013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(Loss) per Share of Common Stock</w:t>
      </w:r>
    </w:p>
    <w:p>
      <w:pPr>
        <w:spacing w:after="0" w:line="94"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However, we incurred a net loss in all periods presented and the undistributed losses were not allocated to unvested restricted shares. Therefore the unvested restricted shares were anti-dilutive and excluded from our diluted net loss calculations for the third quarter and first three quarters of fiscal 2013 and 2012.</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potential weighted average shares of common stock outstanding have been excluded from the diluted net loss per share calculations, as their effect would have been anti-dilutive:</w:t>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48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Quarter Ended</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5540" w:type="dxa"/>
            <w:vAlign w:val="bottom"/>
          </w:tcPr>
          <w:p>
            <w:pPr>
              <w:spacing w:after="0"/>
              <w:rPr>
                <w:sz w:val="13"/>
                <w:szCs w:val="13"/>
                <w:color w:val="auto"/>
              </w:rPr>
            </w:pPr>
          </w:p>
        </w:tc>
        <w:tc>
          <w:tcPr>
            <w:tcW w:w="100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w w:val="99"/>
              </w:rPr>
              <w:t>March 29,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left="228"/>
              <w:spacing w:after="0" w:line="153" w:lineRule="exact"/>
              <w:rPr>
                <w:sz w:val="20"/>
                <w:szCs w:val="20"/>
                <w:color w:val="auto"/>
              </w:rPr>
            </w:pPr>
            <w:r>
              <w:rPr>
                <w:rFonts w:ascii="Arial" w:cs="Arial" w:eastAsia="Arial" w:hAnsi="Arial"/>
                <w:sz w:val="14"/>
                <w:szCs w:val="14"/>
                <w:b w:val="1"/>
                <w:bCs w:val="1"/>
                <w:color w:val="auto"/>
                <w:w w:val="99"/>
              </w:rPr>
              <w:t>March 30,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29,</w:t>
            </w:r>
          </w:p>
        </w:tc>
        <w:tc>
          <w:tcPr>
            <w:tcW w:w="134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5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2013</w:t>
            </w:r>
          </w:p>
        </w:tc>
        <w:tc>
          <w:tcPr>
            <w:tcW w:w="148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3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2012</w:t>
            </w:r>
          </w:p>
        </w:tc>
      </w:tr>
      <w:tr>
        <w:trPr>
          <w:trHeight w:val="250"/>
        </w:trPr>
        <w:tc>
          <w:tcPr>
            <w:tcW w:w="554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(In millions)</w:t>
            </w: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56"/>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87"/>
              </w:rPr>
              <w:t>4.2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w:t>
            </w:r>
          </w:p>
        </w:tc>
      </w:tr>
      <w:tr>
        <w:trPr>
          <w:trHeight w:val="243"/>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Restricted stock</w:t>
            </w:r>
          </w:p>
        </w:tc>
        <w:tc>
          <w:tcPr>
            <w:tcW w:w="380" w:type="dxa"/>
            <w:vAlign w:val="bottom"/>
          </w:tcPr>
          <w:p>
            <w:pPr>
              <w:jc w:val="right"/>
              <w:ind w:right="54"/>
              <w:spacing w:after="0"/>
              <w:rPr>
                <w:sz w:val="20"/>
                <w:szCs w:val="20"/>
                <w:color w:val="auto"/>
              </w:rPr>
            </w:pPr>
            <w:r>
              <w:rPr>
                <w:rFonts w:ascii="Arial" w:cs="Arial" w:eastAsia="Arial" w:hAnsi="Arial"/>
                <w:sz w:val="18"/>
                <w:szCs w:val="18"/>
                <w:color w:val="auto"/>
                <w:w w:val="87"/>
              </w:rPr>
              <w:t>1.0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1.9</w:t>
            </w:r>
          </w:p>
        </w:tc>
      </w:tr>
      <w:tr>
        <w:trPr>
          <w:trHeight w:val="27"/>
        </w:trPr>
        <w:tc>
          <w:tcPr>
            <w:tcW w:w="5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potential shares of common stock excluded</w:t>
            </w: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87"/>
              </w:rPr>
              <w:t>5.2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2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receivables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400" w:type="dxa"/>
            <w:vAlign w:val="bottom"/>
          </w:tcPr>
          <w:p>
            <w:pPr>
              <w:spacing w:after="0"/>
              <w:rPr>
                <w:sz w:val="14"/>
                <w:szCs w:val="14"/>
                <w:color w:val="auto"/>
              </w:rPr>
            </w:pPr>
          </w:p>
        </w:tc>
        <w:tc>
          <w:tcPr>
            <w:tcW w:w="1080" w:type="dxa"/>
            <w:vAlign w:val="bottom"/>
          </w:tcPr>
          <w:p>
            <w:pPr>
              <w:jc w:val="right"/>
              <w:ind w:right="415"/>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receivable due within one year</w:t>
            </w:r>
          </w:p>
        </w:tc>
        <w:tc>
          <w:tcPr>
            <w:tcW w:w="2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regularly require letters of credit from some customers who request extended payment terms of up to one year or more, which we discount from time to time with various financial institutions in order to meet immediate liquidity requirements and to reduce our credit and sovereign risk. Under these arrangements, collection risk is fully transferred to the financial institutions. We record the cost of discounting these letters of credit as interest expense. Total customer letters of credit being discounted and related interest expense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821"/>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gridSpan w:val="2"/>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Three Quarters Ended</w:t>
            </w:r>
          </w:p>
        </w:tc>
        <w:tc>
          <w:tcPr>
            <w:tcW w:w="100" w:type="dxa"/>
            <w:vAlign w:val="bottom"/>
          </w:tcPr>
          <w:p>
            <w:pPr>
              <w:spacing w:after="0"/>
              <w:rPr>
                <w:sz w:val="16"/>
                <w:szCs w:val="16"/>
                <w:color w:val="auto"/>
              </w:rPr>
            </w:pPr>
          </w:p>
        </w:tc>
      </w:tr>
      <w:tr>
        <w:trPr>
          <w:trHeight w:val="152"/>
        </w:trPr>
        <w:tc>
          <w:tcPr>
            <w:tcW w:w="5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21"/>
              <w:spacing w:after="0" w:line="153" w:lineRule="exact"/>
              <w:rPr>
                <w:sz w:val="20"/>
                <w:szCs w:val="20"/>
                <w:color w:val="auto"/>
              </w:rPr>
            </w:pPr>
            <w:r>
              <w:rPr>
                <w:rFonts w:ascii="Arial" w:cs="Arial" w:eastAsia="Arial" w:hAnsi="Arial"/>
                <w:sz w:val="14"/>
                <w:szCs w:val="14"/>
                <w:b w:val="1"/>
                <w:bCs w:val="1"/>
                <w:color w:val="auto"/>
              </w:rPr>
              <w:t>March 29,</w:t>
            </w:r>
          </w:p>
        </w:tc>
        <w:tc>
          <w:tcPr>
            <w:tcW w:w="320" w:type="dxa"/>
            <w:vAlign w:val="bottom"/>
          </w:tcPr>
          <w:p>
            <w:pPr>
              <w:spacing w:after="0"/>
              <w:rPr>
                <w:sz w:val="13"/>
                <w:szCs w:val="13"/>
                <w:color w:val="auto"/>
              </w:rPr>
            </w:pPr>
          </w:p>
        </w:tc>
        <w:tc>
          <w:tcPr>
            <w:tcW w:w="122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340" w:type="dxa"/>
            <w:vAlign w:val="bottom"/>
          </w:tcPr>
          <w:p>
            <w:pPr>
              <w:spacing w:after="0"/>
              <w:rPr>
                <w:sz w:val="13"/>
                <w:szCs w:val="13"/>
                <w:color w:val="auto"/>
              </w:rPr>
            </w:pPr>
          </w:p>
        </w:tc>
        <w:tc>
          <w:tcPr>
            <w:tcW w:w="1100" w:type="dxa"/>
            <w:vAlign w:val="bottom"/>
          </w:tcPr>
          <w:p>
            <w:pPr>
              <w:jc w:val="right"/>
              <w:ind w:right="398"/>
              <w:spacing w:after="0" w:line="153" w:lineRule="exact"/>
              <w:rPr>
                <w:sz w:val="20"/>
                <w:szCs w:val="20"/>
                <w:color w:val="auto"/>
              </w:rPr>
            </w:pPr>
            <w:r>
              <w:rPr>
                <w:rFonts w:ascii="Arial" w:cs="Arial" w:eastAsia="Arial" w:hAnsi="Arial"/>
                <w:sz w:val="14"/>
                <w:szCs w:val="14"/>
                <w:b w:val="1"/>
                <w:bCs w:val="1"/>
                <w:color w:val="auto"/>
                <w:w w:val="92"/>
              </w:rPr>
              <w:t>March 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r>
      <w:tr>
        <w:trPr>
          <w:trHeight w:val="244"/>
        </w:trPr>
        <w:tc>
          <w:tcPr>
            <w:tcW w:w="5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5"/>
        </w:trPr>
        <w:tc>
          <w:tcPr>
            <w:tcW w:w="5420" w:type="dxa"/>
            <w:vAlign w:val="bottom"/>
          </w:tcPr>
          <w:p>
            <w:pPr>
              <w:ind w:left="40"/>
              <w:spacing w:after="0"/>
              <w:rPr>
                <w:sz w:val="20"/>
                <w:szCs w:val="20"/>
                <w:color w:val="auto"/>
              </w:rPr>
            </w:pPr>
            <w:r>
              <w:rPr>
                <w:rFonts w:ascii="Arial" w:cs="Arial" w:eastAsia="Arial" w:hAnsi="Arial"/>
                <w:sz w:val="18"/>
                <w:szCs w:val="18"/>
                <w:color w:val="auto"/>
              </w:rPr>
              <w:t>Customer letters of credit being discounted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13.2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8"/>
              <w:spacing w:after="0"/>
              <w:rPr>
                <w:sz w:val="20"/>
                <w:szCs w:val="20"/>
                <w:color w:val="auto"/>
              </w:rPr>
            </w:pPr>
            <w:r>
              <w:rPr>
                <w:rFonts w:ascii="Arial" w:cs="Arial" w:eastAsia="Arial" w:hAnsi="Arial"/>
                <w:sz w:val="18"/>
                <w:szCs w:val="18"/>
                <w:color w:val="auto"/>
              </w:rPr>
              <w:t>31.5</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2"/>
                <w:szCs w:val="22"/>
                <w:color w:val="auto"/>
              </w:rPr>
            </w:pP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r>
      <w:tr>
        <w:trPr>
          <w:trHeight w:val="459"/>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5420" w:type="dxa"/>
            <w:vAlign w:val="bottom"/>
          </w:tcPr>
          <w:p>
            <w:pPr>
              <w:ind w:left="440"/>
              <w:spacing w:after="0"/>
              <w:rPr>
                <w:sz w:val="20"/>
                <w:szCs w:val="20"/>
                <w:color w:val="auto"/>
              </w:rPr>
            </w:pPr>
            <w:r>
              <w:rPr>
                <w:rFonts w:ascii="Arial" w:cs="Arial" w:eastAsia="Arial" w:hAnsi="Arial"/>
                <w:sz w:val="18"/>
                <w:szCs w:val="18"/>
                <w:color w:val="auto"/>
              </w:rPr>
              <w:t>Our inventories are summarized below:</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8"/>
        </w:trPr>
        <w:tc>
          <w:tcPr>
            <w:tcW w:w="5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58"/>
              <w:spacing w:after="0"/>
              <w:rPr>
                <w:sz w:val="20"/>
                <w:szCs w:val="20"/>
                <w:color w:val="auto"/>
              </w:rPr>
            </w:pPr>
            <w:r>
              <w:rPr>
                <w:rFonts w:ascii="Arial" w:cs="Arial" w:eastAsia="Arial" w:hAnsi="Arial"/>
                <w:sz w:val="14"/>
                <w:szCs w:val="14"/>
                <w:b w:val="1"/>
                <w:bCs w:val="1"/>
                <w:color w:val="auto"/>
                <w:w w:val="99"/>
              </w:rPr>
              <w:t>March 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29,</w:t>
            </w:r>
          </w:p>
        </w:tc>
      </w:tr>
      <w:tr>
        <w:trPr>
          <w:trHeight w:val="192"/>
        </w:trPr>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r>
      <w:tr>
        <w:trPr>
          <w:trHeight w:val="196"/>
        </w:trPr>
        <w:tc>
          <w:tcPr>
            <w:tcW w:w="5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5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56.8</w:t>
            </w:r>
          </w:p>
        </w:tc>
      </w:tr>
      <w:tr>
        <w:trPr>
          <w:trHeight w:val="67"/>
        </w:trPr>
        <w:tc>
          <w:tcPr>
            <w:tcW w:w="542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gridSpan w:val="2"/>
          </w:tcPr>
          <w:p>
            <w:pPr>
              <w:spacing w:after="0"/>
              <w:rPr>
                <w:sz w:val="5"/>
                <w:szCs w:val="5"/>
                <w:color w:val="auto"/>
              </w:rPr>
            </w:pPr>
          </w:p>
        </w:tc>
      </w:tr>
      <w:tr>
        <w:trPr>
          <w:trHeight w:val="256"/>
        </w:trPr>
        <w:tc>
          <w:tcPr>
            <w:tcW w:w="5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Deferred cost of sales included within finished goods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340" w:firstLine="432"/>
        <w:spacing w:after="0" w:line="312" w:lineRule="auto"/>
        <w:rPr>
          <w:sz w:val="20"/>
          <w:szCs w:val="20"/>
          <w:color w:val="auto"/>
        </w:rPr>
      </w:pPr>
      <w:r>
        <w:rPr>
          <w:rFonts w:ascii="Arial" w:cs="Arial" w:eastAsia="Arial" w:hAnsi="Arial"/>
          <w:sz w:val="16"/>
          <w:szCs w:val="16"/>
          <w:color w:val="auto"/>
        </w:rPr>
        <w:t>We write down for excess and obsolete inventory based on the difference between the cost of inventory and the estimated net realizable value based upon assumptions about future demand forecasts, market and customer conditions and the exit of our WiMAX business. During the third quarter and first three quarters of fiscal 2013 and 2012, total inventory write-downs of our excess and obsolete inventory and customer service inventory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3"/>
                <w:szCs w:val="13"/>
                <w:color w:val="auto"/>
              </w:rPr>
            </w:pPr>
          </w:p>
        </w:tc>
        <w:tc>
          <w:tcPr>
            <w:tcW w:w="11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2012</w:t>
            </w:r>
          </w:p>
        </w:tc>
      </w:tr>
      <w:tr>
        <w:trPr>
          <w:trHeight w:val="250"/>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(In millions, except percentages)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charges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1.6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260" w:type="dxa"/>
            <w:vAlign w:val="bottom"/>
          </w:tcPr>
          <w:p>
            <w:pPr>
              <w:spacing w:after="0"/>
              <w:rPr>
                <w:sz w:val="21"/>
                <w:szCs w:val="21"/>
                <w:color w:val="auto"/>
              </w:rPr>
            </w:pPr>
          </w:p>
        </w:tc>
        <w:tc>
          <w:tcPr>
            <w:tcW w:w="1160" w:type="dxa"/>
            <w:vAlign w:val="bottom"/>
          </w:tcPr>
          <w:p>
            <w:pPr>
              <w:ind w:left="7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1.4</w:t>
            </w:r>
          </w:p>
        </w:tc>
      </w:tr>
      <w:tr>
        <w:trPr>
          <w:trHeight w:val="27"/>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3.0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280" w:type="dxa"/>
            <w:vAlign w:val="bottom"/>
          </w:tcPr>
          <w:p>
            <w:pPr>
              <w:ind w:left="40"/>
              <w:spacing w:after="0"/>
              <w:rPr>
                <w:sz w:val="20"/>
                <w:szCs w:val="20"/>
                <w:color w:val="auto"/>
              </w:rPr>
            </w:pPr>
            <w:r>
              <w:rPr>
                <w:rFonts w:ascii="Arial" w:cs="Arial" w:eastAsia="Arial" w:hAnsi="Arial"/>
                <w:sz w:val="18"/>
                <w:szCs w:val="18"/>
                <w:color w:val="auto"/>
              </w:rPr>
              <w:t>As % of revenue</w:t>
            </w:r>
          </w:p>
        </w:tc>
        <w:tc>
          <w:tcPr>
            <w:tcW w:w="260" w:type="dxa"/>
            <w:vAlign w:val="bottom"/>
          </w:tcPr>
          <w:p>
            <w:pPr>
              <w:spacing w:after="0"/>
              <w:rPr>
                <w:sz w:val="19"/>
                <w:szCs w:val="19"/>
                <w:color w:val="auto"/>
              </w:rPr>
            </w:pPr>
          </w:p>
        </w:tc>
        <w:tc>
          <w:tcPr>
            <w:tcW w:w="1160" w:type="dxa"/>
            <w:vAlign w:val="bottom"/>
          </w:tcPr>
          <w:p>
            <w:pPr>
              <w:ind w:left="740"/>
              <w:spacing w:after="0"/>
              <w:rPr>
                <w:sz w:val="20"/>
                <w:szCs w:val="20"/>
                <w:color w:val="auto"/>
              </w:rPr>
            </w:pPr>
            <w:r>
              <w:rPr>
                <w:rFonts w:ascii="Arial" w:cs="Arial" w:eastAsia="Arial" w:hAnsi="Arial"/>
                <w:sz w:val="18"/>
                <w:szCs w:val="18"/>
                <w:color w:val="auto"/>
                <w:w w:val="97"/>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w w:val="92"/>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97"/>
              </w:rPr>
              <w:t>0.9%</w:t>
            </w:r>
          </w:p>
        </w:tc>
      </w:tr>
      <w:tr>
        <w:trPr>
          <w:trHeight w:val="486"/>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property, plant and equipment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w:t>
            </w:r>
          </w:p>
        </w:tc>
        <w:tc>
          <w:tcPr>
            <w:tcW w:w="380" w:type="dxa"/>
            <w:vAlign w:val="bottom"/>
          </w:tcPr>
          <w:p>
            <w:pPr>
              <w:spacing w:after="0"/>
              <w:rPr>
                <w:sz w:val="14"/>
                <w:szCs w:val="1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w w:val="92"/>
              </w:rPr>
              <w:t>June 29,</w:t>
            </w:r>
          </w:p>
        </w:tc>
      </w:tr>
      <w:tr>
        <w:trPr>
          <w:trHeight w:val="192"/>
        </w:trPr>
        <w:tc>
          <w:tcPr>
            <w:tcW w:w="8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196"/>
        </w:trPr>
        <w:tc>
          <w:tcPr>
            <w:tcW w:w="8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10.7</w:t>
            </w:r>
          </w:p>
        </w:tc>
      </w:tr>
      <w:tr>
        <w:trPr>
          <w:trHeight w:val="27"/>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45.0</w:t>
            </w:r>
          </w:p>
        </w:tc>
      </w:tr>
      <w:tr>
        <w:trPr>
          <w:trHeight w:val="27"/>
        </w:trPr>
        <w:tc>
          <w:tcPr>
            <w:tcW w:w="8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7"/>
        </w:trPr>
        <w:tc>
          <w:tcPr>
            <w:tcW w:w="8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$1.3 million and $1.4 million, respectively, for the third quarter of fiscal 2013 and 2012, and was $4.2 million and $3.5 million, respectively, for the first three quarters of fiscal 2013 and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90"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We have accrued for the estimated cost to repair or replace products under warranty at the time of sale. Changes in our warranty liability, which are included as a component of other accrued expenses on the consolidated balance sheets, during the first three quarters of fiscal 2013 and 2012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29,</w:t>
            </w:r>
          </w:p>
        </w:tc>
        <w:tc>
          <w:tcPr>
            <w:tcW w:w="340" w:type="dxa"/>
            <w:vAlign w:val="bottom"/>
          </w:tcPr>
          <w:p>
            <w:pPr>
              <w:spacing w:after="0"/>
              <w:rPr>
                <w:sz w:val="13"/>
                <w:szCs w:val="13"/>
                <w:color w:val="auto"/>
              </w:rPr>
            </w:pPr>
          </w:p>
        </w:tc>
        <w:tc>
          <w:tcPr>
            <w:tcW w:w="102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w w:val="95"/>
              </w:rPr>
              <w:t>March 30,</w:t>
            </w:r>
          </w:p>
        </w:tc>
      </w:tr>
      <w:tr>
        <w:trPr>
          <w:trHeight w:val="192"/>
        </w:trPr>
        <w:tc>
          <w:tcPr>
            <w:tcW w:w="8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r>
      <w:tr>
        <w:trPr>
          <w:trHeight w:val="196"/>
        </w:trPr>
        <w:tc>
          <w:tcPr>
            <w:tcW w:w="8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r>
      <w:tr>
        <w:trPr>
          <w:trHeight w:val="256"/>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Warranty provision for revenue recorded during the period</w:t>
            </w:r>
          </w:p>
        </w:tc>
        <w:tc>
          <w:tcPr>
            <w:tcW w:w="2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3.0</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848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3.2</w:t>
            </w:r>
          </w:p>
        </w:tc>
      </w:tr>
      <w:tr>
        <w:trPr>
          <w:trHeight w:val="27"/>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94" w:lineRule="exact"/>
        <w:rPr>
          <w:sz w:val="20"/>
          <w:szCs w:val="20"/>
          <w:color w:val="auto"/>
        </w:rPr>
      </w:pPr>
    </w:p>
    <w:p>
      <w:pPr>
        <w:ind w:right="20" w:firstLine="432"/>
        <w:spacing w:after="0" w:line="299"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sz w:val="20"/>
          <w:szCs w:val="20"/>
          <w:color w:val="auto"/>
        </w:rPr>
      </w:pPr>
    </w:p>
    <w:p>
      <w:pPr>
        <w:ind w:left="980" w:right="160" w:hanging="324"/>
        <w:spacing w:after="0" w:line="305"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that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 and</w:t>
      </w:r>
    </w:p>
    <w:p>
      <w:pPr>
        <w:spacing w:after="0" w:line="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March 29, 2013 and June 29, 2012 were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827"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March 29, 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29, 2012</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3"/>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38"/>
              <w:spacing w:after="0" w:line="153"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3"/>
                <w:szCs w:val="13"/>
                <w:color w:val="auto"/>
              </w:rPr>
            </w:pPr>
          </w:p>
        </w:tc>
        <w:tc>
          <w:tcPr>
            <w:tcW w:w="9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940" w:type="dxa"/>
            <w:vAlign w:val="bottom"/>
          </w:tcPr>
          <w:p>
            <w:pPr>
              <w:jc w:val="right"/>
              <w:ind w:right="198"/>
              <w:spacing w:after="0" w:line="153" w:lineRule="exact"/>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3"/>
                <w:szCs w:val="13"/>
                <w:color w:val="auto"/>
              </w:rPr>
            </w:pPr>
          </w:p>
        </w:tc>
        <w:tc>
          <w:tcPr>
            <w:tcW w:w="8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114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Valuation</w:t>
            </w:r>
          </w:p>
        </w:tc>
      </w:t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78"/>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940" w:type="dxa"/>
            <w:vAlign w:val="bottom"/>
          </w:tcPr>
          <w:p>
            <w:pPr>
              <w:jc w:val="right"/>
              <w:ind w:right="238"/>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Inputs</w:t>
            </w:r>
          </w:p>
        </w:tc>
      </w:tr>
      <w:tr>
        <w:trPr>
          <w:trHeight w:val="264"/>
        </w:trPr>
        <w:tc>
          <w:tcPr>
            <w:tcW w:w="52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120" w:type="dxa"/>
            <w:vAlign w:val="bottom"/>
            <w:tcBorders>
              <w:top w:val="single" w:sz="8" w:color="auto"/>
            </w:tcBorders>
            <w:gridSpan w:val="4"/>
          </w:tcPr>
          <w:p>
            <w:pPr>
              <w:jc w:val="right"/>
              <w:ind w:right="738"/>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53.8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50.8</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0.5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0.3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0.1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classify investments within Level 1 if quoted prices are available in active markets. Our Level 1 investments include shares in money market funds purchased from two major financial institutions. As of March 29, 2013 and June 29, 2012, these money market shares were valued at $1.00 net asset value per share by these financial institutions.</w:t>
      </w:r>
    </w:p>
    <w:p>
      <w:pPr>
        <w:spacing w:after="0" w:line="127"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We classify items in Level 2 if the investments are valued using observable inputs to quoted market prices, benchmark yields, reported trades, broker/dealer quotes or alternative pricing sources with reasonable levels of price transparency. Our bank certificates of deposit and foreign exchange forward contracts are classified within Level 2. Foreign currency forward contracts are measured at fair value using observable foreign currency exchange rates.</w:t>
      </w:r>
    </w:p>
    <w:p>
      <w:pPr>
        <w:spacing w:after="0" w:line="93"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three quarters of fiscal 2013 and 2012, we had no transfers between levels of the fair value hierarchy of our assets or liabilities measured at fair value.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During the quarter ended October 1, 2010, we terminated our previous credit facility with two commercial banks and entered into a new $40.0 million credit facility with Silicon Valley Bank ("SVB") for an initial term of one year expiring on September 30, 2011. We repaid the outstanding debt of $5.0 million under the previous credit facility on October 1, 2010 with the proceeds of advance borrowings of $6.0 million under the new facility with SVB. On September 23, 2011, the availability of the facility was extended and, on November 2, 2011, the facility was amended to expire on February 28, 2014 and provide for a two-year term loan for up to $8.3 million to fund the redemption of the preference shares issued by our Singapore subsidiary. On January 30, 2012, we borrowed $8.3 million to complete that redemption. The term loan matures on January 31, 2014 and must be repaid in 24 equal monthly principal payments commencing on February 29, 2012.</w:t>
      </w:r>
    </w:p>
    <w:p>
      <w:pPr>
        <w:spacing w:after="0" w:line="135"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Our SVB credit facility provides for a committed amount of up to $40.0 million. The facility provides for (1) advance borrowings (with no stated maturity date other than the February 28, 2014 expiration of the facility); (2) fixed term Eurodollar loans for up to six months; (3) a two-year term loan of $8.3 million; and (4) the issuance of standby or commercial letters of credit. As of March 29, 2013, available credit under this facility was $24.4 million reflecting borrowings of $9.8 million , as described below, and outstanding letters of credit of $5.2 million.</w:t>
      </w:r>
    </w:p>
    <w:p>
      <w:pPr>
        <w:spacing w:after="0" w:line="117"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As of March 29, 2013, our outstanding debt under the SVB facility consisted of the $6.0 million advance borrowings in fiscal 2011 and a $3.8 million outstanding balance on the original $8.3 million term loan. Since the expiration of the credit facility is less than 12 months from March 29, 2013, we reclassified the $6.0 million advance borrowings from long-term debt as of June 29, 2012 to short-term debt as of March 29, 2013.</w:t>
      </w:r>
    </w:p>
    <w:p>
      <w:pPr>
        <w:spacing w:after="0" w:line="11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 xml:space="preserve">The advance borrowings carry an interest rate computed at the daily prime rate as published in the </w:t>
      </w:r>
      <w:r>
        <w:rPr>
          <w:rFonts w:ascii="Arial" w:cs="Arial" w:eastAsia="Arial" w:hAnsi="Arial"/>
          <w:sz w:val="17"/>
          <w:szCs w:val="17"/>
          <w:i w:val="1"/>
          <w:iCs w:val="1"/>
          <w:color w:val="auto"/>
        </w:rPr>
        <w:t>Wall Street Journal</w:t>
      </w:r>
      <w:r>
        <w:rPr>
          <w:rFonts w:ascii="Arial" w:cs="Arial" w:eastAsia="Arial" w:hAnsi="Arial"/>
          <w:sz w:val="17"/>
          <w:szCs w:val="17"/>
          <w:color w:val="auto"/>
        </w:rPr>
        <w:t>. Interest on Eurodollar loans is offered at LIBOR plus a spread of between 2.00% to 2.75% based on our current leverage ratio. The interest rate on Eurodollar loans is adjustable quarterly based on the computed actual leverage ratio for the most recently completed fiscal quarter. During the first three quarters of fiscal 2013, the weighted average interest rate on our $6.0 million advance borrowings was 3.25%. The two-year term loan bears a fixed interest rate of 5% per annum and provides for equal monthly payments of principal. The SVB credit facility, as further amended on September 28, 2012, contains a minimum liquidity ratio covenant and a minimum profitability covenant. As of March 29, 2013, we were in compliance with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6" w:right="239" w:bottom="1440" w:gutter="0" w:footer="0" w:header="0"/>
        </w:sectPr>
      </w:pPr>
    </w:p>
    <w:bookmarkStart w:id="11" w:name="page12"/>
    <w:bookmarkEnd w:id="11"/>
    <w:p>
      <w:pPr>
        <w:jc w:val="both"/>
        <w:ind w:right="20"/>
        <w:spacing w:after="0" w:line="312" w:lineRule="auto"/>
        <w:rPr>
          <w:sz w:val="20"/>
          <w:szCs w:val="20"/>
          <w:color w:val="auto"/>
        </w:rPr>
      </w:pPr>
      <w:r>
        <w:rPr>
          <w:rFonts w:ascii="Arial" w:cs="Arial" w:eastAsia="Arial" w:hAnsi="Arial"/>
          <w:sz w:val="16"/>
          <w:szCs w:val="16"/>
          <w:color w:val="auto"/>
        </w:rPr>
        <w:t>these financial covenants. The facility also imposes certain restrictions on our ability to pay dividends or make distributions to our stockholders under certain circumstances. Certain of our assets, including accounts receivable, inventory, and equipment, are pledged as collateral for the credit facility. Pursuant to the loan and security agreement, if a material adverse event occurs, all obligations in connection with the agreement would be immediately due and payable.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9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During the first quarter of fiscal 2011, we initiated a restructuring plan (the “Fiscal 2011 Plan”) to reduce our operational costs. The Fiscal 2011 Plan was intended to bring our cost structure in line with the changing dynamics of the worldwide microwave radio and telecommunication markets, primarily in North America, Europe and Asia. Activities under the Fiscal 2011 Plan included reductions in force to reduce our operating expenses and the downsizing or closure of our Morrisville, North Carolina, Santa Clara, California, Montreal, Canada and certain international field offices.</w:t>
      </w:r>
    </w:p>
    <w:p>
      <w:pPr>
        <w:spacing w:after="0" w:line="3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our costs incurred during the third quarter and first three quarters of fiscal 2013 and 2012, estimated additional costs to be incurred and estimated total costs expected to be incurred as of March 29, 2013 under the Fiscal 2011 Plan: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Costs Incurred During</w:t>
            </w:r>
          </w:p>
        </w:tc>
        <w:tc>
          <w:tcPr>
            <w:tcW w:w="26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auto"/>
                <w:w w:val="96"/>
              </w:rPr>
              <w:t>Costs Incurred During</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Cumulative</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tcPr>
          <w:p>
            <w:pPr>
              <w:jc w:val="center"/>
              <w:ind w:left="197"/>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w w:val="96"/>
              </w:rPr>
              <w:t>Three Quarters Ended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7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Through</w:t>
            </w: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Costs</w:t>
            </w:r>
          </w:p>
        </w:tc>
        <w:tc>
          <w:tcPr>
            <w:tcW w:w="160" w:type="dxa"/>
            <w:vAlign w:val="bottom"/>
          </w:tcPr>
          <w:p>
            <w:pPr>
              <w:spacing w:after="0"/>
              <w:rPr>
                <w:sz w:val="4"/>
                <w:szCs w:val="4"/>
                <w:color w:val="auto"/>
              </w:rPr>
            </w:pPr>
          </w:p>
        </w:tc>
        <w:tc>
          <w:tcPr>
            <w:tcW w:w="1200" w:type="dxa"/>
            <w:vAlign w:val="bottom"/>
            <w:vMerge w:val="restart"/>
          </w:tcPr>
          <w:p>
            <w:pPr>
              <w:jc w:val="center"/>
              <w:ind w:right="97"/>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79"/>
        </w:trPr>
        <w:tc>
          <w:tcPr>
            <w:tcW w:w="2700" w:type="dxa"/>
            <w:vAlign w:val="bottom"/>
          </w:tcPr>
          <w:p>
            <w:pPr>
              <w:spacing w:after="0"/>
              <w:rPr>
                <w:sz w:val="6"/>
                <w:szCs w:val="6"/>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March 29, 2013</w:t>
            </w: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March 30, 2012</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29, 2013</w:t>
            </w: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March 30, 2012</w:t>
            </w: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29, 2013</w:t>
            </w:r>
          </w:p>
        </w:tc>
        <w:tc>
          <w:tcPr>
            <w:tcW w:w="11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to be Incurred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4"/>
          </w:tcPr>
          <w:p>
            <w:pPr>
              <w:jc w:val="center"/>
              <w:ind w:left="259"/>
              <w:spacing w:after="0"/>
              <w:rPr>
                <w:sz w:val="20"/>
                <w:szCs w:val="20"/>
                <w:color w:val="auto"/>
              </w:rPr>
            </w:pPr>
            <w:r>
              <w:rPr>
                <w:rFonts w:ascii="Arial" w:cs="Arial" w:eastAsia="Arial" w:hAnsi="Arial"/>
                <w:sz w:val="14"/>
                <w:szCs w:val="14"/>
                <w:b w:val="1"/>
                <w:bCs w:val="1"/>
                <w:color w:val="auto"/>
                <w:w w:val="94"/>
              </w:rPr>
              <w:t>(in millions)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270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24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2011 Plan</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During the first three quarters of fiscal 2013 and 2012, we continued executing restructuring activities to reduce our operating costs worldwide under the Fiscal 2011 Plan. The $1.3 million facilities charges in the first three quarters of fiscal 2012 primarily related to the sublease and relocation of our Morrisville, North Carolina office during the period.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intend to complete the remaining restructuring activities under the Fiscal 2011 Plan during fiscal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Liabilities</w:t>
      </w:r>
    </w:p>
    <w:p>
      <w:pPr>
        <w:spacing w:after="0" w:line="9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Our restructuring liabilities consisted primarily of accrued severance and benefits as well as facilities restructuring reserves related to our office leases in North Carolina and California. The information in the following table summarizes the changes in our restructuring liabilities during the first three quarters of fiscal 2013: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Severance and</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Facilities and</w:t>
            </w:r>
          </w:p>
        </w:tc>
        <w:tc>
          <w:tcPr>
            <w:tcW w:w="34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Benefits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liability as of June 29, 2012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Provision related to Fiscal 2011 Plan</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Restructuring liability as of March 29, 2013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restructuring liability as of March 29, 2013</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Long-term portion of restructuring liability as of March 29, 2013</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Divestiture</w:t>
      </w:r>
    </w:p>
    <w:p>
      <w:pPr>
        <w:spacing w:after="0" w:line="94"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 March 2011, our board of directors approved a plan for the sale of our WiMAX business. On September 2, 2011, we sold to EION Networks, Inc. (“EION”) our WiMAX business and related assets consisting of certain technology, inventory and equipment. We assigned customer contracts for WiMAX products and maintenance and agreed to license related patents to EION. We also agreed to indemnification for customary seller representations and warranties, and the provision of transitional services. As consideration for the sale of assets, EION agreed to pay us $0.4 million in cash and up to $2.8 million in additional cash payments contingent upon specific factors related to future WiMAX business performance. Currently we are not able to estimate the amount of consideration that we will receive beyond the $0.4 million nor the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746" w:right="299" w:bottom="1440" w:gutter="0" w:footer="0" w:header="0"/>
        </w:sectPr>
      </w:pPr>
    </w:p>
    <w:bookmarkStart w:id="12" w:name="page13"/>
    <w:bookmarkEnd w:id="12"/>
    <w:p>
      <w:pPr>
        <w:ind w:right="60"/>
        <w:spacing w:after="0" w:line="264" w:lineRule="auto"/>
        <w:rPr>
          <w:sz w:val="20"/>
          <w:szCs w:val="20"/>
          <w:color w:val="auto"/>
        </w:rPr>
      </w:pPr>
      <w:r>
        <w:rPr>
          <w:rFonts w:ascii="Arial" w:cs="Arial" w:eastAsia="Arial" w:hAnsi="Arial"/>
          <w:sz w:val="18"/>
          <w:szCs w:val="18"/>
          <w:color w:val="auto"/>
        </w:rPr>
        <w:t>probability of any such payment. Accordingly, any future consideration will be recorded as a contingent gain in the period that it is received. As of March 29, 2013, we had received $0.1 million of such contingent payments. EION is entitled to receive cash payments of up to $2.0 million upon collection of certain WiMAX accounts receivable, of which $1.6 million had been paid by us to EION as of March 29, 2013.</w:t>
      </w:r>
    </w:p>
    <w:p>
      <w:pPr>
        <w:spacing w:after="0" w:line="12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the third quarter of fiscal 2011, we began accounting for the WiMAX business as a discontinued operation and, therefore, the operating results of our WiMAX business are included in discontinued operations in our condensed consolidated financial statements for all periods presented. We recognized a $1.9 million loss on disposition of the WiMAX business in the first three quarters of fiscal 2012. The loss incurred in the first three quarters of fiscal 2013 was primarily due to write-down of certain WiMAX deferred cost of sales that were not transferred to EION and certain expenses we incurred to support a remaining customer obligation. As of March 29, 2013 and June 29, 2012, our accrued liabilities related to the disposition of the WiMAX business were $0.4 million and $0.6 million, respectively.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ind w:left="340"/>
              <w:spacing w:after="0" w:line="153" w:lineRule="exact"/>
              <w:rPr>
                <w:sz w:val="20"/>
                <w:szCs w:val="20"/>
                <w:color w:val="auto"/>
              </w:rPr>
            </w:pPr>
            <w:r>
              <w:rPr>
                <w:rFonts w:ascii="Arial" w:cs="Arial" w:eastAsia="Arial" w:hAnsi="Arial"/>
                <w:sz w:val="14"/>
                <w:szCs w:val="14"/>
                <w:b w:val="1"/>
                <w:bCs w:val="1"/>
                <w:color w:val="auto"/>
              </w:rPr>
              <w:t>March 30,</w:t>
            </w:r>
          </w:p>
        </w:tc>
        <w:tc>
          <w:tcPr>
            <w:tcW w:w="16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29, 2013</w:t>
            </w:r>
          </w:p>
        </w:tc>
        <w:tc>
          <w:tcPr>
            <w:tcW w:w="160" w:type="dxa"/>
            <w:vAlign w:val="bottom"/>
          </w:tcPr>
          <w:p>
            <w:pPr>
              <w:spacing w:after="0"/>
              <w:rPr>
                <w:sz w:val="13"/>
                <w:szCs w:val="13"/>
                <w:color w:val="auto"/>
              </w:rPr>
            </w:pPr>
          </w:p>
        </w:tc>
        <w:tc>
          <w:tcPr>
            <w:tcW w:w="12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8"/>
              </w:rPr>
              <w:t>March 30, 2012</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Gain (loss) from operations related to WiMAX</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71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disposal</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9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Loss from discontinued operations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Equity Plan</w:t>
      </w:r>
    </w:p>
    <w:p>
      <w:pPr>
        <w:spacing w:after="0" w:line="94"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As of March 29, 2013, we had one stock incentive plan for our employees and nonemployee directors, the 2007 Stock Equity Plan, as amended and restated effective November 17, 2011 (the “2007 Stock Plan”). The 2007 Stock Plan provides for accelerated vesting of certain share-based awards if there is a change in control of the Company. The 2007 Stock Plan also provides for the issuance of share-based awards in the form of stock options, stock appreciation rights, restricted stock awards and units, and performance share awards and units. We have various incentive programs under the 2007 Stock Plan, including annual and long-term incentive programs ("AIP" or "LTIP"), a global equity program ("GEP") and product development incentive programs (“PDIP”).</w:t>
      </w:r>
    </w:p>
    <w:p>
      <w:pPr>
        <w:spacing w:after="0" w:line="139"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Under the 2007 Stock Plan, option exercise prices are equal to the fair market value on the date the options are granted using our closing stock price. Options may be exercised for a period set at the time of grant, which is generally seven years after the date of grant. Options generally vest in installments on one of three vesting schedules: (1) 50% one year from the grant date and 25% each year thereafter over a three-year period from the date of grant; (2) one-third annually over a three-year period from the date of grant; or (3) one-fourth annually over a four-year period from date of grant. Stock options are issued to directors annually and generally vest in one year from the grant date.</w:t>
      </w:r>
    </w:p>
    <w:p>
      <w:pPr>
        <w:spacing w:after="0" w:line="119"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Restricted stock is not transferable until vested and the restrictions lapse upon the achievement of continued employment or service over a specified time period. Restricted stock issued to employees generally vests either one-third annually over a three-year period from the date of grant or in full three years after the grant date. Restricted stock is issued to directors annually and generally vests in full one year from the grant date.</w:t>
      </w:r>
    </w:p>
    <w:p>
      <w:pPr>
        <w:spacing w:after="0" w:line="111" w:lineRule="exact"/>
        <w:rPr>
          <w:sz w:val="20"/>
          <w:szCs w:val="20"/>
          <w:color w:val="auto"/>
        </w:rPr>
      </w:pPr>
    </w:p>
    <w:p>
      <w:pPr>
        <w:jc w:val="both"/>
        <w:ind w:right="320" w:firstLine="432"/>
        <w:spacing w:after="0" w:line="259" w:lineRule="auto"/>
        <w:rPr>
          <w:sz w:val="20"/>
          <w:szCs w:val="20"/>
          <w:color w:val="auto"/>
        </w:rPr>
      </w:pPr>
      <w:r>
        <w:rPr>
          <w:rFonts w:ascii="Arial" w:cs="Arial" w:eastAsia="Arial" w:hAnsi="Arial"/>
          <w:sz w:val="18"/>
          <w:szCs w:val="18"/>
          <w:color w:val="auto"/>
        </w:rPr>
        <w:t>Vesting of performance shares under our AIP, LTIP or GEP is subject to financial performance criteria including revenue, operating income, or cash flow targets for the periods as defined in the programs and continued employment through the end of the applicable period. Performance shares under our PDIPs are issued to employees related to certain new product development projects and vest upon achievement of the product development milestones as defined in the programs.</w:t>
      </w:r>
    </w:p>
    <w:p>
      <w:pPr>
        <w:spacing w:after="0" w:line="13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During the first three quarters of fiscal 2013, we granted options to purchase 1,397,512 shares of our common stock and awarded 1,308,213 shares of performance units to employees under our 2007 Stock Plan. During the first three quarters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65" w:right="239" w:bottom="1440" w:gutter="0" w:footer="0" w:header="0"/>
        </w:sectPr>
      </w:pPr>
    </w:p>
    <w:bookmarkStart w:id="13" w:name="page14"/>
    <w:bookmarkEnd w:id="13"/>
    <w:p>
      <w:pPr>
        <w:ind w:right="620"/>
        <w:spacing w:after="0" w:line="277" w:lineRule="auto"/>
        <w:rPr>
          <w:sz w:val="20"/>
          <w:szCs w:val="20"/>
          <w:color w:val="auto"/>
        </w:rPr>
      </w:pPr>
      <w:r>
        <w:rPr>
          <w:rFonts w:ascii="Arial" w:cs="Arial" w:eastAsia="Arial" w:hAnsi="Arial"/>
          <w:sz w:val="18"/>
          <w:szCs w:val="18"/>
          <w:color w:val="auto"/>
        </w:rPr>
        <w:t>of fiscal 2013, there were 377,784 performance shares vested upon the achievement of financial performance targets and 208,951 performance shares canceled because the performance target threshold were not met.</w:t>
      </w:r>
    </w:p>
    <w:p>
      <w:pPr>
        <w:spacing w:after="0" w:line="11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Upon the exercise of stock options, vesting of restricted stock awards and units, or vesting of performance share awards and units, we issue new shares of our common stock to our employees. All awards that are cancelled prior to vesting or expire unexercised are returned to the approved pool of reserved shares under the 2007 Stock Plan and made available for future grants. Shares of our common stock remaining available for future issuance under the 2007 Stock Plan totaled 4,072,835 as of March 29,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Compensations</w:t>
      </w:r>
    </w:p>
    <w:p>
      <w:pPr>
        <w:spacing w:after="0" w:line="9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Total compensation expense for share-based awards included in our condensed consolidated statements of operations for the third quarter and first three quarters of fiscal 2013 and 2012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Quarter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5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13"/>
                <w:szCs w:val="13"/>
                <w:color w:val="auto"/>
              </w:rPr>
            </w:pPr>
          </w:p>
        </w:tc>
        <w:tc>
          <w:tcPr>
            <w:tcW w:w="112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gridSpan w:val="4"/>
            <w:vMerge w:val="continue"/>
          </w:tcPr>
          <w:p>
            <w:pPr>
              <w:spacing w:after="0"/>
              <w:rPr>
                <w:sz w:val="16"/>
                <w:szCs w:val="16"/>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89"/>
        </w:trPr>
        <w:tc>
          <w:tcPr>
            <w:tcW w:w="550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By Expense Category:</w:t>
            </w: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37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1000" w:type="dxa"/>
            <w:vAlign w:val="bottom"/>
          </w:tcPr>
          <w:p>
            <w:pPr>
              <w:jc w:val="right"/>
              <w:ind w:right="818"/>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1"/>
                <w:szCs w:val="21"/>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00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1.3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4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000" w:type="dxa"/>
            <w:vAlign w:val="bottom"/>
            <w:tcBorders>
              <w:bottom w:val="single" w:sz="8" w:color="CCEEFF"/>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Arial" w:cs="Arial" w:eastAsia="Arial" w:hAnsi="Arial"/>
                <w:sz w:val="18"/>
                <w:szCs w:val="18"/>
                <w:b w:val="1"/>
                <w:bCs w:val="1"/>
                <w:color w:val="auto"/>
              </w:rPr>
              <w:t>By Types of Award: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gridSpan w:val="4"/>
            <w:vMerge w:val="continue"/>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5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000" w:type="dxa"/>
            <w:vAlign w:val="bottom"/>
            <w:tcBorders>
              <w:bottom w:val="single" w:sz="8" w:color="CCEEFF"/>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Restricted stock awards and units</w:t>
            </w:r>
          </w:p>
        </w:tc>
        <w:tc>
          <w:tcPr>
            <w:tcW w:w="100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10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6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000" w:type="dxa"/>
            <w:vAlign w:val="bottom"/>
            <w:tcBorders>
              <w:top w:val="single" w:sz="8" w:color="auto"/>
            </w:tcBorders>
          </w:tcPr>
          <w:p>
            <w:pPr>
              <w:jc w:val="right"/>
              <w:ind w:right="818"/>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1.4</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March 29, 2013, there was $6.0 million of total unrecognized compensation expense related to nonvested share-based awards granted under our 2007 Stock Plan. This expense is expected to be recognized over a weighted-average period of 1.5 years.</w:t>
      </w:r>
    </w:p>
    <w:p>
      <w:pPr>
        <w:spacing w:after="0" w:line="116"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fair value of each option grant under our 2007 Stock Plan was estimated using the Black-Scholes option pricing model on the date of grant. A summary of the significant weighted average assumptions we used in the Black-Scholes valuation model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3"/>
                <w:szCs w:val="13"/>
                <w:color w:val="auto"/>
              </w:rPr>
            </w:pPr>
          </w:p>
        </w:tc>
        <w:tc>
          <w:tcPr>
            <w:tcW w:w="11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2012</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21"/>
                <w:szCs w:val="21"/>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w w:val="93"/>
              </w:rPr>
              <w:t>57.7%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w w:val="93"/>
              </w:rPr>
              <w:t>66.1%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660"/>
              <w:spacing w:after="0"/>
              <w:rPr>
                <w:sz w:val="20"/>
                <w:szCs w:val="20"/>
                <w:color w:val="auto"/>
              </w:rPr>
            </w:pPr>
            <w:r>
              <w:rPr>
                <w:rFonts w:ascii="Arial" w:cs="Arial" w:eastAsia="Arial" w:hAnsi="Arial"/>
                <w:sz w:val="18"/>
                <w:szCs w:val="18"/>
                <w:color w:val="auto"/>
                <w:w w:val="97"/>
              </w:rPr>
              <w:t>64.9%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w w:val="93"/>
              </w:rPr>
              <w:t>65.9%</w:t>
            </w: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3"/>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3"/>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7"/>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3"/>
              </w:rPr>
              <w:t>0.74%</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240" w:type="dxa"/>
            <w:vAlign w:val="bottom"/>
          </w:tcPr>
          <w:p>
            <w:pPr>
              <w:spacing w:after="0"/>
              <w:rPr>
                <w:sz w:val="21"/>
                <w:szCs w:val="21"/>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66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4.46</w:t>
            </w: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1.22</w:t>
            </w:r>
          </w:p>
        </w:tc>
      </w:tr>
      <w:tr>
        <w:trPr>
          <w:trHeight w:val="27"/>
        </w:trPr>
        <w:tc>
          <w:tcPr>
            <w:tcW w:w="5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Expected volatility is based on historical volatility of our common stock using the daily closing price of our common stock over a period commensurate with the expected term of the options. The expected term of the options is calculated using the simplified method as we do not have sufficient stock option exercise data to derive a reasonable estimate of the expected life of an option. In addition, the types of employees that receive option grants have been significantly changed as we granted share-based awards in fiscal 2012 to employees who are not eligible for the long-term incentive programs. The risk-free rate for the expected term of the option is based on the U.S. Treasury yield curve in effect at the time of grant. The expected dividend yield is zero because we have not historically paid dividends and have no intention to pay dividends.</w:t>
      </w:r>
    </w:p>
    <w:p>
      <w:pPr>
        <w:spacing w:after="0" w:line="13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fair value of each restricted stock grant is based on the closing price of our common stock on the date of grant and is amortized to compensation expense over its vesting period. The fair value of each performance share is based on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46" w:right="259" w:bottom="1440" w:gutter="0" w:footer="0" w:header="0"/>
        </w:sectPr>
      </w:pPr>
    </w:p>
    <w:bookmarkStart w:id="14" w:name="page15"/>
    <w:bookmarkEnd w:id="14"/>
    <w:p>
      <w:pPr>
        <w:ind w:right="40"/>
        <w:spacing w:after="0" w:line="257" w:lineRule="auto"/>
        <w:rPr>
          <w:sz w:val="20"/>
          <w:szCs w:val="20"/>
          <w:color w:val="auto"/>
        </w:rPr>
      </w:pPr>
      <w:r>
        <w:rPr>
          <w:rFonts w:ascii="Arial" w:cs="Arial" w:eastAsia="Arial" w:hAnsi="Arial"/>
          <w:sz w:val="18"/>
          <w:szCs w:val="18"/>
          <w:color w:val="auto"/>
        </w:rPr>
        <w:t>closing price of our common stock on the date of grant and is amortized to compensation expense over its vesting period if achievement of the performance conditions is considered probable. Any previously recognized compensation cost would be reversed if the performance condition is not satisfied or if it is not probable that the performance conditions will be achieved. If the vesting conditions of a performance award is modified and the original vesting conditions are not expected to be satisfied, the grant date fair value of the original award is ignored and the fair value of the award measured at the modification date is recognized if the modified award ultimately vests.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and Geographic Information</w:t>
      </w:r>
    </w:p>
    <w:p>
      <w:pPr>
        <w:spacing w:after="0" w:line="12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w:t>
      </w:r>
    </w:p>
    <w:p>
      <w:pPr>
        <w:spacing w:after="0" w:line="4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third quarter and first three quarters of fiscal 2013 and 2012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Quarters Ended</w:t>
            </w:r>
          </w:p>
        </w:tc>
      </w:tr>
      <w:tr>
        <w:trPr>
          <w:trHeight w:val="264"/>
        </w:trPr>
        <w:tc>
          <w:tcPr>
            <w:tcW w:w="5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2"/>
                <w:szCs w:val="22"/>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29, 2013</w:t>
            </w:r>
          </w:p>
        </w:tc>
        <w:tc>
          <w:tcPr>
            <w:tcW w:w="140" w:type="dxa"/>
            <w:vAlign w:val="bottom"/>
          </w:tcPr>
          <w:p>
            <w:pPr>
              <w:spacing w:after="0"/>
              <w:rPr>
                <w:sz w:val="22"/>
                <w:szCs w:val="22"/>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30, 2012</w:t>
            </w:r>
          </w:p>
        </w:tc>
        <w:tc>
          <w:tcPr>
            <w:tcW w:w="160" w:type="dxa"/>
            <w:vAlign w:val="bottom"/>
          </w:tcPr>
          <w:p>
            <w:pPr>
              <w:spacing w:after="0"/>
              <w:rPr>
                <w:sz w:val="22"/>
                <w:szCs w:val="22"/>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2013</w:t>
            </w:r>
          </w:p>
        </w:tc>
        <w:tc>
          <w:tcPr>
            <w:tcW w:w="140" w:type="dxa"/>
            <w:vAlign w:val="bottom"/>
          </w:tcPr>
          <w:p>
            <w:pPr>
              <w:spacing w:after="0"/>
              <w:rPr>
                <w:sz w:val="22"/>
                <w:szCs w:val="22"/>
                <w:color w:val="auto"/>
              </w:rPr>
            </w:pPr>
          </w:p>
        </w:tc>
        <w:tc>
          <w:tcPr>
            <w:tcW w:w="118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March 30, 2012</w:t>
            </w:r>
          </w:p>
        </w:tc>
      </w:tr>
      <w:tr>
        <w:trPr>
          <w:trHeight w:val="250"/>
        </w:trPr>
        <w:tc>
          <w:tcPr>
            <w:tcW w:w="5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123.8</w:t>
            </w:r>
          </w:p>
        </w:tc>
      </w:tr>
      <w:tr>
        <w:trPr>
          <w:trHeight w:val="243"/>
        </w:trPr>
        <w:tc>
          <w:tcPr>
            <w:tcW w:w="534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1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100.7</w:t>
            </w:r>
          </w:p>
        </w:tc>
      </w:tr>
      <w:tr>
        <w:trPr>
          <w:trHeight w:val="27"/>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w:t>
            </w:r>
          </w:p>
        </w:tc>
      </w:tr>
      <w:tr>
        <w:trPr>
          <w:trHeight w:val="243"/>
        </w:trPr>
        <w:tc>
          <w:tcPr>
            <w:tcW w:w="534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1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63.6</w:t>
            </w:r>
          </w:p>
        </w:tc>
      </w:tr>
      <w:tr>
        <w:trPr>
          <w:trHeight w:val="27"/>
        </w:trPr>
        <w:tc>
          <w:tcPr>
            <w:tcW w:w="5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328.0</w:t>
            </w: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During the third quarter and first three quarters of fiscal 2013 and 2012, we had one international customer in Africa (Mobile Telephone Networks Group or MTN Group) that accounted for more than 10% of our total revenue. During the third quarter and first three quarters of fiscal 2013, Verizon Wireless also accounted for more than 10% of our total revenue. We had no customers that accounted for more than 10% of our accounts receivable at March 29, 2013 or June 29, 2012.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 We accrued tax expenses for foreign jurisdictions that are anticipated to be profitable for fiscal 2013. We have a number of years with open tax audits which vary from jurisdiction to jurisdiction. Our major tax jurisdictions include the U.S., Singapore and Nigeria. The earliest years still open and subject to potential audits for these jurisdictions are as follows: U.S. — 2003; Singapore — 2006; and Nigeria — 2004.</w:t>
      </w:r>
    </w:p>
    <w:p>
      <w:pPr>
        <w:spacing w:after="0" w:line="13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received several assessments recently from the taxing authority in certain countries challenging certain of our tax positions. We continue to protest these assessments and defend the positions that we have taken with regard to the related tax benefits.</w:t>
      </w:r>
    </w:p>
    <w:p>
      <w:pPr>
        <w:spacing w:after="0" w:line="17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determination of our provision for the third quarter and first three quarters of fiscal 2013 and 2012 was based on our estimated annual effective tax rate adjusted for losses in separate jurisdictions for which no tax benefit can be recognized. The tax expense for the third quarter of fiscal 2013 was primarily attributable to withholding tax in foreign jurisdictions of $0.4 million, while the tax expense for the three quarters of fiscal 2013 was primarily due to an increase in unrecognized tax benefit of $11.1 million. The increase in unrecognized tax benefits was the result of additional information obtained during recent tax examinations in certain countries.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account for interest and penalties related to unrecognized tax benefits as part of our provision for federal, foreign, and state income taxes.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746"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12. Derivative Financial Instruments and Hedging Activities</w:t>
      </w:r>
    </w:p>
    <w:p>
      <w:pPr>
        <w:spacing w:after="0" w:line="94"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We use derivative instruments to manage our market exposures to foreign currency risk. Our objectives for using derivatives are to reduce the volatility of earnings and cash flows associated with changes in foreign currency exchange rates. We do not hold or issue derivatives for trading purposes or make speculative investments in foreign currencies. All derivative instruments are carried on the balance sheet at fair value.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major foreign currency hedging activities are described below:</w:t>
      </w:r>
    </w:p>
    <w:p>
      <w:pPr>
        <w:spacing w:after="0" w:line="17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Cash Flow Hedges</w:t>
      </w:r>
      <w:r>
        <w:rPr>
          <w:rFonts w:ascii="Arial" w:cs="Arial" w:eastAsia="Arial" w:hAnsi="Arial"/>
          <w:sz w:val="17"/>
          <w:szCs w:val="17"/>
          <w:color w:val="auto"/>
        </w:rPr>
        <w:t>. We use currency forward contracts to hedge exposures related to certain forecasted foreign currency transactions relating to</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product costs, operating expenses and intercompany transactions. As of March 29, 2013, hedged transactions included our customer and intercompany backlog and, to a much lesser extent, outstanding purchase commitments denominated primarily in the Australian dollar, Euro, Polish zloty and Republic of South Africa rand. These derivatives are designated as cash flow hedges and typically have maturities from one to three months with a maximum of six months, which in general closely match the underlying forecasted transaction in duration.</w:t>
      </w:r>
    </w:p>
    <w:p>
      <w:pPr>
        <w:spacing w:after="0" w:line="11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measure the effectiveness of the hedges of forecasted transactions on a monthly basis by comparing the fair values of the designated currency forward contracts with the fair values of the forecasted transactions. The effective portion of the contract’s gain and loss is initially recognized in other comprehensive income or loss (“OCI”) and, upon occurrence of the forecasted transaction, is reclassified into the income or expense line item to which the hedged transaction relates. Any ineffective portion of the derivative hedging gain or loss as well as changes in the fair value of the derivative’s time value (which are excluded from the assessment of hedge effectiveness) is recorded in current period earnings, specifically, in cost of product sales as these gains and losses are considered by us to be operational in nature. If the forecasted transaction does not occur, or it becomes probable that it will not occur, the gain or loss on the related cash flow hedge is recognized immediately in cost of product sales.</w:t>
      </w:r>
    </w:p>
    <w:p>
      <w:pPr>
        <w:spacing w:after="0" w:line="124" w:lineRule="exact"/>
        <w:rPr>
          <w:sz w:val="20"/>
          <w:szCs w:val="20"/>
          <w:color w:val="auto"/>
        </w:rPr>
      </w:pPr>
    </w:p>
    <w:p>
      <w:pPr>
        <w:ind w:right="400" w:firstLine="432"/>
        <w:spacing w:after="0" w:line="312" w:lineRule="auto"/>
        <w:rPr>
          <w:sz w:val="20"/>
          <w:szCs w:val="20"/>
          <w:color w:val="auto"/>
        </w:rPr>
      </w:pPr>
      <w:r>
        <w:rPr>
          <w:rFonts w:ascii="Arial" w:cs="Arial" w:eastAsia="Arial" w:hAnsi="Arial"/>
          <w:sz w:val="16"/>
          <w:szCs w:val="16"/>
          <w:color w:val="auto"/>
        </w:rPr>
        <w:t>As of March 29, 2013, it is expected that $0.1 million of derivative net gain on both outstanding and matured derivatives recorded in AOCI will be reclassified to net income or loss during the next twelve months as a result of underlying hedged transactions also being recorded in net income or loss. Actual amounts ultimately to be reclassified to net income or loss on outstanding derivatives depend on the exchange rates in effect when they mature.</w:t>
      </w:r>
    </w:p>
    <w:p>
      <w:pPr>
        <w:spacing w:after="0" w:line="9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i w:val="1"/>
          <w:iCs w:val="1"/>
          <w:color w:val="auto"/>
        </w:rPr>
        <w:t>Balance Sheet Hedges</w:t>
      </w:r>
      <w:r>
        <w:rPr>
          <w:rFonts w:ascii="Arial" w:cs="Arial" w:eastAsia="Arial" w:hAnsi="Arial"/>
          <w:sz w:val="16"/>
          <w:szCs w:val="16"/>
          <w:color w:val="auto"/>
        </w:rPr>
        <w:t>. We also use foreign exchange forward contracts to mitigate the gains and losses generated from the re-measurement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monetary assets and liabilities denominated in a foreign currency, including primarily cash balances, third party accounts receivable and accounts payable, and intercompany transactions recorded on the balance sheet. These derivatives are not designated and do not qualify as hedge instruments and accordingly are carried at fair value with changes recorded in the cost of product sales in current period. Changes in the fair value of these derivatives are largely offset by re-measurement of the underlying assets and liabilities. These derivatives have maturities of approximately one month.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color w:val="auto"/>
        </w:rPr>
        <w:t>The following table presents the gross notional value of all our foreign exchange forward contracts outstanding as of March 29, 2013 and June 29,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29, 2013</w:t>
            </w:r>
          </w:p>
        </w:tc>
        <w:tc>
          <w:tcPr>
            <w:tcW w:w="260" w:type="dxa"/>
            <w:vAlign w:val="bottom"/>
          </w:tcPr>
          <w:p>
            <w:pPr>
              <w:spacing w:after="0"/>
              <w:rPr>
                <w:sz w:val="16"/>
                <w:szCs w:val="16"/>
                <w:color w:val="auto"/>
              </w:rPr>
            </w:pPr>
          </w:p>
        </w:tc>
        <w:tc>
          <w:tcPr>
            <w:tcW w:w="1420" w:type="dxa"/>
            <w:vAlign w:val="bottom"/>
          </w:tcPr>
          <w:p>
            <w:pPr>
              <w:jc w:val="right"/>
              <w:ind w:right="331"/>
              <w:spacing w:after="0"/>
              <w:rPr>
                <w:sz w:val="20"/>
                <w:szCs w:val="20"/>
                <w:color w:val="auto"/>
              </w:rPr>
            </w:pPr>
            <w:r>
              <w:rPr>
                <w:rFonts w:ascii="Arial" w:cs="Arial" w:eastAsia="Arial" w:hAnsi="Arial"/>
                <w:sz w:val="14"/>
                <w:szCs w:val="14"/>
                <w:b w:val="1"/>
                <w:bCs w:val="1"/>
                <w:color w:val="auto"/>
              </w:rPr>
              <w:t>June 29, 2012</w:t>
            </w:r>
          </w:p>
        </w:tc>
      </w:tr>
      <w:tr>
        <w:trPr>
          <w:trHeight w:val="250"/>
        </w:trPr>
        <w:tc>
          <w:tcPr>
            <w:tcW w:w="7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420"/>
              <w:spacing w:after="0"/>
              <w:rPr>
                <w:sz w:val="20"/>
                <w:szCs w:val="20"/>
                <w:color w:val="auto"/>
              </w:rPr>
            </w:pPr>
            <w:r>
              <w:rPr>
                <w:rFonts w:ascii="Arial" w:cs="Arial" w:eastAsia="Arial" w:hAnsi="Arial"/>
                <w:sz w:val="18"/>
                <w:szCs w:val="18"/>
                <w:color w:val="auto"/>
              </w:rPr>
              <w:t>Australian dollar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Euro</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43"/>
        </w:trPr>
        <w:tc>
          <w:tcPr>
            <w:tcW w:w="7720" w:type="dxa"/>
            <w:vAlign w:val="bottom"/>
          </w:tcPr>
          <w:p>
            <w:pPr>
              <w:ind w:left="440"/>
              <w:spacing w:after="0"/>
              <w:rPr>
                <w:sz w:val="20"/>
                <w:szCs w:val="20"/>
                <w:color w:val="auto"/>
              </w:rPr>
            </w:pPr>
            <w:r>
              <w:rPr>
                <w:rFonts w:ascii="Arial" w:cs="Arial" w:eastAsia="Arial" w:hAnsi="Arial"/>
                <w:sz w:val="18"/>
                <w:szCs w:val="18"/>
                <w:color w:val="auto"/>
              </w:rPr>
              <w:t>Polish zloty</w:t>
            </w:r>
          </w:p>
        </w:tc>
        <w:tc>
          <w:tcPr>
            <w:tcW w:w="2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Republic of South Africa rand</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43"/>
        </w:trPr>
        <w:tc>
          <w:tcPr>
            <w:tcW w:w="7720" w:type="dxa"/>
            <w:vAlign w:val="bottom"/>
          </w:tcPr>
          <w:p>
            <w:pPr>
              <w:ind w:left="4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7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77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flow hedges</w:t>
            </w: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r>
      <w:tr>
        <w:trPr>
          <w:trHeight w:val="237"/>
        </w:trPr>
        <w:tc>
          <w:tcPr>
            <w:tcW w:w="7720" w:type="dxa"/>
            <w:vAlign w:val="bottom"/>
          </w:tcPr>
          <w:p>
            <w:pPr>
              <w:ind w:left="40"/>
              <w:spacing w:after="0"/>
              <w:rPr>
                <w:sz w:val="20"/>
                <w:szCs w:val="20"/>
                <w:color w:val="auto"/>
              </w:rPr>
            </w:pPr>
            <w:r>
              <w:rPr>
                <w:rFonts w:ascii="Arial" w:cs="Arial" w:eastAsia="Arial" w:hAnsi="Arial"/>
                <w:sz w:val="18"/>
                <w:szCs w:val="18"/>
                <w:b w:val="1"/>
                <w:bCs w:val="1"/>
                <w:color w:val="auto"/>
              </w:rPr>
              <w:t>Balance sheet hedges:</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Australian dollar</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Canadian dollar</w:t>
            </w:r>
          </w:p>
        </w:tc>
        <w:tc>
          <w:tcPr>
            <w:tcW w:w="2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Philippine peso</w:t>
            </w:r>
          </w:p>
        </w:tc>
        <w:tc>
          <w:tcPr>
            <w:tcW w:w="2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Polish zloty</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Singapore dollar</w:t>
            </w:r>
          </w:p>
        </w:tc>
        <w:tc>
          <w:tcPr>
            <w:tcW w:w="2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Thailand baht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Republic of South Africa rand</w:t>
            </w:r>
          </w:p>
        </w:tc>
        <w:tc>
          <w:tcPr>
            <w:tcW w:w="2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37"/>
        </w:trPr>
        <w:tc>
          <w:tcPr>
            <w:tcW w:w="7720" w:type="dxa"/>
            <w:vAlign w:val="bottom"/>
          </w:tcPr>
          <w:p>
            <w:pPr>
              <w:ind w:left="720"/>
              <w:spacing w:after="0"/>
              <w:rPr>
                <w:sz w:val="20"/>
                <w:szCs w:val="20"/>
                <w:color w:val="auto"/>
              </w:rPr>
            </w:pPr>
            <w:r>
              <w:rPr>
                <w:rFonts w:ascii="Arial" w:cs="Arial" w:eastAsia="Arial" w:hAnsi="Arial"/>
                <w:sz w:val="18"/>
                <w:szCs w:val="18"/>
                <w:color w:val="auto"/>
              </w:rPr>
              <w:t>Total non-designated hedges</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w:t>
            </w:r>
          </w:p>
        </w:tc>
      </w:tr>
      <w:tr>
        <w:trPr>
          <w:trHeight w:val="27"/>
        </w:trPr>
        <w:tc>
          <w:tcPr>
            <w:tcW w:w="7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 presents the fair value of derivative instruments included within our condensed consolidated balance sheet as of March 29, 2013 and June 29,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Asset Derivatives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Balance Sheet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w w:val="92"/>
              </w:rPr>
              <w:t>June 29,</w:t>
            </w:r>
          </w:p>
        </w:tc>
        <w:tc>
          <w:tcPr>
            <w:tcW w:w="100" w:type="dxa"/>
            <w:vAlign w:val="bottom"/>
          </w:tcPr>
          <w:p>
            <w:pPr>
              <w:spacing w:after="0"/>
              <w:rPr>
                <w:sz w:val="13"/>
                <w:szCs w:val="13"/>
                <w:color w:val="auto"/>
              </w:rPr>
            </w:pPr>
          </w:p>
        </w:tc>
        <w:tc>
          <w:tcPr>
            <w:tcW w:w="128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29,</w:t>
            </w:r>
          </w:p>
        </w:tc>
        <w:tc>
          <w:tcPr>
            <w:tcW w:w="220" w:type="dxa"/>
            <w:vAlign w:val="bottom"/>
          </w:tcPr>
          <w:p>
            <w:pPr>
              <w:spacing w:after="0"/>
              <w:rPr>
                <w:sz w:val="13"/>
                <w:szCs w:val="13"/>
                <w:color w:val="auto"/>
              </w:rPr>
            </w:pPr>
          </w:p>
        </w:tc>
        <w:tc>
          <w:tcPr>
            <w:tcW w:w="92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Foreign exchange forward contracts</w:t>
            </w:r>
          </w:p>
        </w:tc>
        <w:tc>
          <w:tcPr>
            <w:tcW w:w="124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Other accrued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180" w:type="dxa"/>
            <w:vAlign w:val="bottom"/>
            <w:gridSpan w:val="3"/>
            <w:vMerge w:val="restart"/>
          </w:tcPr>
          <w:p>
            <w:pPr>
              <w:jc w:val="right"/>
              <w:ind w:right="748"/>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0"/>
                <w:szCs w:val="10"/>
                <w:color w:val="auto"/>
              </w:rPr>
            </w:pPr>
          </w:p>
        </w:tc>
        <w:tc>
          <w:tcPr>
            <w:tcW w:w="1280" w:type="dxa"/>
            <w:vAlign w:val="bottom"/>
            <w:vMerge w:val="restart"/>
          </w:tcPr>
          <w:p>
            <w:pPr>
              <w:ind w:left="20"/>
              <w:spacing w:after="0"/>
              <w:rPr>
                <w:sz w:val="20"/>
                <w:szCs w:val="20"/>
                <w:color w:val="auto"/>
              </w:rPr>
            </w:pPr>
            <w:r>
              <w:rPr>
                <w:rFonts w:ascii="Arial" w:cs="Arial" w:eastAsia="Arial" w:hAnsi="Arial"/>
                <w:sz w:val="18"/>
                <w:szCs w:val="18"/>
                <w:color w:val="auto"/>
              </w:rPr>
              <w:t>expenses</w:t>
            </w:r>
          </w:p>
        </w:tc>
        <w:tc>
          <w:tcPr>
            <w:tcW w:w="5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ind w:left="7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Foreign exchange forward contracts</w:t>
            </w:r>
          </w:p>
        </w:tc>
        <w:tc>
          <w:tcPr>
            <w:tcW w:w="124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Other accrued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0"/>
                <w:szCs w:val="10"/>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1280" w:type="dxa"/>
            <w:vAlign w:val="bottom"/>
            <w:vMerge w:val="restart"/>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920" w:type="dxa"/>
            <w:vAlign w:val="bottom"/>
            <w:vMerge w:val="restart"/>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124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gridSpan w:val="3"/>
          </w:tcPr>
          <w:p>
            <w:pPr>
              <w:jc w:val="right"/>
              <w:ind w:right="8"/>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7" w:name="page18"/>
    <w:bookmarkEnd w:id="17"/>
    <w:p>
      <w:pPr>
        <w:ind w:left="440"/>
        <w:spacing w:after="0"/>
        <w:rPr>
          <w:sz w:val="20"/>
          <w:szCs w:val="20"/>
          <w:color w:val="auto"/>
        </w:rPr>
      </w:pPr>
      <w:r>
        <w:rPr>
          <w:rFonts w:ascii="Arial" w:cs="Arial" w:eastAsia="Arial" w:hAnsi="Arial"/>
          <w:sz w:val="17"/>
          <w:szCs w:val="17"/>
          <w:color w:val="auto"/>
        </w:rPr>
        <w:t>The following table summarizes the location and amount of the gains and losses on derivative instruments reported in our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Three Quarters Ended</w:t>
            </w:r>
          </w:p>
        </w:tc>
      </w:tr>
      <w:tr>
        <w:trPr>
          <w:trHeight w:val="264"/>
        </w:trPr>
        <w:tc>
          <w:tcPr>
            <w:tcW w:w="5900" w:type="dxa"/>
            <w:vAlign w:val="bottom"/>
            <w:gridSpan w:val="2"/>
          </w:tcPr>
          <w:p>
            <w:pPr>
              <w:ind w:left="40"/>
              <w:spacing w:after="0"/>
              <w:rPr>
                <w:sz w:val="20"/>
                <w:szCs w:val="20"/>
                <w:color w:val="auto"/>
              </w:rPr>
            </w:pPr>
            <w:r>
              <w:rPr>
                <w:rFonts w:ascii="Arial" w:cs="Arial" w:eastAsia="Arial" w:hAnsi="Arial"/>
                <w:sz w:val="14"/>
                <w:szCs w:val="14"/>
                <w:b w:val="1"/>
                <w:bCs w:val="1"/>
                <w:color w:val="auto"/>
              </w:rPr>
              <w:t>Locations of Gains (Losses) on Derivative Instruments</w:t>
            </w:r>
          </w:p>
        </w:tc>
        <w:tc>
          <w:tcPr>
            <w:tcW w:w="120" w:type="dxa"/>
            <w:vAlign w:val="bottom"/>
          </w:tcPr>
          <w:p>
            <w:pPr>
              <w:spacing w:after="0"/>
              <w:rPr>
                <w:sz w:val="22"/>
                <w:szCs w:val="22"/>
                <w:color w:val="auto"/>
              </w:rPr>
            </w:pPr>
          </w:p>
        </w:tc>
        <w:tc>
          <w:tcPr>
            <w:tcW w:w="114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March 29, 2013</w:t>
            </w:r>
          </w:p>
        </w:tc>
        <w:tc>
          <w:tcPr>
            <w:tcW w:w="20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30, 2012</w:t>
            </w:r>
          </w:p>
        </w:tc>
        <w:tc>
          <w:tcPr>
            <w:tcW w:w="120" w:type="dxa"/>
            <w:vAlign w:val="bottom"/>
          </w:tcPr>
          <w:p>
            <w:pPr>
              <w:spacing w:after="0"/>
              <w:rPr>
                <w:sz w:val="22"/>
                <w:szCs w:val="22"/>
                <w:color w:val="auto"/>
              </w:rPr>
            </w:pPr>
          </w:p>
        </w:tc>
        <w:tc>
          <w:tcPr>
            <w:tcW w:w="114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March 29, 2013</w:t>
            </w:r>
          </w:p>
        </w:tc>
        <w:tc>
          <w:tcPr>
            <w:tcW w:w="200" w:type="dxa"/>
            <w:vAlign w:val="bottom"/>
          </w:tcPr>
          <w:p>
            <w:pPr>
              <w:spacing w:after="0"/>
              <w:rPr>
                <w:sz w:val="22"/>
                <w:szCs w:val="22"/>
                <w:color w:val="auto"/>
              </w:rPr>
            </w:pPr>
          </w:p>
        </w:tc>
        <w:tc>
          <w:tcPr>
            <w:tcW w:w="1100" w:type="dxa"/>
            <w:vAlign w:val="bottom"/>
          </w:tcPr>
          <w:p>
            <w:pPr>
              <w:jc w:val="right"/>
              <w:ind w:right="53"/>
              <w:spacing w:after="0"/>
              <w:rPr>
                <w:sz w:val="20"/>
                <w:szCs w:val="20"/>
                <w:color w:val="auto"/>
              </w:rPr>
            </w:pPr>
            <w:r>
              <w:rPr>
                <w:rFonts w:ascii="Arial" w:cs="Arial" w:eastAsia="Arial" w:hAnsi="Arial"/>
                <w:sz w:val="14"/>
                <w:szCs w:val="14"/>
                <w:b w:val="1"/>
                <w:bCs w:val="1"/>
                <w:color w:val="auto"/>
                <w:w w:val="94"/>
              </w:rPr>
              <w:t>March 30, 2012</w:t>
            </w:r>
          </w:p>
        </w:tc>
      </w:tr>
      <w:tr>
        <w:trPr>
          <w:trHeight w:val="250"/>
        </w:trPr>
        <w:tc>
          <w:tcPr>
            <w:tcW w:w="5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480" w:type="dxa"/>
            <w:vAlign w:val="bottom"/>
            <w:tcBorders>
              <w:top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6"/>
        </w:trPr>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Designated as cash flow hedges (foreign exchange forward contracts):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Effective portion of gain (loss) recognized in OCI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0.3</w:t>
            </w: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portion of gain (loss) reclassified from AOCI into:</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r>
      <w:tr>
        <w:trPr>
          <w:trHeight w:val="229"/>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Loss associated with excluded time value recognized in</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900" w:type="dxa"/>
            <w:vAlign w:val="bottom"/>
            <w:gridSpan w:val="2"/>
          </w:tcPr>
          <w:p>
            <w:pPr>
              <w:ind w:left="260"/>
              <w:spacing w:after="0"/>
              <w:rPr>
                <w:sz w:val="20"/>
                <w:szCs w:val="20"/>
                <w:color w:val="auto"/>
              </w:rPr>
            </w:pPr>
            <w:r>
              <w:rPr>
                <w:rFonts w:ascii="Arial" w:cs="Arial" w:eastAsia="Arial" w:hAnsi="Arial"/>
                <w:sz w:val="18"/>
                <w:szCs w:val="18"/>
                <w:color w:val="auto"/>
              </w:rPr>
              <w:t>cost of 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Gain (loss) due to hedge ineffectiveness recognized in</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59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cost of product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w w:val="91"/>
              </w:rPr>
              <w:t>Not designated as cash flow hedges (foreign exchange forward contracts):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Gain (loss) recognized in cost of product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r>
      <w:tr>
        <w:trPr>
          <w:trHeight w:val="27"/>
        </w:trPr>
        <w:tc>
          <w:tcPr>
            <w:tcW w:w="5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for financial institutions providing foreign currency exchange services in accordance with corporate policy. As a result of the above considerations, we consider the risk of counterparty default to be immaterial.</w:t>
      </w:r>
    </w:p>
    <w:p>
      <w:pPr>
        <w:spacing w:after="0" w:line="12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credit facilities we have with financial institutions under which we transact foreign exchange transactions are generally restricted to a total notional amount outstanding, a maximum settlement amount in any one day and a maximum term. There are no formal written agreements supporting these facilities other than the financial institutions’ general terms and conditions for trading.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Commitments</w:t>
      </w:r>
    </w:p>
    <w:p>
      <w:pPr>
        <w:spacing w:after="0" w:line="94"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As of March 29, 2013, future minimum lease payments for our headquarters total $18.1 million through April 2020.</w:t>
      </w:r>
    </w:p>
    <w:p>
      <w:pPr>
        <w:spacing w:after="0" w:line="12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March 29, 2013, our future minimum lease payments under all non-cancelable operating leases with an initial lease term in excess of one year are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2"/>
        </w:trPr>
        <w:tc>
          <w:tcPr>
            <w:tcW w:w="928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 (1 Quarter remaining)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5.1</w:t>
            </w:r>
          </w:p>
        </w:tc>
      </w:tr>
      <w:tr>
        <w:trPr>
          <w:trHeight w:val="27"/>
        </w:trPr>
        <w:tc>
          <w:tcPr>
            <w:tcW w:w="9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3.3</w:t>
            </w:r>
          </w:p>
        </w:tc>
      </w:tr>
      <w:tr>
        <w:trPr>
          <w:trHeight w:val="27"/>
        </w:trPr>
        <w:tc>
          <w:tcPr>
            <w:tcW w:w="9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Thereafter (through April 2020)</w:t>
            </w:r>
          </w:p>
        </w:tc>
        <w:tc>
          <w:tcPr>
            <w:tcW w:w="28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8.1</w:t>
            </w:r>
          </w:p>
        </w:tc>
      </w:tr>
      <w:tr>
        <w:trPr>
          <w:trHeight w:val="27"/>
        </w:trPr>
        <w:tc>
          <w:tcPr>
            <w:tcW w:w="9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24.5</w:t>
            </w:r>
          </w:p>
        </w:tc>
      </w:tr>
      <w:tr>
        <w:trPr>
          <w:trHeight w:val="20"/>
        </w:trPr>
        <w:tc>
          <w:tcPr>
            <w:tcW w:w="9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 We sublease a portion of our facilities to third parties and total minimum rentals to be received in the future under our noncancelable subleases was $0.8 million as of March 29, 2013.</w:t>
      </w:r>
    </w:p>
    <w:p>
      <w:pPr>
        <w:spacing w:after="0" w:line="12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Rental expense for operating leases, including rentals on a month-to-month basis was $2.1 million and $2.3 million in the third quarter of fiscal 2013 and 2012, respectively, and $6.4 million and $7.0 million in the first three quarters of fiscal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Orders and Other Commitments</w:t>
      </w:r>
    </w:p>
    <w:p>
      <w:pPr>
        <w:spacing w:after="0" w:line="12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March 29, 2013, we had outstanding purchase obligations with our suppliers or contract manufacturers of $61.6 million. In addition, we had contractual obligations of approximately $5.0 million associated with major capital purchase and service agreements as of March 29, 2013.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Guarantees and Commercial Commitments</w:t>
      </w:r>
    </w:p>
    <w:p>
      <w:pPr>
        <w:spacing w:after="0" w:line="94"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March 29, 2013, we had no guarantees applicable to our debt arrangements.</w:t>
      </w:r>
    </w:p>
    <w:p>
      <w:pPr>
        <w:spacing w:after="0" w:line="3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March 29, 2013, we had commercial commitments of $52.6 million outstanding that were not recorded on our consolidated balance sheets. We do not believe, based on historical experience and information currently available, that it is probable that any amounts will be required to be paid on the performance 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7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March 29, 2013,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March 29, 2013, we had not recorded any liabilities related to these indemnifications.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3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Certain of our former executive officers and directors were named in a complaint filed on July 18, 2011 in the United States District Court for</w:t>
      </w:r>
    </w:p>
    <w:p>
      <w:pPr>
        <w:spacing w:after="0" w:line="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District of Delaware by plaintiff Howard Taylor. Plaintiff purported to bring this action derivatively on behalf of Aviat Networks, which was named as a nominal defendant. Plaintiff brought a claim for breach of fiduciary duty against the officer and director defendants based on the allegations of securities law violations alleged in the class action described above and also alleges that the defendants caused us to acquire the Microwave Communications Division of Harris Corporation at an inflated price. Plaintiff sought to recover unspecified damages and other relief on behalf of the Company, as well as payment of costs and attorneys' fees. On September 27, 2012, the Court granted defendants' motion to dismiss and granted plaintiff leave to amend by October 18, 2012 only as to the allegations related to the class action. On October 18, 2012, plaintiff did not amend but filed a motion for a stay of the action and sent a demand to the Company's Board that it investigate and pursue the claims that were dismissed by the Court. On December 14, 2012, the Court denied plaintiff's motion to stay and, as a result, all claims have been dismissed with prejudice. In response to plaintiff's demand, the Board completed an investigation concluding that no further actions were necessary and informed plaintiff's counsel of that conclusion.</w:t>
      </w:r>
    </w:p>
    <w:p>
      <w:pPr>
        <w:spacing w:after="0" w:line="11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94"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96" w:right="259" w:bottom="1440" w:gutter="0" w:footer="0" w:header="0"/>
        </w:sectPr>
      </w:pPr>
    </w:p>
    <w:bookmarkStart w:id="20" w:name="page21"/>
    <w:bookmarkEnd w:id="20"/>
    <w:p>
      <w:pPr>
        <w:ind w:firstLine="43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2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continued price erosion as a result of increased competition in the microwave transmission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effects of currency and interest rate risks; and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2012 Annual Report on Form 10-K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(the "Exchange Act"),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2012 and 2013 Results</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June 28, 2013 is referred to as “fiscal 2013” or “2013” and fiscal year ended June 29, 2012 as “fiscal 2012” or “2012”.</w:t>
      </w:r>
    </w:p>
    <w:p>
      <w:pPr>
        <w:spacing w:after="0" w:line="133" w:lineRule="exact"/>
        <w:rPr>
          <w:sz w:val="20"/>
          <w:szCs w:val="20"/>
          <w:color w:val="auto"/>
        </w:rPr>
      </w:pPr>
    </w:p>
    <w:p>
      <w:pPr>
        <w:ind w:right="280" w:firstLine="432"/>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46" w:right="259" w:bottom="1440" w:gutter="0" w:footer="0" w:header="0"/>
        </w:sectPr>
      </w:pPr>
    </w:p>
    <w:bookmarkStart w:id="21" w:name="page22"/>
    <w:bookmarkEnd w:id="21"/>
    <w:p>
      <w:pPr>
        <w:ind w:right="80" w:firstLine="432"/>
        <w:spacing w:after="0" w:line="279" w:lineRule="auto"/>
        <w:rPr>
          <w:sz w:val="20"/>
          <w:szCs w:val="20"/>
          <w:color w:val="auto"/>
        </w:rPr>
      </w:pPr>
      <w:r>
        <w:rPr>
          <w:rFonts w:ascii="Arial" w:cs="Arial" w:eastAsia="Arial" w:hAnsi="Arial"/>
          <w:sz w:val="17"/>
          <w:szCs w:val="17"/>
          <w:color w:val="auto"/>
        </w:rPr>
        <w:t>Our strategic focus in the remainder of fiscal 2013 will be to continue to accelerate innovation and optimize our product portfolio, improve costs and operational efficiencies, grow our revenue and create a sustainable, profitable business model. To do this, we have examined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7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While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the second quarter because many of our customers utilize a significant portion of their capital budgets at the end of their fiscal years, which is typically the calendar year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 and other factors. Please refer to the section entitled “Risk Factors” in Item 1A in our fiscal 2012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21"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During the first three quarters of fiscal 2013, we secured orders and continued to expand our footprint with our customers in the mobile operator market using our current technology and service capabilities. The market for mobile backhaul continues to be our primary addressable market segment and the demand for increasing the backhaul capacity in our customers' networks continues to grow in line with our expectations. In the quarter we saw sustained demand in North America as we supported the long-term evolution ("LTE") deployments of our mobile operator customers. Internationally,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2012 Annual Report on Form 10-K, a number of factors could prevent us from achieving our objectives, including ongoing pricing pressures attributable to competition and macroeconomic conditions in the geographic markets that we service.</w:t>
      </w:r>
    </w:p>
    <w:p>
      <w:pPr>
        <w:spacing w:after="0" w:line="11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During the first three quarters of fiscal 2013, we incurred restructuring expenses under the Fiscal 2011 Plan that will allow us to reduce our operational costs. We intend to complete the remaining restructuring activities under the Fiscal 2011 Plan during fiscal 2013.</w:t>
      </w:r>
    </w:p>
    <w:p>
      <w:pPr>
        <w:spacing w:after="0" w:line="11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the fourth quarter of fiscal 2012, we re-evaluated our reportable segments primarily due to changes in our management, product platform and business processes, and determined that we operate in one single reportable industry segment. Accordingly, financial information for the third quarter and first three quarters of fiscal 2012 has been recast to conform with the current reportable segment disclosure.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Africa and Middle East, Europe and Russia, and Latin America and Asia Pacific. Revenue by region for the third quarter and first three quarters of fiscal 2013 and 2012 and the related changes are shown in the table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rPr>
              <w:t>Three Quarters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March 29, 2013</w:t>
            </w:r>
          </w:p>
        </w:tc>
        <w:tc>
          <w:tcPr>
            <w:tcW w:w="100" w:type="dxa"/>
            <w:vAlign w:val="bottom"/>
            <w:vMerge w:val="restart"/>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March 30, 2012</w:t>
            </w:r>
          </w:p>
        </w:tc>
        <w:tc>
          <w:tcPr>
            <w:tcW w:w="100" w:type="dxa"/>
            <w:vAlign w:val="bottom"/>
            <w:vMerge w:val="restart"/>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3"/>
                <w:szCs w:val="13"/>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29,</w:t>
            </w:r>
          </w:p>
        </w:tc>
        <w:tc>
          <w:tcPr>
            <w:tcW w:w="160" w:type="dxa"/>
            <w:vAlign w:val="bottom"/>
          </w:tcPr>
          <w:p>
            <w:pPr>
              <w:spacing w:after="0"/>
              <w:rPr>
                <w:sz w:val="13"/>
                <w:szCs w:val="13"/>
                <w:color w:val="auto"/>
              </w:rPr>
            </w:pPr>
          </w:p>
        </w:tc>
        <w:tc>
          <w:tcPr>
            <w:tcW w:w="9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3"/>
                <w:szCs w:val="13"/>
                <w:color w:val="auto"/>
              </w:rPr>
            </w:pPr>
          </w:p>
        </w:tc>
        <w:tc>
          <w:tcPr>
            <w:tcW w:w="66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36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3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49.9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49.6 %</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3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22" w:name="page23"/>
    <w:bookmarkEnd w:id="22"/>
    <w:p>
      <w:pPr>
        <w:ind w:right="100" w:firstLine="432"/>
        <w:spacing w:after="0" w:line="257" w:lineRule="auto"/>
        <w:rPr>
          <w:sz w:val="20"/>
          <w:szCs w:val="20"/>
          <w:color w:val="auto"/>
        </w:rPr>
      </w:pPr>
      <w:r>
        <w:rPr>
          <w:rFonts w:ascii="Arial" w:cs="Arial" w:eastAsia="Arial" w:hAnsi="Arial"/>
          <w:sz w:val="18"/>
          <w:szCs w:val="18"/>
          <w:color w:val="auto"/>
        </w:rPr>
        <w:t>Our revenue in North America increased $10.3 million, or 24.2%, and $9.2 million, or 7.4%, respectively, during the third quarter and first three quarters of fiscal 2013 compared with the same periods of fiscal 2012. In the fiscal 2013 periods, we saw improved sales with North American mobile operators which were attributable to their ongoing buildout of LTE networks in the region. At the same time, North America sales to power utilities and state and local government private networks were flat in the third quarter and in the first three quarters of fiscal 2013 compared with the same periods in fiscal 2012.</w:t>
      </w:r>
    </w:p>
    <w:p>
      <w:pPr>
        <w:spacing w:after="0" w:line="188"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revenue in Africa and Middle East was up $3.8 million, or 11.2% for the third quarter and $49.9 million, or 49.6%, for the first three quarters in fiscal 2013 over the same periods in fiscal 2012. The majority of the year-to-date increase came in the first half of fiscal 2013, was attributable to demand from mobile operator customers in Africa investing in network transmission capacity in order to accommodate their growth in network data traffic and to increase their service competitiveness. That investment trend continued in the third quarter, but at a lower rate, in line with their seasonal buying pattern, but still above the same quarter in the previous year.</w:t>
      </w:r>
    </w:p>
    <w:p>
      <w:pPr>
        <w:spacing w:after="0" w:line="18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Revenue from mobile operators in Europe and Russia declined $2.4 million, or 20.3%, and $8.9 million, or 22.3%, respectively, for the third quarter and the first three quarters of fiscal 2013 compared with the same periods in fiscal 2012. We believe the decrease was related to economic difficulties experienced generally throughout Europe.</w:t>
      </w:r>
    </w:p>
    <w:p>
      <w:pPr>
        <w:spacing w:after="0" w:line="181"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Revenue in Latin America and Asia Pacific declined $5.0 million, or 21.5%, and $15.9 million, or 25.0%, respectively, during the third quarter and first three quarters of fiscal 2013 compared with the same periods of fiscal 2012. The decrease was primarily due to a decline in customer purchases in Asia as some of our larger customers continue to deploy large orders that we delivered in the past year as they begin to roll out LTE service.</w:t>
      </w:r>
    </w:p>
    <w:p>
      <w:pPr>
        <w:spacing w:after="0" w:line="166"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Our revenue from product sales was down by $0.6 million, or 0.7%, for the third quarter of fiscal 2013, but was up by $14.2 million, or 5.7%, for the first three quarters of fiscal 2013 compared with the same periods of fiscal 2012. The year-to-date increase came primarily from strong sales in Africa, offset in part by reductions in North America, Europe and Asia. Our services revenue was up by $7.3 million, or 28.0%, and $20.1 million, or 25.3%, respectively, during the third quarter and first three quarters of fiscal 2013 compared with the same periods of fiscal 2012. The increase in the fiscal 2013 periods came from additional services delivered in North America and Africa, offset in part by a decrease in Asia Pacific.</w:t>
      </w:r>
    </w:p>
    <w:p>
      <w:pPr>
        <w:spacing w:after="0" w:line="119" w:lineRule="exact"/>
        <w:rPr>
          <w:sz w:val="20"/>
          <w:szCs w:val="20"/>
          <w:color w:val="auto"/>
        </w:rPr>
      </w:pPr>
    </w:p>
    <w:p>
      <w:pPr>
        <w:jc w:val="both"/>
        <w:ind w:right="140" w:firstLine="432"/>
        <w:spacing w:after="0" w:line="279" w:lineRule="auto"/>
        <w:rPr>
          <w:sz w:val="20"/>
          <w:szCs w:val="20"/>
          <w:color w:val="auto"/>
        </w:rPr>
      </w:pPr>
      <w:r>
        <w:rPr>
          <w:rFonts w:ascii="Arial" w:cs="Arial" w:eastAsia="Arial" w:hAnsi="Arial"/>
          <w:sz w:val="17"/>
          <w:szCs w:val="17"/>
          <w:color w:val="auto"/>
        </w:rPr>
        <w:t>During the third quarter and first three quarters of fiscal 2013 and 2012, the MTN Group in Africa accounted for more than 10% of our total revenue. We have entered into separate and distinct contracts with MTN Group as well as separate arrangements with MTN Group subsidiaries. For the third quarter and first three quarters of fiscal 2013, revenue from Verizon Wireless was also greater than 10% of our total revenue. The loss of all MTN Group or Verizon Wireless business could adversely affect our results of operations, cash flows and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7"/>
              </w:rPr>
              <w:t>Three Quarters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2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29, 2013</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March 30, 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29, 2013</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March 30, 2012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26.7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2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17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Gross margin for the third quarter of fiscal 2013 was lower by $0.2 million, or 0.6%, compared with the same quarter of fiscal 2012. Gross margin for the first three quarters of fiscal 2013 increased $7.6 million, or 7.7%, compared with the same period of fiscal 2012, due largely to higher sales volume. Gross margin as a percentage of revenue decreased in the third quarter and first three quarters of fiscal 2013 compared with the same periods of fiscal 2012, primarily due to a $1.1 million write-down of deferred cost of sales associated with liquidity concerns of a customer in the third quarter of fiscal 2013, along with market driven price reductions and changes in the mix of products and services delivered.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0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Quarters Ended</w:t>
            </w:r>
          </w:p>
        </w:tc>
        <w:tc>
          <w:tcPr>
            <w:tcW w:w="920" w:type="dxa"/>
            <w:vAlign w:val="bottom"/>
            <w:tcBorders>
              <w:bottom w:val="single" w:sz="8" w:color="auto"/>
            </w:tcBorders>
          </w:tcPr>
          <w:p>
            <w:pPr>
              <w:spacing w:after="0"/>
              <w:rPr>
                <w:sz w:val="16"/>
                <w:szCs w:val="16"/>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w w:val="97"/>
              </w:rPr>
              <w:t>(In millions, except percentages)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29, 2013</w:t>
            </w: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30, 2012</w:t>
            </w:r>
          </w:p>
        </w:tc>
        <w:tc>
          <w:tcPr>
            <w:tcW w:w="140" w:type="dxa"/>
            <w:vAlign w:val="bottom"/>
          </w:tcPr>
          <w:p>
            <w:pPr>
              <w:spacing w:after="0"/>
              <w:rPr>
                <w:sz w:val="22"/>
                <w:szCs w:val="22"/>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29, 2013</w:t>
            </w: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30, 2012</w:t>
            </w:r>
          </w:p>
        </w:tc>
        <w:tc>
          <w:tcPr>
            <w:tcW w:w="14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920" w:type="dxa"/>
            <w:vAlign w:val="bottom"/>
          </w:tcPr>
          <w:p>
            <w:pPr>
              <w:jc w:val="right"/>
              <w:ind w:right="59"/>
              <w:spacing w:after="0"/>
              <w:rPr>
                <w:sz w:val="20"/>
                <w:szCs w:val="20"/>
                <w:color w:val="auto"/>
              </w:rPr>
            </w:pPr>
            <w:r>
              <w:rPr>
                <w:rFonts w:ascii="Arial" w:cs="Arial" w:eastAsia="Arial" w:hAnsi="Arial"/>
                <w:sz w:val="14"/>
                <w:szCs w:val="14"/>
                <w:b w:val="1"/>
                <w:bCs w:val="1"/>
                <w:color w:val="auto"/>
              </w:rPr>
              <w:t>% Change</w:t>
            </w:r>
          </w:p>
        </w:tc>
      </w:tr>
      <w:tr>
        <w:trPr>
          <w:trHeight w:val="215"/>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Research and development</w:t>
            </w: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440" w:type="dxa"/>
            <w:vAlign w:val="bottom"/>
          </w:tcPr>
          <w:p>
            <w:pPr>
              <w:spacing w:after="0"/>
              <w:rPr>
                <w:sz w:val="21"/>
                <w:szCs w:val="21"/>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97"/>
              </w:rPr>
              <w:t>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ind w:left="440"/>
              <w:spacing w:after="0"/>
              <w:rPr>
                <w:sz w:val="20"/>
                <w:szCs w:val="20"/>
                <w:color w:val="auto"/>
              </w:rPr>
            </w:pPr>
            <w:r>
              <w:rPr>
                <w:rFonts w:ascii="Arial" w:cs="Arial" w:eastAsia="Arial" w:hAnsi="Arial"/>
                <w:sz w:val="18"/>
                <w:szCs w:val="18"/>
                <w:color w:val="auto"/>
                <w:w w:val="97"/>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7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research and development (“R&amp;D”) expenses increased $1.0 million, or 11.2%, and $2.3 million, or 8.6%, respectively, in the third quarter and first three quarters of fiscal 2013 compared with the same periods in fiscal 2012. The increase in R&amp;D expenses was primarily due to increases in personnel expenses and R&amp;D supplies reflecting our investment in our new product development projects. We continue to invest in new product features, new functionality and lower cost platforms that we believe will enable our product lines to retain their technology leads in a cost effective manner.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Quarter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Quarters Ended</w:t>
            </w:r>
          </w:p>
        </w:tc>
        <w:tc>
          <w:tcPr>
            <w:tcW w:w="960" w:type="dxa"/>
            <w:vAlign w:val="bottom"/>
            <w:tcBorders>
              <w:bottom w:val="single" w:sz="8" w:color="auto"/>
            </w:tcBorders>
          </w:tcPr>
          <w:p>
            <w:pPr>
              <w:spacing w:after="0"/>
              <w:rPr>
                <w:sz w:val="16"/>
                <w:szCs w:val="16"/>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29, 2013</w:t>
            </w: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30, 2012</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29, 2013</w:t>
            </w: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30, 2012</w:t>
            </w:r>
          </w:p>
        </w:tc>
        <w:tc>
          <w:tcPr>
            <w:tcW w:w="12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 Change</w:t>
            </w:r>
          </w:p>
        </w:tc>
      </w:tr>
      <w:tr>
        <w:trPr>
          <w:trHeight w:val="215"/>
        </w:trPr>
        <w:tc>
          <w:tcPr>
            <w:tcW w:w="2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7"/>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(0.7)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380" w:type="dxa"/>
            <w:vAlign w:val="bottom"/>
          </w:tcPr>
          <w:p>
            <w:pPr>
              <w:spacing w:after="0"/>
              <w:rPr>
                <w:sz w:val="21"/>
                <w:szCs w:val="21"/>
                <w:color w:val="auto"/>
              </w:rPr>
            </w:pPr>
          </w:p>
        </w:tc>
        <w:tc>
          <w:tcPr>
            <w:tcW w:w="760" w:type="dxa"/>
            <w:vAlign w:val="bottom"/>
          </w:tcPr>
          <w:p>
            <w:pPr>
              <w:ind w:left="260"/>
              <w:spacing w:after="0"/>
              <w:rPr>
                <w:sz w:val="20"/>
                <w:szCs w:val="20"/>
                <w:color w:val="auto"/>
              </w:rPr>
            </w:pPr>
            <w:r>
              <w:rPr>
                <w:rFonts w:ascii="Arial" w:cs="Arial" w:eastAsia="Arial" w:hAnsi="Arial"/>
                <w:sz w:val="18"/>
                <w:szCs w:val="18"/>
                <w:color w:val="auto"/>
                <w:w w:val="93"/>
              </w:rPr>
              <w:t>20.9%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w w:val="93"/>
              </w:rPr>
              <w:t>22.8%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ind w:left="260"/>
              <w:spacing w:after="0"/>
              <w:rPr>
                <w:sz w:val="20"/>
                <w:szCs w:val="20"/>
                <w:color w:val="auto"/>
              </w:rPr>
            </w:pPr>
            <w:r>
              <w:rPr>
                <w:rFonts w:ascii="Arial" w:cs="Arial" w:eastAsia="Arial" w:hAnsi="Arial"/>
                <w:sz w:val="18"/>
                <w:szCs w:val="18"/>
                <w:color w:val="auto"/>
                <w:w w:val="93"/>
              </w:rPr>
              <w:t>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w w:val="93"/>
              </w:rPr>
              <w:t>23.0%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17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selling and administrative expenses declined $0.7 million, or 2.8%, and $3.9 million, or 5.2%, respectively, in the third quarter and first three quarters of fiscal 2013 compared with the same periods of fiscal 2012, primarily as a result of the restructuring programs we implemented in the past years, as further described below under "Restructuring Charges". The decrease for the third quarter of fiscal 2013 was due primarily to a $0.7 million reduction in bad debt expenses, a $0.4 million reduction in telecommunication expenses and a $0.4 million lower agent commissions driven by lower fee-based revenues, partially offset by a $0.3 million increase in share-based compensation expenses and a $0.4 million increase in transactional taxes assessments. The decrease for the first three quarters of fiscal 2013 was due primarily to a $2.4 million reduction in professional services, a $0.8 million reduction in personnel expenses, a $1.2 million reduction in telecommunication and a $0.6 million reduction in bad debt expenses, partially offset by a $1.1 million increase in share-based compensation expenses and a $0.7 million increase in transactional taxes assessments related to certain international entities.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During the first quarter of fiscal 2011, we initiated the Fiscal 2011 Plan to reduce our operational costs. The Fiscal 2011 Plan was intended to bring our cost structure in line with the changing business environment of the worldwide microwave radio and telecommunication markets, primarily in North America, Europe and Asia. Activities under the Fiscal 2011 Plan included the reductions in force to reduce our operating expenses and downsizing or closures of our Morrisville, North Carolina, Santa Clara, California, Montreal, Canada and certain international field offices.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restructuring charges for the third quarter and first three quarters of fiscal 2013 and 2012 are summarized in the table below:</w:t>
      </w:r>
    </w:p>
    <w:p>
      <w:pPr>
        <w:spacing w:after="0" w:line="392"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Quarter Ended</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Quarters Ended</w:t>
            </w:r>
          </w:p>
        </w:tc>
        <w:tc>
          <w:tcPr>
            <w:tcW w:w="1020" w:type="dxa"/>
            <w:vAlign w:val="bottom"/>
            <w:tcBorders>
              <w:bottom w:val="single" w:sz="8" w:color="auto"/>
            </w:tcBorders>
          </w:tcPr>
          <w:p>
            <w:pPr>
              <w:spacing w:after="0"/>
              <w:rPr>
                <w:sz w:val="16"/>
                <w:szCs w:val="16"/>
                <w:color w:val="auto"/>
              </w:rPr>
            </w:pPr>
          </w:p>
        </w:tc>
      </w:tr>
      <w:tr>
        <w:trPr>
          <w:trHeight w:val="26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29, 2013</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30, 2012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29, 2013</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30, 2012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2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Our restructuring expenses consisted primarily of severance and related benefit charges, and to a lesser extent, facilities costs related to obligations under non-cancelable leases for facilities that we ceased to use. Restructuring charges for the third quarter of fiscal 2013 remained approximately the same compared with the same quarter of fiscal 2012. Restructuring charges declined $0.5 million in the first three quarters of fiscal 2013 compared with the same period of fiscal 2012 primarily due to the absence of a $1.3 million facilities charge in the first three quarters of fiscal 2012 related to the sublease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27" w:right="239" w:bottom="1440" w:gutter="0" w:footer="0" w:header="0"/>
        </w:sectPr>
      </w:pPr>
    </w:p>
    <w:bookmarkStart w:id="24" w:name="page25"/>
    <w:bookmarkEnd w:id="24"/>
    <w:p>
      <w:pPr>
        <w:ind w:right="120"/>
        <w:spacing w:after="0" w:line="277" w:lineRule="auto"/>
        <w:rPr>
          <w:sz w:val="20"/>
          <w:szCs w:val="20"/>
          <w:color w:val="auto"/>
        </w:rPr>
      </w:pPr>
      <w:r>
        <w:rPr>
          <w:rFonts w:ascii="Arial" w:cs="Arial" w:eastAsia="Arial" w:hAnsi="Arial"/>
          <w:sz w:val="18"/>
          <w:szCs w:val="18"/>
          <w:color w:val="auto"/>
        </w:rPr>
        <w:t>relocation of our Morrisville, North Carolina office during the period, partially offset by severance related costs incurred in the fiscal 2013 period. We intend to complete the remaining restructuring activities under the Fiscal 2011 Plan in fiscal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29,</w:t>
            </w:r>
          </w:p>
        </w:tc>
        <w:tc>
          <w:tcPr>
            <w:tcW w:w="420" w:type="dxa"/>
            <w:vAlign w:val="bottom"/>
          </w:tcPr>
          <w:p>
            <w:pPr>
              <w:spacing w:after="0"/>
              <w:rPr>
                <w:sz w:val="13"/>
                <w:szCs w:val="13"/>
                <w:color w:val="auto"/>
              </w:rPr>
            </w:pPr>
          </w:p>
        </w:tc>
        <w:tc>
          <w:tcPr>
            <w:tcW w:w="11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3"/>
                <w:szCs w:val="13"/>
                <w:color w:val="auto"/>
              </w:rPr>
            </w:pPr>
          </w:p>
        </w:tc>
        <w:tc>
          <w:tcPr>
            <w:tcW w:w="12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Interest expense was primarily related to interest associated with borrowings, term loan and letters of credit under our credit facilities and, in the first three quarters of fiscal 2012, also included preference dividends on our $8.25 million redeemable preference shares. The $8.25 million preference shares were redeemed at their carrying value on January 30, 2012, funded by a two-year term loan of $8.25 million under our credit facility at a fixed interest rate of 5% per annum.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Quarters Ended</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264"/>
        </w:trPr>
        <w:tc>
          <w:tcPr>
            <w:tcW w:w="41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22"/>
                <w:szCs w:val="22"/>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March 29, 2013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30, 2012</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29, 2013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30, 2012</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Change</w:t>
            </w:r>
          </w:p>
        </w:tc>
      </w:tr>
      <w:tr>
        <w:trPr>
          <w:trHeight w:val="215"/>
        </w:trPr>
        <w:tc>
          <w:tcPr>
            <w:tcW w:w="4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Income (loss) from continuing operations before income</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3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4"/>
              <w:spacing w:after="0"/>
              <w:rPr>
                <w:sz w:val="20"/>
                <w:szCs w:val="20"/>
                <w:color w:val="auto"/>
              </w:rPr>
            </w:pPr>
            <w:r>
              <w:rPr>
                <w:rFonts w:ascii="Arial" w:cs="Arial" w:eastAsia="Arial" w:hAnsi="Arial"/>
                <w:sz w:val="18"/>
                <w:szCs w:val="18"/>
                <w:color w:val="auto"/>
              </w:rPr>
              <w:t>0.6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10.1</w:t>
            </w:r>
          </w:p>
        </w:tc>
      </w:tr>
      <w:tr>
        <w:trPr>
          <w:trHeight w:val="27"/>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 of income (loss) from continuing operations before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7"/>
        </w:trPr>
        <w:tc>
          <w:tcPr>
            <w:tcW w:w="4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estimate our annual effective rate at the end of each quarterly period, and we record the tax effect of certain discrete items, which are unusual or occur infrequently, in the interim period in which they occur, including changes in judgment about deferred tax valuation allowances. The determination of the effective tax rate reflects tax expense and benefit generated in certain foreign jurisdictions. However, jurisdictions with a year-to-date loss where no tax benefit can be recognized are excluded from the annual effective tax rate. The tax expense for the third quarter was primarily attributable to withholding tax in foreign jurisdictions of $0.4 million, while tax expense for the first three quarters of fiscal 2013 was primarily attributable to an increase in our reserve for uncertain tax positions of $11.1 million. The increase in unrecognized tax benefits was the result of additional information obtained during recent tax examinations in certain countries. The tax expense for the third quarter and first three quarters of fiscal 2012 was primarily attributable to profitable foreign entities for which we have accrued income taxes.</w:t>
      </w:r>
    </w:p>
    <w:p>
      <w:pPr>
        <w:spacing w:after="0" w:line="19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Three Quarters Ended</w:t>
            </w: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March 29, 2013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6"/>
              </w:rPr>
              <w:t>March 30, 2012</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4"/>
              </w:rPr>
              <w:t>March 29, 2013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6"/>
              </w:rPr>
              <w:t>March 30, 2012</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r>
      <w:tr>
        <w:trPr>
          <w:trHeight w:val="243"/>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4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Our discontinued operations consist of the WiMAX business, which was sold to EION on September 2, 2011. We completed the business transition with EION in fiscal 2012. The loss from discontinued operations decreased $2.3 million and $6.5 million, respectively, in the third quarter and first three quarters of fiscal 2013 compared with the same periods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5" w:name="page26"/>
    <w:bookmarkEnd w:id="25"/>
    <w:p>
      <w:pPr>
        <w:ind w:right="40"/>
        <w:spacing w:after="0" w:line="286" w:lineRule="auto"/>
        <w:rPr>
          <w:sz w:val="20"/>
          <w:szCs w:val="20"/>
          <w:color w:val="auto"/>
        </w:rPr>
      </w:pPr>
      <w:r>
        <w:rPr>
          <w:rFonts w:ascii="Arial" w:cs="Arial" w:eastAsia="Arial" w:hAnsi="Arial"/>
          <w:sz w:val="17"/>
          <w:szCs w:val="17"/>
          <w:color w:val="auto"/>
        </w:rPr>
        <w:t>fiscal 2012. The loss incurred in the first three quarters of fiscal 2013 was primarily due to write-down of certain WiMAX deferred cost of sales that were not transferred to EION and certain expenses we incurred to support a remaining customer obligation. The loss in the first three quarters of fiscal 2012 included operating expenses we incurred to transition the business and a $1.9 million loss on disposition of the WiMAX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90"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As of March 29, 2013, our total cash and cash equivalents were $92.9 million. Approximately $26.1 million, or 28.1% of our total cash and cash equivalents, was held by entities domiciled in the United States. The remaining balance of $66.8 million, or 71.9%, was held by entities outside the United States. Of the amount of cash and cash equivalents held by our foreign subsidiaries at March 29, 2013, $53.7 million was held in jurisdictions where our undistributed earnings are indefinitely reinvested, and would be subject to U.S. taxes if repatriated.</w:t>
      </w:r>
    </w:p>
    <w:p>
      <w:pPr>
        <w:spacing w:after="0" w:line="3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 of March 29, 2013, our principal sources of liquidity consisted of the $92.9 million in cash and cash equivalents, $24.4 million of available credit under our current $40.0 million credit facility with SVB, and future collections of receivables from customers. We regularly require letters of credit from some customers that request extended payment terms up to one year or more.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three quarters of fiscal 2013, our total cash and cash equivalents decreased by $3.1 million primarily due to $5.9 million of cash used for capital expenditures and $3.1 million repayment on our long-term debt, partially offset by $5.5 million of cash provided by operating activities.</w:t>
      </w:r>
    </w:p>
    <w:p>
      <w:pPr>
        <w:spacing w:after="0" w:line="124"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Cash provided by operating activities was $5.5 million in the first three quarters of fiscal 2013, primarily due to decreases in receivables of $8.5 million and in inventories of $12.1 million, an increase in reserve for uncertain tax positions of $11.9 million, and taking into account our net loss of $9.2 million adjusted by non-cash expense items of $16.6 million, but was partially offset by decreases in accounts payable and accrued expenses of $21.3 million, in customer advance payments and unearned income of $6.7 million, and in accrued income taxes of $3.2 million. Our accounts receivable decreased during the first three quarters of fiscal 2013 primarily due to strong collections from customers and a smaller volume of billings in the third quarter of fiscal 2013. The decrease in inventory was due to improvement of supply chain efficiency and a reduction in deferred cost of sales due to timing of revenue recognition on several large contracts. The decrease in accounts payable and accrued expenses was primarily due to the timing of payments to our contract manufacturers and suppliers. The decrease in customer advance payments and unearned income was due to the timing of revenue recognition on several large contracts. We also used $1.6 million in cash during the first three quarters of fiscal 2013 related to restructuring liabilities.</w:t>
      </w:r>
    </w:p>
    <w:p>
      <w:pPr>
        <w:spacing w:after="0" w:line="113"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During the remainder of fiscal year 2013, we expect to spend approximately $3.0 million for capital expenditures primarily on equipment for development of new products and improvement of our information technology infrastructure which will enable more automated supply chain management and financial reporting and lead to process and cost efficiency and ability to scale our business. During the first three quarters of fiscal 2013, we increased our reserve for uncertain tax positions from $4.2 million to $16.0 million and recorded a reserve for transactional taxes of $1.3 million. The majority of these tax provisions are related to audits of past years in several foreign jurisdictions where we have not received final assessments. While we continue to defend our positions and will continue with the appeal processes, we could receive final assessments of up to $16.0 million from one or more of these</w:t>
      </w:r>
    </w:p>
    <w:p>
      <w:pPr>
        <w:spacing w:after="0" w:line="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jurisdictions requiring tax payments as early as the fourth quarter of fiscal 2013. Currently we are not able to estimate the amount and timing of such tax payments.</w:t>
      </w:r>
    </w:p>
    <w:p>
      <w:pPr>
        <w:spacing w:after="0" w:line="130" w:lineRule="exact"/>
        <w:rPr>
          <w:sz w:val="20"/>
          <w:szCs w:val="20"/>
          <w:color w:val="auto"/>
        </w:rPr>
      </w:pPr>
    </w:p>
    <w:p>
      <w:pPr>
        <w:ind w:right="180" w:firstLine="432"/>
        <w:spacing w:after="0" w:line="253" w:lineRule="auto"/>
        <w:rPr>
          <w:sz w:val="20"/>
          <w:szCs w:val="20"/>
          <w:color w:val="auto"/>
        </w:rPr>
      </w:pPr>
      <w:r>
        <w:rPr>
          <w:rFonts w:ascii="Arial" w:cs="Arial" w:eastAsia="Arial" w:hAnsi="Arial"/>
          <w:sz w:val="18"/>
          <w:szCs w:val="18"/>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the next 12 months and the foreseeable future. There can be no assurance, however, that our business will generate cash flow, or that anticipated operational improvements will be achieved. If we are unable to maintain cash balances or generate sufficient cash flow from operations to service our obligations or liability for uncertain tax positions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46"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March 29, 2013, we had $24.4 million of credit available under our credit facility with SVB and had $9.8 million in outstanding borrowings and $5.2 million in outstanding standby letters of credit issued under the SVB credit facility.</w:t>
      </w:r>
    </w:p>
    <w:p>
      <w:pPr>
        <w:spacing w:after="0" w:line="3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 xml:space="preserve">In an amendment to the facility effective November 2, 2011, the commitment of up to $40.0 million under the facility was extended to expire on February 28, 2014 and provides for (1) advance borrowings at the prime rate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(2) fixed term Eurodollar loans for up to six months at LIBOR plus a spread of between 2.00% to 2.75% based on the Company’s current leverage ratio, (3) a two-year term loan in the amount of $8.3 million at a fixed rate of 5% per annum expiring on January 31, 2014, and (4) the issuance of standby or commercial letters of credit. As of March 29, 2013, we had $6.0 million advance borrowings under the credit facility. The term loan drawn on January 30, 2012 is repaid in 24 equal monthly installments of principal plus accrued interest commencing February 29, 2012. The SVB credit facility contains a minimum liquidity ratio covenant and a minimum profitability covenant and is secured by certain of the company’s assets including accounts receivable, inventory, and equipment. The facility also imposes certain restrictions on our ability to pay dividends or make distributions to our stockholders under certain circumstances.</w:t>
      </w:r>
    </w:p>
    <w:p>
      <w:pPr>
        <w:spacing w:after="0" w:line="112"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Based on financial covenants included as part of the amended SVB credit facility effective September 28, 2012, we must maintain, as measured at the last day of each fiscal quarter beginning September 28, 2012 through December 27, 2013, (1) no less than a minimum liquidity ratio of 1.50 to 1 (defined as the ratio of total domestic unrestricted cash and cash equivalents plus short-term and long-term marketable securities plus the lesser of 25% of eligible accounts receivable or $12.5 million to total obligations outstanding with the bank) and (2) minimum consolidated EBITDA measured for each fiscal quarter. As of March 29, 2013, we were in compliance with these financial covenants.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90"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We have a liability for restructuring activities totaling $1.5 million as of March 29, 2013, $1.0 million of which is classified as current liability and expected to be paid out in cash over the next 12 months. We expect to fund these future payments with available cash and cash flow provided by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amounts disclosed in our fiscal 2012 Annual Report on Form 10-K include our commercial commitments and contractual obligations. During the first three quarters of fiscal 2013, no material changes occurred in our contractual cash obligations to repay debt, to purchase goods and services and to make payments under operating leases or our commercial commitments and contingent liabilities on outstanding letters of credit, guarantees and other arrangements as disclosed in our fiscal 2012 Annual Report on Form 10-K. Please refer to Note 13, "Commitments and Contingencies" in this Form 10-Q. During the first three quarters of fiscal 2013, we recorded $11.1 million in our reserve for uncertain tax positions, as set forth in Note 11, "Income Taxes" in this Form 10-Q. As of March 29, 2013, we were not able to determine the timing of future payment on the uncertain tax position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2012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9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nor issue derivatives for trading purposes or make speculative investments in foreign currencies.</w:t>
      </w:r>
    </w:p>
    <w:p>
      <w:pPr>
        <w:spacing w:after="0" w:line="12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We use foreign exchange forward contracts to hedge forecasted foreign currency transactions relating to forecasted sales and purchase transactions. These derivatives are designated as cash flow hedges and are carried at fair value.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27" w:right="239" w:bottom="1440" w:gutter="0" w:footer="0" w:header="0"/>
        </w:sectPr>
      </w:pPr>
    </w:p>
    <w:bookmarkStart w:id="27" w:name="page28"/>
    <w:bookmarkEnd w:id="27"/>
    <w:p>
      <w:pPr>
        <w:ind w:right="220"/>
        <w:spacing w:after="0" w:line="257" w:lineRule="auto"/>
        <w:rPr>
          <w:sz w:val="20"/>
          <w:szCs w:val="20"/>
          <w:color w:val="auto"/>
        </w:rPr>
      </w:pPr>
      <w:r>
        <w:rPr>
          <w:rFonts w:ascii="Arial" w:cs="Arial" w:eastAsia="Arial" w:hAnsi="Arial"/>
          <w:sz w:val="18"/>
          <w:szCs w:val="18"/>
          <w:color w:val="auto"/>
        </w:rPr>
        <w:t>effective portion of the gain or loss is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3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March 29, 2013, we had foreign currency forward contracts outstanding with a total notional amount of $32.2 million consisting of 13 different currencies. The following is a summary of the gross notional amount of our outstanding contracts grouped by the underlying foreign currency as of March 29, 2013:</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3"/>
              </w:rPr>
              <w:t>Notional Contract</w:t>
            </w:r>
          </w:p>
        </w:tc>
        <w:tc>
          <w:tcPr>
            <w:tcW w:w="340" w:type="dxa"/>
            <w:vAlign w:val="bottom"/>
          </w:tcPr>
          <w:p>
            <w:pPr>
              <w:spacing w:after="0"/>
              <w:rPr>
                <w:sz w:val="14"/>
                <w:szCs w:val="14"/>
                <w:color w:val="auto"/>
              </w:rPr>
            </w:pPr>
          </w:p>
        </w:tc>
        <w:tc>
          <w:tcPr>
            <w:tcW w:w="1020" w:type="dxa"/>
            <w:vAlign w:val="bottom"/>
          </w:tcPr>
          <w:p>
            <w:pPr>
              <w:jc w:val="center"/>
              <w:ind w:right="256"/>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5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2"/>
                <w:szCs w:val="12"/>
                <w:color w:val="auto"/>
              </w:rPr>
            </w:pPr>
          </w:p>
        </w:tc>
        <w:tc>
          <w:tcPr>
            <w:tcW w:w="1020" w:type="dxa"/>
            <w:vAlign w:val="bottom"/>
          </w:tcPr>
          <w:p>
            <w:pPr>
              <w:jc w:val="center"/>
              <w:ind w:right="276"/>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320" w:type="dxa"/>
            <w:vAlign w:val="bottom"/>
            <w:gridSpan w:val="2"/>
            <w:vMerge w:val="continue"/>
          </w:tcPr>
          <w:p>
            <w:pPr>
              <w:spacing w:after="0"/>
              <w:rPr>
                <w:sz w:val="16"/>
                <w:szCs w:val="16"/>
                <w:color w:val="auto"/>
              </w:rPr>
            </w:pPr>
          </w:p>
        </w:tc>
        <w:tc>
          <w:tcPr>
            <w:tcW w:w="156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(Local Currency)</w:t>
            </w:r>
          </w:p>
        </w:tc>
        <w:tc>
          <w:tcPr>
            <w:tcW w:w="340" w:type="dxa"/>
            <w:vAlign w:val="bottom"/>
          </w:tcPr>
          <w:p>
            <w:pPr>
              <w:spacing w:after="0"/>
              <w:rPr>
                <w:sz w:val="16"/>
                <w:szCs w:val="16"/>
                <w:color w:val="auto"/>
              </w:rPr>
            </w:pPr>
          </w:p>
        </w:tc>
        <w:tc>
          <w:tcPr>
            <w:tcW w:w="1020" w:type="dxa"/>
            <w:vAlign w:val="bottom"/>
          </w:tcPr>
          <w:p>
            <w:pPr>
              <w:jc w:val="center"/>
              <w:ind w:right="276"/>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8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5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1560" w:type="dxa"/>
            <w:vAlign w:val="bottom"/>
          </w:tcPr>
          <w:p>
            <w:pPr>
              <w:jc w:val="right"/>
              <w:ind w:right="137"/>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Philippine peso</w:t>
            </w:r>
          </w:p>
        </w:tc>
        <w:tc>
          <w:tcPr>
            <w:tcW w:w="15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122.1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1560" w:type="dxa"/>
            <w:vAlign w:val="bottom"/>
          </w:tcPr>
          <w:p>
            <w:pPr>
              <w:jc w:val="right"/>
              <w:ind w:right="137"/>
              <w:spacing w:after="0"/>
              <w:rPr>
                <w:sz w:val="20"/>
                <w:szCs w:val="20"/>
                <w:color w:val="auto"/>
              </w:rPr>
            </w:pPr>
            <w:r>
              <w:rPr>
                <w:rFonts w:ascii="Arial" w:cs="Arial" w:eastAsia="Arial" w:hAnsi="Arial"/>
                <w:sz w:val="18"/>
                <w:szCs w:val="18"/>
                <w:color w:val="auto"/>
              </w:rPr>
              <w:t>30.3</w:t>
            </w:r>
          </w:p>
        </w:tc>
        <w:tc>
          <w:tcPr>
            <w:tcW w:w="3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Thailand baht</w:t>
            </w:r>
          </w:p>
        </w:tc>
        <w:tc>
          <w:tcPr>
            <w:tcW w:w="15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13.1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Republic of South Africa rand</w:t>
            </w:r>
          </w:p>
        </w:tc>
        <w:tc>
          <w:tcPr>
            <w:tcW w:w="1560" w:type="dxa"/>
            <w:vAlign w:val="bottom"/>
          </w:tcPr>
          <w:p>
            <w:pPr>
              <w:jc w:val="right"/>
              <w:ind w:right="137"/>
              <w:spacing w:after="0"/>
              <w:rPr>
                <w:sz w:val="20"/>
                <w:szCs w:val="20"/>
                <w:color w:val="auto"/>
              </w:rPr>
            </w:pPr>
            <w:r>
              <w:rPr>
                <w:rFonts w:ascii="Arial" w:cs="Arial" w:eastAsia="Arial" w:hAnsi="Arial"/>
                <w:sz w:val="18"/>
                <w:szCs w:val="18"/>
                <w:color w:val="auto"/>
              </w:rPr>
              <w:t>45.8</w:t>
            </w:r>
          </w:p>
        </w:tc>
        <w:tc>
          <w:tcPr>
            <w:tcW w:w="3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currencies</w:t>
            </w:r>
          </w:p>
        </w:tc>
        <w:tc>
          <w:tcPr>
            <w:tcW w:w="15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5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Net foreign exchange loss recorded in our consolidated statements of operations during the third quarter and first three quarters of fiscal 2013 and 2012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w w:val="96"/>
              </w:rPr>
              <w:t>Quarter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jc w:val="center"/>
              <w:ind w:left="322"/>
              <w:spacing w:after="0" w:line="153" w:lineRule="exact"/>
              <w:rPr>
                <w:sz w:val="20"/>
                <w:szCs w:val="20"/>
                <w:color w:val="auto"/>
              </w:rPr>
            </w:pPr>
            <w:r>
              <w:rPr>
                <w:rFonts w:ascii="Arial" w:cs="Arial" w:eastAsia="Arial" w:hAnsi="Arial"/>
                <w:sz w:val="14"/>
                <w:szCs w:val="14"/>
                <w:b w:val="1"/>
                <w:bCs w:val="1"/>
                <w:color w:val="auto"/>
                <w:w w:val="99"/>
              </w:rPr>
              <w:t>March 29,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322"/>
              <w:spacing w:after="0" w:line="153" w:lineRule="exact"/>
              <w:rPr>
                <w:sz w:val="20"/>
                <w:szCs w:val="20"/>
                <w:color w:val="auto"/>
              </w:rPr>
            </w:pPr>
            <w:r>
              <w:rPr>
                <w:rFonts w:ascii="Arial" w:cs="Arial" w:eastAsia="Arial" w:hAnsi="Arial"/>
                <w:sz w:val="14"/>
                <w:szCs w:val="14"/>
                <w:b w:val="1"/>
                <w:bCs w:val="1"/>
                <w:color w:val="auto"/>
                <w:w w:val="95"/>
              </w:rPr>
              <w:t>March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29,</w:t>
            </w:r>
          </w:p>
        </w:tc>
        <w:tc>
          <w:tcPr>
            <w:tcW w:w="260" w:type="dxa"/>
            <w:vAlign w:val="bottom"/>
          </w:tcPr>
          <w:p>
            <w:pPr>
              <w:spacing w:after="0"/>
              <w:rPr>
                <w:sz w:val="13"/>
                <w:szCs w:val="13"/>
                <w:color w:val="auto"/>
              </w:rPr>
            </w:pPr>
          </w:p>
        </w:tc>
        <w:tc>
          <w:tcPr>
            <w:tcW w:w="122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95"/>
              </w:rPr>
              <w:t>March 30,</w:t>
            </w:r>
          </w:p>
        </w:tc>
        <w:tc>
          <w:tcPr>
            <w:tcW w:w="0" w:type="dxa"/>
            <w:vAlign w:val="bottom"/>
          </w:tcPr>
          <w:p>
            <w:pPr>
              <w:spacing w:after="0"/>
              <w:rPr>
                <w:sz w:val="1"/>
                <w:szCs w:val="1"/>
                <w:color w:val="auto"/>
              </w:rPr>
            </w:pPr>
          </w:p>
        </w:tc>
      </w:tr>
      <w:tr>
        <w:trPr>
          <w:trHeight w:val="192"/>
        </w:trPr>
        <w:tc>
          <w:tcPr>
            <w:tcW w:w="5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loss, net</w:t>
            </w: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March 29, 2013 would have an impact of approximately $2.0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1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Certain of our international business was transacted in non-U.S. dollar currency environments. As discussed above, we utilize foreign currency hedging instruments to minimize the currency risk of international transactions. The impact of translating the assets and liabilities of foreign operations to U.S. dollars is included as a component of stockholders’ equity. As of March 29, 2013 and June 29, 2012, the cumulative translation adjustment decreased our stockholders’ equity by $3.4 million and $4.0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exposure to market risk for changes in interest rates relates primarily to our cash equivalents and borrowings under our SVB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90"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We had $92.9 million in total cash and cash equivalents as of March 29, 2013. Cash equivalents totaled $54.3 million as of March 29, 2013 and were comprised of money market funds and certificates of deposit. Cash equivalents have been recorded at fair value on our balance sheet.</w:t>
      </w:r>
    </w:p>
    <w:p>
      <w:pPr>
        <w:spacing w:after="0" w:line="9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need to sell securities in order to meet liquidity needs and therefore the potential effect of changing market rates on the value of securities sold.</w:t>
      </w:r>
    </w:p>
    <w:p>
      <w:pPr>
        <w:spacing w:after="0" w:line="17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March 29, 2013 was 1.7 days, and these investments had an average yield of 0.16% per annum. A 10% change in interest rates on our cash and cash equivalents is not expected to have a material impact on our financial position, results of operations or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9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During the first three quarters of fiscal 2013, we had $6.0 million of advance borrowings outstanding under our $40.0 million SVB credit facility that incurred interest at the prime rate. We also recorded interest on our $8.3 million borrowing drawn on January 30, 2012 at the fixed rate of 5% per annum. During the first three quarters of fiscal 2013, our weighted average interest rate was 4.1% and we recorded total interest expense of $0.3 million on these borrowings.</w:t>
      </w:r>
    </w:p>
    <w:p>
      <w:pPr>
        <w:spacing w:after="0" w:line="13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2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Management has conducted an evaluation, under the supervision and with the participation of our Chief Executive Officer and Chief Financial Officer, of the effectiveness of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March 29,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27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refer to Legal Proceedings under Note 13, "Commitments and Contingencies" in this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2012 Annual Report on Form 10-K.</w:t>
      </w:r>
    </w:p>
    <w:p>
      <w:pPr>
        <w:spacing w:after="0" w:line="11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do not believe that there have been any other material additions or changes to the risk factors previously disclosed in our fiscal 2012 Annual Report on Form 10-K, although we may disclose changes to such factors or disclose additional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factors from time to time in our future filings with the SEC. Additional risks and uncertainties not presently known to us or that we currently deem immaterial also may impair our business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46"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0160" w:type="dxa"/>
            <w:vAlign w:val="bottom"/>
          </w:tcPr>
          <w:p>
            <w:pPr>
              <w:ind w:left="4700"/>
              <w:spacing w:after="0"/>
              <w:rPr>
                <w:sz w:val="20"/>
                <w:szCs w:val="20"/>
                <w:color w:val="auto"/>
              </w:rPr>
            </w:pPr>
            <w:r>
              <w:rPr>
                <w:rFonts w:ascii="Arial" w:cs="Arial" w:eastAsia="Arial" w:hAnsi="Arial"/>
                <w:sz w:val="14"/>
                <w:szCs w:val="14"/>
                <w:b w:val="1"/>
                <w:bCs w:val="1"/>
                <w:color w:val="auto"/>
              </w:rPr>
              <w:t>Descriptions</w:t>
            </w:r>
          </w:p>
        </w:tc>
      </w:tr>
      <w:tr>
        <w:trPr>
          <w:trHeight w:val="567"/>
        </w:trPr>
        <w:tc>
          <w:tcPr>
            <w:tcW w:w="1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16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500" w:right="140" w:hanging="465"/>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7,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3009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John J. Madigan</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accounting officer and</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20"/>
          </w:cols>
          <w:pgMar w:left="240" w:top="796" w:right="939" w:bottom="1440" w:gutter="0" w:footer="0" w:header="0"/>
        </w:sectPr>
      </w:pPr>
    </w:p>
    <w:bookmarkStart w:id="32" w:name="page33"/>
    <w:bookmarkEnd w:id="32"/>
    <w:p>
      <w:pPr>
        <w:ind w:left="5020"/>
        <w:spacing w:after="0"/>
        <w:rPr>
          <w:sz w:val="20"/>
          <w:szCs w:val="20"/>
          <w:color w:val="auto"/>
        </w:rPr>
      </w:pPr>
      <w:r>
        <w:rPr>
          <w:rFonts w:ascii="Arial" w:cs="Arial" w:eastAsia="Arial" w:hAnsi="Arial"/>
          <w:sz w:val="18"/>
          <w:szCs w:val="18"/>
          <w:b w:val="1"/>
          <w:bCs w:val="1"/>
          <w:color w:val="auto"/>
        </w:rPr>
        <w:t>EXHIBIT INDEX</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0160" w:type="dxa"/>
            <w:vAlign w:val="bottom"/>
          </w:tcPr>
          <w:p>
            <w:pPr>
              <w:ind w:left="4700"/>
              <w:spacing w:after="0"/>
              <w:rPr>
                <w:sz w:val="20"/>
                <w:szCs w:val="20"/>
                <w:color w:val="auto"/>
              </w:rPr>
            </w:pPr>
            <w:r>
              <w:rPr>
                <w:rFonts w:ascii="Arial" w:cs="Arial" w:eastAsia="Arial" w:hAnsi="Arial"/>
                <w:sz w:val="14"/>
                <w:szCs w:val="14"/>
                <w:b w:val="1"/>
                <w:bCs w:val="1"/>
                <w:color w:val="auto"/>
              </w:rPr>
              <w:t>Descriptions</w:t>
            </w:r>
          </w:p>
        </w:tc>
      </w:tr>
      <w:tr>
        <w:trPr>
          <w:trHeight w:val="567"/>
        </w:trPr>
        <w:tc>
          <w:tcPr>
            <w:tcW w:w="1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16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500" w:right="140" w:hanging="465"/>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96"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29, 2013,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May 7, 2013</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Edward J. Hayes, Jr.,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29, 2013,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May 7, 2013</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Edward J. Hayes, Jr.</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Edward J. Hayes, Jr.</w:t>
            </w:r>
          </w:p>
        </w:tc>
      </w:tr>
      <w:tr>
        <w:trPr>
          <w:trHeight w:val="256"/>
        </w:trPr>
        <w:tc>
          <w:tcPr>
            <w:tcW w:w="65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March 29, 2013, as filed with the Securities and Exchange Commission on the date hereof (the “Report”), we, Michael A. Pangia, President and Chief Executive Officer of Aviat Networks, and Edward J Hayes, Jr., Senior Vice President and Chief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May 7, 2013</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60"/>
        <w:spacing w:after="0"/>
        <w:tabs>
          <w:tab w:leader="none" w:pos="5980" w:val="left"/>
        </w:tabs>
        <w:rPr>
          <w:sz w:val="20"/>
          <w:szCs w:val="20"/>
          <w:color w:val="auto"/>
        </w:rPr>
      </w:pPr>
      <w:r>
        <w:rPr>
          <w:rFonts w:ascii="Arial" w:cs="Arial" w:eastAsia="Arial" w:hAnsi="Arial"/>
          <w:sz w:val="18"/>
          <w:szCs w:val="18"/>
          <w:color w:val="auto"/>
        </w:rPr>
        <w:t>Date: May 7, 2013</w:t>
      </w:r>
      <w:r>
        <w:rPr>
          <w:sz w:val="20"/>
          <w:szCs w:val="20"/>
          <w:color w:val="auto"/>
        </w:rPr>
        <w:tab/>
      </w:r>
      <w:r>
        <w:rPr>
          <w:rFonts w:ascii="Arial" w:cs="Arial" w:eastAsia="Arial" w:hAnsi="Arial"/>
          <w:sz w:val="15"/>
          <w:szCs w:val="15"/>
          <w:color w:val="auto"/>
        </w:rPr>
        <w:t>/s/ Edward J Hayes,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31750</wp:posOffset>
            </wp:positionV>
            <wp:extent cx="2804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Edward J Hayes, Jr.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2019-12-07T14:34:51Z</dcterms:created>
  <dcterms:modified xsi:type="dcterms:W3CDTF">2019-12-07T14:34:51Z</dcterms:modified>
</cp:coreProperties>
</file>