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4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September 30, 2016</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500" w:right="400" w:hanging="451"/>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For the transition period from _______ to 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448310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AVIAT NETWORKS, INC.</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89" w:lineRule="exact"/>
        <w:rPr>
          <w:sz w:val="24"/>
          <w:szCs w:val="24"/>
          <w:color w:val="auto"/>
        </w:rPr>
      </w:pPr>
    </w:p>
    <w:tbl>
      <w:tblPr>
        <w:tblLayout w:type="fixed"/>
        <w:tblInd w:w="720" w:type="dxa"/>
        <w:tblCellMar>
          <w:top w:w="0" w:type="dxa"/>
          <w:left w:w="0" w:type="dxa"/>
          <w:bottom w:w="0" w:type="dxa"/>
          <w:right w:w="0" w:type="dxa"/>
        </w:tblCellMar>
      </w:tblPr>
      <w:tr>
        <w:trPr>
          <w:trHeight w:val="256"/>
        </w:trPr>
        <w:tc>
          <w:tcPr>
            <w:tcW w:w="7100" w:type="dxa"/>
            <w:vAlign w:val="bottom"/>
          </w:tcPr>
          <w:p>
            <w:pPr>
              <w:jc w:val="center"/>
              <w:ind w:right="2833"/>
              <w:spacing w:after="0"/>
              <w:rPr>
                <w:sz w:val="20"/>
                <w:szCs w:val="20"/>
                <w:color w:val="auto"/>
              </w:rPr>
            </w:pPr>
            <w:r>
              <w:rPr>
                <w:rFonts w:ascii="Arial" w:cs="Arial" w:eastAsia="Arial" w:hAnsi="Arial"/>
                <w:sz w:val="20"/>
                <w:szCs w:val="20"/>
                <w:b w:val="1"/>
                <w:bCs w:val="1"/>
                <w:color w:val="auto"/>
                <w:w w:val="88"/>
              </w:rPr>
              <w:t>Delaware</w:t>
            </w:r>
          </w:p>
        </w:tc>
        <w:tc>
          <w:tcPr>
            <w:tcW w:w="1560" w:type="dxa"/>
            <w:vAlign w:val="bottom"/>
          </w:tcPr>
          <w:p>
            <w:pPr>
              <w:jc w:val="right"/>
              <w:ind w:right="72"/>
              <w:spacing w:after="0"/>
              <w:rPr>
                <w:sz w:val="20"/>
                <w:szCs w:val="20"/>
                <w:color w:val="auto"/>
              </w:rPr>
            </w:pPr>
            <w:r>
              <w:rPr>
                <w:rFonts w:ascii="Arial" w:cs="Arial" w:eastAsia="Arial" w:hAnsi="Arial"/>
                <w:sz w:val="20"/>
                <w:szCs w:val="20"/>
                <w:b w:val="1"/>
                <w:bCs w:val="1"/>
                <w:color w:val="auto"/>
              </w:rPr>
              <w:t>20-5961564</w:t>
            </w:r>
          </w:p>
        </w:tc>
      </w:tr>
      <w:tr>
        <w:trPr>
          <w:trHeight w:val="239"/>
        </w:trPr>
        <w:tc>
          <w:tcPr>
            <w:tcW w:w="7100" w:type="dxa"/>
            <w:vAlign w:val="bottom"/>
          </w:tcPr>
          <w:p>
            <w:pPr>
              <w:jc w:val="center"/>
              <w:ind w:right="2833"/>
              <w:spacing w:after="0"/>
              <w:rPr>
                <w:sz w:val="20"/>
                <w:szCs w:val="20"/>
                <w:color w:val="auto"/>
              </w:rPr>
            </w:pPr>
            <w:r>
              <w:rPr>
                <w:rFonts w:ascii="Arial" w:cs="Arial" w:eastAsia="Arial" w:hAnsi="Arial"/>
                <w:sz w:val="16"/>
                <w:szCs w:val="16"/>
                <w:b w:val="1"/>
                <w:bCs w:val="1"/>
                <w:color w:val="auto"/>
                <w:w w:val="91"/>
              </w:rPr>
              <w:t>(State or other jurisdiction of</w:t>
            </w:r>
          </w:p>
        </w:tc>
        <w:tc>
          <w:tcPr>
            <w:tcW w:w="1560" w:type="dxa"/>
            <w:vAlign w:val="bottom"/>
          </w:tcPr>
          <w:p>
            <w:pPr>
              <w:jc w:val="center"/>
              <w:ind w:left="192"/>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7100" w:type="dxa"/>
            <w:vAlign w:val="bottom"/>
          </w:tcPr>
          <w:p>
            <w:pPr>
              <w:jc w:val="center"/>
              <w:ind w:right="2833"/>
              <w:spacing w:after="0"/>
              <w:rPr>
                <w:sz w:val="20"/>
                <w:szCs w:val="20"/>
                <w:color w:val="auto"/>
              </w:rPr>
            </w:pPr>
            <w:r>
              <w:rPr>
                <w:rFonts w:ascii="Arial" w:cs="Arial" w:eastAsia="Arial" w:hAnsi="Arial"/>
                <w:sz w:val="16"/>
                <w:szCs w:val="16"/>
                <w:b w:val="1"/>
                <w:bCs w:val="1"/>
                <w:color w:val="auto"/>
                <w:w w:val="91"/>
              </w:rPr>
              <w:t>incorporation or organization)</w:t>
            </w:r>
          </w:p>
        </w:tc>
        <w:tc>
          <w:tcPr>
            <w:tcW w:w="1560" w:type="dxa"/>
            <w:vAlign w:val="bottom"/>
          </w:tcPr>
          <w:p>
            <w:pPr>
              <w:jc w:val="center"/>
              <w:ind w:left="192"/>
              <w:spacing w:after="0"/>
              <w:rPr>
                <w:sz w:val="20"/>
                <w:szCs w:val="20"/>
                <w:color w:val="auto"/>
              </w:rPr>
            </w:pPr>
            <w:r>
              <w:rPr>
                <w:rFonts w:ascii="Arial" w:cs="Arial" w:eastAsia="Arial" w:hAnsi="Arial"/>
                <w:sz w:val="16"/>
                <w:szCs w:val="16"/>
                <w:b w:val="1"/>
                <w:bCs w:val="1"/>
                <w:color w:val="auto"/>
                <w:w w:val="94"/>
              </w:rPr>
              <w:t>Identification No.)</w:t>
            </w:r>
          </w:p>
        </w:tc>
      </w:tr>
      <w:tr>
        <w:trPr>
          <w:trHeight w:val="429"/>
        </w:trPr>
        <w:tc>
          <w:tcPr>
            <w:tcW w:w="7100" w:type="dxa"/>
            <w:vAlign w:val="bottom"/>
          </w:tcPr>
          <w:p>
            <w:pPr>
              <w:jc w:val="center"/>
              <w:ind w:right="2833"/>
              <w:spacing w:after="0"/>
              <w:rPr>
                <w:sz w:val="20"/>
                <w:szCs w:val="20"/>
                <w:color w:val="auto"/>
              </w:rPr>
            </w:pPr>
            <w:r>
              <w:rPr>
                <w:rFonts w:ascii="Arial" w:cs="Arial" w:eastAsia="Arial" w:hAnsi="Arial"/>
                <w:sz w:val="18"/>
                <w:szCs w:val="18"/>
                <w:b w:val="1"/>
                <w:bCs w:val="1"/>
                <w:color w:val="auto"/>
                <w:w w:val="93"/>
              </w:rPr>
              <w:t>860 N. McCarthy Blvd., Suite 200, Milpitas, California</w:t>
            </w:r>
          </w:p>
        </w:tc>
        <w:tc>
          <w:tcPr>
            <w:tcW w:w="1560" w:type="dxa"/>
            <w:vAlign w:val="bottom"/>
          </w:tcPr>
          <w:p>
            <w:pPr>
              <w:jc w:val="right"/>
              <w:ind w:right="312"/>
              <w:spacing w:after="0"/>
              <w:rPr>
                <w:sz w:val="20"/>
                <w:szCs w:val="20"/>
                <w:color w:val="auto"/>
              </w:rPr>
            </w:pPr>
            <w:r>
              <w:rPr>
                <w:rFonts w:ascii="Arial" w:cs="Arial" w:eastAsia="Arial" w:hAnsi="Arial"/>
                <w:sz w:val="20"/>
                <w:szCs w:val="20"/>
                <w:b w:val="1"/>
                <w:bCs w:val="1"/>
                <w:color w:val="auto"/>
              </w:rPr>
              <w:t>95035</w:t>
            </w:r>
          </w:p>
        </w:tc>
      </w:tr>
      <w:tr>
        <w:trPr>
          <w:trHeight w:val="247"/>
        </w:trPr>
        <w:tc>
          <w:tcPr>
            <w:tcW w:w="7100" w:type="dxa"/>
            <w:vAlign w:val="bottom"/>
          </w:tcPr>
          <w:p>
            <w:pPr>
              <w:jc w:val="center"/>
              <w:ind w:right="2813"/>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560" w:type="dxa"/>
            <w:vAlign w:val="bottom"/>
          </w:tcPr>
          <w:p>
            <w:pPr>
              <w:jc w:val="center"/>
              <w:ind w:left="192"/>
              <w:spacing w:after="0"/>
              <w:rPr>
                <w:sz w:val="20"/>
                <w:szCs w:val="20"/>
                <w:color w:val="auto"/>
              </w:rPr>
            </w:pPr>
            <w:r>
              <w:rPr>
                <w:rFonts w:ascii="Arial" w:cs="Arial" w:eastAsia="Arial" w:hAnsi="Arial"/>
                <w:sz w:val="16"/>
                <w:szCs w:val="16"/>
                <w:b w:val="1"/>
                <w:bCs w:val="1"/>
                <w:color w:val="auto"/>
                <w:w w:val="96"/>
              </w:rPr>
              <w:t>(Zip Code)</w:t>
            </w:r>
          </w:p>
        </w:tc>
      </w:tr>
      <w:tr>
        <w:trPr>
          <w:trHeight w:val="357"/>
        </w:trPr>
        <w:tc>
          <w:tcPr>
            <w:tcW w:w="7100" w:type="dxa"/>
            <w:vAlign w:val="bottom"/>
          </w:tcPr>
          <w:p>
            <w:pPr>
              <w:jc w:val="right"/>
              <w:ind w:right="1393"/>
              <w:spacing w:after="0"/>
              <w:rPr>
                <w:sz w:val="20"/>
                <w:szCs w:val="20"/>
                <w:color w:val="auto"/>
              </w:rPr>
            </w:pPr>
            <w:r>
              <w:rPr>
                <w:rFonts w:ascii="Arial" w:cs="Arial" w:eastAsia="Arial" w:hAnsi="Arial"/>
                <w:sz w:val="20"/>
                <w:szCs w:val="20"/>
                <w:b w:val="1"/>
                <w:bCs w:val="1"/>
                <w:color w:val="auto"/>
              </w:rPr>
              <w:t>(408) 941-7100</w:t>
            </w:r>
          </w:p>
        </w:tc>
        <w:tc>
          <w:tcPr>
            <w:tcW w:w="1560" w:type="dxa"/>
            <w:vAlign w:val="bottom"/>
          </w:tcPr>
          <w:p>
            <w:pPr>
              <w:spacing w:after="0"/>
              <w:rPr>
                <w:sz w:val="24"/>
                <w:szCs w:val="24"/>
                <w:color w:val="auto"/>
              </w:rPr>
            </w:pPr>
          </w:p>
        </w:tc>
      </w:tr>
      <w:tr>
        <w:trPr>
          <w:trHeight w:val="210"/>
        </w:trPr>
        <w:tc>
          <w:tcPr>
            <w:tcW w:w="7100" w:type="dxa"/>
            <w:vAlign w:val="bottom"/>
          </w:tcPr>
          <w:p>
            <w:pPr>
              <w:jc w:val="center"/>
              <w:ind w:left="2793"/>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560" w:type="dxa"/>
            <w:vAlign w:val="bottom"/>
          </w:tcPr>
          <w:p>
            <w:pPr>
              <w:spacing w:after="0"/>
              <w:rPr>
                <w:sz w:val="18"/>
                <w:szCs w:val="18"/>
                <w:color w:val="auto"/>
              </w:rPr>
            </w:pPr>
          </w:p>
        </w:tc>
      </w:tr>
    </w:tbl>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5200 Great America Parkway, Santa Clara, CA 95054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ind w:left="4760"/>
        <w:spacing w:after="0"/>
        <w:rPr>
          <w:sz w:val="20"/>
          <w:szCs w:val="20"/>
          <w:color w:val="auto"/>
        </w:rPr>
      </w:pPr>
      <w:r>
        <w:rPr>
          <w:rFonts w:ascii="Arial" w:cs="Arial" w:eastAsia="Arial" w:hAnsi="Arial"/>
          <w:sz w:val="14"/>
          <w:szCs w:val="14"/>
          <w:color w:val="auto"/>
        </w:rPr>
        <w:t>__________________________</w:t>
      </w:r>
    </w:p>
    <w:p>
      <w:pPr>
        <w:spacing w:after="0" w:line="74" w:lineRule="exact"/>
        <w:rPr>
          <w:sz w:val="24"/>
          <w:szCs w:val="24"/>
          <w:color w:val="auto"/>
        </w:rPr>
      </w:pPr>
    </w:p>
    <w:p>
      <w:pPr>
        <w:ind w:right="520"/>
        <w:spacing w:after="0" w:line="227"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102"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700" w:space="720"/>
            <w:col w:w="4260" w:space="720"/>
            <w:col w:w="2780" w:space="720"/>
            <w:col w:w="520"/>
          </w:cols>
          <w:pgMar w:left="240" w:top="110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5">
            <w:col w:w="1700" w:space="720"/>
            <w:col w:w="80" w:space="80"/>
            <w:col w:w="4100" w:space="720"/>
            <w:col w:w="2780" w:space="720"/>
            <w:col w:w="520"/>
          </w:cols>
          <w:pgMar w:left="240" w:top="1102" w:right="239" w:bottom="1440" w:gutter="0" w:footer="0" w:header="0"/>
          <w:type w:val="continuous"/>
        </w:sectPr>
      </w:pPr>
    </w:p>
    <w:p>
      <w:pPr>
        <w:spacing w:after="0" w:line="10" w:lineRule="exact"/>
        <w:rPr>
          <w:sz w:val="24"/>
          <w:szCs w:val="24"/>
          <w:color w:val="auto"/>
        </w:rPr>
      </w:pPr>
    </w:p>
    <w:p>
      <w:pPr>
        <w:ind w:right="2040"/>
        <w:spacing w:after="0" w:line="507"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The number of shares outstanding of the registrant’s Common Stock as of November 2, 2016 was 5,261,286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0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3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50"/>
        </w:trPr>
        <w:tc>
          <w:tcPr>
            <w:tcW w:w="1034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3">
              <w:r>
                <w:rPr>
                  <w:rFonts w:ascii="Arial" w:cs="Arial" w:eastAsia="Arial" w:hAnsi="Arial"/>
                  <w:sz w:val="18"/>
                  <w:szCs w:val="18"/>
                  <w:color w:val="auto"/>
                </w:rPr>
                <w:t>Item 1. Financial Statements</w:t>
              </w:r>
            </w:hyperlink>
          </w:p>
        </w:tc>
        <w:tc>
          <w:tcPr>
            <w:tcW w:w="6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w w:val="96"/>
              </w:rPr>
            </w:pPr>
            <w:hyperlink w:anchor="page3">
              <w:r>
                <w:rPr>
                  <w:rFonts w:ascii="Arial" w:cs="Arial" w:eastAsia="Arial" w:hAnsi="Arial"/>
                  <w:sz w:val="18"/>
                  <w:szCs w:val="18"/>
                  <w:color w:val="auto"/>
                  <w:w w:val="96"/>
                </w:rPr>
                <w:t>Condensed Consolidated Statements of Operations for the Quarter Ended September 30, 2016 and October 2, 2015 (Unaudited)</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43"/>
        </w:trPr>
        <w:tc>
          <w:tcPr>
            <w:tcW w:w="10340" w:type="dxa"/>
            <w:vAlign w:val="bottom"/>
          </w:tcPr>
          <w:p>
            <w:pPr>
              <w:ind w:left="380"/>
              <w:spacing w:after="0"/>
              <w:rPr>
                <w:rFonts w:ascii="Arial" w:cs="Arial" w:eastAsia="Arial" w:hAnsi="Arial"/>
                <w:sz w:val="18"/>
                <w:szCs w:val="18"/>
                <w:color w:val="auto"/>
                <w:w w:val="89"/>
              </w:rPr>
            </w:pPr>
            <w:hyperlink w:anchor="page4">
              <w:r>
                <w:rPr>
                  <w:rFonts w:ascii="Arial" w:cs="Arial" w:eastAsia="Arial" w:hAnsi="Arial"/>
                  <w:sz w:val="18"/>
                  <w:szCs w:val="18"/>
                  <w:color w:val="auto"/>
                  <w:w w:val="89"/>
                </w:rPr>
                <w:t>Condensed Consolidated Statements of Comprehensive Loss for the Quarter Ended September 30, 2016 and October 2, 2015 (Unaudited)</w:t>
              </w:r>
            </w:hyperlink>
          </w:p>
        </w:tc>
        <w:tc>
          <w:tcPr>
            <w:tcW w:w="6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Balance Sheets as of September 30, 2016 and July 1, 2016 (Unaudited)</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43"/>
        </w:trPr>
        <w:tc>
          <w:tcPr>
            <w:tcW w:w="10340" w:type="dxa"/>
            <w:vAlign w:val="bottom"/>
          </w:tcPr>
          <w:p>
            <w:pPr>
              <w:ind w:left="380"/>
              <w:spacing w:after="0"/>
              <w:rPr>
                <w:rFonts w:ascii="Arial" w:cs="Arial" w:eastAsia="Arial" w:hAnsi="Arial"/>
                <w:sz w:val="18"/>
                <w:szCs w:val="18"/>
                <w:color w:val="auto"/>
                <w:w w:val="96"/>
              </w:rPr>
            </w:pPr>
            <w:hyperlink w:anchor="page6">
              <w:r>
                <w:rPr>
                  <w:rFonts w:ascii="Arial" w:cs="Arial" w:eastAsia="Arial" w:hAnsi="Arial"/>
                  <w:sz w:val="18"/>
                  <w:szCs w:val="18"/>
                  <w:color w:val="auto"/>
                  <w:w w:val="96"/>
                </w:rPr>
                <w:t>Condensed Consolidated Statements of Cash Flows for the Quarter Ended September 30, 2016 and October 2, 2015 (Unaudited)</w:t>
              </w:r>
            </w:hyperlink>
          </w:p>
        </w:tc>
        <w:tc>
          <w:tcPr>
            <w:tcW w:w="6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7">
              <w:r>
                <w:rPr>
                  <w:rFonts w:ascii="Arial" w:cs="Arial" w:eastAsia="Arial" w:hAnsi="Arial"/>
                  <w:sz w:val="18"/>
                  <w:szCs w:val="18"/>
                  <w:color w:val="auto"/>
                </w:rPr>
                <w:t>Notes to Condensed Consolidated Financial Statements (Unaudited)</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19">
              <w:r>
                <w:rPr>
                  <w:rFonts w:ascii="Arial" w:cs="Arial" w:eastAsia="Arial" w:hAnsi="Arial"/>
                  <w:sz w:val="18"/>
                  <w:szCs w:val="18"/>
                  <w:color w:val="auto"/>
                </w:rPr>
                <w:t>Item 2. Management’s Discussion and Analysis of Financial Condition and Results of Operations</w:t>
              </w:r>
            </w:hyperlink>
          </w:p>
        </w:tc>
        <w:tc>
          <w:tcPr>
            <w:tcW w:w="64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19</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6">
              <w:r>
                <w:rPr>
                  <w:rFonts w:ascii="Arial" w:cs="Arial" w:eastAsia="Arial" w:hAnsi="Arial"/>
                  <w:sz w:val="18"/>
                  <w:szCs w:val="18"/>
                  <w:color w:val="auto"/>
                </w:rPr>
                <w:t>Item 3. Quantitative and Qualitative Disclosures About Market Risk</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27">
              <w:r>
                <w:rPr>
                  <w:rFonts w:ascii="Arial" w:cs="Arial" w:eastAsia="Arial" w:hAnsi="Arial"/>
                  <w:sz w:val="18"/>
                  <w:szCs w:val="18"/>
                  <w:color w:val="auto"/>
                </w:rPr>
                <w:t>Item 4. Controls and Procedures</w:t>
              </w:r>
            </w:hyperlink>
          </w:p>
        </w:tc>
        <w:tc>
          <w:tcPr>
            <w:tcW w:w="64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Part II. Other Information</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29">
              <w:r>
                <w:rPr>
                  <w:rFonts w:ascii="Arial" w:cs="Arial" w:eastAsia="Arial" w:hAnsi="Arial"/>
                  <w:sz w:val="18"/>
                  <w:szCs w:val="18"/>
                  <w:color w:val="auto"/>
                </w:rPr>
                <w:t>Item 1. Legal Proceedings</w:t>
              </w:r>
            </w:hyperlink>
          </w:p>
        </w:tc>
        <w:tc>
          <w:tcPr>
            <w:tcW w:w="6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9">
              <w:r>
                <w:rPr>
                  <w:rFonts w:ascii="Arial" w:cs="Arial" w:eastAsia="Arial" w:hAnsi="Arial"/>
                  <w:sz w:val="18"/>
                  <w:szCs w:val="18"/>
                  <w:color w:val="auto"/>
                </w:rPr>
                <w:t>Item 1A. Risk Factors</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29">
              <w:r>
                <w:rPr>
                  <w:rFonts w:ascii="Arial" w:cs="Arial" w:eastAsia="Arial" w:hAnsi="Arial"/>
                  <w:sz w:val="18"/>
                  <w:szCs w:val="18"/>
                  <w:color w:val="auto"/>
                </w:rPr>
                <w:t>Item 2. Unregistered Sales of Equity Securities and Use of Proceeds</w:t>
              </w:r>
            </w:hyperlink>
          </w:p>
        </w:tc>
        <w:tc>
          <w:tcPr>
            <w:tcW w:w="6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9">
              <w:r>
                <w:rPr>
                  <w:rFonts w:ascii="Arial" w:cs="Arial" w:eastAsia="Arial" w:hAnsi="Arial"/>
                  <w:sz w:val="18"/>
                  <w:szCs w:val="18"/>
                  <w:color w:val="auto"/>
                </w:rPr>
                <w:t>Item 3. Defaults upon Senior Securities</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29">
              <w:r>
                <w:rPr>
                  <w:rFonts w:ascii="Arial" w:cs="Arial" w:eastAsia="Arial" w:hAnsi="Arial"/>
                  <w:sz w:val="18"/>
                  <w:szCs w:val="18"/>
                  <w:color w:val="auto"/>
                </w:rPr>
                <w:t>Item 4. Mine Safety Disclosures</w:t>
              </w:r>
            </w:hyperlink>
          </w:p>
        </w:tc>
        <w:tc>
          <w:tcPr>
            <w:tcW w:w="6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9">
              <w:r>
                <w:rPr>
                  <w:rFonts w:ascii="Arial" w:cs="Arial" w:eastAsia="Arial" w:hAnsi="Arial"/>
                  <w:sz w:val="18"/>
                  <w:szCs w:val="18"/>
                  <w:color w:val="auto"/>
                </w:rPr>
                <w:t>Item 5. Other Information</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29">
              <w:r>
                <w:rPr>
                  <w:rFonts w:ascii="Arial" w:cs="Arial" w:eastAsia="Arial" w:hAnsi="Arial"/>
                  <w:sz w:val="18"/>
                  <w:szCs w:val="18"/>
                  <w:color w:val="auto"/>
                </w:rPr>
                <w:t>Item 6. Exhibits</w:t>
              </w:r>
            </w:hyperlink>
          </w:p>
        </w:tc>
        <w:tc>
          <w:tcPr>
            <w:tcW w:w="6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Signature</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43"/>
        </w:trPr>
        <w:tc>
          <w:tcPr>
            <w:tcW w:w="10340" w:type="dxa"/>
            <w:vAlign w:val="bottom"/>
          </w:tcPr>
          <w:p>
            <w:pPr>
              <w:ind w:left="40"/>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Exhibit Index</w:t>
              </w:r>
            </w:hyperlink>
          </w:p>
        </w:tc>
        <w:tc>
          <w:tcPr>
            <w:tcW w:w="64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486"/>
        </w:trPr>
        <w:tc>
          <w:tcPr>
            <w:tcW w:w="10340" w:type="dxa"/>
            <w:vAlign w:val="bottom"/>
          </w:tcPr>
          <w:p>
            <w:pPr>
              <w:ind w:left="544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4"/>
                <w:szCs w:val="24"/>
                <w:color w:val="auto"/>
              </w:rPr>
            </w:pPr>
          </w:p>
        </w:tc>
      </w:tr>
    </w:tbl>
    <w:p>
      <w:pPr>
        <w:sectPr>
          <w:pgSz w:w="11900" w:h="16838" w:orient="portrait"/>
          <w:cols w:equalWidth="0" w:num="1">
            <w:col w:w="10980"/>
          </w:cols>
          <w:pgMar w:left="460" w:top="580" w:right="4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640" w:type="dxa"/>
            <w:vAlign w:val="bottom"/>
          </w:tcPr>
          <w:p>
            <w:pPr>
              <w:ind w:left="2840"/>
              <w:spacing w:after="0"/>
              <w:rPr>
                <w:sz w:val="20"/>
                <w:szCs w:val="20"/>
                <w:color w:val="auto"/>
              </w:rPr>
            </w:pPr>
            <w:r>
              <w:rPr>
                <w:rFonts w:ascii="Arial" w:cs="Arial" w:eastAsia="Arial" w:hAnsi="Arial"/>
                <w:sz w:val="18"/>
                <w:szCs w:val="18"/>
                <w:b w:val="1"/>
                <w:bCs w:val="1"/>
                <w:color w:val="auto"/>
              </w:rPr>
              <w:t>PART I.</w:t>
            </w:r>
          </w:p>
        </w:tc>
        <w:tc>
          <w:tcPr>
            <w:tcW w:w="3840" w:type="dxa"/>
            <w:vAlign w:val="bottom"/>
            <w:gridSpan w:val="2"/>
          </w:tcPr>
          <w:p>
            <w:pPr>
              <w:jc w:val="right"/>
              <w:ind w:right="1400"/>
              <w:spacing w:after="0"/>
              <w:rPr>
                <w:sz w:val="20"/>
                <w:szCs w:val="20"/>
                <w:color w:val="auto"/>
              </w:rPr>
            </w:pPr>
            <w:r>
              <w:rPr>
                <w:rFonts w:ascii="Arial" w:cs="Arial" w:eastAsia="Arial" w:hAnsi="Arial"/>
                <w:sz w:val="18"/>
                <w:szCs w:val="18"/>
                <w:b w:val="1"/>
                <w:bCs w:val="1"/>
                <w:color w:val="auto"/>
              </w:rPr>
              <w:t>FINANCIAL INFORMATION</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12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60" w:type="dxa"/>
            <w:vAlign w:val="bottom"/>
          </w:tcPr>
          <w:p>
            <w:pPr>
              <w:spacing w:after="0"/>
              <w:rPr>
                <w:sz w:val="24"/>
                <w:szCs w:val="24"/>
                <w:color w:val="auto"/>
              </w:rPr>
            </w:pPr>
          </w:p>
        </w:tc>
        <w:tc>
          <w:tcPr>
            <w:tcW w:w="7480" w:type="dxa"/>
            <w:vAlign w:val="bottom"/>
            <w:gridSpan w:val="3"/>
          </w:tcPr>
          <w:p>
            <w:pPr>
              <w:jc w:val="center"/>
              <w:ind w:left="1350"/>
              <w:spacing w:after="0"/>
              <w:rPr>
                <w:sz w:val="20"/>
                <w:szCs w:val="20"/>
                <w:color w:val="auto"/>
              </w:rPr>
            </w:pPr>
            <w:r>
              <w:rPr>
                <w:rFonts w:ascii="Arial" w:cs="Arial" w:eastAsia="Arial" w:hAnsi="Arial"/>
                <w:sz w:val="18"/>
                <w:szCs w:val="18"/>
                <w:b w:val="1"/>
                <w:bCs w:val="1"/>
                <w:color w:val="auto"/>
              </w:rPr>
              <w:t>AVIAT NETWORKS, INC.</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480" w:type="dxa"/>
            <w:vAlign w:val="bottom"/>
            <w:gridSpan w:val="3"/>
          </w:tcPr>
          <w:p>
            <w:pPr>
              <w:jc w:val="center"/>
              <w:ind w:left="133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840" w:type="dxa"/>
            <w:vAlign w:val="bottom"/>
            <w:gridSpan w:val="2"/>
          </w:tcPr>
          <w:p>
            <w:pPr>
              <w:jc w:val="center"/>
              <w:ind w:right="2220"/>
              <w:spacing w:after="0"/>
              <w:rPr>
                <w:sz w:val="20"/>
                <w:szCs w:val="20"/>
                <w:color w:val="auto"/>
              </w:rPr>
            </w:pPr>
            <w:r>
              <w:rPr>
                <w:rFonts w:ascii="Arial" w:cs="Arial" w:eastAsia="Arial" w:hAnsi="Arial"/>
                <w:sz w:val="18"/>
                <w:szCs w:val="18"/>
                <w:b w:val="1"/>
                <w:bCs w:val="1"/>
                <w:color w:val="auto"/>
                <w:w w:val="93"/>
              </w:rPr>
              <w:t>(Unaudited)</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12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4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40" w:type="dxa"/>
            <w:vAlign w:val="bottom"/>
          </w:tcPr>
          <w:p>
            <w:pPr>
              <w:jc w:val="right"/>
              <w:ind w:right="291"/>
              <w:spacing w:after="0" w:line="15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2"/>
        </w:trPr>
        <w:tc>
          <w:tcPr>
            <w:tcW w:w="4900" w:type="dxa"/>
            <w:vAlign w:val="bottom"/>
            <w:tcBorders>
              <w:bottom w:val="single" w:sz="8" w:color="CCEEFF"/>
            </w:tcBorders>
            <w:gridSpan w:val="2"/>
            <w:vMerge w:val="continue"/>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4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40"/>
              <w:spacing w:after="0"/>
              <w:rPr>
                <w:sz w:val="20"/>
                <w:szCs w:val="20"/>
                <w:color w:val="auto"/>
              </w:rPr>
            </w:pPr>
            <w:r>
              <w:rPr>
                <w:rFonts w:ascii="Arial" w:cs="Arial" w:eastAsia="Arial" w:hAnsi="Arial"/>
                <w:sz w:val="18"/>
                <w:szCs w:val="18"/>
                <w:color w:val="auto"/>
              </w:rPr>
              <w:t>Revenue from product sales</w:t>
            </w:r>
          </w:p>
        </w:tc>
        <w:tc>
          <w:tcPr>
            <w:tcW w:w="3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34,724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53,686</w:t>
            </w:r>
          </w:p>
        </w:tc>
        <w:tc>
          <w:tcPr>
            <w:tcW w:w="0" w:type="dxa"/>
            <w:vAlign w:val="bottom"/>
          </w:tcPr>
          <w:p>
            <w:pPr>
              <w:spacing w:after="0"/>
              <w:rPr>
                <w:sz w:val="1"/>
                <w:szCs w:val="1"/>
                <w:color w:val="auto"/>
              </w:rPr>
            </w:pPr>
          </w:p>
        </w:tc>
      </w:tr>
      <w:tr>
        <w:trPr>
          <w:trHeight w:val="27"/>
        </w:trPr>
        <w:tc>
          <w:tcPr>
            <w:tcW w:w="4900" w:type="dxa"/>
            <w:vAlign w:val="bottom"/>
            <w:gridSpan w:val="2"/>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6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25,869</w:t>
            </w:r>
          </w:p>
        </w:tc>
        <w:tc>
          <w:tcPr>
            <w:tcW w:w="0" w:type="dxa"/>
            <w:vAlign w:val="bottom"/>
          </w:tcPr>
          <w:p>
            <w:pPr>
              <w:spacing w:after="0"/>
              <w:rPr>
                <w:sz w:val="1"/>
                <w:szCs w:val="1"/>
                <w:color w:val="auto"/>
              </w:rPr>
            </w:pPr>
          </w:p>
        </w:tc>
      </w:tr>
      <w:tr>
        <w:trPr>
          <w:trHeight w:val="237"/>
        </w:trPr>
        <w:tc>
          <w:tcPr>
            <w:tcW w:w="4900" w:type="dxa"/>
            <w:vAlign w:val="bottom"/>
            <w:gridSpan w:val="2"/>
          </w:tcPr>
          <w:p>
            <w:pPr>
              <w:ind w:left="380"/>
              <w:spacing w:after="0"/>
              <w:rPr>
                <w:sz w:val="20"/>
                <w:szCs w:val="20"/>
                <w:color w:val="auto"/>
              </w:rPr>
            </w:pPr>
            <w:r>
              <w:rPr>
                <w:rFonts w:ascii="Arial" w:cs="Arial" w:eastAsia="Arial" w:hAnsi="Arial"/>
                <w:sz w:val="18"/>
                <w:szCs w:val="18"/>
                <w:color w:val="auto"/>
              </w:rPr>
              <w:t>Total revenues</w:t>
            </w:r>
          </w:p>
        </w:tc>
        <w:tc>
          <w:tcPr>
            <w:tcW w:w="36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58,207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79,555</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gridSpan w:val="2"/>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revenues:</w:t>
            </w:r>
          </w:p>
        </w:tc>
        <w:tc>
          <w:tcPr>
            <w:tcW w:w="3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40"/>
              <w:spacing w:after="0"/>
              <w:rPr>
                <w:sz w:val="20"/>
                <w:szCs w:val="20"/>
                <w:color w:val="auto"/>
              </w:rPr>
            </w:pPr>
            <w:r>
              <w:rPr>
                <w:rFonts w:ascii="Arial" w:cs="Arial" w:eastAsia="Arial" w:hAnsi="Arial"/>
                <w:sz w:val="18"/>
                <w:szCs w:val="18"/>
                <w:color w:val="auto"/>
              </w:rPr>
              <w:t>Cost of product sales</w:t>
            </w:r>
          </w:p>
        </w:tc>
        <w:tc>
          <w:tcPr>
            <w:tcW w:w="3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24,860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37,178</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Cost of services</w:t>
            </w:r>
          </w:p>
        </w:tc>
        <w:tc>
          <w:tcPr>
            <w:tcW w:w="3640" w:type="dxa"/>
            <w:vAlign w:val="bottom"/>
            <w:tcBorders>
              <w:bottom w:val="single" w:sz="8" w:color="CCEEFF"/>
            </w:tcBorders>
            <w:shd w:val="clear" w:color="auto" w:fill="CCEEFF"/>
          </w:tcPr>
          <w:p>
            <w:pPr>
              <w:spacing w:after="0"/>
              <w:rPr>
                <w:sz w:val="23"/>
                <w:szCs w:val="23"/>
                <w:color w:val="auto"/>
              </w:rPr>
            </w:pPr>
          </w:p>
        </w:tc>
        <w:tc>
          <w:tcPr>
            <w:tcW w:w="36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15,982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21,366</w:t>
            </w:r>
          </w:p>
        </w:tc>
        <w:tc>
          <w:tcPr>
            <w:tcW w:w="0" w:type="dxa"/>
            <w:vAlign w:val="bottom"/>
          </w:tcPr>
          <w:p>
            <w:pPr>
              <w:spacing w:after="0"/>
              <w:rPr>
                <w:sz w:val="1"/>
                <w:szCs w:val="1"/>
                <w:color w:val="auto"/>
              </w:rPr>
            </w:pPr>
          </w:p>
        </w:tc>
      </w:tr>
      <w:tr>
        <w:trPr>
          <w:trHeight w:val="237"/>
        </w:trPr>
        <w:tc>
          <w:tcPr>
            <w:tcW w:w="4900" w:type="dxa"/>
            <w:vAlign w:val="bottom"/>
            <w:gridSpan w:val="2"/>
          </w:tcPr>
          <w:p>
            <w:pPr>
              <w:ind w:left="380"/>
              <w:spacing w:after="0"/>
              <w:rPr>
                <w:sz w:val="20"/>
                <w:szCs w:val="20"/>
                <w:color w:val="auto"/>
              </w:rPr>
            </w:pPr>
            <w:r>
              <w:rPr>
                <w:rFonts w:ascii="Arial" w:cs="Arial" w:eastAsia="Arial" w:hAnsi="Arial"/>
                <w:sz w:val="18"/>
                <w:szCs w:val="18"/>
                <w:color w:val="auto"/>
              </w:rPr>
              <w:t>Total cost of revenues</w:t>
            </w:r>
          </w:p>
        </w:tc>
        <w:tc>
          <w:tcPr>
            <w:tcW w:w="36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40,842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58,544</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margin</w:t>
            </w:r>
          </w:p>
        </w:tc>
        <w:tc>
          <w:tcPr>
            <w:tcW w:w="3640" w:type="dxa"/>
            <w:vAlign w:val="bottom"/>
            <w:tcBorders>
              <w:bottom w:val="single" w:sz="8" w:color="CCEEFF"/>
            </w:tcBorders>
            <w:shd w:val="clear" w:color="auto" w:fill="CCEEFF"/>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21,011</w:t>
            </w:r>
          </w:p>
        </w:tc>
        <w:tc>
          <w:tcPr>
            <w:tcW w:w="0" w:type="dxa"/>
            <w:vAlign w:val="bottom"/>
          </w:tcPr>
          <w:p>
            <w:pPr>
              <w:spacing w:after="0"/>
              <w:rPr>
                <w:sz w:val="1"/>
                <w:szCs w:val="1"/>
                <w:color w:val="auto"/>
              </w:rPr>
            </w:pPr>
          </w:p>
        </w:tc>
      </w:tr>
      <w:tr>
        <w:trPr>
          <w:trHeight w:val="237"/>
        </w:trPr>
        <w:tc>
          <w:tcPr>
            <w:tcW w:w="49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gridSpan w:val="2"/>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3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5,476</w:t>
            </w:r>
          </w:p>
        </w:tc>
        <w:tc>
          <w:tcPr>
            <w:tcW w:w="0" w:type="dxa"/>
            <w:vAlign w:val="bottom"/>
          </w:tcPr>
          <w:p>
            <w:pPr>
              <w:spacing w:after="0"/>
              <w:rPr>
                <w:sz w:val="1"/>
                <w:szCs w:val="1"/>
                <w:color w:val="auto"/>
              </w:rPr>
            </w:pPr>
          </w:p>
        </w:tc>
      </w:tr>
      <w:tr>
        <w:trPr>
          <w:trHeight w:val="243"/>
        </w:trPr>
        <w:tc>
          <w:tcPr>
            <w:tcW w:w="4900" w:type="dxa"/>
            <w:vAlign w:val="bottom"/>
            <w:gridSpan w:val="2"/>
          </w:tcPr>
          <w:p>
            <w:pPr>
              <w:ind w:left="40"/>
              <w:spacing w:after="0"/>
              <w:rPr>
                <w:sz w:val="20"/>
                <w:szCs w:val="20"/>
                <w:color w:val="auto"/>
              </w:rPr>
            </w:pPr>
            <w:r>
              <w:rPr>
                <w:rFonts w:ascii="Arial" w:cs="Arial" w:eastAsia="Arial" w:hAnsi="Arial"/>
                <w:sz w:val="18"/>
                <w:szCs w:val="18"/>
                <w:color w:val="auto"/>
              </w:rPr>
              <w:t>Selling and administrative expenses</w:t>
            </w:r>
          </w:p>
        </w:tc>
        <w:tc>
          <w:tcPr>
            <w:tcW w:w="3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15,187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17,112</w:t>
            </w:r>
          </w:p>
        </w:tc>
        <w:tc>
          <w:tcPr>
            <w:tcW w:w="0" w:type="dxa"/>
            <w:vAlign w:val="bottom"/>
          </w:tcPr>
          <w:p>
            <w:pPr>
              <w:spacing w:after="0"/>
              <w:rPr>
                <w:sz w:val="1"/>
                <w:szCs w:val="1"/>
                <w:color w:val="auto"/>
              </w:rPr>
            </w:pPr>
          </w:p>
        </w:tc>
      </w:tr>
      <w:tr>
        <w:trPr>
          <w:trHeight w:val="27"/>
        </w:trPr>
        <w:tc>
          <w:tcPr>
            <w:tcW w:w="4900" w:type="dxa"/>
            <w:vAlign w:val="bottom"/>
            <w:gridSpan w:val="2"/>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36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9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6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20,290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22,609</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Operating loss</w:t>
            </w:r>
          </w:p>
        </w:tc>
        <w:tc>
          <w:tcPr>
            <w:tcW w:w="364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w w:val="97"/>
              </w:rPr>
              <w:t>Interest income</w:t>
            </w:r>
          </w:p>
        </w:tc>
        <w:tc>
          <w:tcPr>
            <w:tcW w:w="36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Interest expense</w:t>
            </w:r>
          </w:p>
        </w:tc>
        <w:tc>
          <w:tcPr>
            <w:tcW w:w="364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36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gridSpan w:val="2"/>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3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43"/>
        </w:trPr>
        <w:tc>
          <w:tcPr>
            <w:tcW w:w="4900" w:type="dxa"/>
            <w:vAlign w:val="bottom"/>
            <w:gridSpan w:val="2"/>
          </w:tcPr>
          <w:p>
            <w:pPr>
              <w:ind w:left="40"/>
              <w:spacing w:after="0"/>
              <w:rPr>
                <w:sz w:val="20"/>
                <w:szCs w:val="20"/>
                <w:color w:val="auto"/>
              </w:rPr>
            </w:pPr>
            <w:r>
              <w:rPr>
                <w:rFonts w:ascii="Arial" w:cs="Arial" w:eastAsia="Arial" w:hAnsi="Arial"/>
                <w:sz w:val="18"/>
                <w:szCs w:val="18"/>
                <w:color w:val="auto"/>
              </w:rPr>
              <w:t>Benefit from income taxes</w:t>
            </w:r>
          </w:p>
        </w:tc>
        <w:tc>
          <w:tcPr>
            <w:tcW w:w="3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gridSpan w:val="2"/>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3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43"/>
        </w:trPr>
        <w:tc>
          <w:tcPr>
            <w:tcW w:w="4900" w:type="dxa"/>
            <w:vAlign w:val="bottom"/>
            <w:gridSpan w:val="2"/>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3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64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43"/>
        </w:trPr>
        <w:tc>
          <w:tcPr>
            <w:tcW w:w="4900" w:type="dxa"/>
            <w:vAlign w:val="bottom"/>
            <w:gridSpan w:val="2"/>
          </w:tcPr>
          <w:p>
            <w:pPr>
              <w:ind w:left="40"/>
              <w:spacing w:after="0"/>
              <w:rPr>
                <w:sz w:val="20"/>
                <w:szCs w:val="20"/>
                <w:color w:val="auto"/>
              </w:rPr>
            </w:pPr>
            <w:r>
              <w:rPr>
                <w:rFonts w:ascii="Arial" w:cs="Arial" w:eastAsia="Arial" w:hAnsi="Arial"/>
                <w:sz w:val="18"/>
                <w:szCs w:val="18"/>
                <w:color w:val="auto"/>
                <w:w w:val="91"/>
              </w:rPr>
              <w:t>Less: Net income attributable to noncontrolling interests, net of tax</w:t>
            </w:r>
          </w:p>
        </w:tc>
        <w:tc>
          <w:tcPr>
            <w:tcW w:w="3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gridSpan w:val="2"/>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Aviat Networks</w:t>
            </w:r>
          </w:p>
        </w:tc>
        <w:tc>
          <w:tcPr>
            <w:tcW w:w="3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gridSpan w:val="2"/>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Amount attributable to Aviat Networks:</w:t>
            </w:r>
          </w:p>
        </w:tc>
        <w:tc>
          <w:tcPr>
            <w:tcW w:w="3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200"/>
              <w:spacing w:after="0"/>
              <w:rPr>
                <w:sz w:val="20"/>
                <w:szCs w:val="20"/>
                <w:color w:val="auto"/>
              </w:rPr>
            </w:pPr>
            <w:r>
              <w:rPr>
                <w:rFonts w:ascii="Arial" w:cs="Arial" w:eastAsia="Arial" w:hAnsi="Arial"/>
                <w:sz w:val="18"/>
                <w:szCs w:val="18"/>
                <w:color w:val="auto"/>
              </w:rPr>
              <w:t>Net loss from continuing operations, net of tax</w:t>
            </w:r>
          </w:p>
        </w:tc>
        <w:tc>
          <w:tcPr>
            <w:tcW w:w="3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7"/>
        </w:trPr>
        <w:tc>
          <w:tcPr>
            <w:tcW w:w="4900" w:type="dxa"/>
            <w:vAlign w:val="bottom"/>
            <w:gridSpan w:val="2"/>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income from discontinued operations, net of tax</w:t>
            </w:r>
          </w:p>
        </w:tc>
        <w:tc>
          <w:tcPr>
            <w:tcW w:w="3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176"/>
        </w:trPr>
        <w:tc>
          <w:tcPr>
            <w:tcW w:w="8580" w:type="dxa"/>
            <w:vAlign w:val="bottom"/>
            <w:gridSpan w:val="3"/>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loss per share attributable to Aviat Networks’ common stockholders:</w:t>
            </w: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200"/>
              <w:spacing w:after="0"/>
              <w:rPr>
                <w:sz w:val="20"/>
                <w:szCs w:val="20"/>
                <w:color w:val="auto"/>
              </w:rPr>
            </w:pPr>
            <w:r>
              <w:rPr>
                <w:rFonts w:ascii="Arial" w:cs="Arial" w:eastAsia="Arial" w:hAnsi="Arial"/>
                <w:sz w:val="18"/>
                <w:szCs w:val="18"/>
                <w:color w:val="auto"/>
              </w:rPr>
              <w:t>Continuing operations</w:t>
            </w:r>
          </w:p>
        </w:tc>
        <w:tc>
          <w:tcPr>
            <w:tcW w:w="3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4900" w:type="dxa"/>
            <w:vAlign w:val="bottom"/>
            <w:gridSpan w:val="2"/>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3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12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640" w:type="dxa"/>
            <w:vAlign w:val="bottom"/>
          </w:tcPr>
          <w:p>
            <w:pPr>
              <w:spacing w:after="0"/>
              <w:rPr>
                <w:sz w:val="21"/>
                <w:szCs w:val="21"/>
                <w:color w:val="auto"/>
              </w:rPr>
            </w:pPr>
          </w:p>
        </w:tc>
        <w:tc>
          <w:tcPr>
            <w:tcW w:w="3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7"/>
        </w:trPr>
        <w:tc>
          <w:tcPr>
            <w:tcW w:w="4900" w:type="dxa"/>
            <w:vAlign w:val="bottom"/>
            <w:gridSpan w:val="2"/>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basic and diluted</w:t>
            </w:r>
          </w:p>
        </w:tc>
        <w:tc>
          <w:tcPr>
            <w:tcW w:w="3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5,295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7"/>
        </w:trPr>
        <w:tc>
          <w:tcPr>
            <w:tcW w:w="126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90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90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loss on hedging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change in cumulative translation adjustments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Comprehensive loss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Comprehensive loss attributable to Aviat Networks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080" w:type="dxa"/>
            <w:vAlign w:val="bottom"/>
          </w:tcPr>
          <w:p>
            <w:pPr>
              <w:jc w:val="right"/>
              <w:ind w:right="411"/>
              <w:spacing w:after="0"/>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30,479</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63,449</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Unbilled costs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7,653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27,293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Customer service inventories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10,790</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127,581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140,414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18,162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6,068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including restricted cash</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long-term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25,245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25,697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152,826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166,111</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Short-term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33,217</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22,668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23,205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income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Restructuring liabilities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99,947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Unearned income</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7,729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Reserve for uncertain tax positions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99,879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112,654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paid-in-capital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812,062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811,601</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(748,010)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(747,381)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Aviat Networks stockholders’ equity</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52,578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53,116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52,947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53,457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152,826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166,111</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40" w:type="dxa"/>
            <w:vAlign w:val="bottom"/>
          </w:tcPr>
          <w:p>
            <w:pPr>
              <w:jc w:val="right"/>
              <w:ind w:right="291"/>
              <w:spacing w:after="0" w:line="15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plant and equipment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uncollectible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Charges for inventory and customer service inventory write-downs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disposition of 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Unbilled costs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Customer service inventories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income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Income taxes payable or receivable</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 and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3,837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Payments for acquisition of property, plant and equipment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borrowings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Repayments of borrowings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34,735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31,750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by us in accordance with generally accepted accounting principles in the United States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quarter ended September 30, 2016 (the “first quarter of fiscal 2017”)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July 1, 2016.</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condensed consolidated financial statements include the accounts of the Company and its wholly-owned and majority-owned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intercompany transactions and accounts have been eliminated.</w:t>
      </w:r>
    </w:p>
    <w:p>
      <w:pPr>
        <w:spacing w:after="0" w:line="157"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We operate on a 52-week or 53-week year ending on the Friday nearest June 30. The first quarter of fiscal 2017 and the first quarter of fiscal 2016 included 13 weeks in each quarter.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The preparation of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restructuring obligations, product warranty obligations, share-based awards, contingencies, recoverability of long-lived assets and useful lives of property, plant and equipment.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color w:val="auto"/>
        </w:rPr>
        <w:t>In June 2016, we effected a reverse stock split of all of the outstanding shares of our common stock at a ratio of 1-for-12 (“Reverse Stock Split”). The authorized shares of 300 million and par value per share of the common stock at $0.01 per share remain unchanged after the reverse stock split. All share and per-share data in our unaudited condensed consolidated financial statements and applicable disclosures have been retroactively adjusted to reflect this reverse stock split.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8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There have been no material changes in our significant accounting policies as of and for the first quarter of fiscal 2017, as compared to the significant accounting policies described in our Annual Report on Form 10-K for the fiscal year ended July 1,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7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 xml:space="preserve">In April 2015, the Financial Accounting Standards Board (“FASB”) issued Accounting Standards Update (“ASU”) No. 2015-03, Interest - Imputation of Interest (Subtopic 835-30),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xml:space="preserve">. To simplify the presentation of debt issuance costs, the standard requires that debt issuance costs related to a recognized debt liability be presented in the balance sheet as a direct deduction from the carrying amount of that debt liability, consistent with debt discounts. The standard is effective for us beginning in our fiscal year 2017. In August 2015, the FASB issued ASU No. 2015-15, </w:t>
      </w:r>
      <w:r>
        <w:rPr>
          <w:rFonts w:ascii="Arial" w:cs="Arial" w:eastAsia="Arial" w:hAnsi="Arial"/>
          <w:sz w:val="17"/>
          <w:szCs w:val="17"/>
          <w:i w:val="1"/>
          <w:iCs w:val="1"/>
          <w:color w:val="auto"/>
        </w:rPr>
        <w:t>Presentation and Subsequent Measurement of Debt Issuance Costs Associated with Line-of-Credit Arrangements</w:t>
      </w:r>
      <w:r>
        <w:rPr>
          <w:rFonts w:ascii="Arial" w:cs="Arial" w:eastAsia="Arial" w:hAnsi="Arial"/>
          <w:sz w:val="17"/>
          <w:szCs w:val="17"/>
          <w:color w:val="auto"/>
        </w:rPr>
        <w:t>. This ASU includes an SEC staff announcement that the SEC staff would not object to an entity deferring and presenting the costs of securing a revolving line of credit as an asset, and amortizing the costs over the term of the line-of-credit arrangement, regardless of there are any outstanding borrowings on the line-of-credit arrangement. The subject of this ASU was not previously addressed by ASU No. 2015-03. We have adopted both accounting guidance during the first quarter of fiscal 2017 and applied its provisions retrospectively. The adoption of this standard had no material impact on our condensed consolidated financial statements and related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71" w:lineRule="exact"/>
        <w:rPr>
          <w:sz w:val="20"/>
          <w:szCs w:val="20"/>
          <w:color w:val="auto"/>
        </w:rPr>
      </w:pPr>
    </w:p>
    <w:p>
      <w:pPr>
        <w:ind w:right="120" w:firstLine="486"/>
        <w:spacing w:after="0" w:line="276" w:lineRule="auto"/>
        <w:rPr>
          <w:sz w:val="20"/>
          <w:szCs w:val="20"/>
          <w:color w:val="auto"/>
        </w:rPr>
      </w:pPr>
      <w:r>
        <w:rPr>
          <w:rFonts w:ascii="Arial" w:cs="Arial" w:eastAsia="Arial" w:hAnsi="Arial"/>
          <w:sz w:val="17"/>
          <w:szCs w:val="17"/>
          <w:color w:val="auto"/>
        </w:rPr>
        <w:t xml:space="preserve">In October 2016, the FASB issued ASU 2016-16 (Topic 740), </w:t>
      </w:r>
      <w:r>
        <w:rPr>
          <w:rFonts w:ascii="Arial" w:cs="Arial" w:eastAsia="Arial" w:hAnsi="Arial"/>
          <w:sz w:val="17"/>
          <w:szCs w:val="17"/>
          <w:i w:val="1"/>
          <w:iCs w:val="1"/>
          <w:color w:val="auto"/>
        </w:rPr>
        <w:t>Accounting for Income Taxes: Intra-Entity Asset Transfers of Assets Other than</w:t>
      </w:r>
      <w:r>
        <w:rPr>
          <w:rFonts w:ascii="Arial" w:cs="Arial" w:eastAsia="Arial" w:hAnsi="Arial"/>
          <w:sz w:val="17"/>
          <w:szCs w:val="17"/>
          <w:color w:val="auto"/>
        </w:rPr>
        <w:t xml:space="preserve"> </w:t>
      </w:r>
      <w:r>
        <w:rPr>
          <w:rFonts w:ascii="Arial" w:cs="Arial" w:eastAsia="Arial" w:hAnsi="Arial"/>
          <w:sz w:val="17"/>
          <w:szCs w:val="17"/>
          <w:i w:val="1"/>
          <w:iCs w:val="1"/>
          <w:color w:val="auto"/>
        </w:rPr>
        <w:t>Inventory</w:t>
      </w:r>
      <w:r>
        <w:rPr>
          <w:rFonts w:ascii="Arial" w:cs="Arial" w:eastAsia="Arial" w:hAnsi="Arial"/>
          <w:sz w:val="17"/>
          <w:szCs w:val="17"/>
          <w:color w:val="auto"/>
        </w:rPr>
        <w:t>, which requires that an entity recognizes the tax expense from the sale of intra-entity sales of assets, other than inventory, in the seller’s tax</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 when the transfer occurs, even though the pre-tax effects of that transaction are eliminate in consolidation. The guidance will be effective for our fiscal year 2019. Early adoption is permitted. The ASU must be adopted using a modified retrospective method. We are evaluating the effect the adoption of the standard will have on our condensed financial statements and related disclosures.</w:t>
      </w:r>
    </w:p>
    <w:p>
      <w:pPr>
        <w:spacing w:after="0" w:line="11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 xml:space="preserve">In August 2016, the FASB issued ASU No. 2016-15 (Topic 230) </w:t>
      </w:r>
      <w:r>
        <w:rPr>
          <w:rFonts w:ascii="Arial" w:cs="Arial" w:eastAsia="Arial" w:hAnsi="Arial"/>
          <w:sz w:val="17"/>
          <w:szCs w:val="17"/>
          <w:i w:val="1"/>
          <w:iCs w:val="1"/>
          <w:color w:val="auto"/>
        </w:rPr>
        <w:t>Statement of Cash Flows, Clarification of Certain Cash Receipts and Cash Payments</w:t>
      </w:r>
      <w:r>
        <w:rPr>
          <w:rFonts w:ascii="Arial" w:cs="Arial" w:eastAsia="Arial" w:hAnsi="Arial"/>
          <w:sz w:val="17"/>
          <w:szCs w:val="17"/>
          <w:color w:val="auto"/>
        </w:rPr>
        <w:t>, which provides guidance on the presentation and classification of eight specific cash flow issues. Those issues are cash payment for debt prepayment or debt extinguishment costs; settlement of zero-coupon debt instrument or other debt instrument with coupon interest rates that are insignificant in relation to the effective interest rate of the borrowing; contingent consideration payments made after a business combination; cash received from settlement of corporate-owned life insurance policies; distribution received from equity method investees; beneficial interest in securitization transactions; and classification of cash receipts and payments that have aspect of more than one class of cash flows. The guidance is effective for annual periods and interim periods within those annual periods beginning after December 15, 2017 with early adoption permitted. We are evaluating the effect of the adoption of the standard will have on our condensed consolidated financial statements and related disclosures.</w:t>
      </w:r>
    </w:p>
    <w:p>
      <w:pPr>
        <w:spacing w:after="0" w:line="125" w:lineRule="exact"/>
        <w:rPr>
          <w:sz w:val="20"/>
          <w:szCs w:val="20"/>
          <w:color w:val="auto"/>
        </w:rPr>
      </w:pPr>
    </w:p>
    <w:p>
      <w:pPr>
        <w:ind w:right="100" w:firstLine="486"/>
        <w:spacing w:after="0" w:line="286" w:lineRule="auto"/>
        <w:rPr>
          <w:sz w:val="20"/>
          <w:szCs w:val="20"/>
          <w:color w:val="auto"/>
        </w:rPr>
      </w:pPr>
      <w:r>
        <w:rPr>
          <w:rFonts w:ascii="Arial" w:cs="Arial" w:eastAsia="Arial" w:hAnsi="Arial"/>
          <w:sz w:val="16"/>
          <w:szCs w:val="16"/>
          <w:color w:val="auto"/>
        </w:rPr>
        <w:t xml:space="preserve">In May 2014, the FASB issued ASU No. 2014-09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will supersede nearly all existing revenue recognition guidance under GAAP. Under the new standard, recognition of revenue occurs when a customer obtains control of promised goods or services in an amount that reflects the consideration to which the entity expects to be entitled in exchange for those goods or services. Additional disclosures regarding the nature, amount, timing, and uncertainty of revenue and cash flows arising from contracts with customers, and assets recognized from costs incurred to obtain or fulfill a contract will also be required. The FASB subsequently issued an update to this standard in August 2015, ASU 2015-14 (ASC Topic 606) </w:t>
      </w:r>
      <w:r>
        <w:rPr>
          <w:rFonts w:ascii="Arial" w:cs="Arial" w:eastAsia="Arial" w:hAnsi="Arial"/>
          <w:sz w:val="16"/>
          <w:szCs w:val="16"/>
          <w:i w:val="1"/>
          <w:iCs w:val="1"/>
          <w:color w:val="auto"/>
        </w:rPr>
        <w:t>Revenue from Contracts with Customers, Deferral of the Effective Date</w:t>
      </w:r>
      <w:r>
        <w:rPr>
          <w:rFonts w:ascii="Arial" w:cs="Arial" w:eastAsia="Arial" w:hAnsi="Arial"/>
          <w:sz w:val="16"/>
          <w:szCs w:val="16"/>
          <w:color w:val="auto"/>
        </w:rPr>
        <w:t xml:space="preserve">, which provides deferral of the effective date by one year. The standard will be effective for us beginning in our fiscal 2019 and allows for either full retrospective or modified retrospective adoption. Early adoption is permitted only as of annual reporting periods beginning after December 15, 2016 and including interim reporting periods within such reporting period. The FASB has since issued additional updates of its new standard on revenue recognition issued in May 2014. In March 2016, an amendment was issued to clarify the implementation guidance on principal versus agent consideration. ASU 2016-08 (ASC Topic 606) </w:t>
      </w:r>
      <w:r>
        <w:rPr>
          <w:rFonts w:ascii="Arial" w:cs="Arial" w:eastAsia="Arial" w:hAnsi="Arial"/>
          <w:sz w:val="16"/>
          <w:szCs w:val="16"/>
          <w:i w:val="1"/>
          <w:iCs w:val="1"/>
          <w:color w:val="auto"/>
        </w:rPr>
        <w:t>Revenue from Contracts with Customers: Principal versus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Agent Considerations (Reporting Revenue Gross versus Net) </w:t>
      </w:r>
      <w:r>
        <w:rPr>
          <w:rFonts w:ascii="Arial" w:cs="Arial" w:eastAsia="Arial" w:hAnsi="Arial"/>
          <w:sz w:val="16"/>
          <w:szCs w:val="16"/>
          <w:color w:val="auto"/>
        </w:rPr>
        <w:t>requires entities to determine whether the nature of its promise to provide goods or services to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customer is performed in a principal or agent capacity and to recognize revenue in a gross or net manner based on its principal/agent designation. In April 2016, ASU 2016-10 (ASC Topic 606) </w:t>
      </w:r>
      <w:r>
        <w:rPr>
          <w:rFonts w:ascii="Arial" w:cs="Arial" w:eastAsia="Arial" w:hAnsi="Arial"/>
          <w:sz w:val="16"/>
          <w:szCs w:val="16"/>
          <w:i w:val="1"/>
          <w:iCs w:val="1"/>
          <w:color w:val="auto"/>
        </w:rPr>
        <w:t>Revenue from Contracts with Customers, Identifying Performance Obligations and Licensing</w:t>
      </w:r>
      <w:r>
        <w:rPr>
          <w:rFonts w:ascii="Arial" w:cs="Arial" w:eastAsia="Arial" w:hAnsi="Arial"/>
          <w:sz w:val="16"/>
          <w:szCs w:val="16"/>
          <w:color w:val="auto"/>
        </w:rPr>
        <w:t xml:space="preserve"> was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issued to clarify the identification of performance obligations and the licensing implementation guidance in the initial standard. ASU 2016-12 (ASC Topic</w:t>
      </w:r>
    </w:p>
    <w:p>
      <w:pPr>
        <w:spacing w:after="0" w:line="35" w:lineRule="exact"/>
        <w:rPr>
          <w:sz w:val="20"/>
          <w:szCs w:val="20"/>
          <w:color w:val="auto"/>
        </w:rPr>
      </w:pPr>
    </w:p>
    <w:p>
      <w:pPr>
        <w:ind w:right="240" w:firstLine="8"/>
        <w:spacing w:after="0" w:line="253"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Revenue from Contracts with Customers, Narrow-Scope Improvements and Practical Expedients </w:t>
      </w:r>
      <w:r>
        <w:rPr>
          <w:rFonts w:ascii="Arial" w:cs="Arial" w:eastAsia="Arial" w:hAnsi="Arial"/>
          <w:sz w:val="18"/>
          <w:szCs w:val="18"/>
          <w:color w:val="auto"/>
        </w:rPr>
        <w:t>was issued in May 2016 related to its guidance on</w:t>
      </w:r>
      <w:r>
        <w:rPr>
          <w:rFonts w:ascii="Arial" w:cs="Arial" w:eastAsia="Arial" w:hAnsi="Arial"/>
          <w:sz w:val="18"/>
          <w:szCs w:val="18"/>
          <w:i w:val="1"/>
          <w:iCs w:val="1"/>
          <w:color w:val="auto"/>
        </w:rPr>
        <w:t xml:space="preserve"> </w:t>
      </w:r>
      <w:r>
        <w:rPr>
          <w:rFonts w:ascii="Arial" w:cs="Arial" w:eastAsia="Arial" w:hAnsi="Arial"/>
          <w:sz w:val="18"/>
          <w:szCs w:val="18"/>
          <w:color w:val="auto"/>
        </w:rPr>
        <w:t>assessing collectability, presentation of sales tax, noncash consideration, and completed contracts and contract modification at transition, which reduce the potential for diversity in practice, and the cost and complexity of application at transition and on an ongoing basis. We are evaluating the effects of the new guidance and have not yet selected a transition method nor have we determined the potential effects of adoption on our condensed consolidated financial statements.</w:t>
      </w:r>
    </w:p>
    <w:p>
      <w:pPr>
        <w:spacing w:after="0" w:line="13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which requires the recognition of the income tax effects of awards in the income statement when the awards vest or are settled, thus eliminating additional paid in capital pools. The guidance also allows for the employer to repurchase more of an employee’s shares for tax withholding purposes without triggering liability accounting. In addition, the guidance allows for a policy election to account for forfeitures as they occur rather than on an estimated basis. The guidance is effective for annual periods and interim periods within those annual periods beginning after December 15, 2016 with early adoption permitted. We are evaluating the effect of the adoption of the standard will have on our condensed consolidated financial statements and related disclosures.</w:t>
      </w:r>
    </w:p>
    <w:p>
      <w:pPr>
        <w:spacing w:after="0" w:line="111"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introduces the recognition of lease assets and lease liabilities by lessees for those leases classified as operating leases under previous guidance. This standard will become effective for interim and annual periods beginning after December 15, 2018, with early adoption permitted. The guidance is required to be adopted at the earliest period presented using a modified retrospective approach. We are evaluating the effect the adoption of the standard will have on our condensed consolidated financial statements and related disclosures.</w:t>
      </w:r>
    </w:p>
    <w:p>
      <w:pPr>
        <w:spacing w:after="0" w:line="100"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8"/>
          <w:szCs w:val="18"/>
          <w:color w:val="auto"/>
        </w:rPr>
        <w:t>. This guidance retains the current accounting for classifying and measuring investments in debt securities and loans, but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equity investments to be measured at fair value with subsequent changes recognized in net income, except for those accounted for under the equity method or requiring consolidation. The guidance also changes the accounting for investments without a readily determinable fair value and do not qualify for the practical expedient to estimate fair value. A policy election can be made for these investments whereby estimated fair value may be measured at cost and adjusted in subsequent periods for any impairment or changes in observable prices of identical or similar investments. This ASU is effective for fiscal years beginning after December 15, 2017. We are evaluating the effect the adoption of the standard will have on our condensed consolidated financial statements and related disclosures.</w:t>
      </w:r>
    </w:p>
    <w:p>
      <w:pPr>
        <w:spacing w:after="0" w:line="138"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 xml:space="preserve">In July 2015, the FASB issued ASU No. 2015-11 (Topic 330), </w:t>
      </w:r>
      <w:r>
        <w:rPr>
          <w:rFonts w:ascii="Arial" w:cs="Arial" w:eastAsia="Arial" w:hAnsi="Arial"/>
          <w:sz w:val="16"/>
          <w:szCs w:val="16"/>
          <w:i w:val="1"/>
          <w:iCs w:val="1"/>
          <w:color w:val="auto"/>
        </w:rPr>
        <w:t>Simplifying the Measurement of Inventory</w:t>
      </w:r>
      <w:r>
        <w:rPr>
          <w:rFonts w:ascii="Arial" w:cs="Arial" w:eastAsia="Arial" w:hAnsi="Arial"/>
          <w:sz w:val="16"/>
          <w:szCs w:val="16"/>
          <w:color w:val="auto"/>
        </w:rPr>
        <w:t>, which provides guidance to companies who account for inventory using either the first-in, first-out or average cost methods. The guidance states that companies should measure inventory at the lower of cost and net realizable value. Net realizable value is defined as the estimated selling prices in the ordinary course of business, less reasonably predictable costs of completion, disposal and transportation. This ASU is effective for fiscal years beginning after December 15, 2016. Early adoption is permitted. We are evaluating the effect the adoption of the standard will have on our condensed consolidated financial statements and related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Loss Per Share of Common Stock</w:t>
      </w:r>
    </w:p>
    <w:p>
      <w:pPr>
        <w:spacing w:after="0" w:line="175"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We compute net loss per share attributable to our common stockholders using the two-class method. Basic net loss per share is computed using the weighted average number of common shares and participating securities outstanding during the period. Our unvested restricted shares contain rights to receive non-forfeitable dividends and therefore are considered to be participating securities and would be included in the calculations of net income per basic and diluted common share. However, we incurred a net loss in all periods presented. Undistributed losses are not allocated to unvested restricted shares due to the fact that the unvested restricted shares are not contractually obligated to share the losses of the company.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9" w:name="page10"/>
    <w:bookmarkEnd w:id="9"/>
    <w:p>
      <w:pPr>
        <w:ind w:right="80" w:firstLine="486"/>
        <w:spacing w:after="0" w:line="286" w:lineRule="auto"/>
        <w:rPr>
          <w:sz w:val="20"/>
          <w:szCs w:val="20"/>
          <w:color w:val="auto"/>
        </w:rPr>
      </w:pPr>
      <w:r>
        <w:rPr>
          <w:rFonts w:ascii="Arial" w:cs="Arial" w:eastAsia="Arial" w:hAnsi="Arial"/>
          <w:sz w:val="17"/>
          <w:szCs w:val="17"/>
          <w:color w:val="auto"/>
        </w:rPr>
        <w:t>As we incurred a net loss for all periods presented, the effect of outstanding stock options, restricted stocks and units and performance shares and units were anti-dilutive, and therefore, were excluded from the diluted net loss per share calculations. The following table summarizes the potential shares of common stock that were excluded from the diluted net loss per share calculations, as adjusted for the reverse stock split: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3"/>
                <w:szCs w:val="13"/>
                <w:color w:val="auto"/>
              </w:rPr>
            </w:pPr>
          </w:p>
        </w:tc>
        <w:tc>
          <w:tcPr>
            <w:tcW w:w="1140" w:type="dxa"/>
            <w:vAlign w:val="bottom"/>
          </w:tcPr>
          <w:p>
            <w:pPr>
              <w:jc w:val="center"/>
              <w:ind w:right="176"/>
              <w:spacing w:after="0" w:line="153" w:lineRule="exact"/>
              <w:rPr>
                <w:sz w:val="20"/>
                <w:szCs w:val="20"/>
                <w:color w:val="auto"/>
              </w:rPr>
            </w:pPr>
            <w:r>
              <w:rPr>
                <w:rFonts w:ascii="Arial" w:cs="Arial" w:eastAsia="Arial" w:hAnsi="Arial"/>
                <w:sz w:val="14"/>
                <w:szCs w:val="14"/>
                <w:b w:val="1"/>
                <w:bCs w:val="1"/>
                <w:color w:val="auto"/>
                <w:w w:val="92"/>
              </w:rPr>
              <w:t>October 2,</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Restricted stocks and units and performance shares and units</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potential shares of common stock excluded</w:t>
            </w: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Note 3. Balance Sheet Components</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ind w:left="500"/>
              <w:spacing w:after="0"/>
              <w:rPr>
                <w:sz w:val="20"/>
                <w:szCs w:val="20"/>
                <w:color w:val="auto"/>
              </w:rPr>
            </w:pPr>
            <w:r>
              <w:rPr>
                <w:rFonts w:ascii="Arial" w:cs="Arial" w:eastAsia="Arial" w:hAnsi="Arial"/>
                <w:sz w:val="18"/>
                <w:szCs w:val="18"/>
                <w:color w:val="auto"/>
              </w:rPr>
              <w:t>Our net accounts receivable as of September 30, 2016 and July 1, 2016 were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140" w:type="dxa"/>
            <w:vAlign w:val="bottom"/>
          </w:tcPr>
          <w:p>
            <w:pPr>
              <w:jc w:val="center"/>
              <w:ind w:right="176"/>
              <w:spacing w:after="0"/>
              <w:rPr>
                <w:sz w:val="20"/>
                <w:szCs w:val="20"/>
                <w:color w:val="auto"/>
              </w:rPr>
            </w:pPr>
            <w:r>
              <w:rPr>
                <w:rFonts w:ascii="Arial" w:cs="Arial" w:eastAsia="Arial" w:hAnsi="Arial"/>
                <w:sz w:val="14"/>
                <w:szCs w:val="14"/>
                <w:b w:val="1"/>
                <w:bCs w:val="1"/>
                <w:color w:val="auto"/>
                <w:w w:val="91"/>
              </w:rPr>
              <w:t>July 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57,895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71,416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49,697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63,449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ind w:left="500"/>
              <w:spacing w:after="0"/>
              <w:rPr>
                <w:sz w:val="20"/>
                <w:szCs w:val="20"/>
                <w:color w:val="auto"/>
              </w:rPr>
            </w:pPr>
            <w:r>
              <w:rPr>
                <w:rFonts w:ascii="Arial" w:cs="Arial" w:eastAsia="Arial" w:hAnsi="Arial"/>
                <w:sz w:val="18"/>
                <w:szCs w:val="18"/>
                <w:color w:val="auto"/>
              </w:rPr>
              <w:t>Our inventories as of September 30, 2016 and July 1, 2016 were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140" w:type="dxa"/>
            <w:vAlign w:val="bottom"/>
          </w:tcPr>
          <w:p>
            <w:pPr>
              <w:jc w:val="center"/>
              <w:ind w:right="176"/>
              <w:spacing w:after="0"/>
              <w:rPr>
                <w:sz w:val="20"/>
                <w:szCs w:val="20"/>
                <w:color w:val="auto"/>
              </w:rPr>
            </w:pPr>
            <w:r>
              <w:rPr>
                <w:rFonts w:ascii="Arial" w:cs="Arial" w:eastAsia="Arial" w:hAnsi="Arial"/>
                <w:sz w:val="14"/>
                <w:szCs w:val="14"/>
                <w:b w:val="1"/>
                <w:bCs w:val="1"/>
                <w:color w:val="auto"/>
                <w:w w:val="91"/>
              </w:rPr>
              <w:t>July 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14,938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20,044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5,222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24,074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27,293</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revenue included within 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 and supplies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2,964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We recorded charges to adjust our inventory and customer service inventory to the lower of cost or market. These charges were primarily due to excess and obsolete inventory resulting from product transitioning or discontinuance. During the first quarter of fiscal 2017 and 2016, such charges incurred were classified in cost of product sales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4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4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CCEEFF"/>
            </w:tcBorders>
            <w:vMerge w:val="continue"/>
          </w:tcPr>
          <w:p>
            <w:pPr>
              <w:spacing w:after="0"/>
              <w:rPr>
                <w:sz w:val="16"/>
                <w:szCs w:val="16"/>
                <w:color w:val="auto"/>
              </w:rPr>
            </w:pPr>
          </w:p>
        </w:tc>
        <w:tc>
          <w:tcPr>
            <w:tcW w:w="42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charges</w:t>
            </w:r>
          </w:p>
        </w:tc>
        <w:tc>
          <w:tcPr>
            <w:tcW w:w="4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4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0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property, plant and equipment, net as of September 30, 2016 and July 1, 2016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080" w:type="dxa"/>
            <w:vAlign w:val="bottom"/>
          </w:tcPr>
          <w:p>
            <w:pPr>
              <w:jc w:val="right"/>
              <w:ind w:right="414"/>
              <w:spacing w:after="0"/>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11,639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11,714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14,620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44,345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42,960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71,630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70,004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(53,500)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(51,842)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18,162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3"/>
                <w:szCs w:val="13"/>
                <w:color w:val="auto"/>
              </w:rPr>
            </w:pPr>
          </w:p>
        </w:tc>
        <w:tc>
          <w:tcPr>
            <w:tcW w:w="1140" w:type="dxa"/>
            <w:vAlign w:val="bottom"/>
          </w:tcPr>
          <w:p>
            <w:pPr>
              <w:jc w:val="center"/>
              <w:ind w:right="177"/>
              <w:spacing w:after="0" w:line="153" w:lineRule="exact"/>
              <w:rPr>
                <w:sz w:val="20"/>
                <w:szCs w:val="20"/>
                <w:color w:val="auto"/>
              </w:rPr>
            </w:pPr>
            <w:r>
              <w:rPr>
                <w:rFonts w:ascii="Arial" w:cs="Arial" w:eastAsia="Arial" w:hAnsi="Arial"/>
                <w:sz w:val="14"/>
                <w:szCs w:val="14"/>
                <w:b w:val="1"/>
                <w:bCs w:val="1"/>
                <w:color w:val="auto"/>
                <w:w w:val="92"/>
              </w:rPr>
              <w:t>October 2,</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378"/>
        </w:trPr>
        <w:tc>
          <w:tcPr>
            <w:tcW w:w="858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ind w:left="500"/>
              <w:spacing w:after="0"/>
              <w:rPr>
                <w:sz w:val="20"/>
                <w:szCs w:val="20"/>
                <w:color w:val="auto"/>
              </w:rPr>
            </w:pPr>
            <w:r>
              <w:rPr>
                <w:rFonts w:ascii="Arial" w:cs="Arial" w:eastAsia="Arial" w:hAnsi="Arial"/>
                <w:sz w:val="18"/>
                <w:szCs w:val="18"/>
                <w:color w:val="auto"/>
              </w:rPr>
              <w:t>Our accrued expenses are summarized below:</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14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July 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7,711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commissions</w:t>
            </w: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2,672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8,581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22,668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23,205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We accrue for the estimated cost to repair or replace products under warranty at the time of sale. Changes in our warranty liability, which is included as a component of accrued expenses in the condensed consolidated balance sheets, during the first quarter of fiscal 2017 and 2016 were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4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CCEEFF"/>
            </w:tcBorders>
            <w:vMerge w:val="continue"/>
          </w:tcPr>
          <w:p>
            <w:pPr>
              <w:spacing w:after="0"/>
              <w:rPr>
                <w:sz w:val="16"/>
                <w:szCs w:val="16"/>
                <w:color w:val="auto"/>
              </w:rPr>
            </w:pPr>
          </w:p>
        </w:tc>
        <w:tc>
          <w:tcPr>
            <w:tcW w:w="40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period</w:t>
            </w:r>
          </w:p>
        </w:tc>
        <w:tc>
          <w:tcPr>
            <w:tcW w:w="4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Warranty provision recorded during the period</w:t>
            </w:r>
          </w:p>
        </w:tc>
        <w:tc>
          <w:tcPr>
            <w:tcW w:w="4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40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40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3,704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080" w:type="dxa"/>
            <w:vAlign w:val="bottom"/>
            <w:vMerge w:val="restart"/>
          </w:tcPr>
          <w:p>
            <w:pPr>
              <w:jc w:val="right"/>
              <w:ind w:right="2690"/>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0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0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Advanced payments and Unearned Income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advanced payments and unearned income are summarized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080" w:type="dxa"/>
            <w:vAlign w:val="bottom"/>
          </w:tcPr>
          <w:p>
            <w:pPr>
              <w:jc w:val="right"/>
              <w:ind w:right="417"/>
              <w:spacing w:after="0"/>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Advanced payments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12,124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Unearned income</w:t>
            </w: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14,975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18,491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25,357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 of Assets and Liabilities</w:t>
      </w:r>
    </w:p>
    <w:p>
      <w:pPr>
        <w:spacing w:after="0" w:line="175" w:lineRule="exact"/>
        <w:rPr>
          <w:sz w:val="20"/>
          <w:szCs w:val="20"/>
          <w:color w:val="auto"/>
        </w:rPr>
      </w:pPr>
    </w:p>
    <w:p>
      <w:pPr>
        <w:ind w:right="140" w:firstLine="486"/>
        <w:spacing w:after="0" w:line="302"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0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7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September 30, 2016 and July 1, 2016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July 1, 2016</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50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2"/>
                <w:szCs w:val="22"/>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22"/>
                <w:szCs w:val="22"/>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22"/>
                <w:szCs w:val="22"/>
                <w:color w:val="auto"/>
              </w:rPr>
            </w:pPr>
          </w:p>
        </w:tc>
        <w:tc>
          <w:tcPr>
            <w:tcW w:w="96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w w:val="97"/>
              </w:rPr>
              <w:t>Valuation Inputs</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15,813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6"/>
              </w:rPr>
              <w:t>Level 1</w:t>
            </w: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Bank certificates of deposit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Bank certificates of deposit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Foreign exchange forward contracts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forward contracts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960" w:firstLine="486"/>
        <w:spacing w:after="0" w:line="277" w:lineRule="auto"/>
        <w:rPr>
          <w:sz w:val="20"/>
          <w:szCs w:val="20"/>
          <w:color w:val="auto"/>
        </w:rPr>
      </w:pPr>
      <w:r>
        <w:rPr>
          <w:rFonts w:ascii="Arial" w:cs="Arial" w:eastAsia="Arial" w:hAnsi="Arial"/>
          <w:sz w:val="18"/>
          <w:szCs w:val="18"/>
          <w:color w:val="auto"/>
        </w:rPr>
        <w:t>We classify items within Level 1 if quoted prices are available in active markets. Our Level 1 items mainly are money market funds. As of September 30, 2016 and July 1, 2016, these money market funds were valued at $1.00 net asset value per share.</w:t>
      </w:r>
    </w:p>
    <w:p>
      <w:pPr>
        <w:spacing w:after="0" w:line="116" w:lineRule="exact"/>
        <w:rPr>
          <w:sz w:val="20"/>
          <w:szCs w:val="20"/>
          <w:color w:val="auto"/>
        </w:rPr>
      </w:pPr>
    </w:p>
    <w:p>
      <w:pPr>
        <w:ind w:right="140" w:firstLine="486"/>
        <w:spacing w:after="0" w:line="297" w:lineRule="auto"/>
        <w:rPr>
          <w:sz w:val="20"/>
          <w:szCs w:val="20"/>
          <w:color w:val="auto"/>
        </w:rPr>
      </w:pPr>
      <w:r>
        <w:rPr>
          <w:rFonts w:ascii="Arial" w:cs="Arial" w:eastAsia="Arial" w:hAnsi="Arial"/>
          <w:sz w:val="16"/>
          <w:szCs w:val="16"/>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assets and liabilities related to our foreign currency forward contracts were not material as of September 30, 2016 and July 1, 2016. The changes in fair value related to our foreign currency forward contracts were recorded in cost of revenues on our condensed consolidated statements of operations.</w:t>
      </w:r>
    </w:p>
    <w:p>
      <w:pPr>
        <w:spacing w:after="0" w:line="104"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As of September 30, 2016 and July 1, 2016, we did not have any recurring assets or liabilities that were valued using significant unobservable inputs.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2" w:name="page13"/>
    <w:bookmarkEnd w:id="12"/>
    <w:p>
      <w:pPr>
        <w:ind w:right="80" w:firstLine="486"/>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quarter of fiscal 2017 and 2016, we had no transfers between levels of the fair value hierarchy of our assets or liabilities measured at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Credit Facility and Debt</w:t>
      </w:r>
    </w:p>
    <w:p>
      <w:pPr>
        <w:spacing w:after="0" w:line="175"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On March 28, 2014, we entered into a Second Amended and Restated Loan Agreement with Silicon Valley Bank (the “SVB Credit Facility”). The SVB Credit Facility expires on June 30, 2018. The SVB Credit Facility provides for a committed amount of up to $30.0 million, with a $30.0 million sublimit that can be borrowed by our Singapore subsidiary. Borrowings may be advanced under the SVB Credit Facility at the lesser of $30.0 million or a borrowing base equal to a specified percentage of the value of eligible accounts receivable and U.S. unbilled accounts of the Company, subject to certain reserves and eligibility criteria. The SVB Credit Facility can also be utilized to issue letters of credit with a $12.0 million sublimit. If the SVB Credit Facility is terminated by us in certain circumstances prior to its expiration, we are subject to an early termination fee equal to 1% of the revolving line.</w:t>
      </w:r>
    </w:p>
    <w:p>
      <w:pPr>
        <w:spacing w:after="0" w:line="111"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Our outstanding debt under the SVB Credit Facility was $8.0 million and $9.0 million as of September 30, 2016 and July 1, 2016, respectively. The SVB Credit Facility carries an interest rate computed at the daily prime rate as published in the Wall Street Journal plus a spread of 0.50% to 1.50%, with such spread determined based on our adjusted quick ratio. During the first quarter of fiscal year 2017, the weighted average interest rate on our outstanding loan was 4.00%. As of September 30, 2016, available credit under the SVB Credit Facility was $2.0 million reflecting the calculated borrowing base of $16.1 million less existing borrowings of $8.0 million and outstanding letters of credit of $6.1 million.</w:t>
      </w:r>
    </w:p>
    <w:p>
      <w:pPr>
        <w:spacing w:after="0" w:line="11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 above the applicable interest rate. As of September 30, 2016, we were in compliance with the quarterly financial covenants, as amended, contained in the SVB Credit Facility. However, as a result of uncertainty on our ability to continue to meet the financial covenants in the future and the fact that the SVB Credit Facility contains subjective acceleration clauses that could be triggered by the lender, the $8.0 million and $9.0 million borrowing was classified as a current liability as of September 30, 2016 and July 1, 2016.</w:t>
      </w:r>
    </w:p>
    <w:p>
      <w:pPr>
        <w:spacing w:after="0" w:line="12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addition, we have an uncommitted short-term line of credit of $0.4 million from a bank in New Zealand to support the operations of our subsidiary located there. This line of credit provides for $0.3 million in short-term advances at various interest rates, all of which was available as of September 30, 2016 and July 1, 2016. The line of credit also provides for the issuance of standby letters of credit and company credit cards, of which $0.1 million was outstanding as of September 30, 2016. This facility may be terminated upon notice, is reviewed annually for renewal or modification, and is supported by a corporate guarantee.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46"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6. Restructuring Activities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restructuring related activities during the three months ended September 30,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left="559"/>
              <w:spacing w:after="0"/>
              <w:rPr>
                <w:sz w:val="20"/>
                <w:szCs w:val="20"/>
                <w:color w:val="auto"/>
              </w:rPr>
            </w:pPr>
            <w:r>
              <w:rPr>
                <w:rFonts w:ascii="Arial" w:cs="Arial" w:eastAsia="Arial" w:hAnsi="Arial"/>
                <w:sz w:val="14"/>
                <w:szCs w:val="14"/>
                <w:b w:val="1"/>
                <w:bCs w:val="1"/>
                <w:color w:val="auto"/>
                <w:w w:val="89"/>
              </w:rPr>
              <w:t>Severance and Benefits</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Facilities and Other</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8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3"/>
                <w:szCs w:val="13"/>
                <w:color w:val="auto"/>
              </w:rPr>
            </w:pPr>
          </w:p>
        </w:tc>
        <w:tc>
          <w:tcPr>
            <w:tcW w:w="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Fiscal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2016-2017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2"/>
              </w:rPr>
              <w:t>2015-2016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2"/>
              </w:rPr>
              <w:t>2013-2014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2015-2016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2014-2015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2"/>
              </w:rPr>
              <w:t>2013-2014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July 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4,816</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14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color w:val="auto"/>
              </w:rPr>
              <w:t>Accrual balance, September 30,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In June 2016, we entered into a lease termination agreement to end our headquarters lease in Santa Clara, California and in September 2016 we vacated the building. Under the lease termination agreement, we agreed to pay a termination fee of $1.9 million payable over 14 months. The termination fee was included in the restructuring liabilities as of September 30, 2016 under the Fiscal 2014-2015 Plan and the Fiscal 2013-2014 Plan.</w:t>
      </w:r>
    </w:p>
    <w:p>
      <w:pPr>
        <w:spacing w:after="0" w:line="11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As of September 30, 2016, $2.7 million of the accrual balance was in short-term restructuring liabilities while $0.5 million was included in other long-term liabilities on the condensed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2016-2017 Plan</w:t>
      </w:r>
    </w:p>
    <w:p>
      <w:pPr>
        <w:spacing w:after="0" w:line="171"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During the fourth quarter of fiscal 2016, we initiated a restructuring plan (the “Fiscal 2016-2017 Plan”) to streamline our operations and align expenses with current revenue levels. Activities under the Fiscal 2016-2017 Plan primarily include reductions in workforce in marketing, selling and general and administrative functions.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2015-2016 Plan</w:t>
      </w:r>
    </w:p>
    <w:p>
      <w:pPr>
        <w:spacing w:after="0" w:line="171"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 reductions in workforce across the Company, but primarily in operations outside the United States.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2014-2015 Plan</w:t>
      </w:r>
    </w:p>
    <w:p>
      <w:pPr>
        <w:spacing w:after="0" w:line="171" w:lineRule="exact"/>
        <w:rPr>
          <w:sz w:val="20"/>
          <w:szCs w:val="20"/>
          <w:color w:val="auto"/>
        </w:rPr>
      </w:pPr>
    </w:p>
    <w:p>
      <w:pPr>
        <w:jc w:val="both"/>
        <w:ind w:right="140" w:firstLine="486"/>
        <w:spacing w:after="0" w:line="312" w:lineRule="auto"/>
        <w:rPr>
          <w:sz w:val="20"/>
          <w:szCs w:val="20"/>
          <w:color w:val="auto"/>
        </w:rPr>
      </w:pPr>
      <w:r>
        <w:rPr>
          <w:rFonts w:ascii="Arial" w:cs="Arial" w:eastAsia="Arial" w:hAnsi="Arial"/>
          <w:sz w:val="16"/>
          <w:szCs w:val="16"/>
          <w:color w:val="auto"/>
        </w:rPr>
        <w:t>During the third quarter of fiscal 2014, in line with the decrease in revenue that we experienced and our reduced forecast for the immediate future, we initiated a restructuring plan (the “Fiscal 2014-2015 Plan”) to reduce our operating costs, primarily in North America, Europe and Asia. Activities under the Fiscal 2014-2015 Plan primarily include reductions in workforce and additional facility downsizing of our Santa Clara, California headquarters.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2013-2014 Plan</w:t>
      </w:r>
    </w:p>
    <w:p>
      <w:pPr>
        <w:spacing w:after="0" w:line="171"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During the fourth quarter of fiscal 2013, we initiated a restructuring plan (the “Fiscal 2013-2014 Plan”) that was intended to reduce our operating expenses primarily in North America, Europe and Asia. Activities under the Fiscal 2013-2014 Plan included reductions in workforce and facility downsizing of our Santa Clara, California headquarters and certain international field offices.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Stock Equity Plan and Activities</w:t>
      </w:r>
    </w:p>
    <w:p>
      <w:pPr>
        <w:spacing w:after="0" w:line="171"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We have one stock incentive plan for our employees and nonemployee directors, the 2007 Stock Equity Plan, as amended and restated effective November 13, 2015 (the “2007 Stock Plan”). As of September 30, 2016, we have various incentive programs under the 2007 Stock Plan, including the long-term incentive programs (“LTIP”) and a global equity program (“GEP”).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96" w:right="239" w:bottom="1440" w:gutter="0" w:footer="0" w:header="0"/>
        </w:sectPr>
      </w:pPr>
    </w:p>
    <w:bookmarkStart w:id="14" w:name="page15"/>
    <w:bookmarkEnd w:id="14"/>
    <w:p>
      <w:pPr>
        <w:ind w:right="120" w:firstLine="486"/>
        <w:spacing w:after="0" w:line="259" w:lineRule="auto"/>
        <w:rPr>
          <w:sz w:val="20"/>
          <w:szCs w:val="20"/>
          <w:color w:val="auto"/>
        </w:rPr>
      </w:pPr>
      <w:r>
        <w:rPr>
          <w:rFonts w:ascii="Arial" w:cs="Arial" w:eastAsia="Arial" w:hAnsi="Arial"/>
          <w:sz w:val="18"/>
          <w:szCs w:val="18"/>
          <w:color w:val="auto"/>
        </w:rPr>
        <w:t>During the first quarter of fiscal 2017, we awarded 72,941 performance stock units and 213,467 restricted stock units associated with our fiscal 2017 LTIP under the 2007 Stock Plan. For the performance share units, the performance criteria is ending the fiscal year 2017 with positive adjusted EBITDA. Once the performance share units are earned, they will be vested three years after the grant date. The restricted stock units granted will be vested in full three years after grant date.</w:t>
      </w:r>
    </w:p>
    <w:p>
      <w:pPr>
        <w:spacing w:after="0" w:line="13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During the first quarter of fiscal 2017, we cancelled 3,291 performance stock units, 3,669 restricted stock units, 983 shares of stock appreciation rights, and options to purchase 8,498 shares of our common stock due to employee terminations.</w:t>
      </w:r>
    </w:p>
    <w:p>
      <w:pPr>
        <w:spacing w:after="0" w:line="116"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issue new shares of our common stock to our employees upon the exercise of stock options, vesting of restricted stock awards and units or vesting of performance share awards and units. All awards that are cancelled prior to vesting or expire unexercised are returned to the approved pool of reserved shares under the 2007 Stock Plan and made available for future grants. Shares of our common stock remaining available for future issuance under the 2007 Stock Plan totaled 226,477 as of September 30, 2016.</w:t>
      </w:r>
    </w:p>
    <w:p>
      <w:pPr>
        <w:spacing w:after="0" w:line="13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On September 6, 2016, our Board of Directors (the “Board”) authorized and declared a dividend distribution of one right (a “Right”) for each outstanding share of our common stock, par value $0.01 per share (the “Common Shares”), to our stockholders of record as of the close of business on September 16, 2016. Each Right entitles the registered holder to purchase from the Company one one-thousandth of a share of Series A Participating Preferred Stock, par value $0.01 per share (the “Preferred Shares”), of the Company at an exercise price of $35.00 (the “Exercise Price”) per one one-thousandth of a Preferred Share, subject to adjustment. The complete terms of the Rights are set forth in a Tax Benefit Preservation Plan (the “Plan”), dated as of September 6, 2016, between the Company and Computershare Inc., as rights agent. By adopting the Plan, we are helping to preserve the value of certain deferred tax benefits, including those generated by net operating losses (collectively, the “Tax Benefits”), which could be lost in the event of an “ownership change” as defined under Section 382 of the Internal Revenue Code of 1986, as amended. The Plan reduces the likelihood that changes in our investor base have the unintended effect of limiting our use of the Tax Benefits.</w:t>
      </w:r>
    </w:p>
    <w:p>
      <w:pPr>
        <w:spacing w:after="0" w:line="128"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Also, on September 6, 2016, our Board of Directors adopted certain amendments to our Amended and Restated Certificate of Incorporation, as amended (the “Charter Amendments”). The Charter Amendments are designed to preserve the Tax Benefits by restricting certain transfers of our common stock.</w:t>
      </w:r>
    </w:p>
    <w:p>
      <w:pPr>
        <w:spacing w:after="0" w:line="127"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We intend to submit both the Plan and the Charter Amendments to a stockholder vote at our 2016 annual meeting of stockholders. If our stockholders do not approve the Plan, it will expire. If our stockholders do not approve the Charter Amendments, they will not become effective.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Total compensation expense for share-based awards included in our condensed consolidated statements of operations for the first quarter of fiscal 2017 and 2016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gridSpan w:val="4"/>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2"/>
        </w:trPr>
        <w:tc>
          <w:tcPr>
            <w:tcW w:w="85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8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Cost of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858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8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Restricted and performance stock awards and units</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As of September 30, 2016, there was $0.2 million of total unrecognized compensation expense related to nonvested stock options granted under our 2007 Stock Plan. This expense is expected to be recognized over a weighted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ind w:right="60"/>
        <w:spacing w:after="0" w:line="308" w:lineRule="auto"/>
        <w:rPr>
          <w:sz w:val="20"/>
          <w:szCs w:val="20"/>
          <w:color w:val="auto"/>
        </w:rPr>
      </w:pPr>
      <w:r>
        <w:rPr>
          <w:rFonts w:ascii="Arial" w:cs="Arial" w:eastAsia="Arial" w:hAnsi="Arial"/>
          <w:sz w:val="17"/>
          <w:szCs w:val="17"/>
          <w:color w:val="auto"/>
        </w:rPr>
        <w:t>average period of 1.4 years. As of September 30, 2016, there was $4.1 million of total unrecognized compensation expense related to nonvested stock awards and units granted under our 2007 Stock Plan. This expense is expected to be recognized over a weighted average period of 2.3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and Geographic Information</w:t>
      </w:r>
    </w:p>
    <w:p>
      <w:pPr>
        <w:spacing w:after="0" w:line="175"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our Chief Operating Decision Maker.</w:t>
      </w:r>
    </w:p>
    <w:p>
      <w:pPr>
        <w:spacing w:after="0" w:line="12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first quarter of fiscal 2017 and 2016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4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28,584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35,220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14,349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27,288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6,442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10,767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10,605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58,207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79,555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Mobile Telephone Networks Group (MTN Group) accounted for 11% and 22% of our accounts receivable as of September 30, 2016 and July 1, 2016 respectively. Motorola Solutions, Inc. (Motorola) accounted for 11% of our accounts receivable as of July 1, 2016. During the first quarter of fiscal 2017 and 2016, MTN Group accounted for 10% and 18%, respectively, of our total revenue. We have entered into separate and distinct contracts with MTN Group and Motorola, as well as separate arrangements with various their various subsidiaries. The loss of all business from MTN Group or Motorola, or any other significant customers, could adversely affect our results of operations, cash flows and financial position.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Divestiture</w:t>
      </w:r>
    </w:p>
    <w:p>
      <w:pPr>
        <w:spacing w:after="0" w:line="17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sold our WiMAX business on September 2, 2011 and began accounting for the WiMAX business as a discontinued operation. The operating results of our WiMAX business were included in discontinued operations in our condensed consolidated financial statements for all periods presented. The income recognized in the first quarter of fiscal 2016 was primarily due to recovery of certain WiMAX customer receivables that were previously written down. No income was recognized in respect of the WiMAX business in the first quarter of fiscal 2017. Summary results of operations for the WiMAX business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3"/>
                <w:szCs w:val="13"/>
                <w:color w:val="auto"/>
              </w:rPr>
            </w:pPr>
          </w:p>
        </w:tc>
        <w:tc>
          <w:tcPr>
            <w:tcW w:w="114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 related to WiMAX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certain jurisdictions where we cannot recognize tax benefits on current losses and tax benefit from a foreign tax refund. During interim periods, we accrue tax expenses for foreign jurisdictions that are anticipated to be profitable for fiscal 2017.</w:t>
      </w:r>
    </w:p>
    <w:p>
      <w:pPr>
        <w:spacing w:after="0" w:line="12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determination of our provision for the first quarter of fiscal 2017 and 2016 was based on our estimated annual effective tax rate adjusted for losses in certain jurisdictions for which no tax benefit can be recognized. The tax expense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for the first quarter of fiscal 2017 and 2016 were primarily attributable to tax expense related to profitable foreign subsidiaries.</w:t>
      </w:r>
    </w:p>
    <w:p>
      <w:pPr>
        <w:spacing w:after="0" w:line="171"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During the fiscal year 2014, we received an assessment letter from the Inland Revenue Authority of Singapore (“IRAS”) related to deductions claimed in prior years and made a payment of $13.2 million related to tax years 2007 through 2010, reflecting all the taxes incrementally assessed by IRAS. Since the initial assessment, we continue to pursue remedies to challenge this assessment. During the first quarter of fiscal 2017, we received an initial refund of $3.7 million from IRAS which was recorded as a discrete tax benefit during the quarter. We will continue our discussion with IRAS to resolve the remaining tax positions. We believe that we have adequately provided for any reasonably foreseeable outcomes related to our tax audits.</w:t>
      </w:r>
    </w:p>
    <w:p>
      <w:pPr>
        <w:spacing w:after="0" w:line="119"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and Nigeria. The earliest years that are open and subject to potential audits for these jurisdictions are as follows: U.S. — 2003; Singapore — 2006; and Nigeria — 2011.</w:t>
      </w:r>
    </w:p>
    <w:p>
      <w:pPr>
        <w:spacing w:after="0" w:line="127"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Such interest expense was not material for the first quarter of fiscal 2017 and fiscal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2024. We lease approximately 19,000 square feet of office space in Milpitas, California with a term of 60 months as our corporate headquarters. In June 2016, we entered into a lease termination agreement for our previous headquarters lease in Santa Clara, California and the termination fees are included in the restructuring liabilities in the condensed consolidated balance sheets.</w:t>
      </w:r>
    </w:p>
    <w:p>
      <w:pPr>
        <w:spacing w:after="0" w:line="13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As of September 30, 2016, our future minimum lease payments under all non-cancelable operating leases with an initial lease term in excess of one year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ind w:left="40"/>
              <w:spacing w:after="0"/>
              <w:rPr>
                <w:sz w:val="20"/>
                <w:szCs w:val="20"/>
                <w:color w:val="auto"/>
              </w:rPr>
            </w:pPr>
            <w:r>
              <w:rPr>
                <w:rFonts w:ascii="Arial" w:cs="Arial" w:eastAsia="Arial" w:hAnsi="Arial"/>
                <w:sz w:val="14"/>
                <w:szCs w:val="14"/>
                <w:b w:val="1"/>
                <w:bCs w:val="1"/>
                <w:color w:val="auto"/>
              </w:rPr>
              <w:t>Fiscal Years Ending in June</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Amounts</w:t>
            </w:r>
          </w:p>
        </w:tc>
      </w:tr>
      <w:tr>
        <w:trPr>
          <w:trHeight w:val="196"/>
        </w:trPr>
        <w:tc>
          <w:tcPr>
            <w:tcW w:w="9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3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(three quarters remaining)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1,632</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852</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874</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2,231</w:t>
            </w:r>
          </w:p>
        </w:tc>
      </w:tr>
      <w:tr>
        <w:trPr>
          <w:trHeight w:val="27"/>
        </w:trPr>
        <w:tc>
          <w:tcPr>
            <w:tcW w:w="9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8,418</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Rental expense for operating leases, including rentals on a month-to-month basis,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3"/>
                <w:szCs w:val="13"/>
                <w:color w:val="auto"/>
              </w:rPr>
            </w:pPr>
          </w:p>
        </w:tc>
        <w:tc>
          <w:tcPr>
            <w:tcW w:w="114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2"/>
              </w:rPr>
              <w:t>October 2,</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7" w:name="page18"/>
    <w:bookmarkEnd w:id="17"/>
    <w:p>
      <w:pPr>
        <w:ind w:right="240"/>
        <w:spacing w:after="0" w:line="259" w:lineRule="auto"/>
        <w:rPr>
          <w:sz w:val="20"/>
          <w:szCs w:val="20"/>
          <w:color w:val="auto"/>
        </w:rPr>
      </w:pPr>
      <w:r>
        <w:rPr>
          <w:rFonts w:ascii="Arial" w:cs="Arial" w:eastAsia="Arial" w:hAnsi="Arial"/>
          <w:sz w:val="18"/>
          <w:szCs w:val="18"/>
          <w:color w:val="auto"/>
        </w:rPr>
        <w:t>specify minimum or variable price provisions, and do not specify the approximate timing of the transaction, and we have no present intention to cancel or terminate any of these agreements, we currently do not believe that we have any future liability under these agreements. As of September 30, 2016, we had outstanding purchase obligations with our suppliers or contract manufacturers of $24.5 million. In addition, we had contractual obligations of approximately $2.0 million associated with software licenses as of September 30,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September 30, 2016, we had no guarantees applicable to our debt arrangements.</w:t>
      </w:r>
    </w:p>
    <w:p>
      <w:pPr>
        <w:spacing w:after="0" w:line="11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September 30, 2016, we had commercial commitments of $38.3 million outstanding that were not recorded in our condensed consolidated balance sheets. We do not believe, based on historical experience and information currently available, that it is probable that any amounts will be required to be paid on the performance guarantees.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As of September 30, 2016,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September 30, 2016, we had not recorded any liabilities related to these indemnifications.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We are subject from time to time to disputes with customers concerning our products and services. In May 2016, we received notification of a claim for $1.0 million in damages from a customer in Austria alleging that certain of our products were defective. We are continuing to investigate this claim, and at this time an estimate of the reasonably possible loss or range of loss cannot be made. In August 2016, we received a correspondence from a customer in Africa demanding that certain inventory up to $1.0 million be repurchased under the terms of an inventory management agreement that we believe has expired. We are continuing to investigate this demand, and at this time an estimate of the reasonably possible loss or range of loss cannot be made. We believe that we have numerous contractual and legal defenses to these disputes, which are in their early stages, and we intend to dispute them vigorously.</w:t>
      </w:r>
    </w:p>
    <w:p>
      <w:pPr>
        <w:spacing w:after="0" w:line="11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litigations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4"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18" w:name="page19"/>
    <w:bookmarkEnd w:id="18"/>
    <w:p>
      <w:pPr>
        <w:ind w:right="780"/>
        <w:spacing w:after="0" w:line="277" w:lineRule="auto"/>
        <w:rPr>
          <w:sz w:val="20"/>
          <w:szCs w:val="20"/>
          <w:color w:val="auto"/>
        </w:rPr>
      </w:pPr>
      <w:r>
        <w:rPr>
          <w:rFonts w:ascii="Arial" w:cs="Arial" w:eastAsia="Arial" w:hAnsi="Arial"/>
          <w:sz w:val="18"/>
          <w:szCs w:val="18"/>
          <w:color w:val="auto"/>
        </w:rPr>
        <w:t>developments that would result in a loss contingency to become both probable and reasonably estimable. We have not recorded any accrual for loss contingencies associated with such legal claims or litigation discussed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record a loss contingency as a charge to operations when (i) it is probable that an asset has been impaired or a liability has been incurred at the date of the condensed consolidated financial statements; and (ii) the amount of the loss can be reasonably estimated. Disclosure in the notes to the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34"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26"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among other things, our liquidity;</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80" w:right="5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46" w:right="259" w:bottom="1440" w:gutter="0" w:footer="0" w:header="0"/>
        </w:sectPr>
      </w:pPr>
    </w:p>
    <w:bookmarkStart w:id="19" w:name="page20"/>
    <w:bookmarkEnd w:id="19"/>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preserve and use our net operating loss carryforwards;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 and</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2016 Annual Report on Form 10-K filed with the SEC on September 9, 2016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2016 and 2017 Results</w:t>
      </w:r>
    </w:p>
    <w:p>
      <w:pPr>
        <w:spacing w:after="0" w:line="17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below, our fiscal year ending June 30, 2017 is referred to as “fiscal 2017” or “2017” and our fiscal year ended July 1, 2016 is referred to as “fiscal 2016” or “2016”.</w:t>
      </w:r>
    </w:p>
    <w:p>
      <w:pPr>
        <w:spacing w:after="0" w:line="133"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federal, state and local government agencies, transportation, energy and utility companies, public safety agencies and broadcast network operators around the world. Our products include point-to-point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optical transmission equipment and other equipment necessary to build and deploy a complete telecommunications transmission network. We provide a full suite of professional services for planning, deployment, operations and maintenance of our customers’ networks.</w:t>
      </w:r>
    </w:p>
    <w:p>
      <w:pPr>
        <w:spacing w:after="0" w:line="124"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 However, within the industry there continues to be strong price competition for new business and periodic large customer consolidations that intensify competition in all regions.</w:t>
      </w:r>
    </w:p>
    <w:p>
      <w:pPr>
        <w:spacing w:after="0" w:line="117"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Our strategic focus in fiscal 2017 is to continue to accelerate innovation and optimize our product portfolio, improve costs and operational efficiencies, grow our revenue and create a sustainable, profitable business model. To do this, we continue to examine our products, markets, facilities, development programs, and operational flows to ensure we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38" w:right="239" w:bottom="1440" w:gutter="0" w:footer="0" w:header="0"/>
        </w:sectPr>
      </w:pPr>
    </w:p>
    <w:bookmarkStart w:id="20" w:name="page21"/>
    <w:bookmarkEnd w:id="20"/>
    <w:p>
      <w:pPr>
        <w:ind w:right="520"/>
        <w:spacing w:after="0" w:line="277" w:lineRule="auto"/>
        <w:rPr>
          <w:sz w:val="20"/>
          <w:szCs w:val="20"/>
          <w:color w:val="auto"/>
        </w:rPr>
      </w:pPr>
      <w:r>
        <w:rPr>
          <w:rFonts w:ascii="Arial" w:cs="Arial" w:eastAsia="Arial" w:hAnsi="Arial"/>
          <w:sz w:val="18"/>
          <w:szCs w:val="18"/>
          <w:color w:val="auto"/>
        </w:rPr>
        <w:t>are focused on what we do well and what will differentiate us in the future. We will continue working to streamline management processes to attain the efficiency levels required by the markets in which we do business.</w:t>
      </w:r>
    </w:p>
    <w:p>
      <w:pPr>
        <w:spacing w:after="0" w:line="116"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Although the general trend of increasing demand for bandwidth to support mobile networks applies in all markets,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w:t>
      </w:r>
    </w:p>
    <w:p>
      <w:pPr>
        <w:spacing w:after="0" w:line="124"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In line with industry trends, we expect to provide increased managed services, including network design, inventory management, final configuration and warehousing services, to certain customers in certain geographies. Our operating results may be impacted by providing these services to the extent that we may need to postpone the recognition of revenue and incur upfront and ongoing expenses that are not offset with additional revenue from product sales associated with these services until a future period.</w:t>
      </w:r>
    </w:p>
    <w:p>
      <w:pPr>
        <w:spacing w:after="0" w:line="133"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We continue to explore strategic alternatives to improve the market position and profitability of our product offerings in the marketplace, generate additional liquidity and enhance our valuation. We expect to pursue our goals during the next twelve months principally through organic growth and through other strategic alternatives. Some of these alternatives have included, and could continue to include, selective acquisitions, divestitures and the sale of assets. We have also provided, and may from time to time in the future provide, information to interested parties.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market for mobile backhaul continues to be our primary addressable market segment and, over the long term, the 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Our international business was adversely affected in fiscal 2016 by constrained availability of U.S. dollars in countries with economies highly dependent on resource exports, particularly oil. This condition limited capital spending and slowed payments from customers in those locations. Those conditions are continuing in early fiscal 2017. In international markets, our business continued to rely on a combination of customers increasing their capacity to handle subscriber growth, the ongoing build-out of some large 3G deployments, and the emergence of early stage LTE deployments.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2016 Annual Report on Form 10-K, a number of factors could prevent us from achieving our objectives, including ongoing pricing pressures attributable to competition and macroeconomic conditions in the geographic markets that we service.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(1) Africa and Middle East, (2) Europe and Russia, and (3) Latin America and Asia Pacific. Revenue by region for the first quarter of fiscal 2017 and 2016 and the related changes were shown in the table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2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October 2,</w:t>
            </w:r>
          </w:p>
        </w:tc>
        <w:tc>
          <w:tcPr>
            <w:tcW w:w="220" w:type="dxa"/>
            <w:vAlign w:val="bottom"/>
          </w:tcPr>
          <w:p>
            <w:pPr>
              <w:spacing w:after="0"/>
              <w:rPr>
                <w:sz w:val="13"/>
                <w:szCs w:val="13"/>
                <w:color w:val="auto"/>
              </w:rPr>
            </w:pPr>
          </w:p>
        </w:tc>
        <w:tc>
          <w:tcPr>
            <w:tcW w:w="10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3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vMerge w:val="continue"/>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28,584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35,220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2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14,349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27,288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2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2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10,767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10,605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2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58,207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79,555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6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21" w:name="page22"/>
    <w:bookmarkEnd w:id="21"/>
    <w:p>
      <w:pPr>
        <w:ind w:right="100" w:firstLine="486"/>
        <w:spacing w:after="0" w:line="264" w:lineRule="auto"/>
        <w:rPr>
          <w:sz w:val="20"/>
          <w:szCs w:val="20"/>
          <w:color w:val="auto"/>
        </w:rPr>
      </w:pPr>
      <w:r>
        <w:rPr>
          <w:rFonts w:ascii="Arial" w:cs="Arial" w:eastAsia="Arial" w:hAnsi="Arial"/>
          <w:sz w:val="18"/>
          <w:szCs w:val="18"/>
          <w:color w:val="auto"/>
        </w:rPr>
        <w:t>Our revenue in North America decreased $6.6 million, or 18.8%, during the first quarter of fiscal 2017 compared with the same quarter of fiscal 2016. North America revenue decreased primarily due to fewer orders from our wireless operator customers as they reached the end of their LTE network build cycle. In addition, we saw a small decrease in sales volume to government and utility markets.</w:t>
      </w:r>
    </w:p>
    <w:p>
      <w:pPr>
        <w:spacing w:after="0" w:line="127"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Our revenue in Africa and the Middle East decreased $12.9 million, or 47.4%, for the first quarter of fiscal 2017 compared with the same quarter of fiscal 2016. The decrease in revenue due to lower sales volume to our large operator customers in Africa, including the MTN Group, and to our private network customers in the Middle East.</w:t>
      </w:r>
    </w:p>
    <w:p>
      <w:pPr>
        <w:spacing w:after="0" w:line="12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Revenue in Europe and Russia decreased $1.9 million, or 30.0%, for the first quarter of fiscal 2017 compared with the same quarter of fiscal 2016. The decrease was primarily due to lower sales to some of our large customers in the region.</w:t>
      </w:r>
    </w:p>
    <w:p>
      <w:pPr>
        <w:spacing w:after="0" w:line="116"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Revenue in Latin America and Asia Pacific increased $0.2 million, or 1.5%, during the first quarter of fiscal 2017 compared with the same quarter in fiscal 2016. The increase was primarily due to increased deliveries to our larger customers in Asia Pacific, and an offset by a large project in Latin America that was completed in the same quarter of fiscal 2016.</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October 2,</w:t>
            </w:r>
          </w:p>
        </w:tc>
        <w:tc>
          <w:tcPr>
            <w:tcW w:w="220" w:type="dxa"/>
            <w:vAlign w:val="bottom"/>
          </w:tcPr>
          <w:p>
            <w:pPr>
              <w:spacing w:after="0"/>
              <w:rPr>
                <w:sz w:val="13"/>
                <w:szCs w:val="13"/>
                <w:color w:val="auto"/>
              </w:rPr>
            </w:pPr>
          </w:p>
        </w:tc>
        <w:tc>
          <w:tcPr>
            <w:tcW w:w="10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3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34,724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53,686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Services</w:t>
            </w:r>
          </w:p>
        </w:tc>
        <w:tc>
          <w:tcPr>
            <w:tcW w:w="1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23,483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25,869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58,207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79,555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Our revenue from product sales decreased $19.0 million, or 35.3%, for the first quarter of fiscal 2017 compared with the same quarter in fiscal 2016. Product volumes were lower in all sectors, except for Asia-Pacific. The majority of the decrease was in the Middle East, Africa and North America due to reduction in order volumes from mobile operators in those sectors. Our services revenue decreased by $2.4 million, or 9.2%, during the first quarter of fiscal 2017 compared with the same quarter of fiscal 2016. Most of the reduction was with customers in the Middle East and Africa, partially offset by an increase in Asia-Pacific.</w:t>
      </w:r>
    </w:p>
    <w:p>
      <w:pPr>
        <w:spacing w:after="0" w:line="134"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During the first quarter of fiscal 2017 and 2016, MTN Group in Africa accounted for 10% and 18%, respectively, of our total revenue. We have entered into separate and distinct contracts with MTN Group as well as separate arrangements with various MTN Group subsidiaries. The loss of all business from MTN Group could adversely affect our results of operations, cash flows and financial 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Pr>
          <w:p>
            <w:pPr>
              <w:spacing w:after="0"/>
              <w:rPr>
                <w:sz w:val="13"/>
                <w:szCs w:val="13"/>
                <w:color w:val="auto"/>
              </w:rPr>
            </w:pPr>
          </w:p>
        </w:tc>
        <w:tc>
          <w:tcPr>
            <w:tcW w:w="12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2,</w:t>
            </w:r>
          </w:p>
        </w:tc>
        <w:tc>
          <w:tcPr>
            <w:tcW w:w="220" w:type="dxa"/>
            <w:vAlign w:val="bottom"/>
          </w:tcPr>
          <w:p>
            <w:pPr>
              <w:spacing w:after="0"/>
              <w:rPr>
                <w:sz w:val="13"/>
                <w:szCs w:val="13"/>
                <w:color w:val="auto"/>
              </w:rPr>
            </w:pPr>
          </w:p>
        </w:tc>
        <w:tc>
          <w:tcPr>
            <w:tcW w:w="10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3"/>
                <w:szCs w:val="13"/>
                <w:color w:val="auto"/>
              </w:rPr>
            </w:pPr>
          </w:p>
        </w:tc>
        <w:tc>
          <w:tcPr>
            <w:tcW w:w="13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58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58,207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79,555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21"/>
                <w:szCs w:val="21"/>
                <w:color w:val="auto"/>
              </w:rPr>
            </w:pPr>
          </w:p>
        </w:tc>
        <w:tc>
          <w:tcPr>
            <w:tcW w:w="1160" w:type="dxa"/>
            <w:vAlign w:val="bottom"/>
          </w:tcPr>
          <w:p>
            <w:pPr>
              <w:jc w:val="right"/>
              <w:ind w:right="97"/>
              <w:spacing w:after="0"/>
              <w:rPr>
                <w:sz w:val="20"/>
                <w:szCs w:val="20"/>
                <w:color w:val="auto"/>
              </w:rPr>
            </w:pPr>
            <w:r>
              <w:rPr>
                <w:rFonts w:ascii="Arial" w:cs="Arial" w:eastAsia="Arial" w:hAnsi="Arial"/>
                <w:sz w:val="18"/>
                <w:szCs w:val="18"/>
                <w:color w:val="auto"/>
              </w:rPr>
              <w:t>40,842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9"/>
              <w:spacing w:after="0"/>
              <w:rPr>
                <w:sz w:val="20"/>
                <w:szCs w:val="20"/>
                <w:color w:val="auto"/>
              </w:rPr>
            </w:pPr>
            <w:r>
              <w:rPr>
                <w:rFonts w:ascii="Arial" w:cs="Arial" w:eastAsia="Arial" w:hAnsi="Arial"/>
                <w:sz w:val="18"/>
                <w:szCs w:val="18"/>
                <w:color w:val="auto"/>
              </w:rPr>
              <w:t>58,544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(17,702)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17,365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21,011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5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ind w:left="200"/>
              <w:spacing w:after="0"/>
              <w:rPr>
                <w:sz w:val="20"/>
                <w:szCs w:val="20"/>
                <w:color w:val="auto"/>
              </w:rPr>
            </w:pPr>
            <w:r>
              <w:rPr>
                <w:rFonts w:ascii="Arial" w:cs="Arial" w:eastAsia="Arial" w:hAnsi="Arial"/>
                <w:sz w:val="18"/>
                <w:szCs w:val="18"/>
                <w:color w:val="auto"/>
              </w:rPr>
              <w:t>% of revenue</w:t>
            </w:r>
          </w:p>
        </w:tc>
        <w:tc>
          <w:tcPr>
            <w:tcW w:w="3540" w:type="dxa"/>
            <w:vAlign w:val="bottom"/>
          </w:tcPr>
          <w:p>
            <w:pPr>
              <w:jc w:val="right"/>
              <w:ind w:right="410"/>
              <w:spacing w:after="0"/>
              <w:rPr>
                <w:sz w:val="20"/>
                <w:szCs w:val="20"/>
                <w:color w:val="auto"/>
              </w:rPr>
            </w:pPr>
            <w:r>
              <w:rPr>
                <w:rFonts w:ascii="Arial" w:cs="Arial" w:eastAsia="Arial" w:hAnsi="Arial"/>
                <w:sz w:val="18"/>
                <w:szCs w:val="18"/>
                <w:color w:val="auto"/>
              </w:rPr>
              <w:t>29.8%</w:t>
            </w:r>
          </w:p>
        </w:tc>
        <w:tc>
          <w:tcPr>
            <w:tcW w:w="3800" w:type="dxa"/>
            <w:vAlign w:val="bottom"/>
          </w:tcPr>
          <w:p>
            <w:pPr>
              <w:jc w:val="right"/>
              <w:ind w:right="2770"/>
              <w:spacing w:after="0"/>
              <w:rPr>
                <w:sz w:val="20"/>
                <w:szCs w:val="20"/>
                <w:color w:val="auto"/>
              </w:rPr>
            </w:pPr>
            <w:r>
              <w:rPr>
                <w:rFonts w:ascii="Arial" w:cs="Arial" w:eastAsia="Arial" w:hAnsi="Arial"/>
                <w:sz w:val="18"/>
                <w:szCs w:val="18"/>
                <w:color w:val="auto"/>
              </w:rPr>
              <w:t>26.4%</w:t>
            </w:r>
          </w:p>
        </w:tc>
      </w:tr>
      <w:tr>
        <w:trPr>
          <w:trHeight w:val="27"/>
        </w:trPr>
        <w:tc>
          <w:tcPr>
            <w:tcW w:w="40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Product margin %</w:t>
            </w:r>
          </w:p>
        </w:tc>
        <w:tc>
          <w:tcPr>
            <w:tcW w:w="3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28.4%</w:t>
            </w:r>
          </w:p>
        </w:tc>
        <w:tc>
          <w:tcPr>
            <w:tcW w:w="3800" w:type="dxa"/>
            <w:vAlign w:val="bottom"/>
            <w:tcBorders>
              <w:bottom w:val="single" w:sz="8" w:color="CCEEFF"/>
            </w:tcBorders>
            <w:shd w:val="clear" w:color="auto" w:fill="CCEEFF"/>
          </w:tcPr>
          <w:p>
            <w:pPr>
              <w:jc w:val="right"/>
              <w:ind w:right="2770"/>
              <w:spacing w:after="0"/>
              <w:rPr>
                <w:sz w:val="20"/>
                <w:szCs w:val="20"/>
                <w:color w:val="auto"/>
              </w:rPr>
            </w:pPr>
            <w:r>
              <w:rPr>
                <w:rFonts w:ascii="Arial" w:cs="Arial" w:eastAsia="Arial" w:hAnsi="Arial"/>
                <w:sz w:val="18"/>
                <w:szCs w:val="18"/>
                <w:color w:val="auto"/>
              </w:rPr>
              <w:t>30.7%</w:t>
            </w:r>
          </w:p>
        </w:tc>
      </w:tr>
      <w:tr>
        <w:trPr>
          <w:trHeight w:val="243"/>
        </w:trPr>
        <w:tc>
          <w:tcPr>
            <w:tcW w:w="4080" w:type="dxa"/>
            <w:vAlign w:val="bottom"/>
          </w:tcPr>
          <w:p>
            <w:pPr>
              <w:ind w:left="200"/>
              <w:spacing w:after="0"/>
              <w:rPr>
                <w:sz w:val="20"/>
                <w:szCs w:val="20"/>
                <w:color w:val="auto"/>
              </w:rPr>
            </w:pPr>
            <w:r>
              <w:rPr>
                <w:rFonts w:ascii="Arial" w:cs="Arial" w:eastAsia="Arial" w:hAnsi="Arial"/>
                <w:sz w:val="18"/>
                <w:szCs w:val="18"/>
                <w:color w:val="auto"/>
              </w:rPr>
              <w:t>Service margin %</w:t>
            </w:r>
          </w:p>
        </w:tc>
        <w:tc>
          <w:tcPr>
            <w:tcW w:w="3540" w:type="dxa"/>
            <w:vAlign w:val="bottom"/>
          </w:tcPr>
          <w:p>
            <w:pPr>
              <w:jc w:val="right"/>
              <w:ind w:right="410"/>
              <w:spacing w:after="0"/>
              <w:rPr>
                <w:sz w:val="20"/>
                <w:szCs w:val="20"/>
                <w:color w:val="auto"/>
              </w:rPr>
            </w:pPr>
            <w:r>
              <w:rPr>
                <w:rFonts w:ascii="Arial" w:cs="Arial" w:eastAsia="Arial" w:hAnsi="Arial"/>
                <w:sz w:val="18"/>
                <w:szCs w:val="18"/>
                <w:color w:val="auto"/>
              </w:rPr>
              <w:t>31.9%</w:t>
            </w:r>
          </w:p>
        </w:tc>
        <w:tc>
          <w:tcPr>
            <w:tcW w:w="3800" w:type="dxa"/>
            <w:vAlign w:val="bottom"/>
          </w:tcPr>
          <w:p>
            <w:pPr>
              <w:jc w:val="right"/>
              <w:ind w:right="2770"/>
              <w:spacing w:after="0"/>
              <w:rPr>
                <w:sz w:val="20"/>
                <w:szCs w:val="20"/>
                <w:color w:val="auto"/>
              </w:rPr>
            </w:pPr>
            <w:r>
              <w:rPr>
                <w:rFonts w:ascii="Arial" w:cs="Arial" w:eastAsia="Arial" w:hAnsi="Arial"/>
                <w:sz w:val="18"/>
                <w:szCs w:val="18"/>
                <w:color w:val="auto"/>
              </w:rPr>
              <w:t>17.4%</w:t>
            </w:r>
          </w:p>
        </w:tc>
      </w:tr>
    </w:tbl>
    <w:p>
      <w:pPr>
        <w:spacing w:after="0" w:line="175"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Gross margin for the first quarter of fiscal 2017 decreased by $3.6 million, or 17.4%, compared with the same periods in fiscal 2016. The decrease came primarily from reduced margin contribution from lower revenue volume that exceeded improved profit margins on service revenues and reduced supply chain costs year over year.</w:t>
      </w:r>
    </w:p>
    <w:p>
      <w:pPr>
        <w:spacing w:after="0" w:line="127" w:lineRule="exact"/>
        <w:rPr>
          <w:sz w:val="20"/>
          <w:szCs w:val="20"/>
          <w:color w:val="auto"/>
        </w:rPr>
      </w:pPr>
    </w:p>
    <w:p>
      <w:pPr>
        <w:ind w:right="260" w:firstLine="486"/>
        <w:spacing w:after="0" w:line="312" w:lineRule="auto"/>
        <w:rPr>
          <w:sz w:val="20"/>
          <w:szCs w:val="20"/>
          <w:color w:val="auto"/>
        </w:rPr>
      </w:pPr>
      <w:r>
        <w:rPr>
          <w:rFonts w:ascii="Arial" w:cs="Arial" w:eastAsia="Arial" w:hAnsi="Arial"/>
          <w:sz w:val="16"/>
          <w:szCs w:val="16"/>
          <w:color w:val="auto"/>
        </w:rPr>
        <w:t>Gross margin as a percentage of revenue increased in the first quarter of fiscal 2017 compared with the same quarter of fiscal 2016, primarily due to improved service margins and lower supply chain costs. Product margin as a percentage of product revenue decreased slightly from the prior year quarter primarily due to supply chain costs increasing as a percentage of sales, while supply chain actual costs fell relative to the prior year. Service margin as 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2" w:name="page23"/>
    <w:bookmarkEnd w:id="22"/>
    <w:p>
      <w:pPr>
        <w:ind w:right="1620"/>
        <w:spacing w:after="0" w:line="433" w:lineRule="auto"/>
        <w:rPr>
          <w:sz w:val="20"/>
          <w:szCs w:val="20"/>
          <w:color w:val="auto"/>
        </w:rPr>
      </w:pPr>
      <w:r>
        <w:rPr>
          <w:rFonts w:ascii="Arial" w:cs="Arial" w:eastAsia="Arial" w:hAnsi="Arial"/>
          <w:sz w:val="18"/>
          <w:szCs w:val="18"/>
          <w:color w:val="auto"/>
        </w:rPr>
        <w:t xml:space="preserve">percentage of service revenue increased primarily due to lower service costs leading to more profitable service business in most sectors. </w:t>
      </w:r>
      <w:r>
        <w:rPr>
          <w:rFonts w:ascii="Arial" w:cs="Arial" w:eastAsia="Arial" w:hAnsi="Arial"/>
          <w:sz w:val="18"/>
          <w:szCs w:val="18"/>
          <w:b w:val="1"/>
          <w:bCs w:val="1"/>
          <w:i w:val="1"/>
          <w:iCs w:val="1"/>
          <w:color w:val="auto"/>
        </w:rPr>
        <w:t>Research and Development Expenses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2,</w:t>
            </w:r>
          </w:p>
        </w:tc>
        <w:tc>
          <w:tcPr>
            <w:tcW w:w="22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3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5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4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4,943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5,476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 of revenue</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Our research and development expenses decreased $0.5 million, or 9.7%, in the first quarter of fiscal 2017 compared with the same period in fiscal 2016. The decrease for the first quarter of fiscal 2017 compared with the same quarter in fiscal 2016 was primarily due to a $0.4 million economic incentive grant credit in the first quarter of fiscal 2017 and a $0.2 million reductions in product development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Pr>
          <w:p>
            <w:pPr>
              <w:spacing w:after="0"/>
              <w:rPr>
                <w:sz w:val="13"/>
                <w:szCs w:val="13"/>
                <w:color w:val="auto"/>
              </w:rPr>
            </w:pPr>
          </w:p>
        </w:tc>
        <w:tc>
          <w:tcPr>
            <w:tcW w:w="12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2,</w:t>
            </w: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36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5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4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15,187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17,112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5840" w:type="dxa"/>
            <w:vAlign w:val="bottom"/>
          </w:tcPr>
          <w:p>
            <w:pPr>
              <w:ind w:left="200"/>
              <w:spacing w:after="0"/>
              <w:rPr>
                <w:sz w:val="20"/>
                <w:szCs w:val="20"/>
                <w:color w:val="auto"/>
              </w:rPr>
            </w:pPr>
            <w:r>
              <w:rPr>
                <w:rFonts w:ascii="Arial" w:cs="Arial" w:eastAsia="Arial" w:hAnsi="Arial"/>
                <w:sz w:val="18"/>
                <w:szCs w:val="18"/>
                <w:color w:val="auto"/>
              </w:rPr>
              <w:t>% of revenue</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Our selling and administrative expenses declined $1.9 million, or 11.2% in the first quarter of fiscal 2017 compared with the same period in fiscal 2016. The decrease for the first quarter of fiscal 2017 compared with the same quarter in fiscal 2016 was primarily due to a $1.3 million decrease in personnel and related expenses as a result of the restructuring programs we implemented, a $0.3 million decrease in professional fees, and a $0.7 million decrease in commission expenses. The decreases were partially offset by a $0.2 million accelerated depreciation of Santa Clara building leasehold improvements.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Our restructuring charges for the first quarter of fiscal 2017 and 2016 are $0.2 million and less than $0.1 million, respectively. Our restructuring expenses consisted primarily of severance and related benefit charges, facilities costs related to obligations under non-cancelable leases for facilities that we ceased to use.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October 2,</w:t>
            </w: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3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5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183"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Interest expense was primarily related to interest associated with borrowings and term loan under the SVB Credit Facility and discounts on customer letters of credit.</w:t>
      </w:r>
    </w:p>
    <w:p>
      <w:pPr>
        <w:spacing w:after="0" w:line="11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Other expense related to the foreign exchange loss on a dividend declared by our Nigeria entity (a partnership for U.S. tax purposes) to Aviat U.S. entity due to continuing devaluation of the Nigerian Naira in the first quarter of fiscal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October 2,</w:t>
            </w: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3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6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0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(2,458)</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 During the first quarter of fiscal 2017, we received a tax refund of $3.7 million from the Inland Revenue Authority of Singapore related to an assessment we paid in fiscal year 2014 related to deductions claimed in tax years 2007 through 2010. This tax refund was recorded as a discrete tax benefit during the quarter. The determination of the effective tax rate reflects tax expense and benefit generated in certain foreign jurisdictions. However, jurisdictions with a year-to-date loss where no tax benefit can be recognized are excluded from the annual effective tax rate.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3"/>
                <w:szCs w:val="13"/>
                <w:color w:val="auto"/>
              </w:rPr>
            </w:pPr>
          </w:p>
        </w:tc>
        <w:tc>
          <w:tcPr>
            <w:tcW w:w="1420" w:type="dxa"/>
            <w:vAlign w:val="bottom"/>
            <w:gridSpan w:val="3"/>
          </w:tcPr>
          <w:p>
            <w:pPr>
              <w:jc w:val="center"/>
              <w:ind w:right="50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1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October 2,</w:t>
            </w:r>
          </w:p>
        </w:tc>
        <w:tc>
          <w:tcPr>
            <w:tcW w:w="220" w:type="dxa"/>
            <w:vAlign w:val="bottom"/>
          </w:tcPr>
          <w:p>
            <w:pPr>
              <w:spacing w:after="0"/>
              <w:rPr>
                <w:sz w:val="13"/>
                <w:szCs w:val="13"/>
                <w:color w:val="auto"/>
              </w:rPr>
            </w:pPr>
          </w:p>
        </w:tc>
        <w:tc>
          <w:tcPr>
            <w:tcW w:w="10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138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Our discontinued operations consist of the WiMAX business, which was sold on September 2, 2011. The income recognized in the first quarter of fiscal 2016 was primarily due to recovery of certain WiMAX customer receivables that were previously written down.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jc w:val="both"/>
        <w:ind w:right="380" w:firstLine="486"/>
        <w:spacing w:after="0" w:line="312" w:lineRule="auto"/>
        <w:rPr>
          <w:sz w:val="20"/>
          <w:szCs w:val="20"/>
          <w:color w:val="auto"/>
        </w:rPr>
      </w:pPr>
      <w:r>
        <w:rPr>
          <w:rFonts w:ascii="Arial" w:cs="Arial" w:eastAsia="Arial" w:hAnsi="Arial"/>
          <w:sz w:val="16"/>
          <w:szCs w:val="16"/>
          <w:color w:val="auto"/>
        </w:rPr>
        <w:t>As of September 30, 2016, our total cash and cash equivalents were $31.8 million of which $16.2 million, or 51%, was held by entities outside the United States. Of the amount of cash and cash equivalents held by our foreign subsidiaries at September 30, 2016, $12.2 million was held in jurisdictions where our undistributed earnings are indefinitely reinvested, and if repatriated, would be subject to U.S. taxes which are currently nominal.</w:t>
      </w:r>
    </w:p>
    <w:p>
      <w:pPr>
        <w:spacing w:after="0" w:line="93"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As of September 30, 2016, our principal sources of liquidity consisted of the $31.8 million in cash and cash equivalents, $2.0 million of available credit under our $30.0 million SVB Credit Facility which expires on June 30, 2018 and future collections of receivables from customers. As of September 30, 2016, we were in compliance with the amended financial covenants contained in the SVB Credit Facility. However, as a result of uncertainty on our ability to continue to meet the financial covenants in the future and the fact that the SVB Credit Facility contains subjective acceleration clauses that could be triggered by the lender, the $8.0 million and $9.0 million borrowing was classified as a current liability as of September 30, 2016 and July 1, 2016.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the first quarter of fiscal 2017, our total cash and cash equivalents increased by $1.3 million primarily due to $3.8 million of cash provided by operating activities, offset by $1.3 million of cash used for capital expenditures, $1.0 million of cash used in net repayment of SVB Credit Facility, and $0.2 million effect of exchange rate changes on cash and cash equivalents.</w:t>
      </w:r>
    </w:p>
    <w:p>
      <w:pPr>
        <w:spacing w:after="0" w:line="11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Cash provided by operating activities was $3.8 million in the first quarter of fiscal 2017 as compared to cash used in operating activities of $1.8 million in the first quarter of fiscal 2016. Cash provided by operating activities is presented as net loss adjusted for non-cash items and changes in operating assets and liabilities. Net loss decreased by $0.6 million, net contribution of non-cash items to cash provided by operating activities decreased by $1.3 million and net contribution of changes in operating assets and liabilities to cash provided by operating activities increased by $2.8 million for the first quarter of fiscal 2017 as compared to the same period in fiscal 2016.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4" w:name="page25"/>
    <w:bookmarkEnd w:id="24"/>
    <w:p>
      <w:pPr>
        <w:ind w:right="80" w:firstLine="486"/>
        <w:spacing w:after="0" w:line="342" w:lineRule="auto"/>
        <w:rPr>
          <w:sz w:val="20"/>
          <w:szCs w:val="20"/>
          <w:color w:val="auto"/>
        </w:rPr>
      </w:pPr>
      <w:r>
        <w:rPr>
          <w:rFonts w:ascii="Arial" w:cs="Arial" w:eastAsia="Arial" w:hAnsi="Arial"/>
          <w:sz w:val="16"/>
          <w:szCs w:val="16"/>
          <w:color w:val="auto"/>
        </w:rPr>
        <w:t>The $0.6 million decrease in net loss includes a $3.7 million tax refund from the Inland Revenue Authority of Singapore related to a $13.2 million tax assessment we paid in fiscal year 2014. This tax refund was recorded as a discrete tax benefit when it was received during our first quarter of fiscal 2017.</w:t>
      </w:r>
    </w:p>
    <w:p>
      <w:pPr>
        <w:spacing w:after="0" w:line="70"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The $1.3 million decrease in the net contribution of non-cash items to cash provided by operating activities was primarily due to a $0.3 million decrease in charges for inventory write-downs and provision for receivables each, respectively, a $0.4 million decrease in deferred income taxes, and a $0.2 million decrease in loss on disposition of property, plant and equipment.</w:t>
      </w:r>
    </w:p>
    <w:p>
      <w:pPr>
        <w:spacing w:after="0" w:line="12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Changes in operating assets and liabilities resulted in a net increase of $2.8 million to cash provided by operating activities for the first quarters of fiscal 2017 as compared to the same period in 2016. Accounts receivable and unbilled costs fluctuate from period to period, depending on the amount, timing of sales and billing activities as well as cash collections. The fluctuations in accounts payable and accrued expenses were primarily due to the timing liabilities incurred and vendor payments. The change in inventories and in customer service inventories were primarily due to demand. The decrease in customer advance payments and unearned income was due to the timing of payment from customers and revenue recognition. We used $1.7 million in cash during the first quarter of fiscal 2017 on expenses related to restructuring liabilities.</w:t>
      </w:r>
    </w:p>
    <w:p>
      <w:pPr>
        <w:spacing w:after="0" w:line="124"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During the remainder of fiscal year 2017, we expect to spend approximately $1.7 million for capital expenditures, primarily on equipment for development and manufacturing of new products and to support customer managed services.</w:t>
      </w:r>
    </w:p>
    <w:p>
      <w:pPr>
        <w:spacing w:after="0" w:line="11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Our SVB Credit Facility expires on June 30, 2018. While we intend to renew and expect the SVB Credit Facility to be renewed, there can be no assurance that the SVB Credit Facility will be renewed. In addition, there can be no assurance that our business will generate cash flow from operations, we will be in compliance with the quarterly financial covenants contained in the SVB Credit Facility, or that we will have a sufficient borrowing base under such facility, or that anticipated operational improvements will be achieved. If we are not in compliance with the financial covenants or do not have sufficient eligible accounts receivable to support our borrowing base,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We had liabilities for restructuring activities totaling $3.3 million as of September 30, 2016, $2.7 million of which was classified as current liability and expected to be paid out in cash over the next 12 months. We expect to fund these future payments with available cash and cash provided by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The amounts disclosed in our fiscal 2016 Annual Report on Form 10-K filed with the SEC on September 9, 2016 include our commercial commitments and contractual obligations. During the first quarter of fiscal 2017, no material changes occurred in our contractual obligations to purchase goods and services and to make payments under operating leases or our commercial commitments and contingent liabilities on outstanding letters of credit, guarantees and other arrangements as disclosed in our fiscal 2016 Annual Report on Form 10-K. Please refer to Note 11, “Commitments and Contingencies” of the Notes to Condensed Consolidated Financial Statements in this Quarterly Report on Form 10-Q.</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2016 Annual Report on Form 10-K.</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746"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use foreign exchange forward contracts to hedge forecasted foreign currency transactions relating to forecasted sales and purchase transactions. Prior to the fourth quarter of fiscal 2015, these derivatives were designated as cash flow hedges. The effective portion of the gain or loss was initially reported as a component of accumulated other comprehensive income (loss), and upon occurrence of the forecasted transaction, was subsequently reclassified into the income or expense line item to which the hedged transaction relates. Beginning the fourth quarter of fiscal 2015, we no longer prepared contemporaneous documentation of hedges for the new foreign exchange forward contracts we entered into. As a result, the foreign exchange hedges no longer qualified as cash flow hedges. The changes in fair value related to the hedges were recorded in income or expenses line items on our statements of operations. The last qualifying cash flow hedges occurred in the first quarter of fiscal 2016 and we reclassified $41 thousands gain out of accumulated other comprehensive loss into cost of revenues during the first quarter of fiscal 2016.</w:t>
      </w:r>
    </w:p>
    <w:p>
      <w:pPr>
        <w:spacing w:after="0" w:line="125"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27"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As of September 30, 2016, we had foreign currency forward contracts outstanding with a total notional amount of $6.8 million consisting of 3 different currencies. The following is a summary of the gross notional amount of our outstanding contracts grouped by the underlying foreign currency as of September 30, 2016:</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5"/>
              </w:rPr>
              <w:t>Notional Contract</w:t>
            </w:r>
          </w:p>
        </w:tc>
        <w:tc>
          <w:tcPr>
            <w:tcW w:w="460" w:type="dxa"/>
            <w:vAlign w:val="bottom"/>
          </w:tcPr>
          <w:p>
            <w:pPr>
              <w:spacing w:after="0"/>
              <w:rPr>
                <w:sz w:val="14"/>
                <w:szCs w:val="14"/>
                <w:color w:val="auto"/>
              </w:rPr>
            </w:pPr>
          </w:p>
        </w:tc>
        <w:tc>
          <w:tcPr>
            <w:tcW w:w="1140" w:type="dxa"/>
            <w:vAlign w:val="bottom"/>
          </w:tcPr>
          <w:p>
            <w:pPr>
              <w:jc w:val="center"/>
              <w:ind w:right="379"/>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jc w:val="center"/>
              <w:ind w:right="379"/>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8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Amount</w:t>
            </w:r>
          </w:p>
        </w:tc>
        <w:tc>
          <w:tcPr>
            <w:tcW w:w="460" w:type="dxa"/>
            <w:vAlign w:val="bottom"/>
          </w:tcPr>
          <w:p>
            <w:pPr>
              <w:spacing w:after="0"/>
              <w:rPr>
                <w:sz w:val="12"/>
                <w:szCs w:val="12"/>
                <w:color w:val="auto"/>
              </w:rPr>
            </w:pPr>
          </w:p>
        </w:tc>
        <w:tc>
          <w:tcPr>
            <w:tcW w:w="1140" w:type="dxa"/>
            <w:vAlign w:val="bottom"/>
          </w:tcPr>
          <w:p>
            <w:pPr>
              <w:jc w:val="center"/>
              <w:ind w:right="359"/>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8120" w:type="dxa"/>
            <w:vAlign w:val="bottom"/>
            <w:gridSpan w:val="2"/>
            <w:vMerge w:val="continue"/>
          </w:tcPr>
          <w:p>
            <w:pPr>
              <w:spacing w:after="0"/>
              <w:rPr>
                <w:sz w:val="16"/>
                <w:szCs w:val="16"/>
                <w:color w:val="auto"/>
              </w:rPr>
            </w:pPr>
          </w:p>
        </w:tc>
        <w:tc>
          <w:tcPr>
            <w:tcW w:w="1700" w:type="dxa"/>
            <w:vAlign w:val="bottom"/>
          </w:tcPr>
          <w:p>
            <w:pPr>
              <w:jc w:val="center"/>
              <w:ind w:right="20"/>
              <w:spacing w:after="0"/>
              <w:rPr>
                <w:sz w:val="20"/>
                <w:szCs w:val="20"/>
                <w:color w:val="auto"/>
              </w:rPr>
            </w:pPr>
            <w:r>
              <w:rPr>
                <w:rFonts w:ascii="Arial" w:cs="Arial" w:eastAsia="Arial" w:hAnsi="Arial"/>
                <w:sz w:val="14"/>
                <w:szCs w:val="14"/>
                <w:b w:val="1"/>
                <w:bCs w:val="1"/>
                <w:color w:val="auto"/>
                <w:w w:val="97"/>
              </w:rPr>
              <w:t>(Local Currency)</w:t>
            </w:r>
          </w:p>
        </w:tc>
        <w:tc>
          <w:tcPr>
            <w:tcW w:w="460" w:type="dxa"/>
            <w:vAlign w:val="bottom"/>
          </w:tcPr>
          <w:p>
            <w:pPr>
              <w:spacing w:after="0"/>
              <w:rPr>
                <w:sz w:val="16"/>
                <w:szCs w:val="16"/>
                <w:color w:val="auto"/>
              </w:rPr>
            </w:pPr>
          </w:p>
        </w:tc>
        <w:tc>
          <w:tcPr>
            <w:tcW w:w="1140" w:type="dxa"/>
            <w:vAlign w:val="bottom"/>
          </w:tcPr>
          <w:p>
            <w:pPr>
              <w:jc w:val="center"/>
              <w:ind w:right="359"/>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8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Japanese yen</w:t>
            </w:r>
          </w:p>
        </w:tc>
        <w:tc>
          <w:tcPr>
            <w:tcW w:w="1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8"/>
                <w:szCs w:val="18"/>
                <w:color w:val="auto"/>
              </w:rPr>
              <w:t>500,046</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British pound</w:t>
            </w:r>
          </w:p>
        </w:tc>
        <w:tc>
          <w:tcPr>
            <w:tcW w:w="1700" w:type="dxa"/>
            <w:vAlign w:val="bottom"/>
          </w:tcPr>
          <w:p>
            <w:pPr>
              <w:jc w:val="right"/>
              <w:ind w:right="120"/>
              <w:spacing w:after="0"/>
              <w:rPr>
                <w:sz w:val="20"/>
                <w:szCs w:val="20"/>
                <w:color w:val="auto"/>
              </w:rPr>
            </w:pPr>
            <w:r>
              <w:rPr>
                <w:rFonts w:ascii="Arial" w:cs="Arial" w:eastAsia="Arial" w:hAnsi="Arial"/>
                <w:sz w:val="18"/>
                <w:szCs w:val="18"/>
                <w:color w:val="auto"/>
              </w:rPr>
              <w:t>750</w:t>
            </w:r>
          </w:p>
        </w:tc>
        <w:tc>
          <w:tcPr>
            <w:tcW w:w="46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17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8"/>
                <w:szCs w:val="18"/>
                <w:color w:val="auto"/>
              </w:rPr>
              <w:t>1,200</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5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7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Net foreign exchange income (loss) recorded in our condensed consolidated statements of operations during the first quarter of fiscal 2017 and 2016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40" w:type="dxa"/>
            <w:vAlign w:val="bottom"/>
          </w:tcPr>
          <w:p>
            <w:pPr>
              <w:jc w:val="right"/>
              <w:ind w:right="299"/>
              <w:spacing w:after="0" w:line="15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included in costs of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Amount included in 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A 10% adverse change in currency exchange rates for our foreign currency derivatives held as of September 30, 2016 would have an impact of approximately $0.7 million on the fair value of such instruments.</w:t>
      </w:r>
    </w:p>
    <w:p>
      <w:pPr>
        <w:spacing w:after="0" w:line="116"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Certain of our international business was transacted in non-U.S. dollar currency. As discussed above, we utilize foreign currency hedging instruments to minimize the currency risk of international transactions. The impact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50" w:right="239" w:bottom="1440" w:gutter="0" w:footer="0" w:header="0"/>
        </w:sectPr>
      </w:pPr>
    </w:p>
    <w:bookmarkStart w:id="26" w:name="page27"/>
    <w:bookmarkEnd w:id="26"/>
    <w:p>
      <w:pPr>
        <w:ind w:right="100"/>
        <w:spacing w:after="0" w:line="264" w:lineRule="auto"/>
        <w:rPr>
          <w:sz w:val="20"/>
          <w:szCs w:val="20"/>
          <w:color w:val="auto"/>
        </w:rPr>
      </w:pPr>
      <w:r>
        <w:rPr>
          <w:rFonts w:ascii="Arial" w:cs="Arial" w:eastAsia="Arial" w:hAnsi="Arial"/>
          <w:sz w:val="18"/>
          <w:szCs w:val="18"/>
          <w:color w:val="auto"/>
        </w:rPr>
        <w:t>translating the assets and liabilities of foreign operations to U.S. dollars for the first quarter of fiscal 2017 was $0.4 million and was included as a component of stockholders’ equity. As of September 30, 2016 and July 1, 2016, the cumulative translation adjustment decreased our stockholders’ equity by $11.5 million and $11.2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exposure to market risk for changes in interest rates relates primarily to our cash equivalents and borrowings under our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171"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We had $31.8 million in total cash and cash equivalents as of September 30, 2016. Cash equivalents totaled $15.8 million as of September 30, 2016 and were comprised of money market funds and bank certificates of deposit. Cash equivalents have been recorded at fair value on our balance sheet.</w:t>
      </w:r>
    </w:p>
    <w:p>
      <w:pPr>
        <w:spacing w:after="0" w:line="70"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September 30, 2016 was 349 days, and these investments had an average yield of 6.81% per annum. A 10% change in interest rates on our cash and cash equivalents is not expected to have a material impact on our financial position, results of operations or cash flows.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During the first quarter of fiscal 2017, we had $8.0 million of borrowings outstanding under the SVB Credit Facility that incurred interest at the prime rate plus a spread of 0.50% to 1.50% with such spread determined based on our adjusted quick ratio. During the first quarter of fiscal 2017, our weighted average interest rate was 4.00% and the interest expense on these borrowings was insignificant.</w:t>
      </w:r>
    </w:p>
    <w:p>
      <w:pPr>
        <w:spacing w:after="0" w:line="127"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Based on management’s evaluation, with participation of our Chief Executive Officer (CEO) and Chief Financial Officer (CFO), as of the end of the period covered by this report, our CEO and CFO have concluded that our disclosure controls and procedures, as defined in Rules 13a-15(e) and 15d-15(e) under the Securities Exchange Act of 1934, as amended (the “Exchange Act”), as of September 30, 2016, are effective to provide reasonable assurance that the information. Based upon such review, the Chief Executive Officer and Chief Financial Officer have concluded that the Company’s disclosure controls and procedures are effective and are designed to ensure that information required to be disclosed by us in reports that we file or submit under the Exchange Act is recorded, processed, summarized and reported within the time periods specified in the Securities and Exchange Commission rules and forms, and is accumulated and communicated to management, including our principal executive officer and principal financial officer, as appropriate to allow timely decisions regarding required disclosure.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There were no changes to our internal control over financial reporting as defined in Rules 13a-15(f) or 15d-15(f) that occurred during our first quarter of fiscal 2017 that have materially affected, or are reasonably likely to materially affect, our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ind w:right="500" w:firstLine="486"/>
        <w:spacing w:after="0" w:line="264" w:lineRule="auto"/>
        <w:rPr>
          <w:sz w:val="20"/>
          <w:szCs w:val="20"/>
          <w:color w:val="auto"/>
        </w:rPr>
      </w:pPr>
      <w:r>
        <w:rPr>
          <w:rFonts w:ascii="Arial" w:cs="Arial" w:eastAsia="Arial" w:hAnsi="Arial"/>
          <w:sz w:val="18"/>
          <w:szCs w:val="18"/>
          <w:color w:val="auto"/>
        </w:rPr>
        <w:t>Our management, including the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46" w:right="259" w:bottom="1440" w:gutter="0" w:footer="0" w:header="0"/>
        </w:sectPr>
      </w:pPr>
    </w:p>
    <w:bookmarkStart w:id="27" w:name="page28"/>
    <w:bookmarkEnd w:id="27"/>
    <w:p>
      <w:pPr>
        <w:spacing w:after="0" w:line="293" w:lineRule="auto"/>
        <w:rPr>
          <w:sz w:val="20"/>
          <w:szCs w:val="20"/>
          <w:color w:val="auto"/>
        </w:rPr>
      </w:pPr>
      <w:r>
        <w:rPr>
          <w:rFonts w:ascii="Arial" w:cs="Arial" w:eastAsia="Arial" w:hAnsi="Arial"/>
          <w:sz w:val="16"/>
          <w:szCs w:val="16"/>
          <w:color w:val="auto"/>
        </w:rPr>
        <w:t>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746" w:right="299" w:bottom="1440" w:gutter="0" w:footer="0" w:header="0"/>
        </w:sectPr>
      </w:pPr>
    </w:p>
    <w:bookmarkStart w:id="28" w:name="page29"/>
    <w:bookmarkEnd w:id="28"/>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PART II.</w:t>
        <w:tab/>
        <w:t>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Please refer to Legal Proceedings under Note 11, “Commitments and Contingencies” of the Notes to Condensed Consolidated Financial Statements 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2016 Annual Report on Form 10-K filed with the SEC on September 9, 2016 .</w:t>
      </w:r>
    </w:p>
    <w:p>
      <w:pPr>
        <w:spacing w:after="0" w:line="127"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2016 Annual Report on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9360"/>
        <w:spacing w:after="0"/>
        <w:rPr>
          <w:sz w:val="20"/>
          <w:szCs w:val="20"/>
          <w:color w:val="auto"/>
        </w:rPr>
      </w:pPr>
      <w:r>
        <w:rPr>
          <w:rFonts w:ascii="Arial" w:cs="Arial" w:eastAsia="Arial" w:hAnsi="Arial"/>
          <w:sz w:val="17"/>
          <w:szCs w:val="17"/>
          <w:b w:val="1"/>
          <w:bCs w:val="1"/>
          <w:color w:val="auto"/>
        </w:rPr>
        <w:t>Item 5. Other Information</w:t>
      </w:r>
    </w:p>
    <w:p>
      <w:pPr>
        <w:spacing w:after="0" w:line="187" w:lineRule="exact"/>
        <w:rPr>
          <w:sz w:val="20"/>
          <w:szCs w:val="20"/>
          <w:color w:val="auto"/>
        </w:rPr>
      </w:pPr>
    </w:p>
    <w:p>
      <w:pPr>
        <w:jc w:val="center"/>
        <w:ind w:right="93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information required by this Item is set forth on the Exhibit Index (following the Signature section of this report) and is included, or incorporated by reference, in this Form 10-Q.</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904" w:right="259" w:bottom="1440" w:gutter="0" w:footer="0" w:header="0"/>
        </w:sectPr>
      </w:pPr>
    </w:p>
    <w:bookmarkStart w:id="29" w:name="page30"/>
    <w:bookmarkEnd w:id="29"/>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3310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Eric Chang</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Vice President, Corporate Controller and Principal Accounting Officer</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accounting officer and duly authorized officer)</w:t>
      </w: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796"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1420" w:type="dxa"/>
            <w:vAlign w:val="bottom"/>
            <w:gridSpan w:val="3"/>
          </w:tcPr>
          <w:p>
            <w:pPr>
              <w:ind w:left="50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tc>
      </w:tr>
      <w:tr>
        <w:trPr>
          <w:trHeight w:val="399"/>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10160" w:type="dxa"/>
            <w:vAlign w:val="bottom"/>
          </w:tcPr>
          <w:p>
            <w:pPr>
              <w:ind w:left="4700"/>
              <w:spacing w:after="0"/>
              <w:rPr>
                <w:sz w:val="20"/>
                <w:szCs w:val="20"/>
                <w:color w:val="auto"/>
              </w:rPr>
            </w:pPr>
            <w:r>
              <w:rPr>
                <w:rFonts w:ascii="Arial" w:cs="Arial" w:eastAsia="Arial" w:hAnsi="Arial"/>
                <w:sz w:val="14"/>
                <w:szCs w:val="14"/>
                <w:b w:val="1"/>
                <w:bCs w:val="1"/>
                <w:color w:val="auto"/>
              </w:rPr>
              <w:t>Descriptions</w:t>
            </w:r>
          </w:p>
        </w:tc>
      </w:tr>
      <w:tr>
        <w:trPr>
          <w:trHeight w:val="121"/>
        </w:trPr>
        <w:tc>
          <w:tcPr>
            <w:tcW w:w="1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160" w:type="dxa"/>
            <w:vAlign w:val="bottom"/>
            <w:tcBorders>
              <w:top w:val="single" w:sz="8" w:color="auto"/>
            </w:tcBorders>
          </w:tcPr>
          <w:p>
            <w:pPr>
              <w:spacing w:after="0"/>
              <w:rPr>
                <w:sz w:val="10"/>
                <w:szCs w:val="10"/>
                <w:color w:val="auto"/>
              </w:rPr>
            </w:pPr>
          </w:p>
        </w:tc>
      </w:tr>
      <w:tr>
        <w:trPr>
          <w:trHeight w:val="229"/>
        </w:trPr>
        <w:tc>
          <w:tcPr>
            <w:tcW w:w="1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Certificate of Elimination of the Series A Participating Preferred Stock (incorporated by reference to Exhibit 3.1 to the Current Report on</w:t>
            </w: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Form 8-K filed with the SEC on September 7, 2016, File No. 011-33278)</w:t>
            </w:r>
          </w:p>
        </w:tc>
      </w:tr>
      <w:tr>
        <w:trPr>
          <w:trHeight w:val="229"/>
        </w:trPr>
        <w:tc>
          <w:tcPr>
            <w:tcW w:w="116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Certificate of Designation of Rights, Preferences and Privileges of Series A Participating Preferred Stock (incorporated by reference to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Exhibit 3.2 to the Current Report on Form 8-K filed with the SEC on September 7, 2016, File No. 011-33278)</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29"/>
        </w:trPr>
        <w:tc>
          <w:tcPr>
            <w:tcW w:w="1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Tax Benefit Preservation Plan, dated as of September 6, 2016, by and between Aviat Networks, Inc. and Computershare Inc., as Rights</w:t>
            </w:r>
          </w:p>
        </w:tc>
      </w:tr>
      <w:tr>
        <w:trPr>
          <w:trHeight w:val="216"/>
        </w:trPr>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Agent (incorporated by reference to Exhibit 4.1 to the Current Report on Form 8-K filed with the SEC on September 7, 2016, File No. 011-</w:t>
            </w: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33278)</w:t>
            </w:r>
          </w:p>
        </w:tc>
      </w:tr>
      <w:tr>
        <w:trPr>
          <w:trHeight w:val="229"/>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Letter Agreement, dated September 13, 2016, among Aviat Networks, Inc., JDS1, LLC, Julian Singer and David S. Oros (incorporated by</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reference to Exhibit 10.1 to the Current Report on Form 8-K filed with the SEC on September 15, 2016 and to Exhibit 10.1 to the Current</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Report Form 8-K/A filed with the SEC on September 16, 2016, File No. 001-33278)</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16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16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1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75"/>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ind w:left="436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796"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30, 2016,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November 14, 2016</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Ralph Marimon, certify that:</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30, 2016,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November 14, 2016</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/s/ Ralph S. Marimon</w:t>
            </w:r>
          </w:p>
        </w:tc>
      </w:tr>
      <w:tr>
        <w:trPr>
          <w:trHeight w:val="27"/>
        </w:trPr>
        <w:tc>
          <w:tcPr>
            <w:tcW w:w="56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660" w:type="dxa"/>
            <w:vAlign w:val="bottom"/>
          </w:tcPr>
          <w:p>
            <w:pPr>
              <w:ind w:left="200"/>
              <w:spacing w:after="0"/>
              <w:rPr>
                <w:sz w:val="20"/>
                <w:szCs w:val="20"/>
                <w:color w:val="auto"/>
              </w:rPr>
            </w:pPr>
            <w:r>
              <w:rPr>
                <w:rFonts w:ascii="Arial" w:cs="Arial" w:eastAsia="Arial" w:hAnsi="Arial"/>
                <w:sz w:val="18"/>
                <w:szCs w:val="18"/>
                <w:color w:val="auto"/>
              </w:rPr>
              <w:t>Ralph S. Marimon</w:t>
            </w:r>
          </w:p>
        </w:tc>
      </w:tr>
      <w:tr>
        <w:trPr>
          <w:trHeight w:val="256"/>
        </w:trPr>
        <w:tc>
          <w:tcPr>
            <w:tcW w:w="568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660" w:type="dxa"/>
            <w:vAlign w:val="bottom"/>
          </w:tcPr>
          <w:p>
            <w:pPr>
              <w:ind w:left="200"/>
              <w:spacing w:after="0"/>
              <w:rPr>
                <w:sz w:val="20"/>
                <w:szCs w:val="20"/>
                <w:color w:val="auto"/>
              </w:rPr>
            </w:pPr>
            <w:r>
              <w:rPr>
                <w:rFonts w:ascii="Arial" w:cs="Arial" w:eastAsia="Arial" w:hAnsi="Arial"/>
                <w:sz w:val="18"/>
                <w:szCs w:val="18"/>
                <w:color w:val="auto"/>
                <w:w w:val="94"/>
              </w:rPr>
              <w:t>Senior Vice President and Chief Financial Officer, Principal</w:t>
            </w:r>
          </w:p>
        </w:tc>
      </w:tr>
      <w:tr>
        <w:trPr>
          <w:trHeight w:val="230"/>
        </w:trPr>
        <w:tc>
          <w:tcPr>
            <w:tcW w:w="5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September 30, 2016, as filed with the Securities and Exchange Commission on the date hereof (the “Report”), we, Michael A. Pangia, President and Chief Executive Officer of Aviat Networks, and Ralph S. Marimon, Senior Vice President and Chief Financial Officer, Principal Financial Officer of Aviat Networks, hereby certify, pursuant to Section 906 of the Sarbanes-Oxley Act of 2002, 18 U.S.C. §1350, that:</w:t>
      </w:r>
    </w:p>
    <w:p>
      <w:pPr>
        <w:spacing w:after="0" w:line="146"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96" w:lineRule="exact"/>
        <w:rPr>
          <w:rFonts w:ascii="Arial" w:cs="Arial" w:eastAsia="Arial" w:hAnsi="Arial"/>
          <w:sz w:val="17"/>
          <w:szCs w:val="17"/>
          <w:color w:val="auto"/>
        </w:rPr>
      </w:pPr>
    </w:p>
    <w:p>
      <w:pPr>
        <w:ind w:right="60" w:firstLine="8"/>
        <w:spacing w:after="0" w:line="277" w:lineRule="auto"/>
        <w:tabs>
          <w:tab w:leader="none" w:pos="38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92" w:lineRule="exact"/>
        <w:rPr>
          <w:sz w:val="20"/>
          <w:szCs w:val="20"/>
          <w:color w:val="auto"/>
        </w:rPr>
      </w:pPr>
    </w:p>
    <w:p>
      <w:pPr>
        <w:ind w:left="40"/>
        <w:spacing w:after="0"/>
        <w:tabs>
          <w:tab w:leader="none" w:pos="600" w:val="left"/>
          <w:tab w:leader="none" w:pos="6060" w:val="left"/>
        </w:tabs>
        <w:rPr>
          <w:sz w:val="20"/>
          <w:szCs w:val="20"/>
          <w:color w:val="auto"/>
        </w:rPr>
      </w:pPr>
      <w:r>
        <w:rPr>
          <w:rFonts w:ascii="Arial" w:cs="Arial" w:eastAsia="Arial" w:hAnsi="Arial"/>
          <w:sz w:val="18"/>
          <w:szCs w:val="18"/>
          <w:color w:val="auto"/>
        </w:rPr>
        <w:t>Date:</w:t>
        <w:tab/>
        <w:t>November 14, 2016</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143510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Pangia</w:t>
      </w:r>
    </w:p>
    <w:p>
      <w:pPr>
        <w:spacing w:after="0" w:line="23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14, 2016</w:t>
      </w:r>
    </w:p>
    <w:p>
      <w:pPr>
        <w:ind w:left="6080"/>
        <w:spacing w:after="0"/>
        <w:rPr>
          <w:sz w:val="20"/>
          <w:szCs w:val="20"/>
          <w:color w:val="auto"/>
        </w:rPr>
      </w:pPr>
      <w:r>
        <w:rPr>
          <w:rFonts w:ascii="Arial" w:cs="Arial" w:eastAsia="Arial" w:hAnsi="Arial"/>
          <w:sz w:val="18"/>
          <w:szCs w:val="18"/>
          <w:color w:val="auto"/>
        </w:rPr>
        <w:t>/s/ Ralph S. Marimon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21590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Ralph S. Marimon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Senior Vice President and Chief Financial Officer, Principal</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606"/>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2019-12-29T08:45:34Z</dcterms:created>
  <dcterms:modified xsi:type="dcterms:W3CDTF">2019-12-29T08:45:34Z</dcterms:modified>
</cp:coreProperties>
</file>