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1" w:type="dxa"/>
            <w:gridSpan w:val="9"/>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7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spacing w:lineRule="auto" w:line="288" w:before="4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 the quarterly period ended March 31, 2023 </w:t>
      </w:r>
    </w:p>
    <w:p>
      <w:pPr>
        <w:pStyle w:val="TextBody"/>
        <w:spacing w:lineRule="auto" w:line="288" w:before="60" w:after="283"/>
        <w:jc w:val="center"/>
        <w:rPr/>
      </w:pPr>
      <w:r>
        <w:rPr>
          <w:rFonts w:ascii="Times New Roman;sans-serif" w:hAnsi="Times New Roman;sans-serif"/>
          <w:b/>
          <w:color w:val="000000"/>
          <w:sz w:val="24"/>
        </w:rPr>
        <w:t>or</w:t>
      </w:r>
      <w:r>
        <w:rPr>
          <w:color w:val="000000"/>
        </w:rPr>
        <w:t xml:space="preserve"> </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20" w:after="283"/>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_______ to _______           </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001-33278</w:t>
      </w:r>
    </w:p>
    <w:p>
      <w:pPr>
        <w:pStyle w:val="TextBody"/>
        <w:spacing w:before="80" w:after="283"/>
        <w:jc w:val="center"/>
        <w:rPr/>
      </w:pPr>
      <w:r>
        <w:rPr/>
      </w:r>
    </w:p>
    <w:p>
      <w:pPr>
        <w:pStyle w:val="TextBody"/>
        <w:spacing w:lineRule="auto" w:line="288" w:before="80" w:after="283"/>
        <w:jc w:val="center"/>
        <w:rPr/>
      </w:pPr>
      <w:r>
        <w:rPr>
          <w:color w:val="000000"/>
        </w:rPr>
        <w:t xml:space="preserve">  </w:t>
      </w:r>
      <w:r>
        <w:rPr>
          <w:rFonts w:ascii="Times New Roman;sans-serif" w:hAnsi="Times New Roman;sans-serif"/>
          <w:b/>
          <w:color w:val="000000"/>
          <w:sz w:val="40"/>
        </w:rPr>
        <w:t>AVIAT NETWORKS, INC.</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before="80" w:after="283"/>
        <w:jc w:val="center"/>
        <w:rPr/>
      </w:pPr>
      <w:r>
        <w:rPr/>
      </w:r>
    </w:p>
    <w:tbl>
      <w:tblPr>
        <w:tblW w:w="9175" w:type="dxa"/>
        <w:jc w:val="center"/>
        <w:tblInd w:w="0" w:type="dxa"/>
        <w:tblCellMar>
          <w:top w:w="28" w:type="dxa"/>
          <w:left w:w="28" w:type="dxa"/>
          <w:bottom w:w="28" w:type="dxa"/>
          <w:right w:w="28" w:type="dxa"/>
        </w:tblCellMar>
      </w:tblPr>
      <w:tblGrid>
        <w:gridCol w:w="1026"/>
        <w:gridCol w:w="904"/>
        <w:gridCol w:w="904"/>
        <w:gridCol w:w="516"/>
        <w:gridCol w:w="516"/>
        <w:gridCol w:w="516"/>
        <w:gridCol w:w="516"/>
        <w:gridCol w:w="516"/>
        <w:gridCol w:w="524"/>
        <w:gridCol w:w="109"/>
        <w:gridCol w:w="109"/>
        <w:gridCol w:w="109"/>
        <w:gridCol w:w="849"/>
        <w:gridCol w:w="849"/>
        <w:gridCol w:w="1212"/>
      </w:tblGrid>
      <w:tr>
        <w:trPr/>
        <w:tc>
          <w:tcPr>
            <w:tcW w:w="102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r>
      <w:tr>
        <w:trPr/>
        <w:tc>
          <w:tcPr>
            <w:tcW w:w="5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20-5961564</w:t>
            </w:r>
          </w:p>
        </w:tc>
      </w:tr>
      <w:tr>
        <w:trPr/>
        <w:tc>
          <w:tcPr>
            <w:tcW w:w="5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 Identification No.)</w:t>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200 Parker Drive, Suite C100A, </w:t>
            </w:r>
          </w:p>
        </w:tc>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Austin,</w:t>
            </w:r>
          </w:p>
        </w:tc>
        <w:tc>
          <w:tcPr>
            <w:tcW w:w="1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78728</w:t>
            </w:r>
          </w:p>
        </w:tc>
      </w:tr>
      <w:tr>
        <w:trPr/>
        <w:tc>
          <w:tcPr>
            <w:tcW w:w="5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(408) 941-7100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 </w:t>
      </w:r>
    </w:p>
    <w:p>
      <w:pPr>
        <w:pStyle w:val="TextBody"/>
        <w:spacing w:lineRule="auto" w:line="288" w:before="120" w:after="14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82" w:type="dxa"/>
        <w:jc w:val="center"/>
        <w:tblInd w:w="0" w:type="dxa"/>
        <w:tblCellMar>
          <w:top w:w="28" w:type="dxa"/>
          <w:left w:w="28" w:type="dxa"/>
          <w:bottom w:w="28" w:type="dxa"/>
          <w:right w:w="28" w:type="dxa"/>
        </w:tblCellMar>
      </w:tblPr>
      <w:tblGrid>
        <w:gridCol w:w="585"/>
        <w:gridCol w:w="514"/>
        <w:gridCol w:w="520"/>
        <w:gridCol w:w="564"/>
        <w:gridCol w:w="564"/>
        <w:gridCol w:w="566"/>
        <w:gridCol w:w="1130"/>
        <w:gridCol w:w="1130"/>
        <w:gridCol w:w="1609"/>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AVNW</w:t>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CellMar>
          <w:top w:w="28" w:type="dxa"/>
          <w:left w:w="28" w:type="dxa"/>
          <w:bottom w:w="28" w:type="dxa"/>
          <w:right w:w="28" w:type="dxa"/>
        </w:tblCellMar>
      </w:tblPr>
      <w:tblGrid>
        <w:gridCol w:w="842"/>
        <w:gridCol w:w="741"/>
        <w:gridCol w:w="742"/>
        <w:gridCol w:w="109"/>
        <w:gridCol w:w="109"/>
        <w:gridCol w:w="109"/>
        <w:gridCol w:w="109"/>
        <w:gridCol w:w="109"/>
        <w:gridCol w:w="109"/>
        <w:gridCol w:w="769"/>
        <w:gridCol w:w="769"/>
        <w:gridCol w:w="773"/>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1" w:type="dxa"/>
            <w:gridSpan w:val="9"/>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as of April 28, 2023 was 11,440,689.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2"/>
                <a:graphic xmlns:a="http://schemas.openxmlformats.org/drawingml/2006/main">
                  <a:graphicData uri="http://schemas.microsoft.com/office/word/2010/wordprocessingShape">
                    <wps:wsp>
                      <wps:cNvSpPr txBox="1"/>
                      <wps:spPr>
                        <a:xfrm>
                          <a:off x="0" y="0"/>
                          <a:ext cx="6480175" cy="68453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91" w:type="dxa"/>
        <w:jc w:val="center"/>
        <w:tblInd w:w="0" w:type="dxa"/>
        <w:tblCellMar>
          <w:top w:w="28" w:type="dxa"/>
          <w:left w:w="28" w:type="dxa"/>
          <w:bottom w:w="28" w:type="dxa"/>
          <w:right w:w="28" w:type="dxa"/>
        </w:tblCellMar>
      </w:tblPr>
      <w:tblGrid>
        <w:gridCol w:w="2892"/>
        <w:gridCol w:w="2540"/>
        <w:gridCol w:w="2548"/>
        <w:gridCol w:w="149"/>
        <w:gridCol w:w="149"/>
        <w:gridCol w:w="213"/>
      </w:tblGrid>
      <w:tr>
        <w:trPr/>
        <w:tc>
          <w:tcPr>
            <w:tcW w:w="2892"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25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0">
              <w:r>
                <w:rPr>
                  <w:rStyle w:val="InternetLink"/>
                  <w:rFonts w:ascii="Times New Roman;sans-serif" w:hAnsi="Times New Roman;sans-serif"/>
                  <w:b/>
                  <w:strike w:val="false"/>
                  <w:dstrike w:val="false"/>
                  <w:color w:val="0000FF"/>
                  <w:sz w:val="20"/>
                  <w:u w:val="none"/>
                  <w:effect w:val="non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hyperlink w:anchor="i5b0a753dbd494db5aed3aad26e00e48b_10">
              <w:r>
                <w:rPr>
                  <w:rStyle w:val="InternetLink"/>
                  <w:rFonts w:ascii="Times New Roman;sans-serif" w:hAnsi="Times New Roman;sans-serif"/>
                  <w:b w:val="false"/>
                  <w:strike w:val="false"/>
                  <w:dstrike w:val="false"/>
                  <w:color w:val="0000FF"/>
                  <w:sz w:val="20"/>
                  <w:u w:val="none"/>
                  <w:effect w:val="none"/>
                </w:rPr>
                <w:t>4</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0">
              <w:r>
                <w:rPr>
                  <w:rStyle w:val="InternetLink"/>
                  <w:rFonts w:ascii="Times New Roman;sans-serif" w:hAnsi="Times New Roman;sans-serif"/>
                  <w:b w:val="false"/>
                  <w:strike w:val="false"/>
                  <w:dstrike w:val="false"/>
                  <w:color w:val="0000FF"/>
                  <w:sz w:val="20"/>
                  <w:u w:val="none"/>
                  <w:effect w:val="non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3">
              <w:r>
                <w:rPr>
                  <w:rStyle w:val="InternetLink"/>
                  <w:rFonts w:ascii="Times New Roman;sans-serif" w:hAnsi="Times New Roman;sans-serif"/>
                  <w:b w:val="false"/>
                  <w:strike w:val="false"/>
                  <w:dstrike w:val="false"/>
                  <w:color w:val="0000FF"/>
                  <w:sz w:val="20"/>
                  <w:u w:val="none"/>
                  <w:effect w:val="none"/>
                </w:rPr>
                <w:t>5</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5b0a753dbd494db5aed3aad26e00e48b_16">
              <w:r>
                <w:rPr>
                  <w:rStyle w:val="InternetLink"/>
                  <w:rFonts w:ascii="Times New Roman;sans-serif" w:hAnsi="Times New Roman;sans-serif"/>
                  <w:b w:val="false"/>
                  <w:strike w:val="false"/>
                  <w:dstrike w:val="false"/>
                  <w:color w:val="0000FF"/>
                  <w:sz w:val="20"/>
                  <w:u w:val="none"/>
                  <w:effect w:val="none"/>
                </w:rPr>
                <w:t>Condensed Consolidated Balance Sheets (Unaudited)</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6">
              <w:r>
                <w:rPr>
                  <w:rStyle w:val="InternetLink"/>
                  <w:rFonts w:ascii="Times New Roman;sans-serif" w:hAnsi="Times New Roman;sans-serif"/>
                  <w:b w:val="false"/>
                  <w:strike w:val="false"/>
                  <w:dstrike w:val="false"/>
                  <w:color w:val="0000FF"/>
                  <w:sz w:val="20"/>
                  <w:u w:val="none"/>
                  <w:effect w:val="non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5b0a753dbd494db5aed3aad26e00e48b_19">
              <w:r>
                <w:rPr>
                  <w:rStyle w:val="InternetLink"/>
                  <w:rFonts w:ascii="Times New Roman;sans-serif" w:hAnsi="Times New Roman;sans-serif"/>
                  <w:b w:val="false"/>
                  <w:strike w:val="false"/>
                  <w:dstrike w:val="false"/>
                  <w:color w:val="0000FF"/>
                  <w:sz w:val="20"/>
                  <w:u w:val="none"/>
                  <w:effect w:val="none"/>
                </w:rPr>
                <w:t>Condensed Consolidated Statements of Operations (Unaudited)</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9">
              <w:r>
                <w:rPr>
                  <w:rStyle w:val="InternetLink"/>
                  <w:rFonts w:ascii="Times New Roman;sans-serif" w:hAnsi="Times New Roman;sans-serif"/>
                  <w:b w:val="false"/>
                  <w:strike w:val="false"/>
                  <w:dstrike w:val="false"/>
                  <w:color w:val="0000FF"/>
                  <w:sz w:val="20"/>
                  <w:u w:val="none"/>
                  <w:effect w:val="non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22">
              <w:r>
                <w:rPr>
                  <w:rStyle w:val="InternetLink"/>
                  <w:rFonts w:ascii="Times New Roman;sans-serif" w:hAnsi="Times New Roman;sans-serif"/>
                  <w:b w:val="false"/>
                  <w:strike w:val="false"/>
                  <w:dstrike w:val="false"/>
                  <w:color w:val="0000FF"/>
                  <w:sz w:val="20"/>
                  <w:u w:val="none"/>
                  <w:effect w:val="none"/>
                </w:rPr>
                <w:t>Condensed Consolidated Statements of Comprehensive Income (Loss) (Unaudited)</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22">
              <w:r>
                <w:rPr>
                  <w:rStyle w:val="InternetLink"/>
                  <w:rFonts w:ascii="Times New Roman;sans-serif" w:hAnsi="Times New Roman;sans-serif"/>
                  <w:b w:val="false"/>
                  <w:strike w:val="false"/>
                  <w:dstrike w:val="false"/>
                  <w:color w:val="0000FF"/>
                  <w:sz w:val="20"/>
                  <w:u w:val="none"/>
                  <w:effect w:val="none"/>
                </w:rPr>
                <w:t>7</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5b0a753dbd494db5aed3aad26e00e48b_25">
              <w:r>
                <w:rPr>
                  <w:rStyle w:val="InternetLink"/>
                  <w:rFonts w:ascii="Times New Roman;sans-serif" w:hAnsi="Times New Roman;sans-serif"/>
                  <w:b w:val="false"/>
                  <w:strike w:val="false"/>
                  <w:dstrike w:val="false"/>
                  <w:color w:val="0000FF"/>
                  <w:sz w:val="20"/>
                  <w:u w:val="none"/>
                  <w:effect w:val="none"/>
                </w:rPr>
                <w:t>Condensed Consolidated Statements of Cash Flows (Unaudited)</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25">
              <w:r>
                <w:rPr>
                  <w:rStyle w:val="InternetLink"/>
                  <w:rFonts w:ascii="Times New Roman;sans-serif" w:hAnsi="Times New Roman;sans-serif"/>
                  <w:b w:val="false"/>
                  <w:strike w:val="false"/>
                  <w:dstrike w:val="false"/>
                  <w:color w:val="0000FF"/>
                  <w:sz w:val="20"/>
                  <w:u w:val="none"/>
                  <w:effect w:val="none"/>
                </w:rPr>
                <w:t>8</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5b0a753dbd494db5aed3aad26e00e48b_28">
              <w:r>
                <w:rPr>
                  <w:rStyle w:val="InternetLink"/>
                  <w:rFonts w:ascii="Times New Roman;sans-serif" w:hAnsi="Times New Roman;sans-serif"/>
                  <w:b w:val="false"/>
                  <w:strike w:val="false"/>
                  <w:dstrike w:val="false"/>
                  <w:color w:val="0000FF"/>
                  <w:sz w:val="20"/>
                  <w:u w:val="none"/>
                  <w:effect w:val="none"/>
                </w:rPr>
                <w:t>Condensed Consolidated Statements of Equity (Unaudited)</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28">
              <w:r>
                <w:rPr>
                  <w:rStyle w:val="InternetLink"/>
                  <w:rFonts w:ascii="Times New Roman;sans-serif" w:hAnsi="Times New Roman;sans-serif"/>
                  <w:b w:val="false"/>
                  <w:strike w:val="false"/>
                  <w:dstrike w:val="false"/>
                  <w:color w:val="0000FF"/>
                  <w:sz w:val="20"/>
                  <w:u w:val="none"/>
                  <w:effect w:val="none"/>
                </w:rPr>
                <w:t>11</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31">
              <w:r>
                <w:rPr>
                  <w:rStyle w:val="InternetLink"/>
                  <w:rFonts w:ascii="Times New Roman;sans-serif" w:hAnsi="Times New Roman;sans-serif"/>
                  <w:b w:val="false"/>
                  <w:strike w:val="false"/>
                  <w:dstrike w:val="false"/>
                  <w:color w:val="0000FF"/>
                  <w:sz w:val="20"/>
                  <w:u w:val="none"/>
                  <w:effect w:val="none"/>
                </w:rPr>
                <w:t>Notes to 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31">
              <w:r>
                <w:rPr>
                  <w:rStyle w:val="InternetLink"/>
                  <w:rFonts w:ascii="Times New Roman;sans-serif" w:hAnsi="Times New Roman;sans-serif"/>
                  <w:b w:val="false"/>
                  <w:strike w:val="false"/>
                  <w:dstrike w:val="false"/>
                  <w:color w:val="0000FF"/>
                  <w:sz w:val="20"/>
                  <w:u w:val="none"/>
                  <w:effect w:val="none"/>
                </w:rPr>
                <w:t>13</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76">
              <w:r>
                <w:rPr>
                  <w:rStyle w:val="InternetLink"/>
                  <w:rFonts w:ascii="Times New Roman;sans-serif" w:hAnsi="Times New Roman;sans-serif"/>
                  <w:b w:val="false"/>
                  <w:strike w:val="false"/>
                  <w:dstrike w:val="false"/>
                  <w:color w:val="0000FF"/>
                  <w:sz w:val="20"/>
                  <w:u w:val="none"/>
                  <w:effect w:val="none"/>
                </w:rPr>
                <w:t>Item 2. 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76">
              <w:r>
                <w:rPr>
                  <w:rStyle w:val="InternetLink"/>
                  <w:rFonts w:ascii="Times New Roman;sans-serif" w:hAnsi="Times New Roman;sans-serif"/>
                  <w:b w:val="false"/>
                  <w:strike w:val="false"/>
                  <w:dstrike w:val="false"/>
                  <w:color w:val="0000FF"/>
                  <w:sz w:val="20"/>
                  <w:u w:val="none"/>
                  <w:effect w:val="none"/>
                </w:rPr>
                <w:t>26</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91">
              <w:r>
                <w:rPr>
                  <w:rStyle w:val="InternetLink"/>
                  <w:rFonts w:ascii="Times New Roman;sans-serif" w:hAnsi="Times New Roman;sans-serif"/>
                  <w:b w:val="false"/>
                  <w:strike w:val="false"/>
                  <w:dstrike w:val="false"/>
                  <w:color w:val="0000FF"/>
                  <w:sz w:val="20"/>
                  <w:u w:val="none"/>
                  <w:effect w:val="non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91">
              <w:r>
                <w:rPr>
                  <w:rStyle w:val="InternetLink"/>
                  <w:rFonts w:ascii="Times New Roman;sans-serif" w:hAnsi="Times New Roman;sans-serif"/>
                  <w:b w:val="false"/>
                  <w:strike w:val="false"/>
                  <w:dstrike w:val="false"/>
                  <w:color w:val="0000FF"/>
                  <w:sz w:val="20"/>
                  <w:u w:val="none"/>
                  <w:effect w:val="none"/>
                </w:rPr>
                <w:t>33</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94">
              <w:r>
                <w:rPr>
                  <w:rStyle w:val="InternetLink"/>
                  <w:rFonts w:ascii="Times New Roman;sans-serif" w:hAnsi="Times New Roman;sans-serif"/>
                  <w:b w:val="false"/>
                  <w:strike w:val="false"/>
                  <w:dstrike w:val="false"/>
                  <w:color w:val="0000FF"/>
                  <w:sz w:val="20"/>
                  <w:u w:val="none"/>
                  <w:effect w:val="non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94">
              <w:r>
                <w:rPr>
                  <w:rStyle w:val="InternetLink"/>
                  <w:rFonts w:ascii="Times New Roman;sans-serif" w:hAnsi="Times New Roman;sans-serif"/>
                  <w:b w:val="false"/>
                  <w:strike w:val="false"/>
                  <w:dstrike w:val="false"/>
                  <w:color w:val="0000FF"/>
                  <w:sz w:val="20"/>
                  <w:u w:val="none"/>
                  <w:effect w:val="none"/>
                </w:rPr>
                <w:t>34</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97">
              <w:r>
                <w:rPr>
                  <w:rStyle w:val="InternetLink"/>
                  <w:rFonts w:ascii="Times New Roman;sans-serif" w:hAnsi="Times New Roman;sans-serif"/>
                  <w:b/>
                  <w:strike w:val="false"/>
                  <w:dstrike w:val="false"/>
                  <w:color w:val="0000FF"/>
                  <w:sz w:val="20"/>
                  <w:u w:val="none"/>
                  <w:effect w:val="none"/>
                </w:rPr>
                <w:t>Part II. Other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97">
              <w:r>
                <w:rPr>
                  <w:rStyle w:val="InternetLink"/>
                  <w:rFonts w:ascii="Times New Roman;sans-serif" w:hAnsi="Times New Roman;sans-serif"/>
                  <w:b w:val="false"/>
                  <w:strike w:val="false"/>
                  <w:dstrike w:val="false"/>
                  <w:color w:val="0000FF"/>
                  <w:sz w:val="20"/>
                  <w:u w:val="none"/>
                  <w:effect w:val="none"/>
                </w:rPr>
                <w:t>36</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00">
              <w:r>
                <w:rPr>
                  <w:rStyle w:val="InternetLink"/>
                  <w:rFonts w:ascii="Times New Roman;sans-serif" w:hAnsi="Times New Roman;sans-serif"/>
                  <w:b w:val="false"/>
                  <w:strike w:val="false"/>
                  <w:dstrike w:val="false"/>
                  <w:color w:val="0000FF"/>
                  <w:sz w:val="20"/>
                  <w:u w:val="none"/>
                  <w:effect w:val="none"/>
                </w:rPr>
                <w:t>Item 1. Legal Proceedings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00">
              <w:r>
                <w:rPr>
                  <w:rStyle w:val="InternetLink"/>
                  <w:rFonts w:ascii="Times New Roman;sans-serif" w:hAnsi="Times New Roman;sans-serif"/>
                  <w:b w:val="false"/>
                  <w:strike w:val="false"/>
                  <w:dstrike w:val="false"/>
                  <w:color w:val="0000FF"/>
                  <w:sz w:val="20"/>
                  <w:u w:val="none"/>
                  <w:effect w:val="none"/>
                </w:rPr>
                <w:t>36</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03">
              <w:r>
                <w:rPr>
                  <w:rStyle w:val="InternetLink"/>
                  <w:rFonts w:ascii="Times New Roman;sans-serif" w:hAnsi="Times New Roman;sans-serif"/>
                  <w:b w:val="false"/>
                  <w:strike w:val="false"/>
                  <w:dstrike w:val="false"/>
                  <w:color w:val="0000FF"/>
                  <w:sz w:val="20"/>
                  <w:u w:val="none"/>
                  <w:effect w:val="none"/>
                </w:rPr>
                <w:t>Item 1A. Risk Factors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03">
              <w:r>
                <w:rPr>
                  <w:rStyle w:val="InternetLink"/>
                  <w:rFonts w:ascii="Times New Roman;sans-serif" w:hAnsi="Times New Roman;sans-serif"/>
                  <w:b w:val="false"/>
                  <w:strike w:val="false"/>
                  <w:dstrike w:val="false"/>
                  <w:color w:val="0000FF"/>
                  <w:sz w:val="20"/>
                  <w:u w:val="none"/>
                  <w:effect w:val="none"/>
                </w:rPr>
                <w:t>36</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06">
              <w:r>
                <w:rPr>
                  <w:rStyle w:val="InternetLink"/>
                  <w:rFonts w:ascii="Times New Roman;sans-serif" w:hAnsi="Times New Roman;sans-serif"/>
                  <w:b w:val="false"/>
                  <w:strike w:val="false"/>
                  <w:dstrike w:val="false"/>
                  <w:color w:val="0000FF"/>
                  <w:sz w:val="20"/>
                  <w:u w:val="none"/>
                  <w:effect w:val="none"/>
                </w:rPr>
                <w:t>Item 2. 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06">
              <w:r>
                <w:rPr>
                  <w:rStyle w:val="InternetLink"/>
                  <w:rFonts w:ascii="Times New Roman;sans-serif" w:hAnsi="Times New Roman;sans-serif"/>
                  <w:b w:val="false"/>
                  <w:strike w:val="false"/>
                  <w:dstrike w:val="false"/>
                  <w:color w:val="0000FF"/>
                  <w:sz w:val="20"/>
                  <w:u w:val="none"/>
                  <w:effect w:val="none"/>
                </w:rPr>
                <w:t>36</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09">
              <w:r>
                <w:rPr>
                  <w:rStyle w:val="InternetLink"/>
                  <w:rFonts w:ascii="Times New Roman;sans-serif" w:hAnsi="Times New Roman;sans-serif"/>
                  <w:b w:val="false"/>
                  <w:strike w:val="false"/>
                  <w:dstrike w:val="false"/>
                  <w:color w:val="0000FF"/>
                  <w:sz w:val="20"/>
                  <w:u w:val="none"/>
                  <w:effect w:val="none"/>
                </w:rPr>
                <w:t>Item 3. 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09">
              <w:r>
                <w:rPr>
                  <w:rStyle w:val="InternetLink"/>
                  <w:rFonts w:ascii="Times New Roman;sans-serif" w:hAnsi="Times New Roman;sans-serif"/>
                  <w:b w:val="false"/>
                  <w:strike w:val="false"/>
                  <w:dstrike w:val="false"/>
                  <w:color w:val="0000FF"/>
                  <w:sz w:val="20"/>
                  <w:u w:val="none"/>
                  <w:effect w:val="none"/>
                </w:rPr>
                <w:t>36</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12">
              <w:r>
                <w:rPr>
                  <w:rStyle w:val="InternetLink"/>
                  <w:rFonts w:ascii="Times New Roman;sans-serif" w:hAnsi="Times New Roman;sans-serif"/>
                  <w:b w:val="false"/>
                  <w:strike w:val="false"/>
                  <w:dstrike w:val="false"/>
                  <w:color w:val="0000FF"/>
                  <w:sz w:val="20"/>
                  <w:u w:val="none"/>
                  <w:effect w:val="none"/>
                </w:rPr>
                <w:t>Item 4. 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12">
              <w:r>
                <w:rPr>
                  <w:rStyle w:val="InternetLink"/>
                  <w:rFonts w:ascii="Times New Roman;sans-serif" w:hAnsi="Times New Roman;sans-serif"/>
                  <w:b w:val="false"/>
                  <w:strike w:val="false"/>
                  <w:dstrike w:val="false"/>
                  <w:color w:val="0000FF"/>
                  <w:sz w:val="20"/>
                  <w:u w:val="none"/>
                  <w:effect w:val="none"/>
                </w:rPr>
                <w:t>37</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15">
              <w:r>
                <w:rPr>
                  <w:rStyle w:val="InternetLink"/>
                  <w:rFonts w:ascii="Times New Roman;sans-serif" w:hAnsi="Times New Roman;sans-serif"/>
                  <w:b w:val="false"/>
                  <w:strike w:val="false"/>
                  <w:dstrike w:val="false"/>
                  <w:color w:val="0000FF"/>
                  <w:sz w:val="20"/>
                  <w:u w:val="none"/>
                  <w:effect w:val="none"/>
                </w:rPr>
                <w:t>Item 5. Other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15">
              <w:r>
                <w:rPr>
                  <w:rStyle w:val="InternetLink"/>
                  <w:rFonts w:ascii="Times New Roman;sans-serif" w:hAnsi="Times New Roman;sans-serif"/>
                  <w:b w:val="false"/>
                  <w:strike w:val="false"/>
                  <w:dstrike w:val="false"/>
                  <w:color w:val="0000FF"/>
                  <w:sz w:val="20"/>
                  <w:u w:val="none"/>
                  <w:effect w:val="none"/>
                </w:rPr>
                <w:t>37</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18">
              <w:r>
                <w:rPr>
                  <w:rStyle w:val="InternetLink"/>
                  <w:rFonts w:ascii="Times New Roman;sans-serif" w:hAnsi="Times New Roman;sans-serif"/>
                  <w:b w:val="false"/>
                  <w:strike w:val="false"/>
                  <w:dstrike w:val="false"/>
                  <w:color w:val="0000FF"/>
                  <w:sz w:val="20"/>
                  <w:u w:val="none"/>
                  <w:effect w:val="none"/>
                </w:rPr>
                <w:t>Item 6. Exhibits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18">
              <w:r>
                <w:rPr>
                  <w:rStyle w:val="InternetLink"/>
                  <w:rFonts w:ascii="Times New Roman;sans-serif" w:hAnsi="Times New Roman;sans-serif"/>
                  <w:b w:val="false"/>
                  <w:strike w:val="false"/>
                  <w:dstrike w:val="false"/>
                  <w:color w:val="0000FF"/>
                  <w:sz w:val="20"/>
                  <w:u w:val="none"/>
                  <w:effect w:val="none"/>
                </w:rPr>
                <w:t>38</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21">
              <w:r>
                <w:rPr>
                  <w:rStyle w:val="InternetLink"/>
                  <w:rFonts w:ascii="Times New Roman;sans-serif" w:hAnsi="Times New Roman;sans-serif"/>
                  <w:b/>
                  <w:strike w:val="false"/>
                  <w:dstrike w:val="false"/>
                  <w:color w:val="0000FF"/>
                  <w:sz w:val="20"/>
                  <w:u w:val="none"/>
                  <w:effect w:val="none"/>
                </w:rPr>
                <w:t>Signatures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21">
              <w:r>
                <w:rPr>
                  <w:rStyle w:val="InternetLink"/>
                  <w:rFonts w:ascii="Times New Roman;sans-serif" w:hAnsi="Times New Roman;sans-serif"/>
                  <w:b w:val="false"/>
                  <w:strike w:val="false"/>
                  <w:dstrike w:val="false"/>
                  <w:color w:val="0000FF"/>
                  <w:sz w:val="20"/>
                  <w:u w:val="none"/>
                  <w:effect w:val="none"/>
                </w:rPr>
                <w:t>39</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5b0a753dbd494db5aed3aad26e00e48b_118">
              <w:r>
                <w:rPr>
                  <w:rStyle w:val="InternetLink"/>
                  <w:rFonts w:ascii="Times New Roman;sans-serif" w:hAnsi="Times New Roman;sans-serif"/>
                  <w:b/>
                  <w:color w:val="0000FF"/>
                  <w:sz w:val="20"/>
                  <w:u w:val="single"/>
                </w:rPr>
                <w:t>Exhibit Index</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5b0a753dbd494db5aed3aad26e00e48b_121">
              <w:r>
                <w:rPr>
                  <w:rStyle w:val="InternetLink"/>
                  <w:rFonts w:ascii="Times New Roman;sans-serif" w:hAnsi="Times New Roman;sans-serif"/>
                  <w:b w:val="false"/>
                  <w:strike w:val="false"/>
                  <w:dstrike w:val="false"/>
                  <w:color w:val="0000FF"/>
                  <w:sz w:val="20"/>
                  <w:u w:val="none"/>
                  <w:effect w:val="none"/>
                </w:rPr>
                <w:t>39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00" w:after="283"/>
        <w:rPr/>
      </w:pPr>
      <w:r>
        <w:rPr>
          <w:rFonts w:ascii="Times New Roman;sans-serif" w:hAnsi="Times New Roman;sans-serif"/>
          <w:b/>
          <w:color w:val="000000"/>
          <w:sz w:val="20"/>
        </w:rPr>
        <w:t>Item 1.</w:t>
      </w:r>
      <w:r>
        <w:rPr>
          <w:rFonts w:ascii="Times New Roman;sans-serif" w:hAnsi="Times New Roman;sans-serif"/>
          <w:b/>
          <w:color w:val="000000"/>
          <w:sz w:val="20"/>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884"/>
        <w:gridCol w:w="2321"/>
        <w:gridCol w:w="2334"/>
        <w:gridCol w:w="211"/>
        <w:gridCol w:w="826"/>
        <w:gridCol w:w="109"/>
        <w:gridCol w:w="109"/>
        <w:gridCol w:w="109"/>
        <w:gridCol w:w="109"/>
        <w:gridCol w:w="211"/>
        <w:gridCol w:w="826"/>
        <w:gridCol w:w="156"/>
      </w:tblGrid>
      <w:tr>
        <w:trPr/>
        <w:tc>
          <w:tcPr>
            <w:tcW w:w="2884" w:type="dxa"/>
            <w:tcBorders/>
            <w:shd w:fill="auto" w:val="clear"/>
            <w:vAlign w:val="center"/>
          </w:tcPr>
          <w:p>
            <w:pPr>
              <w:pStyle w:val="TableContents"/>
              <w:spacing w:before="0" w:after="283"/>
              <w:rPr>
                <w:sz w:val="4"/>
                <w:szCs w:val="4"/>
              </w:rPr>
            </w:pPr>
            <w:r>
              <w:rPr>
                <w:sz w:val="4"/>
                <w:szCs w:val="4"/>
              </w:rPr>
            </w:r>
          </w:p>
        </w:tc>
        <w:tc>
          <w:tcPr>
            <w:tcW w:w="2321"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par value amounts)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uncertain tax positions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50,000,000 shares authorized, none issued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300,000,000 shares authorized, 11,436,542 shares issued and outstanding at March 31, 2023; 11,160,160 shares issued and outstanding at July 1, 2022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(599,442)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870" w:type="dxa"/>
        <w:jc w:val="center"/>
        <w:tblInd w:w="0" w:type="dxa"/>
        <w:tblCellMar>
          <w:top w:w="28" w:type="dxa"/>
          <w:left w:w="28" w:type="dxa"/>
          <w:bottom w:w="28" w:type="dxa"/>
          <w:right w:w="28" w:type="dxa"/>
        </w:tblCellMar>
      </w:tblPr>
      <w:tblGrid>
        <w:gridCol w:w="1619"/>
        <w:gridCol w:w="1425"/>
        <w:gridCol w:w="142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19"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product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(recovery) charges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 of common stock outstanding:</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shares outstanding: </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14" w:type="dxa"/>
        <w:jc w:val="center"/>
        <w:tblInd w:w="0" w:type="dxa"/>
        <w:tblCellMar>
          <w:top w:w="28" w:type="dxa"/>
          <w:left w:w="28" w:type="dxa"/>
          <w:bottom w:w="28" w:type="dxa"/>
          <w:right w:w="28" w:type="dxa"/>
        </w:tblCellMar>
      </w:tblPr>
      <w:tblGrid>
        <w:gridCol w:w="1495"/>
        <w:gridCol w:w="1316"/>
        <w:gridCol w:w="132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495"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cumulative translation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tbl>
      <w:tblPr>
        <w:tblW w:w="8829" w:type="dxa"/>
        <w:jc w:val="center"/>
        <w:tblInd w:w="0" w:type="dxa"/>
        <w:tblCellMar>
          <w:top w:w="28" w:type="dxa"/>
          <w:left w:w="28" w:type="dxa"/>
          <w:bottom w:w="28" w:type="dxa"/>
          <w:right w:w="28" w:type="dxa"/>
        </w:tblCellMar>
      </w:tblPr>
      <w:tblGrid>
        <w:gridCol w:w="2304"/>
        <w:gridCol w:w="2032"/>
        <w:gridCol w:w="2039"/>
        <w:gridCol w:w="211"/>
        <w:gridCol w:w="721"/>
        <w:gridCol w:w="109"/>
        <w:gridCol w:w="109"/>
        <w:gridCol w:w="109"/>
        <w:gridCol w:w="109"/>
        <w:gridCol w:w="211"/>
        <w:gridCol w:w="721"/>
        <w:gridCol w:w="154"/>
      </w:tblGrid>
      <w:tr>
        <w:trPr/>
        <w:tc>
          <w:tcPr>
            <w:tcW w:w="2304"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acquired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for/(recovery from) uncollectible receivables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for inventory and customer service inventory write-downs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disposition of 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(recoveries)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or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acquisition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marketable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 held for 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net of cash acquired and purchases of intangible assets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repurchase of common stock - treasury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related to net settlement of equity awards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plans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51" w:type="dxa"/>
        <w:jc w:val="left"/>
        <w:tblInd w:w="0" w:type="dxa"/>
        <w:tblCellMar>
          <w:top w:w="28" w:type="dxa"/>
          <w:left w:w="28" w:type="dxa"/>
          <w:bottom w:w="28" w:type="dxa"/>
          <w:right w:w="28" w:type="dxa"/>
        </w:tblCellMar>
      </w:tblPr>
      <w:tblGrid>
        <w:gridCol w:w="682"/>
        <w:gridCol w:w="244"/>
        <w:gridCol w:w="245"/>
        <w:gridCol w:w="488"/>
        <w:gridCol w:w="488"/>
        <w:gridCol w:w="196"/>
        <w:gridCol w:w="109"/>
        <w:gridCol w:w="109"/>
        <w:gridCol w:w="109"/>
        <w:gridCol w:w="196"/>
        <w:gridCol w:w="436"/>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46"/>
        <w:gridCol w:w="832"/>
        <w:gridCol w:w="138"/>
        <w:gridCol w:w="109"/>
        <w:gridCol w:w="109"/>
        <w:gridCol w:w="109"/>
        <w:gridCol w:w="196"/>
        <w:gridCol w:w="751"/>
        <w:gridCol w:w="154"/>
      </w:tblGrid>
      <w:tr>
        <w:trPr/>
        <w:tc>
          <w:tcPr>
            <w:tcW w:w="6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 amounts)</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30,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11,377,066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826,812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(596,142)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208,496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plans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71,281 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withheld for taxes related to vesting of equity awards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11,436,542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828,411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(591,253)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(15,771)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215,354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351" w:type="dxa"/>
        <w:jc w:val="left"/>
        <w:tblInd w:w="0" w:type="dxa"/>
        <w:tblCellMar>
          <w:top w:w="28" w:type="dxa"/>
          <w:left w:w="28" w:type="dxa"/>
          <w:bottom w:w="28" w:type="dxa"/>
          <w:right w:w="28" w:type="dxa"/>
        </w:tblCellMar>
      </w:tblPr>
      <w:tblGrid>
        <w:gridCol w:w="682"/>
        <w:gridCol w:w="244"/>
        <w:gridCol w:w="245"/>
        <w:gridCol w:w="488"/>
        <w:gridCol w:w="488"/>
        <w:gridCol w:w="196"/>
        <w:gridCol w:w="109"/>
        <w:gridCol w:w="109"/>
        <w:gridCol w:w="109"/>
        <w:gridCol w:w="196"/>
        <w:gridCol w:w="436"/>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46"/>
        <w:gridCol w:w="832"/>
        <w:gridCol w:w="138"/>
        <w:gridCol w:w="109"/>
        <w:gridCol w:w="109"/>
        <w:gridCol w:w="109"/>
        <w:gridCol w:w="196"/>
        <w:gridCol w:w="751"/>
        <w:gridCol w:w="154"/>
      </w:tblGrid>
      <w:tr>
        <w:trPr/>
        <w:tc>
          <w:tcPr>
            <w:tcW w:w="6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1, 2022</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 amounts)</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11,195,542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820,791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(610,004)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(14,599)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192,892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plans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37,327 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withheld for taxes related to vesting of equity awards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(65,951)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April 1, 2022</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11,166,918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821,976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(603,975)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(15,385)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197,330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tbl>
      <w:tblPr>
        <w:tblW w:w="10351" w:type="dxa"/>
        <w:jc w:val="center"/>
        <w:tblInd w:w="0" w:type="dxa"/>
        <w:tblCellMar>
          <w:top w:w="28" w:type="dxa"/>
          <w:left w:w="28" w:type="dxa"/>
          <w:bottom w:w="28" w:type="dxa"/>
          <w:right w:w="28" w:type="dxa"/>
        </w:tblCellMar>
      </w:tblPr>
      <w:tblGrid>
        <w:gridCol w:w="682"/>
        <w:gridCol w:w="244"/>
        <w:gridCol w:w="245"/>
        <w:gridCol w:w="488"/>
        <w:gridCol w:w="488"/>
        <w:gridCol w:w="196"/>
        <w:gridCol w:w="109"/>
        <w:gridCol w:w="109"/>
        <w:gridCol w:w="109"/>
        <w:gridCol w:w="196"/>
        <w:gridCol w:w="436"/>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46"/>
        <w:gridCol w:w="832"/>
        <w:gridCol w:w="138"/>
        <w:gridCol w:w="109"/>
        <w:gridCol w:w="109"/>
        <w:gridCol w:w="109"/>
        <w:gridCol w:w="196"/>
        <w:gridCol w:w="751"/>
        <w:gridCol w:w="154"/>
      </w:tblGrid>
      <w:tr>
        <w:trPr/>
        <w:tc>
          <w:tcPr>
            <w:tcW w:w="6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 2023</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 amounts)</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11,160,160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823,259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(599,442)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(16,029)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201,753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plans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310,355 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withheld for taxes related to vesting of equity awards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11,436,542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828,411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(591,253)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(15,771)</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215,354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tbl>
      <w:tblPr>
        <w:tblW w:w="10351" w:type="dxa"/>
        <w:jc w:val="left"/>
        <w:tblInd w:w="0" w:type="dxa"/>
        <w:tblCellMar>
          <w:top w:w="28" w:type="dxa"/>
          <w:left w:w="28" w:type="dxa"/>
          <w:bottom w:w="28" w:type="dxa"/>
          <w:right w:w="28" w:type="dxa"/>
        </w:tblCellMar>
      </w:tblPr>
      <w:tblGrid>
        <w:gridCol w:w="682"/>
        <w:gridCol w:w="244"/>
        <w:gridCol w:w="245"/>
        <w:gridCol w:w="488"/>
        <w:gridCol w:w="488"/>
        <w:gridCol w:w="196"/>
        <w:gridCol w:w="109"/>
        <w:gridCol w:w="109"/>
        <w:gridCol w:w="109"/>
        <w:gridCol w:w="196"/>
        <w:gridCol w:w="436"/>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46"/>
        <w:gridCol w:w="832"/>
        <w:gridCol w:w="138"/>
        <w:gridCol w:w="109"/>
        <w:gridCol w:w="109"/>
        <w:gridCol w:w="109"/>
        <w:gridCol w:w="196"/>
        <w:gridCol w:w="751"/>
        <w:gridCol w:w="154"/>
      </w:tblGrid>
      <w:tr>
        <w:trPr/>
        <w:tc>
          <w:tcPr>
            <w:tcW w:w="6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April 1, 2022</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 amounts)</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2,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11,153,445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818,939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(620,602)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(14,327)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183,335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plans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172,996 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withheld for taxes related to vesting of equity awards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(149,389)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April 1, 2022</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11,166,918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821,976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(603,975)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(15,385)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197,330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tbl>
      <w:tblPr>
        <w:tblW w:w="3984"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409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97" w:type="dxa"/>
            <w:gridSpan w:val="2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 The Company and Basis of Presentation</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Aviat Networks, Inc. (“Aviat,”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ended March 31, 2023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1, 2022.</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the Company and its wholly-owned and majority-owned subsidiaries. All intercompany transactions and accounts have been eliminated.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on a 52-week or 53-week year ending on the Friday closest to June 30. The three months ended March 31, 2023 and the three months ended April 1, 2022 both consisted of 13 weeks. Fiscal year 2023 will be comprised of 52 weeks and will end on June 30, 2023. Fiscal year 2022 was comprised of 52 weeks and ended on July 1, 2022.</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business combinations, provision for uncollectible receivables, inventory valuation, valuation allowances for deferred tax assets, uncertainties in income taxes, contingencies and recoverability of long-lived assets. The actual results that we experience may differ materially from our estimates.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significant accounting policies as of March 31, 2023 and for the nine months ended March 31, 2023, as compared to the significant accounting policies described in our Annual Report on Form 10-K for the fiscal year ended July 1, 2022.</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Accounting Standards Adopted</w:t>
      </w:r>
    </w:p>
    <w:p>
      <w:pPr>
        <w:pStyle w:val="TextBody"/>
        <w:spacing w:lineRule="auto" w:line="288" w:before="180" w:after="283"/>
        <w:ind w:left="0" w:right="0" w:firstLine="540"/>
        <w:jc w:val="both"/>
        <w:rPr/>
      </w:pPr>
      <w:r>
        <w:rPr>
          <w:rFonts w:ascii="Times New Roman;sans-serif" w:hAnsi="Times New Roman;sans-serif"/>
          <w:b w:val="false"/>
          <w:color w:val="000000"/>
          <w:sz w:val="20"/>
        </w:rPr>
        <w:t xml:space="preserve">In June 2016, the Financial Accounting Standards Board (“FASB”) issued Accounting Standard Update (“ASU”) 2016-13, </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 xml:space="preserve">(Topic 326): </w:t>
      </w:r>
      <w:r>
        <w:rPr>
          <w:rFonts w:ascii="Times New Roman;sans-serif" w:hAnsi="Times New Roman;sans-serif"/>
          <w:b w:val="false"/>
          <w:i/>
          <w:color w:val="000000"/>
          <w:sz w:val="20"/>
        </w:rPr>
        <w:t xml:space="preserve">Measurement of Credit Losses on Financial Instruments </w:t>
      </w:r>
      <w:r>
        <w:rPr>
          <w:rFonts w:ascii="Times New Roman;sans-serif" w:hAnsi="Times New Roman;sans-serif"/>
          <w:b w:val="false"/>
          <w:color w:val="000000"/>
          <w:sz w:val="20"/>
        </w:rPr>
        <w:t>(ASU 2016-13) and also issued subsequent amendments to the initial guidance: ASU 2018-19, ASU 2019-04, ASU 2019-05 and ASU 2022-02 (collectively, “Topic 326”). Topic 326 requires measurement and recognition of expected credit losses for financial assets held. Topic 326 became effective for us in our first quarter of fiscal 2023. The adoption had no material impact on our unaudited condensed consolidated financial statements.</w:t>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2. Balance Sheet Components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cash, cash equivalents, and restricted cash reported within our unaudited condensed consolidated balance sheets that reconciles to the corresponding amount in our unaudited condensed consolidated statement of cash flows:</w:t>
      </w:r>
    </w:p>
    <w:p>
      <w:pPr>
        <w:pStyle w:val="TextBody"/>
        <w:spacing w:before="0" w:after="0"/>
        <w:rPr/>
      </w:pPr>
      <w:r>
        <w:rPr/>
      </w:r>
    </w:p>
    <w:tbl>
      <w:tblPr>
        <w:tblW w:w="8993" w:type="dxa"/>
        <w:jc w:val="left"/>
        <w:tblInd w:w="0" w:type="dxa"/>
        <w:tblCellMar>
          <w:top w:w="28" w:type="dxa"/>
          <w:left w:w="28" w:type="dxa"/>
          <w:bottom w:w="28" w:type="dxa"/>
          <w:right w:w="28" w:type="dxa"/>
        </w:tblCellMar>
      </w:tblPr>
      <w:tblGrid>
        <w:gridCol w:w="2363"/>
        <w:gridCol w:w="2085"/>
        <w:gridCol w:w="2091"/>
        <w:gridCol w:w="211"/>
        <w:gridCol w:w="721"/>
        <w:gridCol w:w="109"/>
        <w:gridCol w:w="109"/>
        <w:gridCol w:w="109"/>
        <w:gridCol w:w="109"/>
        <w:gridCol w:w="211"/>
        <w:gridCol w:w="721"/>
        <w:gridCol w:w="154"/>
      </w:tblGrid>
      <w:tr>
        <w:trPr/>
        <w:tc>
          <w:tcPr>
            <w:tcW w:w="2363"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in the Statement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net accounts receivable are summarized below:</w:t>
      </w:r>
    </w:p>
    <w:tbl>
      <w:tblPr>
        <w:tblW w:w="5648" w:type="dxa"/>
        <w:jc w:val="left"/>
        <w:tblInd w:w="0" w:type="dxa"/>
        <w:tblCellMar>
          <w:top w:w="28" w:type="dxa"/>
          <w:left w:w="28" w:type="dxa"/>
          <w:bottom w:w="28" w:type="dxa"/>
          <w:right w:w="28" w:type="dxa"/>
        </w:tblCellMar>
      </w:tblPr>
      <w:tblGrid>
        <w:gridCol w:w="1154"/>
        <w:gridCol w:w="1018"/>
        <w:gridCol w:w="1022"/>
        <w:gridCol w:w="211"/>
        <w:gridCol w:w="721"/>
        <w:gridCol w:w="109"/>
        <w:gridCol w:w="109"/>
        <w:gridCol w:w="109"/>
        <w:gridCol w:w="109"/>
        <w:gridCol w:w="211"/>
        <w:gridCol w:w="721"/>
        <w:gridCol w:w="154"/>
      </w:tblGrid>
      <w:tr>
        <w:trPr/>
        <w:tc>
          <w:tcPr>
            <w:tcW w:w="1154"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Allowances for collection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inventories are summarized below:</w:t>
      </w:r>
    </w:p>
    <w:tbl>
      <w:tblPr>
        <w:tblW w:w="7929" w:type="dxa"/>
        <w:jc w:val="left"/>
        <w:tblInd w:w="0" w:type="dxa"/>
        <w:tblCellMar>
          <w:top w:w="28" w:type="dxa"/>
          <w:left w:w="28" w:type="dxa"/>
          <w:bottom w:w="28" w:type="dxa"/>
          <w:right w:w="28" w:type="dxa"/>
        </w:tblCellMar>
      </w:tblPr>
      <w:tblGrid>
        <w:gridCol w:w="1979"/>
        <w:gridCol w:w="1746"/>
        <w:gridCol w:w="1750"/>
        <w:gridCol w:w="211"/>
        <w:gridCol w:w="721"/>
        <w:gridCol w:w="109"/>
        <w:gridCol w:w="109"/>
        <w:gridCol w:w="109"/>
        <w:gridCol w:w="109"/>
        <w:gridCol w:w="211"/>
        <w:gridCol w:w="721"/>
        <w:gridCol w:w="154"/>
      </w:tblGrid>
      <w:tr>
        <w:trPr/>
        <w:tc>
          <w:tcPr>
            <w:tcW w:w="197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inventories included within raw materials and supplies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charges to adjust our inventory and customer service inventory due to excess and obsolete inventory resulting from lower sales forecasts, product transitioning, or discontinuance. The charges during the three and nine months ended March 31, 2023 and April 1, 2022, respectively, consisted of the following which were recorded in cost of product sales:</w:t>
      </w:r>
    </w:p>
    <w:tbl>
      <w:tblPr>
        <w:tblW w:w="7927" w:type="dxa"/>
        <w:jc w:val="left"/>
        <w:tblInd w:w="0" w:type="dxa"/>
        <w:tblCellMar>
          <w:top w:w="28" w:type="dxa"/>
          <w:left w:w="28" w:type="dxa"/>
          <w:bottom w:w="28" w:type="dxa"/>
          <w:right w:w="28" w:type="dxa"/>
        </w:tblCellMar>
      </w:tblPr>
      <w:tblGrid>
        <w:gridCol w:w="1225"/>
        <w:gridCol w:w="1080"/>
        <w:gridCol w:w="1084"/>
        <w:gridCol w:w="229"/>
        <w:gridCol w:w="507"/>
        <w:gridCol w:w="118"/>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225"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obsolete inventory</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inventory write-downs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charges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Assets Held for Sale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properties to be assets held for sale when management approves and commits to a plan to dispose of a property or group of properties. The property held for sale prior to the sale date is separately presented on our unaudited condensed consolidated balance sheet as "”Assets Held for Sale”.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2021 management initiated the sale of our facility located in the United Kingdom. We completed the sale during the third quarter of fiscal 2022 with proceeds of $2.3 million, reflecting a gain of $0.1 million We have no assets held for sale as of March 31, 2023 and July 1, 2022.</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property, plant and equipment, net are summarized below:</w:t>
      </w:r>
    </w:p>
    <w:tbl>
      <w:tblPr>
        <w:tblW w:w="6504" w:type="dxa"/>
        <w:jc w:val="left"/>
        <w:tblInd w:w="0" w:type="dxa"/>
        <w:tblCellMar>
          <w:top w:w="28" w:type="dxa"/>
          <w:left w:w="28" w:type="dxa"/>
          <w:bottom w:w="28" w:type="dxa"/>
          <w:right w:w="28" w:type="dxa"/>
        </w:tblCellMar>
      </w:tblPr>
      <w:tblGrid>
        <w:gridCol w:w="1501"/>
        <w:gridCol w:w="1322"/>
        <w:gridCol w:w="1332"/>
        <w:gridCol w:w="211"/>
        <w:gridCol w:w="721"/>
        <w:gridCol w:w="109"/>
        <w:gridCol w:w="109"/>
        <w:gridCol w:w="109"/>
        <w:gridCol w:w="109"/>
        <w:gridCol w:w="211"/>
        <w:gridCol w:w="616"/>
        <w:gridCol w:w="154"/>
      </w:tblGrid>
      <w:tr>
        <w:trPr/>
        <w:tc>
          <w:tcPr>
            <w:tcW w:w="1501"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total plant, property and equipment above there were $0.8 million of assets in progress which have not been placed in service as of March 31, 2023 and $1.2 million as of July 1, 2022.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plant and equipment, including amortization of software developed for internal use, was as follows:</w:t>
      </w:r>
    </w:p>
    <w:tbl>
      <w:tblPr>
        <w:tblW w:w="7364" w:type="dxa"/>
        <w:jc w:val="left"/>
        <w:tblInd w:w="0" w:type="dxa"/>
        <w:tblCellMar>
          <w:top w:w="28" w:type="dxa"/>
          <w:left w:w="28" w:type="dxa"/>
          <w:bottom w:w="28" w:type="dxa"/>
          <w:right w:w="28" w:type="dxa"/>
        </w:tblCellMar>
      </w:tblPr>
      <w:tblGrid>
        <w:gridCol w:w="937"/>
        <w:gridCol w:w="826"/>
        <w:gridCol w:w="83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7"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accrued expenses are summarized below: </w:t>
      </w:r>
    </w:p>
    <w:tbl>
      <w:tblPr>
        <w:tblW w:w="5469" w:type="dxa"/>
        <w:jc w:val="center"/>
        <w:tblInd w:w="0" w:type="dxa"/>
        <w:tblCellMar>
          <w:top w:w="28" w:type="dxa"/>
          <w:left w:w="28" w:type="dxa"/>
          <w:bottom w:w="28" w:type="dxa"/>
          <w:right w:w="28" w:type="dxa"/>
        </w:tblCellMar>
      </w:tblPr>
      <w:tblGrid>
        <w:gridCol w:w="1088"/>
        <w:gridCol w:w="959"/>
        <w:gridCol w:w="968"/>
        <w:gridCol w:w="211"/>
        <w:gridCol w:w="721"/>
        <w:gridCol w:w="109"/>
        <w:gridCol w:w="109"/>
        <w:gridCol w:w="109"/>
        <w:gridCol w:w="109"/>
        <w:gridCol w:w="211"/>
        <w:gridCol w:w="721"/>
        <w:gridCol w:w="154"/>
      </w:tblGrid>
      <w:tr>
        <w:trPr/>
        <w:tc>
          <w:tcPr>
            <w:tcW w:w="108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agent commissions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Accrued Warranties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accrue for the estimated cost to repair or replace products under warranty. Changes in our warranty liability, which are included as a component of accrued expenses in our unaudited condensed consolidated balance sheets were as follows:</w:t>
      </w:r>
    </w:p>
    <w:tbl>
      <w:tblPr>
        <w:tblW w:w="8670" w:type="dxa"/>
        <w:jc w:val="center"/>
        <w:tblInd w:w="0" w:type="dxa"/>
        <w:tblCellMar>
          <w:top w:w="28" w:type="dxa"/>
          <w:left w:w="28" w:type="dxa"/>
          <w:bottom w:w="28" w:type="dxa"/>
          <w:right w:w="28" w:type="dxa"/>
        </w:tblCellMar>
      </w:tblPr>
      <w:tblGrid>
        <w:gridCol w:w="1409"/>
        <w:gridCol w:w="1244"/>
        <w:gridCol w:w="124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09"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provision recorded during the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in Redline acquisition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during the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Advance Payments and Unearned Revenue</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advance payments and unearned revenue are summarized below: </w:t>
      </w:r>
    </w:p>
    <w:tbl>
      <w:tblPr>
        <w:tblW w:w="6384" w:type="dxa"/>
        <w:jc w:val="center"/>
        <w:tblInd w:w="0" w:type="dxa"/>
        <w:tblCellMar>
          <w:top w:w="28" w:type="dxa"/>
          <w:left w:w="28" w:type="dxa"/>
          <w:bottom w:w="28" w:type="dxa"/>
          <w:right w:w="28" w:type="dxa"/>
        </w:tblCellMar>
      </w:tblPr>
      <w:tblGrid>
        <w:gridCol w:w="1421"/>
        <w:gridCol w:w="1253"/>
        <w:gridCol w:w="1256"/>
        <w:gridCol w:w="211"/>
        <w:gridCol w:w="721"/>
        <w:gridCol w:w="109"/>
        <w:gridCol w:w="109"/>
        <w:gridCol w:w="109"/>
        <w:gridCol w:w="109"/>
        <w:gridCol w:w="211"/>
        <w:gridCol w:w="721"/>
        <w:gridCol w:w="154"/>
      </w:tblGrid>
      <w:tr>
        <w:trPr/>
        <w:tc>
          <w:tcPr>
            <w:tcW w:w="1421"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2022</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advance payments and unearned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Excluded from the balances above are $7.6 million and $8.9 million in long-term unearned revenue as of March 31, 2023 and July 1,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3. Fair Value Measurements of Assets and Liabilities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Observable inputs such as quoted prices in active markets for identical assets or liabilities;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 Observable market-based inputs or observable inputs that are corroborated by market data;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Level 3 — Unobservable inputs that are supported by little or no market activity and that are significant to the fair value of the assets or liabilities.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and valuation input levels of our assets and liabilities that are measured at fair value on a recurring basis as of March 31, 2023 and July 1, 2022 were as follows:</w:t>
      </w:r>
    </w:p>
    <w:tbl>
      <w:tblPr>
        <w:tblW w:w="7345" w:type="dxa"/>
        <w:jc w:val="center"/>
        <w:tblInd w:w="0" w:type="dxa"/>
        <w:tblCellMar>
          <w:top w:w="28" w:type="dxa"/>
          <w:left w:w="28" w:type="dxa"/>
          <w:bottom w:w="28" w:type="dxa"/>
          <w:right w:w="28" w:type="dxa"/>
        </w:tblCellMar>
      </w:tblPr>
      <w:tblGrid>
        <w:gridCol w:w="976"/>
        <w:gridCol w:w="861"/>
        <w:gridCol w:w="863"/>
        <w:gridCol w:w="109"/>
        <w:gridCol w:w="109"/>
        <w:gridCol w:w="109"/>
        <w:gridCol w:w="284"/>
        <w:gridCol w:w="829"/>
        <w:gridCol w:w="146"/>
        <w:gridCol w:w="109"/>
        <w:gridCol w:w="109"/>
        <w:gridCol w:w="109"/>
        <w:gridCol w:w="211"/>
        <w:gridCol w:w="721"/>
        <w:gridCol w:w="109"/>
        <w:gridCol w:w="109"/>
        <w:gridCol w:w="109"/>
        <w:gridCol w:w="109"/>
        <w:gridCol w:w="399"/>
        <w:gridCol w:w="399"/>
        <w:gridCol w:w="566"/>
      </w:tblGrid>
      <w:tr>
        <w:trPr/>
        <w:tc>
          <w:tcPr>
            <w:tcW w:w="97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Inputs</w:t>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Bank 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items within Level 1 if quoted prices are available in active markets. Historically our Level 1 items mainly are money market funds. As of July 1, 2022, money market funds were valued at $1.00 net asset value per share.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marketable securities are included in current assets on our balance sheet as they are available to be converted into cash to fund current operations. These marketable securities are publicly traded stock measured at fair value and classified within Level 1. For the nine months ended March 31, 2023 we recognized a loss of $1.7 million associated with the sales of our marketable securities recorded in Other (income)/expense, net.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items in Level 2 if the observable inputs to quoted market prices, benchmark yields, reported trades, broker/dealer quotes, or alternative pricing sources are available with reasonable levels of price transparency. Our bank certificates of deposit are classified within Level 2.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July 1, 2022, we did not have any recurring assets or liabilities that were valued using significant unobservable inputs.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recognize asset or liability transfers among Level 1, Level 2, and Level 3 as of the actual date of the events or change in circumstances that caused the transfer. During the first nine months of fiscal 2023 and 2022, we had no transfers between levels of the fair value hierarchy of our assets or liabilities measured at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facilities under non-cancelable operating lease agreements. These leases have varying terms that range from one to 20 years and contain leasehold improvement incentives, rent holidays and escalation clauses.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nine months ended March 31, 2023.</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lease costs:</w:t>
      </w:r>
    </w:p>
    <w:tbl>
      <w:tblPr>
        <w:tblW w:w="7146" w:type="dxa"/>
        <w:jc w:val="center"/>
        <w:tblInd w:w="0" w:type="dxa"/>
        <w:tblCellMar>
          <w:top w:w="28" w:type="dxa"/>
          <w:left w:w="28" w:type="dxa"/>
          <w:bottom w:w="28" w:type="dxa"/>
          <w:right w:w="28" w:type="dxa"/>
        </w:tblCellMar>
      </w:tblPr>
      <w:tblGrid>
        <w:gridCol w:w="678"/>
        <w:gridCol w:w="596"/>
        <w:gridCol w:w="600"/>
        <w:gridCol w:w="109"/>
        <w:gridCol w:w="109"/>
        <w:gridCol w:w="109"/>
        <w:gridCol w:w="229"/>
        <w:gridCol w:w="507"/>
        <w:gridCol w:w="118"/>
        <w:gridCol w:w="109"/>
        <w:gridCol w:w="109"/>
        <w:gridCol w:w="109"/>
        <w:gridCol w:w="286"/>
        <w:gridCol w:w="632"/>
        <w:gridCol w:w="147"/>
        <w:gridCol w:w="109"/>
        <w:gridCol w:w="109"/>
        <w:gridCol w:w="109"/>
        <w:gridCol w:w="211"/>
        <w:gridCol w:w="616"/>
        <w:gridCol w:w="109"/>
        <w:gridCol w:w="109"/>
        <w:gridCol w:w="109"/>
        <w:gridCol w:w="109"/>
        <w:gridCol w:w="238"/>
        <w:gridCol w:w="697"/>
        <w:gridCol w:w="174"/>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lease term and discount rate for the nine months ended March 31, 2023:</w:t>
      </w:r>
    </w:p>
    <w:tbl>
      <w:tblPr>
        <w:tblW w:w="4565" w:type="dxa"/>
        <w:jc w:val="center"/>
        <w:tblInd w:w="0" w:type="dxa"/>
        <w:tblCellMar>
          <w:top w:w="28" w:type="dxa"/>
          <w:left w:w="28" w:type="dxa"/>
          <w:bottom w:w="28" w:type="dxa"/>
          <w:right w:w="28" w:type="dxa"/>
        </w:tblCellMar>
      </w:tblPr>
      <w:tblGrid>
        <w:gridCol w:w="1198"/>
        <w:gridCol w:w="1055"/>
        <w:gridCol w:w="1062"/>
        <w:gridCol w:w="109"/>
        <w:gridCol w:w="109"/>
        <w:gridCol w:w="109"/>
        <w:gridCol w:w="203"/>
        <w:gridCol w:w="203"/>
        <w:gridCol w:w="517"/>
      </w:tblGrid>
      <w:tr>
        <w:trPr/>
        <w:tc>
          <w:tcPr>
            <w:tcW w:w="119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years</w:t>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80" w:after="283"/>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future minimum lease payments under all non-cancelable operating leases with an initial term in excess of one year were as follows (in thousands):</w:t>
      </w:r>
    </w:p>
    <w:tbl>
      <w:tblPr>
        <w:tblW w:w="4166" w:type="dxa"/>
        <w:jc w:val="center"/>
        <w:tblInd w:w="0" w:type="dxa"/>
        <w:tblCellMar>
          <w:top w:w="28" w:type="dxa"/>
          <w:left w:w="28" w:type="dxa"/>
          <w:bottom w:w="28" w:type="dxa"/>
          <w:right w:w="28" w:type="dxa"/>
        </w:tblCellMar>
      </w:tblPr>
      <w:tblGrid>
        <w:gridCol w:w="972"/>
        <w:gridCol w:w="853"/>
        <w:gridCol w:w="860"/>
        <w:gridCol w:w="109"/>
        <w:gridCol w:w="109"/>
        <w:gridCol w:w="109"/>
        <w:gridCol w:w="248"/>
        <w:gridCol w:w="725"/>
        <w:gridCol w:w="181"/>
      </w:tblGrid>
      <w:tr>
        <w:trPr/>
        <w:tc>
          <w:tcPr>
            <w:tcW w:w="97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5. Credit Facility and Debt</w:t>
      </w:r>
    </w:p>
    <w:p>
      <w:pPr>
        <w:pStyle w:val="TextBody"/>
        <w:spacing w:lineRule="auto" w:line="288" w:before="180" w:after="283"/>
        <w:ind w:left="0" w:right="0" w:firstLine="540"/>
        <w:jc w:val="both"/>
        <w:rPr/>
      </w:pPr>
      <w:r>
        <w:rPr>
          <w:rFonts w:ascii="Times New Roman;sans-serif" w:hAnsi="Times New Roman;sans-serif"/>
          <w:b w:val="false"/>
          <w:color w:val="000000"/>
          <w:sz w:val="20"/>
        </w:rPr>
        <w:t xml:space="preserve">On May 17, 2021, we entered into Amendment No. 4 to Third Amended and Restated Loan and Security Agreement with Silicon Valley Bank (the “SVB Credit Facility”) which extended the expiration date to June 28, 2024. Under Federal Deposit Insurance Corporation (“FDIC”) receivership, SVB became SVB Bridge Bank as of March 13, 2023, but the Credit Facility remained in full force and effect. The SVB Credit Facility provides for a $25.0 million accounts receivable formula-based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March 31, 2023, available credit under the SVB Credit Facility was </w:t>
      </w:r>
      <w:r>
        <w:rPr>
          <w:rFonts w:ascii="Times New Roman;sans-serif" w:hAnsi="Times New Roman;sans-serif"/>
          <w:b w:val="false"/>
          <w:color w:val="000000"/>
          <w:sz w:val="20"/>
          <w:highlight w:val="white"/>
        </w:rPr>
        <w:t>$15.8 million</w:t>
      </w:r>
      <w:r>
        <w:rPr>
          <w:rFonts w:ascii="Times New Roman;sans-serif" w:hAnsi="Times New Roman;sans-serif"/>
          <w:b w:val="false"/>
          <w:color w:val="000000"/>
          <w:sz w:val="20"/>
        </w:rPr>
        <w:t>, reflecting the available limit of $25.0 million less outstanding letters of credit of $3.0 million. We borrowed $50.2 million and repaid $44.0 million against the SVB Credit Facility during the nine months ended March 31, 2023 at the weighted average interest rate was 6.96%. As of March 31, 2023 there was $6.2 million of borrowing outstanding.</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were not in compliance with the affirmative covenant in Section 6.8 of the SVB Credit Facility, as amended, which restricts Aviat from having domestic operating or depository accounts with banks other than SVB. We opened a non-SVB deposit account with Wells Fargo Bank, N.A. in the immediate aftermath of the SVB closure by regulatory authorities on March 10, 2023 so that we could continue receiving customer remittances. We subsequently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requested and received a waiver from the lender for this noncompliance. We were in compliance with all other aspects of the credit agreement as of March 31, 2023.</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held cash and cash equivalents at Silicon Valley Bridge Bank, N.A. (“SVB Bridge Bank”) in excess of government insured limits. On March 10, 2023, Silicon Valley Bank was closed by the California Department of Financial Protection and Innovation, and the FDIC was appointed as receiver and Silicon Valley Bank was subsequently transferred into a new entity, SVB Bridge Bank. On March 12, 2023, the U.S. Treasury Department, the Federal Reserve and the FDIC jointly announced enabling actions that fully protect all Silicon Valley Bank depositors’ insured and uninsured deposits, and that such depositors would have access to all of their funds starting March 13, 2023. On March 14, 2023, the Company was able to access its full deposits with SVB Bridge Bank.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6. Revenue Recognition</w:t>
      </w:r>
    </w:p>
    <w:p>
      <w:pPr>
        <w:pStyle w:val="TextBody"/>
        <w:spacing w:lineRule="auto" w:line="288" w:before="264" w:after="283"/>
        <w:rPr>
          <w:rFonts w:ascii="Times New Roman;sans-serif" w:hAnsi="Times New Roman;sans-serif"/>
          <w:b/>
          <w:i/>
          <w:color w:val="000000"/>
          <w:sz w:val="20"/>
        </w:rPr>
      </w:pPr>
      <w:r>
        <w:rPr>
          <w:rFonts w:ascii="Times New Roman;sans-serif" w:hAnsi="Times New Roman;sans-serif"/>
          <w:b/>
          <w:i/>
          <w:color w:val="000000"/>
          <w:sz w:val="20"/>
        </w:rPr>
        <w:t>Contract Balances, Performance Obligations, and Backlog</w:t>
      </w:r>
    </w:p>
    <w:p>
      <w:pPr>
        <w:pStyle w:val="TextBody"/>
        <w:spacing w:before="0" w:after="0"/>
        <w:jc w:val="both"/>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and liabilities from contracts with customers (in thousands):</w:t>
      </w:r>
    </w:p>
    <w:tbl>
      <w:tblPr>
        <w:tblW w:w="6494" w:type="dxa"/>
        <w:jc w:val="left"/>
        <w:tblInd w:w="0" w:type="dxa"/>
        <w:tblCellMar>
          <w:top w:w="28" w:type="dxa"/>
          <w:left w:w="28" w:type="dxa"/>
          <w:bottom w:w="28" w:type="dxa"/>
          <w:right w:w="28" w:type="dxa"/>
        </w:tblCellMar>
      </w:tblPr>
      <w:tblGrid>
        <w:gridCol w:w="1267"/>
        <w:gridCol w:w="1112"/>
        <w:gridCol w:w="1115"/>
        <w:gridCol w:w="109"/>
        <w:gridCol w:w="109"/>
        <w:gridCol w:w="109"/>
        <w:gridCol w:w="255"/>
        <w:gridCol w:w="873"/>
        <w:gridCol w:w="132"/>
        <w:gridCol w:w="109"/>
        <w:gridCol w:w="109"/>
        <w:gridCol w:w="109"/>
        <w:gridCol w:w="211"/>
        <w:gridCol w:w="721"/>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Balances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63,344 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long-term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commissions are classified as current and long term and included in Other current assets and Other assets, respectively. Significant changes in contract balances may arise as a result of recognition over time for services, transfer of control for equipment, and periodic payments (both in arrears and in advance).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pStyle w:val="TextBody"/>
        <w:spacing w:lineRule="auto" w:line="288" w:before="180" w:after="283"/>
        <w:ind w:left="0" w:right="0" w:firstLine="540"/>
        <w:jc w:val="both"/>
        <w:rPr/>
      </w:pPr>
      <w:r>
        <w:rPr>
          <w:rFonts w:ascii="Times New Roman;sans-serif" w:hAnsi="Times New Roman;sans-serif"/>
          <w:b w:val="false"/>
          <w:color w:val="000000"/>
          <w:sz w:val="20"/>
        </w:rPr>
        <w:t xml:space="preserve">As of March 31, 2023, we had $48.0 million in advance payments and unearned revenue and long-term unearned revenue, of which approximately </w:t>
      </w:r>
      <w:r>
        <w:rPr>
          <w:rFonts w:ascii="Times New Roman;sans-serif" w:hAnsi="Times New Roman;sans-serif"/>
          <w:b w:val="false"/>
          <w:color w:val="000000"/>
          <w:sz w:val="20"/>
          <w:highlight w:val="white"/>
        </w:rPr>
        <w:t>20%</w:t>
      </w:r>
      <w:r>
        <w:rPr>
          <w:color w:val="000000"/>
        </w:rPr>
        <w:t xml:space="preserve"> </w:t>
      </w:r>
      <w:r>
        <w:rPr>
          <w:rFonts w:ascii="Times New Roman;sans-serif" w:hAnsi="Times New Roman;sans-serif"/>
          <w:b w:val="false"/>
          <w:color w:val="000000"/>
          <w:sz w:val="20"/>
        </w:rPr>
        <w:t xml:space="preserve">is expected to be recognized as revenue in the remainder of fiscal 2023 and the balance thereafter. During the three and nine months ended March 31, 2023 we recognized </w:t>
      </w:r>
      <w:r>
        <w:rPr>
          <w:rFonts w:ascii="Times New Roman;sans-serif" w:hAnsi="Times New Roman;sans-serif"/>
          <w:b w:val="false"/>
          <w:color w:val="000000"/>
          <w:sz w:val="20"/>
          <w:highlight w:val="white"/>
        </w:rPr>
        <w:t>$5.0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$16.9 million</w:t>
      </w:r>
      <w:r>
        <w:rPr>
          <w:rFonts w:ascii="Times New Roman;sans-serif" w:hAnsi="Times New Roman;sans-serif"/>
          <w:b w:val="false"/>
          <w:color w:val="000000"/>
          <w:sz w:val="20"/>
        </w:rPr>
        <w:t>, respectively, of revenue which was included in advance payments and unearned revenue at July 1, 2022.</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transaction price allocated to our unsatisfied (or partially unsatisfied) performance obligations was approximately $111.8 million at March 31, 2023. Of this amount, we expect to recognize approximately 50% as revenue during the next 12 months, with the remaining amount to be recognized as revenue within two to five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7. Segment and Geographic Information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reportable business segment: the design, manufacturing, and sale of a range of wireless networking products, solutions, and services. Our financial performance is regularly reviewed by our chief operating decision maker who is our Chief Executive Officer (“CEO”).</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 revenue by region and country based on the location where our customers accept delivery of our products and services. Revenue by region for the three and nine months ended March 31, 2023 and April 1, 2022 was as follows:</w:t>
      </w:r>
    </w:p>
    <w:tbl>
      <w:tblPr>
        <w:tblW w:w="8024" w:type="dxa"/>
        <w:jc w:val="left"/>
        <w:tblInd w:w="0" w:type="dxa"/>
        <w:tblCellMar>
          <w:top w:w="28" w:type="dxa"/>
          <w:left w:w="28" w:type="dxa"/>
          <w:bottom w:w="28" w:type="dxa"/>
          <w:right w:w="28" w:type="dxa"/>
        </w:tblCellMar>
      </w:tblPr>
      <w:tblGrid>
        <w:gridCol w:w="948"/>
        <w:gridCol w:w="837"/>
        <w:gridCol w:w="83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48"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North America</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 and the Middle East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 and Asia Pacific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loss of a significant portion of business from any significant customers could adversely affect our unaudited condensed consolidated financial statements.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Customers accounting for 10% or more of our total revenue were as follows:</w:t>
      </w:r>
    </w:p>
    <w:tbl>
      <w:tblPr>
        <w:tblW w:w="9283" w:type="dxa"/>
        <w:jc w:val="left"/>
        <w:tblInd w:w="0" w:type="dxa"/>
        <w:tblCellMar>
          <w:top w:w="28" w:type="dxa"/>
          <w:left w:w="28" w:type="dxa"/>
          <w:bottom w:w="28" w:type="dxa"/>
          <w:right w:w="28" w:type="dxa"/>
        </w:tblCellMar>
      </w:tblPr>
      <w:tblGrid>
        <w:gridCol w:w="1502"/>
        <w:gridCol w:w="1322"/>
        <w:gridCol w:w="1330"/>
        <w:gridCol w:w="109"/>
        <w:gridCol w:w="109"/>
        <w:gridCol w:w="109"/>
        <w:gridCol w:w="255"/>
        <w:gridCol w:w="256"/>
        <w:gridCol w:w="474"/>
        <w:gridCol w:w="134"/>
        <w:gridCol w:w="134"/>
        <w:gridCol w:w="134"/>
        <w:gridCol w:w="255"/>
        <w:gridCol w:w="256"/>
        <w:gridCol w:w="366"/>
        <w:gridCol w:w="109"/>
        <w:gridCol w:w="109"/>
        <w:gridCol w:w="109"/>
        <w:gridCol w:w="284"/>
        <w:gridCol w:w="284"/>
        <w:gridCol w:w="286"/>
        <w:gridCol w:w="143"/>
        <w:gridCol w:w="143"/>
        <w:gridCol w:w="143"/>
        <w:gridCol w:w="255"/>
        <w:gridCol w:w="256"/>
        <w:gridCol w:w="417"/>
      </w:tblGrid>
      <w:tr>
        <w:trPr/>
        <w:tc>
          <w:tcPr>
            <w:tcW w:w="150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Motorola Solutions,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Telephone Networks Group (MTN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10.0%</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Customer accounting for 10% or more of our accounts receivable were as follows:</w:t>
      </w:r>
    </w:p>
    <w:tbl>
      <w:tblPr>
        <w:tblW w:w="7200" w:type="dxa"/>
        <w:jc w:val="left"/>
        <w:tblInd w:w="0" w:type="dxa"/>
        <w:tblCellMar>
          <w:top w:w="28" w:type="dxa"/>
          <w:left w:w="28" w:type="dxa"/>
          <w:bottom w:w="28" w:type="dxa"/>
          <w:right w:w="28" w:type="dxa"/>
        </w:tblCellMar>
      </w:tblPr>
      <w:tblGrid>
        <w:gridCol w:w="1505"/>
        <w:gridCol w:w="1321"/>
        <w:gridCol w:w="1329"/>
        <w:gridCol w:w="109"/>
        <w:gridCol w:w="109"/>
        <w:gridCol w:w="109"/>
        <w:gridCol w:w="279"/>
        <w:gridCol w:w="279"/>
        <w:gridCol w:w="701"/>
        <w:gridCol w:w="109"/>
        <w:gridCol w:w="109"/>
        <w:gridCol w:w="109"/>
        <w:gridCol w:w="255"/>
        <w:gridCol w:w="256"/>
        <w:gridCol w:w="621"/>
      </w:tblGrid>
      <w:tr>
        <w:trPr/>
        <w:tc>
          <w:tcPr>
            <w:tcW w:w="150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Telephone Networks Group (MTN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9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8. Equity</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our Board of Directors approved a stock repurchase program to purchase up to $10.0 million of our common stock. As of March 31, 2023, $8.0 million remains available and we may choose to suspend or discontinue the repurchase program at any time.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nine months of fiscal 2023, we did not repurchase any shares of our common stock in the open market.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Incentive Programs</w:t>
      </w:r>
    </w:p>
    <w:p>
      <w:pPr>
        <w:pStyle w:val="TextBody"/>
        <w:spacing w:lineRule="auto" w:line="276"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a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generally vest on the day before the next annual stockholders’ meeting.</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2023, we granted 74,827 restricted stock units, 49,321 market-based stock units and 110,945 stock options to purchase shares of our common stock.</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compensation expense for share-based awards included in our unaudited condensed consolidated statements of operations was as follows: </w:t>
      </w:r>
    </w:p>
    <w:tbl>
      <w:tblPr>
        <w:tblW w:w="8834" w:type="dxa"/>
        <w:jc w:val="left"/>
        <w:tblInd w:w="0" w:type="dxa"/>
        <w:tblCellMar>
          <w:top w:w="28" w:type="dxa"/>
          <w:left w:w="28" w:type="dxa"/>
          <w:bottom w:w="28" w:type="dxa"/>
          <w:right w:w="28" w:type="dxa"/>
        </w:tblCellMar>
      </w:tblPr>
      <w:tblGrid>
        <w:gridCol w:w="1523"/>
        <w:gridCol w:w="1343"/>
        <w:gridCol w:w="1348"/>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523"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Expense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Types of Award:</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performance stock awards and units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approximately $2.0 million of total unrecognized compensation expense related to non-vested stock options granted which is expected to be recognized over a weighted-average period of 1.6 years. As of March 31, 2023, there was $9.2 million of total unrecognized compensation expense related to non-vested stock awards which is expected to be recognized over a weighted-average period of 1.6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9. Restructuring Activities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restructuring-related activities: </w:t>
      </w:r>
    </w:p>
    <w:tbl>
      <w:tblPr>
        <w:tblW w:w="10205" w:type="dxa"/>
        <w:jc w:val="center"/>
        <w:tblInd w:w="0" w:type="dxa"/>
        <w:tblCellMar>
          <w:top w:w="28" w:type="dxa"/>
          <w:left w:w="28" w:type="dxa"/>
          <w:bottom w:w="28" w:type="dxa"/>
          <w:right w:w="28" w:type="dxa"/>
        </w:tblCellMar>
      </w:tblPr>
      <w:tblGrid>
        <w:gridCol w:w="1093"/>
        <w:gridCol w:w="962"/>
        <w:gridCol w:w="966"/>
        <w:gridCol w:w="109"/>
        <w:gridCol w:w="109"/>
        <w:gridCol w:w="109"/>
        <w:gridCol w:w="293"/>
        <w:gridCol w:w="648"/>
        <w:gridCol w:w="151"/>
        <w:gridCol w:w="109"/>
        <w:gridCol w:w="109"/>
        <w:gridCol w:w="109"/>
        <w:gridCol w:w="293"/>
        <w:gridCol w:w="648"/>
        <w:gridCol w:w="151"/>
        <w:gridCol w:w="109"/>
        <w:gridCol w:w="109"/>
        <w:gridCol w:w="109"/>
        <w:gridCol w:w="293"/>
        <w:gridCol w:w="648"/>
        <w:gridCol w:w="151"/>
        <w:gridCol w:w="109"/>
        <w:gridCol w:w="109"/>
        <w:gridCol w:w="109"/>
        <w:gridCol w:w="289"/>
        <w:gridCol w:w="846"/>
        <w:gridCol w:w="149"/>
        <w:gridCol w:w="109"/>
        <w:gridCol w:w="109"/>
        <w:gridCol w:w="109"/>
        <w:gridCol w:w="211"/>
        <w:gridCol w:w="616"/>
        <w:gridCol w:w="162"/>
      </w:tblGrid>
      <w:tr>
        <w:trPr/>
        <w:tc>
          <w:tcPr>
            <w:tcW w:w="1093"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Q2 2023 Plan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Q1 2023 Plan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 Plan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2021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balance, July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balance, September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balance, December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accrual balance of $0.9 million was in short-term restructuring liabilities on our unaudited condensed consolidated balance sheets. Included in the above plans for which we were carrying a provision were positions identified for termination that have not been executed from a restructuring perspective.</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Q2 2023 Plan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 our Board of Directors approved a restructuring plan, (the “Q2 2023 Plan”) which is anticipated to generate cost savings from the elimination of six roles. The Q2 2023 plan is expected to be implemented through the end of first half of fiscal 2024.</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Q1 2023 Plan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our Board of Directors approved a restructuring plan, (the “Q1 2023 Plan”) from the acquisition of Redline Communications, Inc. (“Redline”). The Q1 2023 Plan, which is anticipated to generate cost saving on integration of Redline, entails a reduction in force of approximately 20 employees due to integrating work into existing Aviat teams. The Q1 2023 Plan is expected to be implemented through the end of fiscal 2023.</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Q4 2022 Plan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2022, our Board of Directors approved a restructuring plan (the “Q4 2022 Plan”) to restructure specific groups to optimize skill sets and align structure to execute on strategic deliverables. The Q4 2022 Plan was completed during third quarter of fiscal 2023 with a reduction in force of approximately 11 employees with a certain number of positions being consolidated.</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Fiscal 2021 Plan</w:t>
      </w:r>
    </w:p>
    <w:p>
      <w:pPr>
        <w:pStyle w:val="TextBody"/>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2021, our Board of Directors approved restructuring plans (the “Fiscal 2021 Plan”) to continue to reduce our operating costs and improve profitability as part of our transformational initiative to optimize our business model and increase efficiencies. We recorded restructuring charges of $2.4 million related to the Fiscal 2021 Plan in fiscal 2021. The Fiscal 2021 Plan was anticipated to entail a reduction in force of approximately 30 employees and will be completed through the end of fiscal 2023, with a certain number of positions being consolidated and/or relocated.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Note 10. Acquisition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2023, we completed the acquisition of Redline, a leading provider of mission-critical data infrastructure. Acquiring Redline allows Aviat to expand its Private Networks Offering with Private LTE/5G, Unlicensed Wireless Access Solutions, by creating an integrated end-to-end offering for wireless access and transport in the Private Networks segment, leveraging Aviat's sales channel to address a large dollar Private LTE/5G addressable market and increasing Aviat’s reach in mission-critical industrial Private Networks.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paid by Aviat for this all-cash acquisition was $20.4 million. Cash acquired as part of acquisition was $4.6 million for total net consideration of $15.8 million. A summary of the preliminary allocation, pursuant to the completion of purchase price allocation, of the total purchase consideration is as follows:</w:t>
      </w:r>
    </w:p>
    <w:p>
      <w:pPr>
        <w:pStyle w:val="TextBody"/>
        <w:spacing w:before="0" w:after="0"/>
        <w:rPr/>
      </w:pPr>
      <w:r>
        <w:rPr/>
      </w:r>
    </w:p>
    <w:tbl>
      <w:tblPr>
        <w:tblW w:w="9084" w:type="dxa"/>
        <w:jc w:val="left"/>
        <w:tblInd w:w="0" w:type="dxa"/>
        <w:tblCellMar>
          <w:top w:w="28" w:type="dxa"/>
          <w:left w:w="28" w:type="dxa"/>
          <w:bottom w:w="28" w:type="dxa"/>
          <w:right w:w="28" w:type="dxa"/>
        </w:tblCellMar>
      </w:tblPr>
      <w:tblGrid>
        <w:gridCol w:w="417"/>
        <w:gridCol w:w="368"/>
        <w:gridCol w:w="369"/>
        <w:gridCol w:w="361"/>
        <w:gridCol w:w="1235"/>
        <w:gridCol w:w="188"/>
        <w:gridCol w:w="109"/>
        <w:gridCol w:w="109"/>
        <w:gridCol w:w="109"/>
        <w:gridCol w:w="477"/>
        <w:gridCol w:w="1392"/>
        <w:gridCol w:w="246"/>
        <w:gridCol w:w="109"/>
        <w:gridCol w:w="109"/>
        <w:gridCol w:w="109"/>
        <w:gridCol w:w="466"/>
        <w:gridCol w:w="1362"/>
        <w:gridCol w:w="241"/>
        <w:gridCol w:w="109"/>
        <w:gridCol w:w="109"/>
        <w:gridCol w:w="109"/>
        <w:gridCol w:w="211"/>
        <w:gridCol w:w="616"/>
        <w:gridCol w:w="154"/>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Purchase 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Net tangible assets acquired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Purchased intangible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Goodwill</w:t>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Redline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our intangible assets:</w:t>
      </w:r>
    </w:p>
    <w:tbl>
      <w:tblPr>
        <w:tblW w:w="10205" w:type="dxa"/>
        <w:jc w:val="left"/>
        <w:tblInd w:w="0" w:type="dxa"/>
        <w:tblCellMar>
          <w:top w:w="28" w:type="dxa"/>
          <w:left w:w="28" w:type="dxa"/>
          <w:bottom w:w="28" w:type="dxa"/>
          <w:right w:w="28" w:type="dxa"/>
        </w:tblCellMar>
      </w:tblPr>
      <w:tblGrid>
        <w:gridCol w:w="1396"/>
        <w:gridCol w:w="1190"/>
        <w:gridCol w:w="1195"/>
        <w:gridCol w:w="109"/>
        <w:gridCol w:w="109"/>
        <w:gridCol w:w="109"/>
        <w:gridCol w:w="451"/>
        <w:gridCol w:w="451"/>
        <w:gridCol w:w="454"/>
        <w:gridCol w:w="109"/>
        <w:gridCol w:w="109"/>
        <w:gridCol w:w="109"/>
        <w:gridCol w:w="211"/>
        <w:gridCol w:w="616"/>
        <w:gridCol w:w="109"/>
        <w:gridCol w:w="109"/>
        <w:gridCol w:w="109"/>
        <w:gridCol w:w="109"/>
        <w:gridCol w:w="483"/>
        <w:gridCol w:w="1104"/>
        <w:gridCol w:w="251"/>
        <w:gridCol w:w="109"/>
        <w:gridCol w:w="109"/>
        <w:gridCol w:w="109"/>
        <w:gridCol w:w="211"/>
        <w:gridCol w:w="616"/>
        <w:gridCol w:w="159"/>
      </w:tblGrid>
      <w:tr>
        <w:trPr/>
        <w:tc>
          <w:tcPr>
            <w:tcW w:w="1396"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16"/>
              </w:rPr>
            </w:pPr>
            <w:r>
              <w:rPr>
                <w:rFonts w:ascii="Times New Roman;sans-serif" w:hAnsi="Times New Roman;sans-serif"/>
                <w:b/>
                <w:color w:val="000000"/>
                <w:sz w:val="16"/>
              </w:rPr>
              <w:t>(In thousands except for useful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Useful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Accumulate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8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 with finite lives: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purchased intangible assets with finite lives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purchased intangible assets for the nine months ended March 31, 2023 was $0.4 million included in operating expenses. There were no impairment charges for the three or nine months ended March 31, 2023.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 forma results of operations for this acquisition have not been presented because the effects on revenue and net income were not material to our historic consolidated financial statements.</w:t>
      </w:r>
    </w:p>
    <w:p>
      <w:pPr>
        <w:pStyle w:val="TextBody"/>
        <w:spacing w:lineRule="auto" w:line="288" w:before="180" w:after="18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estimated future amortization expense of intangible assets with finite lives as of March 31, 2023 is as follows:</w:t>
      </w:r>
    </w:p>
    <w:tbl>
      <w:tblPr>
        <w:tblW w:w="3162" w:type="dxa"/>
        <w:jc w:val="left"/>
        <w:tblInd w:w="0" w:type="dxa"/>
        <w:tblCellMar>
          <w:top w:w="28" w:type="dxa"/>
          <w:left w:w="28" w:type="dxa"/>
          <w:bottom w:w="28" w:type="dxa"/>
          <w:right w:w="28" w:type="dxa"/>
        </w:tblCellMar>
      </w:tblPr>
      <w:tblGrid>
        <w:gridCol w:w="608"/>
        <w:gridCol w:w="534"/>
        <w:gridCol w:w="538"/>
        <w:gridCol w:w="109"/>
        <w:gridCol w:w="109"/>
        <w:gridCol w:w="109"/>
        <w:gridCol w:w="226"/>
        <w:gridCol w:w="660"/>
        <w:gridCol w:w="269"/>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269" w:type="dxa"/>
            <w:tcBorders/>
            <w:shd w:fill="FFFFFF" w:val="clear"/>
            <w:tcMar>
              <w:top w:w="0" w:type="dxa"/>
              <w:left w:w="0" w:type="dxa"/>
              <w:bottom w:w="0" w:type="dxa"/>
              <w:right w:w="0" w:type="dxa"/>
            </w:tcMar>
            <w:vAlign w:val="center"/>
          </w:tcPr>
          <w:p>
            <w:pPr>
              <w:pStyle w:val="TableContents"/>
              <w:spacing w:before="0" w:after="283"/>
              <w:ind w:left="0" w:right="0" w:firstLine="120"/>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varies from the U.S. federal statutory rate of 21% primarily due to results of foreign operations that are subject to income taxes at different statutory rates and certain jurisdictions where we cannot recognize tax benefit on current losses. During interim periods, we accrue tax expenses for jurisdictions that are anticipated to be profitable for fiscal 2023.</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of our income taxes for the nine months ended March 31, 2023 and April 1, 2022 was based on our estimated annual effective tax rate adjusted for losses in certain jurisdictions for which no tax benefit can be recognized. Our tax expense for the nine months ended March 31, 2023 was primarily due to tax expense related to U.S. and profitable foreign subsidiaries, including tax expense associated with our acquisition of Redline in July 2022 and subsequent restructuring impact. The tax expense for the nine months ended April 1, 2022 was primarily due to tax expense related to U.S. and profitable foreign subsidiaries.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open income tax audits covering various tax years, which vary from jurisdiction to jurisdiction. Our major tax jurisdictions that are open and subject to potential audits include the U.S., Singapore, Ghana, Kenya, Nigeria, and Saudi Arabia. The earliest years for these jurisdictions are as follows: U.S. - 2003; Singapore - 2015; Ghana – 2016; Kenya - 2018: Nigeria - 2006; and Saudi Arabia - 2019.</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interest and penalties related to unrecognized tax benefits as part of our provision for federal, foreign, and state income taxes. Such interest expense was not material for the nine months ended March 31, 2023 and April 1, 2022.</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ARPA and the impact they may have on our future business.</w:t>
      </w:r>
    </w:p>
    <w:p>
      <w:pPr>
        <w:pStyle w:val="TextBody"/>
        <w:spacing w:before="0" w:after="0"/>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We will continue to evaluate the applicability and effect of the IRA as more guidance is issued.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 xml:space="preserve">Note 12. Net Income Per Share of Common Stock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net income per share:</w:t>
      </w:r>
    </w:p>
    <w:tbl>
      <w:tblPr>
        <w:tblW w:w="9344" w:type="dxa"/>
        <w:jc w:val="left"/>
        <w:tblInd w:w="0" w:type="dxa"/>
        <w:tblCellMar>
          <w:top w:w="28" w:type="dxa"/>
          <w:left w:w="28" w:type="dxa"/>
          <w:bottom w:w="28" w:type="dxa"/>
          <w:right w:w="28" w:type="dxa"/>
        </w:tblCellMar>
      </w:tblPr>
      <w:tblGrid>
        <w:gridCol w:w="1618"/>
        <w:gridCol w:w="1422"/>
        <w:gridCol w:w="142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61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Numerator: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Denominator: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basic</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equivalent shares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diluted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 of common stock outstanding:</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equity awards that were excluded from the diluted net income per share calculations since they were anti-dilutive:</w:t>
      </w:r>
    </w:p>
    <w:tbl>
      <w:tblPr>
        <w:tblW w:w="8708" w:type="dxa"/>
        <w:jc w:val="left"/>
        <w:tblInd w:w="0" w:type="dxa"/>
        <w:tblCellMar>
          <w:top w:w="28" w:type="dxa"/>
          <w:left w:w="28" w:type="dxa"/>
          <w:bottom w:w="28" w:type="dxa"/>
          <w:right w:w="28" w:type="dxa"/>
        </w:tblCellMar>
      </w:tblPr>
      <w:tblGrid>
        <w:gridCol w:w="1519"/>
        <w:gridCol w:w="1338"/>
        <w:gridCol w:w="1343"/>
        <w:gridCol w:w="284"/>
        <w:gridCol w:w="284"/>
        <w:gridCol w:w="286"/>
        <w:gridCol w:w="178"/>
        <w:gridCol w:w="178"/>
        <w:gridCol w:w="178"/>
        <w:gridCol w:w="233"/>
        <w:gridCol w:w="233"/>
        <w:gridCol w:w="220"/>
        <w:gridCol w:w="109"/>
        <w:gridCol w:w="109"/>
        <w:gridCol w:w="109"/>
        <w:gridCol w:w="284"/>
        <w:gridCol w:w="284"/>
        <w:gridCol w:w="286"/>
        <w:gridCol w:w="165"/>
        <w:gridCol w:w="165"/>
        <w:gridCol w:w="165"/>
        <w:gridCol w:w="233"/>
        <w:gridCol w:w="233"/>
        <w:gridCol w:w="292"/>
      </w:tblGrid>
      <w:tr>
        <w:trPr/>
        <w:tc>
          <w:tcPr>
            <w:tcW w:w="1519"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2022</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performance stock units</w:t>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excluded</w:t>
            </w:r>
          </w:p>
        </w:tc>
        <w:tc>
          <w:tcPr>
            <w:tcW w:w="5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Note 13. Commitments and Contingencies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Purchase Orders and Other Commitments</w:t>
      </w:r>
    </w:p>
    <w:p>
      <w:pPr>
        <w:pStyle w:val="TextBody"/>
        <w:spacing w:lineRule="auto" w:line="288" w:before="180" w:after="283"/>
        <w:ind w:left="0" w:right="0" w:firstLine="540"/>
        <w:jc w:val="both"/>
        <w:rPr/>
      </w:pPr>
      <w:r>
        <w:rPr>
          <w:rFonts w:ascii="Times New Roman;sans-serif" w:hAnsi="Times New Roman;sans-serif"/>
          <w:b w:val="false"/>
          <w:color w:val="000000"/>
          <w:sz w:val="20"/>
        </w:rPr>
        <w:t xml:space="preserve">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We currently rely on a few vendors for substantially all of our inventory purchases. As of March 31, 2023, we had outstanding purchase obligations with our suppliers or contract manufacturers of $47.6 million. In addition, we had contractual obligations of approximately </w:t>
      </w:r>
      <w:r>
        <w:rPr>
          <w:rFonts w:ascii="Times New Roman;sans-serif" w:hAnsi="Times New Roman;sans-serif"/>
          <w:b w:val="false"/>
          <w:color w:val="000000"/>
          <w:sz w:val="20"/>
          <w:highlight w:val="white"/>
        </w:rPr>
        <w:t>$3.9 million</w:t>
      </w:r>
      <w:r>
        <w:rPr>
          <w:color w:val="000000"/>
        </w:rPr>
        <w:t xml:space="preserve"> </w:t>
      </w:r>
      <w:r>
        <w:rPr>
          <w:rFonts w:ascii="Times New Roman;sans-serif" w:hAnsi="Times New Roman;sans-serif"/>
          <w:b w:val="false"/>
          <w:color w:val="000000"/>
          <w:sz w:val="20"/>
        </w:rPr>
        <w:t xml:space="preserve">associated with software licenses as of March 31, 2023.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Financial Guarantees and Commercial Commitments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March 31, 2023, we had no guarantees applicable to our debt arrangements.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31, 2023, we had commercial commitments of $62.8 million outstanding that were not recorded on our unaudited condensed consolidated balance sheets.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based on historical experience and information currently available, that it is probable that any significant amounts will be required to be paid on these performance guarantees in the future.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our commercial commitments:</w:t>
      </w:r>
    </w:p>
    <w:tbl>
      <w:tblPr>
        <w:tblW w:w="2808" w:type="dxa"/>
        <w:jc w:val="left"/>
        <w:tblInd w:w="0" w:type="dxa"/>
        <w:tblCellMar>
          <w:top w:w="28" w:type="dxa"/>
          <w:left w:w="28" w:type="dxa"/>
          <w:bottom w:w="28" w:type="dxa"/>
          <w:right w:w="28" w:type="dxa"/>
        </w:tblCellMar>
      </w:tblPr>
      <w:tblGrid>
        <w:gridCol w:w="504"/>
        <w:gridCol w:w="445"/>
        <w:gridCol w:w="446"/>
        <w:gridCol w:w="109"/>
        <w:gridCol w:w="109"/>
        <w:gridCol w:w="109"/>
        <w:gridCol w:w="211"/>
        <w:gridCol w:w="721"/>
        <w:gridCol w:w="154"/>
      </w:tblGrid>
      <w:tr>
        <w:trPr/>
        <w:tc>
          <w:tcPr>
            <w:tcW w:w="50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substantially all of our license agreements, we have agreed to defend and pay any final judgment against our customers arising from claims against such customers that our products infringe the intellectual property rights of a third party. As of March 31, 2023,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March 31, 2023, we had not recorded any liabilities related to these indemnifications.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from time to time to disputes with customers concerning our products and services. 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Contingent Liabilities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September 2019, our directors of Aviat India appeared before the Ministry of Finance Enforcement Directorate. No settlement offers were discussed at the meeting and the matter is still ongoing with no subsequent hearing date currently scheduled as of March 31, 2023.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pStyle w:val="TextBody"/>
        <w:spacing w:before="180" w:after="283"/>
        <w:rPr/>
      </w:pPr>
      <w:r>
        <w:rPr/>
      </w:r>
    </w:p>
    <w:p>
      <w:pPr>
        <w:pStyle w:val="TextBody"/>
        <w:spacing w:before="180" w:after="283"/>
        <w:ind w:left="0" w:right="0" w:firstLine="540"/>
        <w:jc w:val="both"/>
        <w:rPr/>
      </w:pPr>
      <w:r>
        <w:rPr/>
      </w:r>
    </w:p>
    <w:p>
      <w:pPr>
        <w:pStyle w:val="TextBody"/>
        <w:spacing w:before="180" w:after="283"/>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rPr/>
      </w:pPr>
      <w:r>
        <w:rPr/>
      </w:r>
    </w:p>
    <w:p>
      <w:pPr>
        <w:pStyle w:val="TextBody"/>
        <w:spacing w:before="180" w:after="283"/>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COVID-19 on our business, operations and cash flows;</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disruptions relating to the ongoing conflict between Russia and Ukraine;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continued price and margin erosion as a result of increased competition in the microwave transmission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our ability to realize the anticipated benefits of any proposed or recent acquisitions within the anticipated timeframe or at all, including the risk that proposed or recent acquisitions will not be integrated successfully;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the volume, timing, and customer, product, and geographic mix of our product orders;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meet financial covenant requirements which could impact, among other things, our liquidity;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timing of our receipt of payment for products or services from our customers;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meet projected new product development dates or anticipated cost reductions of new products;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suppliers’ inability to perform and deliver on time as a result of their financial condition, component shortages, the effects of COVID-19 or other supply chain constraints;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customer acceptance of new products;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ability of our subcontractors to timely perform;</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weakness in the global economy affecting customer spending;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retention of our key personnel;</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manage and maintain key customer relationships;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uncertain economic conditions in the telecommunications sector combined with operator and supplier consolidation;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failure to protect our intellectual property rights or defend against intellectual property infringement claims by others;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results of our restructuring efforts;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ability to preserve and use our net operating loss carryforwards;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the effects of currency and interest rate risks;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effects of current and future government regulations, including the effects of current restrictions on various commercial and economic activities in response to the COVID-19 pandemic;</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general economic conditions, including uncertainty regarding the timing, pace and extent of an economic recovery in the United States and other countries where we conduct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conduct of unethical business practices in developing countries;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political turmoil in countries where we have significant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implement our stock repurchase program or that it will enhance long-term stockholder value;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adverse developments affecting the financial services industry, including events or concerns involving liquidity, defaults or non-performance by financial institutions.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besides those listed here could also adversely affect us. See “Item 1A. Risk Factors” in our fiscal 2022 Annual Report on Form 10-K filed with the SEC on September 14, 2022 for more information regarding factors that may cause our results to differ materially from those expressed or implied by the forward-looking statements contained in this Quarterly Report on Form 10-Q.</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 of Business; Operating Environment and Key Factors Impacting Fiscal 2023 and 2022 Results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30, 2023 is referred to as “fiscal 2023” or “2023” and our fiscal year ended July 1, 2022 is referred to as “fiscal 2022” or “2022.”</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sells radios, routers, software and services integral to the functioning of data transport networks. We have more than 3,000 customers and significant relationships with global service providers and private network operators. Our manufacturing base in North America consists of a combination of contract manufacturing and assembly and test operated in Austin, Texas by Aviat. Additionally, we utilize a contract manufacturer based in Asia for much of our international equipment demand. Our technology is underpinned by more than 200 patents. We compete on the basis of total cost of ownership, microwave radio expertise and solutions for mission critical communications. We have a global presence.</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supply chain lead-times remain extended and difficult to manage and certain components remain on allocation, we have seen recent improvements in the supply chain environment. The impact that supply chain constraints had on our ability to fulfill orders for the current quarter was minimal. Depending on the progression of factors such as supply allocations, lead-time trends and our ability to perform field services, we could experience constraints and delays in fulfilling customer orders in future periods. We continually monitor, assess and adapt to the situation to mitigate impacts on our business, supply chain and customer demand. We expect the potential for these challenges to continue until business and economic activities return to more normal levels worldwide.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be impacted by inflationary pressures incurred to overcome supply chain and logistical bottlenecks. We will monitor, assess and adapt to the situation and prepare for implications to our business, supply chain and customer demand. We expect these challenges to continue until business and economic activities return to more normal levels.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Business Combination with Redline Communications</w:t>
      </w:r>
    </w:p>
    <w:p>
      <w:pPr>
        <w:pStyle w:val="TextBody"/>
        <w:spacing w:before="0" w:after="0"/>
        <w:rPr/>
      </w:pPr>
      <w:r>
        <w:rPr/>
      </w:r>
    </w:p>
    <w:p>
      <w:pPr>
        <w:pStyle w:val="TextBody"/>
        <w:spacing w:lineRule="auto" w:line="268" w:before="0" w:after="0"/>
        <w:ind w:left="0" w:right="0" w:firstLine="540"/>
        <w:jc w:val="both"/>
        <w:rPr/>
      </w:pPr>
      <w:r>
        <w:rPr>
          <w:rFonts w:ascii="Times New Roman;sans-serif" w:hAnsi="Times New Roman;sans-serif"/>
          <w:b w:val="false"/>
          <w:color w:val="000000"/>
          <w:sz w:val="20"/>
        </w:rPr>
        <w:t>On July 5, 2022, Aviat acquired Redline Communications, Inc. (“Redline”), a leading provider of mission-critical data infrastructure. Redline allows Aviat to expand its Private Networks Offering with Private LTE/5G, Unlicensed Wireless Access Solutions, by creating an integrated end-to-end offering for wireless access and transport in the Private Networks segment,</w:t>
      </w:r>
      <w:r>
        <w:rPr>
          <w:color w:val="000000"/>
        </w:rPr>
        <w:t xml:space="preserve"> </w:t>
      </w:r>
      <w:r>
        <w:rPr>
          <w:rFonts w:ascii="Times New Roman;sans-serif" w:hAnsi="Times New Roman;sans-serif"/>
          <w:b w:val="false"/>
          <w:color w:val="000000"/>
          <w:sz w:val="20"/>
        </w:rPr>
        <w:t xml:space="preserve">leveraging Aviat's sales channel to address the large Private LTE/5G market and increasing Aviat’s reach in mission-critical industrial Private Networks.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Operations Review</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mobile backhaul continued to be our primary addressable market segment globally in the first nine months of fiscal 2023.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LTE deployments, and 5G deployments. Our position continues to be to support our customers for 5G and LTE readiness and ensure that our technology roadmap is well aligned with evolving market requirements. Our strength in turnkey and after-sale support services is a differentiating factor that wins business for us and enables us to expand our business with existing customers in all markets. Additionally, we operate an e-commerce platform that provides low cost services, a simple experience, and fast delivery to mobile operator and private network customers. However, as disclosed above and in the “Risk Factors” section in Item 1A of our Annual Report on Form 10-K filed with the SEC on September 14, 2022, a number of factors could prevent us from achieving our objectives, including ongoing pricing pressures attributable to competition and macroeconomic conditions in the geographic markets that we serve.</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sales activities primarily on a geographic basis in North America and three international geographic regions: (1) Africa and the Middle East, (2) Europe, and (3) Latin America and Asia Pacific. Revenue by region for the three and nine months ended March 31, 2023 and April 1, 2022 and the related changes were as follows:</w:t>
      </w:r>
    </w:p>
    <w:tbl>
      <w:tblPr>
        <w:tblW w:w="11071" w:type="dxa"/>
        <w:jc w:val="left"/>
        <w:tblInd w:w="0" w:type="dxa"/>
        <w:tblCellMar>
          <w:top w:w="28" w:type="dxa"/>
          <w:left w:w="28" w:type="dxa"/>
          <w:bottom w:w="28" w:type="dxa"/>
          <w:right w:w="28" w:type="dxa"/>
        </w:tblCellMar>
      </w:tblPr>
      <w:tblGrid>
        <w:gridCol w:w="413"/>
        <w:gridCol w:w="311"/>
        <w:gridCol w:w="312"/>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33"/>
        <w:gridCol w:w="233"/>
        <w:gridCol w:w="47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2"/>
        <w:gridCol w:w="234"/>
        <w:gridCol w:w="532"/>
      </w:tblGrid>
      <w:tr>
        <w:trPr/>
        <w:tc>
          <w:tcPr>
            <w:tcW w:w="41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 and the Middle East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Latin America and Asia Pacific</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in North America decreased by $(3.0) million, or (6.1)%, during the third quarter of fiscal 2023 compared with the same period of fiscal 2022. Revenue in North America decreased by $(4.1) million, or (2.7)%, during the nine months ended fiscal 2023 compared with the same period of fiscal 2022. The decrease in North America revenue during the three and nine months ended fiscal 2023 were primarily driven by lower tier one product volumes and lower private network volumes partially offset by higher service volume.</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in Africa and the Middle East increased by $6.1 million or 46.6% during the third quarter of fiscal 2023 compared with the same period of fiscal 2022. Revenue in Africa and the Middle East increased by $7.0 million, or 18.7%, during the nine months of fiscal 2023 compared with the same period of fiscal 2022. This increase in revenue during the three and nine months ended fiscal 2023 was primarily driven by increased product sales to mobile and private network operators in the region.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Europe increased by $1.0 million, or 33.6%, for the third quarter of fiscal 2023 compared with the same period of fiscal 2022. Revenue in Europe increased by $5.2 million, or 61.1%, during the nine months of fiscal 2023 compared with the same period of fiscal 2022. This increase during the three and nine months ended fiscal 2023 was primarily driven by increased sales to mobile operators.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Latin America and Asia Pacific increased by $4.9 million, or 51.4%, during the third quarter of fiscal 2023 compared with the same period of fiscal 2022, and increased by $21.8 million, or 75.9%, during the first nine months ended fiscal 2023 compared with the same period of fiscal 2022. This increase during the three and nine months ended fiscal 2023 was primarily driven by a key customer win in Asia Pacific and increased product sales to mobile operators in Latin America.</w:t>
      </w:r>
    </w:p>
    <w:tbl>
      <w:tblPr>
        <w:tblW w:w="11056" w:type="dxa"/>
        <w:jc w:val="left"/>
        <w:tblInd w:w="0" w:type="dxa"/>
        <w:tblCellMar>
          <w:top w:w="28" w:type="dxa"/>
          <w:left w:w="28" w:type="dxa"/>
          <w:bottom w:w="28" w:type="dxa"/>
          <w:right w:w="28" w:type="dxa"/>
        </w:tblCellMar>
      </w:tblPr>
      <w:tblGrid>
        <w:gridCol w:w="413"/>
        <w:gridCol w:w="311"/>
        <w:gridCol w:w="31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47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532"/>
      </w:tblGrid>
      <w:tr>
        <w:trPr/>
        <w:tc>
          <w:tcPr>
            <w:tcW w:w="41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from product sales increased by $2.8 million, or 5.3%, for the third quarter of fiscal 2023 compared with the same quarter of fiscal 2022. Our services revenue increased by $6.2 million, or 27.6%, during the third quarter of fiscal 2023 compared with the same quarter of fiscal 2022.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from product sales increased by $19.1 million, or 12.2%, for the nine months ended fiscal 2023 compared with the same period of fiscal 2022. Our services revenue increased by $10.8 million, or 15.6%, during the nine months ended fiscal 2023 compared with the same period of fiscal 2022.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Gross Margin</w:t>
      </w:r>
    </w:p>
    <w:tbl>
      <w:tblPr>
        <w:tblW w:w="11464" w:type="dxa"/>
        <w:jc w:val="left"/>
        <w:tblInd w:w="0" w:type="dxa"/>
        <w:tblCellMar>
          <w:top w:w="28" w:type="dxa"/>
          <w:left w:w="28" w:type="dxa"/>
          <w:bottom w:w="28" w:type="dxa"/>
          <w:right w:w="28" w:type="dxa"/>
        </w:tblCellMar>
      </w:tblPr>
      <w:tblGrid>
        <w:gridCol w:w="329"/>
        <w:gridCol w:w="263"/>
        <w:gridCol w:w="264"/>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33"/>
        <w:gridCol w:w="233"/>
        <w:gridCol w:w="471"/>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33"/>
        <w:gridCol w:w="233"/>
        <w:gridCol w:w="532"/>
      </w:tblGrid>
      <w:tr>
        <w:trPr/>
        <w:tc>
          <w:tcPr>
            <w:tcW w:w="32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percentages)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53,647 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163,907 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143,765 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Product margin %</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Service margin %</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third quarter of fiscal 2023 increased by $2.3 million, or 8.3% compared with the same quarter of fiscal 2022. Gross margin for the first nine months of fiscal 2023, increased by $9.7 million, or 11.9%. The gross margin improvement was primarily due to higher volume of Private Network and mobile operator business as well as the contribution from the Redline acquisition. </w:t>
      </w:r>
    </w:p>
    <w:p>
      <w:pPr>
        <w:pStyle w:val="TextBody"/>
        <w:spacing w:lineRule="auto" w:line="288" w:before="180" w:after="283"/>
        <w:ind w:left="0" w:right="0" w:firstLine="540"/>
        <w:jc w:val="both"/>
        <w:rPr/>
      </w:pPr>
      <w:r>
        <w:rPr>
          <w:rFonts w:ascii="Times New Roman;sans-serif" w:hAnsi="Times New Roman;sans-serif"/>
          <w:b w:val="false"/>
          <w:color w:val="000000"/>
          <w:sz w:val="20"/>
        </w:rPr>
        <w:t>Gross</w:t>
      </w:r>
      <w:r>
        <w:rPr>
          <w:color w:val="000000"/>
        </w:rPr>
        <w:t xml:space="preserve"> </w:t>
      </w:r>
      <w:r>
        <w:rPr>
          <w:rFonts w:ascii="Times New Roman;sans-serif" w:hAnsi="Times New Roman;sans-serif"/>
          <w:b w:val="false"/>
          <w:color w:val="000000"/>
          <w:sz w:val="20"/>
        </w:rPr>
        <w:t>margin as a percentage of product</w:t>
      </w:r>
      <w:r>
        <w:rPr>
          <w:color w:val="000000"/>
        </w:rPr>
        <w:t xml:space="preserve"> </w:t>
      </w:r>
      <w:r>
        <w:rPr>
          <w:rFonts w:ascii="Times New Roman;sans-serif" w:hAnsi="Times New Roman;sans-serif"/>
          <w:b w:val="false"/>
          <w:color w:val="000000"/>
          <w:sz w:val="20"/>
        </w:rPr>
        <w:t>revenue decreased in the third quarter and in the first nine months of fiscal 2023 compared with the prior year periods primarily due to regional and customer mix partially offset by the accretive contribution of the Redline acquisition.</w:t>
      </w:r>
      <w:r>
        <w:rPr>
          <w:color w:val="000000"/>
        </w:rPr>
        <w:t xml:space="preserve"> </w:t>
      </w:r>
      <w:r>
        <w:rPr>
          <w:rFonts w:ascii="Times New Roman;sans-serif" w:hAnsi="Times New Roman;sans-serif"/>
          <w:b w:val="false"/>
          <w:color w:val="000000"/>
          <w:sz w:val="20"/>
        </w:rPr>
        <w:t>Service margin as a percentage of service revenue in the third quarter and in the first nine months of fiscal 2023, increased compared to the same periods in fiscal 2022 due to changes in the stand-alone prices for products and services and the resulting impact on the allocation of the overall transaction price to services.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11097" w:type="dxa"/>
        <w:jc w:val="left"/>
        <w:tblInd w:w="0" w:type="dxa"/>
        <w:tblCellMar>
          <w:top w:w="28" w:type="dxa"/>
          <w:left w:w="28" w:type="dxa"/>
          <w:bottom w:w="28" w:type="dxa"/>
          <w:right w:w="28" w:type="dxa"/>
        </w:tblCellMar>
      </w:tblPr>
      <w:tblGrid>
        <w:gridCol w:w="398"/>
        <w:gridCol w:w="311"/>
        <w:gridCol w:w="312"/>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233"/>
        <w:gridCol w:w="233"/>
        <w:gridCol w:w="471"/>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92"/>
        <w:gridCol w:w="192"/>
        <w:gridCol w:w="532"/>
      </w:tblGrid>
      <w:tr>
        <w:trPr/>
        <w:tc>
          <w:tcPr>
            <w:tcW w:w="39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in the third quarter and first nine months of fiscal 2023 increased compared with the same periods of fiscal 2022. The increase was primarily attributable to Redline’s research and development program partially offset by the strength of the US Dollar yielded savings compared to the prior year.</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Selling and Administrative Expenses</w:t>
      </w:r>
    </w:p>
    <w:tbl>
      <w:tblPr>
        <w:tblW w:w="11318" w:type="dxa"/>
        <w:jc w:val="left"/>
        <w:tblInd w:w="0" w:type="dxa"/>
        <w:tblCellMar>
          <w:top w:w="28" w:type="dxa"/>
          <w:left w:w="28" w:type="dxa"/>
          <w:bottom w:w="28" w:type="dxa"/>
          <w:right w:w="28" w:type="dxa"/>
        </w:tblCellMar>
      </w:tblPr>
      <w:tblGrid>
        <w:gridCol w:w="488"/>
        <w:gridCol w:w="311"/>
        <w:gridCol w:w="312"/>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200"/>
        <w:gridCol w:w="200"/>
        <w:gridCol w:w="471"/>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33"/>
        <w:gridCol w:w="233"/>
        <w:gridCol w:w="532"/>
      </w:tblGrid>
      <w:tr>
        <w:trPr/>
        <w:tc>
          <w:tcPr>
            <w:tcW w:w="48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4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administrative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$1.0 million selling and administrative expense increase in the third quarter of fiscal 2023 was driven by the Redline acquisition and variable compensation expenses. The $8.6 million selling and administrative expense increase for the first nine months of fiscal 2023 was also driven by the Redline acquisition and variable compensation, as well as merger and acquisition related expenses.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Restructuring Charges</w:t>
      </w:r>
    </w:p>
    <w:tbl>
      <w:tblPr>
        <w:tblW w:w="10205" w:type="dxa"/>
        <w:jc w:val="left"/>
        <w:tblInd w:w="0" w:type="dxa"/>
        <w:tblCellMar>
          <w:top w:w="28" w:type="dxa"/>
          <w:left w:w="28" w:type="dxa"/>
          <w:bottom w:w="28" w:type="dxa"/>
          <w:right w:w="28" w:type="dxa"/>
        </w:tblCellMar>
      </w:tblPr>
      <w:tblGrid>
        <w:gridCol w:w="530"/>
        <w:gridCol w:w="388"/>
        <w:gridCol w:w="389"/>
        <w:gridCol w:w="218"/>
        <w:gridCol w:w="401"/>
        <w:gridCol w:w="121"/>
        <w:gridCol w:w="109"/>
        <w:gridCol w:w="109"/>
        <w:gridCol w:w="109"/>
        <w:gridCol w:w="210"/>
        <w:gridCol w:w="384"/>
        <w:gridCol w:w="117"/>
        <w:gridCol w:w="109"/>
        <w:gridCol w:w="109"/>
        <w:gridCol w:w="109"/>
        <w:gridCol w:w="245"/>
        <w:gridCol w:w="414"/>
        <w:gridCol w:w="137"/>
        <w:gridCol w:w="109"/>
        <w:gridCol w:w="109"/>
        <w:gridCol w:w="109"/>
        <w:gridCol w:w="290"/>
        <w:gridCol w:w="290"/>
        <w:gridCol w:w="291"/>
        <w:gridCol w:w="109"/>
        <w:gridCol w:w="109"/>
        <w:gridCol w:w="109"/>
        <w:gridCol w:w="209"/>
        <w:gridCol w:w="594"/>
        <w:gridCol w:w="116"/>
        <w:gridCol w:w="109"/>
        <w:gridCol w:w="109"/>
        <w:gridCol w:w="109"/>
        <w:gridCol w:w="205"/>
        <w:gridCol w:w="469"/>
        <w:gridCol w:w="114"/>
        <w:gridCol w:w="109"/>
        <w:gridCol w:w="109"/>
        <w:gridCol w:w="109"/>
        <w:gridCol w:w="196"/>
        <w:gridCol w:w="556"/>
        <w:gridCol w:w="109"/>
        <w:gridCol w:w="109"/>
        <w:gridCol w:w="109"/>
        <w:gridCol w:w="109"/>
        <w:gridCol w:w="268"/>
        <w:gridCol w:w="268"/>
        <w:gridCol w:w="387"/>
      </w:tblGrid>
      <w:tr>
        <w:trPr/>
        <w:tc>
          <w:tcPr>
            <w:tcW w:w="53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9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(recovery) charges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47"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18"/>
              </w:rPr>
              <w:t>Percentage not meaningful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9"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2023, we completed the Q4 2022 Plan. For the nine months ended fiscal 2023 we recorded restructuring charges related to the Q1 2023 Plan and Q2 2023 Plan partially offset by the completion of the Q4 2022 Plan.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Expense/Income, net</w:t>
      </w:r>
    </w:p>
    <w:tbl>
      <w:tblPr>
        <w:tblW w:w="10205" w:type="dxa"/>
        <w:jc w:val="left"/>
        <w:tblInd w:w="0" w:type="dxa"/>
        <w:tblCellMar>
          <w:top w:w="28" w:type="dxa"/>
          <w:left w:w="28" w:type="dxa"/>
          <w:bottom w:w="28" w:type="dxa"/>
          <w:right w:w="28" w:type="dxa"/>
        </w:tblCellMar>
      </w:tblPr>
      <w:tblGrid>
        <w:gridCol w:w="436"/>
        <w:gridCol w:w="384"/>
        <w:gridCol w:w="385"/>
        <w:gridCol w:w="216"/>
        <w:gridCol w:w="464"/>
        <w:gridCol w:w="120"/>
        <w:gridCol w:w="109"/>
        <w:gridCol w:w="109"/>
        <w:gridCol w:w="109"/>
        <w:gridCol w:w="208"/>
        <w:gridCol w:w="448"/>
        <w:gridCol w:w="116"/>
        <w:gridCol w:w="109"/>
        <w:gridCol w:w="109"/>
        <w:gridCol w:w="109"/>
        <w:gridCol w:w="214"/>
        <w:gridCol w:w="461"/>
        <w:gridCol w:w="121"/>
        <w:gridCol w:w="109"/>
        <w:gridCol w:w="109"/>
        <w:gridCol w:w="109"/>
        <w:gridCol w:w="290"/>
        <w:gridCol w:w="290"/>
        <w:gridCol w:w="291"/>
        <w:gridCol w:w="109"/>
        <w:gridCol w:w="109"/>
        <w:gridCol w:w="109"/>
        <w:gridCol w:w="208"/>
        <w:gridCol w:w="592"/>
        <w:gridCol w:w="116"/>
        <w:gridCol w:w="109"/>
        <w:gridCol w:w="109"/>
        <w:gridCol w:w="109"/>
        <w:gridCol w:w="208"/>
        <w:gridCol w:w="448"/>
        <w:gridCol w:w="116"/>
        <w:gridCol w:w="109"/>
        <w:gridCol w:w="109"/>
        <w:gridCol w:w="109"/>
        <w:gridCol w:w="196"/>
        <w:gridCol w:w="556"/>
        <w:gridCol w:w="109"/>
        <w:gridCol w:w="109"/>
        <w:gridCol w:w="109"/>
        <w:gridCol w:w="109"/>
        <w:gridCol w:w="268"/>
        <w:gridCol w:w="268"/>
        <w:gridCol w:w="387"/>
      </w:tblGrid>
      <w:tr>
        <w:trPr/>
        <w:tc>
          <w:tcPr>
            <w:tcW w:w="43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(income)/expense, net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05"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18"/>
              </w:rPr>
              <w:t>Percentage not meaningful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(income)/expense, net increased by $0.3 million and $2.4 million, in the three and nine months ended fiscal 2023, respectively, compared with the same periods of fiscal 2022 primarily due to loss on sale of Marketable securities and the movement in foreign exchange rates.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10511" w:type="dxa"/>
        <w:jc w:val="left"/>
        <w:tblInd w:w="0" w:type="dxa"/>
        <w:tblCellMar>
          <w:top w:w="28" w:type="dxa"/>
          <w:left w:w="28" w:type="dxa"/>
          <w:bottom w:w="28" w:type="dxa"/>
          <w:right w:w="28" w:type="dxa"/>
        </w:tblCellMar>
      </w:tblPr>
      <w:tblGrid>
        <w:gridCol w:w="353"/>
        <w:gridCol w:w="311"/>
        <w:gridCol w:w="312"/>
        <w:gridCol w:w="196"/>
        <w:gridCol w:w="556"/>
        <w:gridCol w:w="109"/>
        <w:gridCol w:w="109"/>
        <w:gridCol w:w="109"/>
        <w:gridCol w:w="109"/>
        <w:gridCol w:w="196"/>
        <w:gridCol w:w="556"/>
        <w:gridCol w:w="109"/>
        <w:gridCol w:w="109"/>
        <w:gridCol w:w="109"/>
        <w:gridCol w:w="109"/>
        <w:gridCol w:w="196"/>
        <w:gridCol w:w="491"/>
        <w:gridCol w:w="109"/>
        <w:gridCol w:w="109"/>
        <w:gridCol w:w="109"/>
        <w:gridCol w:w="109"/>
        <w:gridCol w:w="233"/>
        <w:gridCol w:w="233"/>
        <w:gridCol w:w="47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532"/>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pStyle w:val="TextBody"/>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expense for the third quarter of fiscal 2023 was primarily due to the tax expense related to U.S. and profitable foreign subsidiaries. The tax expense for the first nine months of fiscal 2023 was primarily due to the tax expense related to U.S. and profitable foreign subsidiaries, including tax expense associated with our acquisition of Redline in July 2022 and subsequent restructuring impact. See Note 10: Acquisition.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18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Capital Resources, and Financial Strategies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Sources of Cash</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total cash and cash equivalents were $22.5 million. Approximately $4.6 million, or 20.5%, was held in the United States. The remaining balance of $17.9 million, or 79.5%, was held by entities outside the United States. Of the amount of cash and cash equivalents held by our foreign subsidiaries on March 31, 2023, $16.6 million was held in jurisdictions where our undistributed earnings are indefinitely reinvested, and if repatriated, would be subject to foreign withholding taxes.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or used in operating activities is presented as net income adjusted for non-cash items and changes in operating assets and liabilities. Net cash used in operating activities was $9.0 million for the first nine months of fiscal 2023, compared to $10.8 million cash used in operations for the first nine months of fiscal 2022; this difference was primarily related to a net change in Other Assets and Liabilities, Accrued Expenses, Inventories, Advance Payments and Unearned Revenue, partially offset by the net change in Accounts Receivable. Net cash provided by noncash items was $19.4 million for the first nine months of 2023. The net changes in operating assets and liabilities resulted in a net use of cash of $36.6 million for the first nine months of fiscal 2023, compared to net use of cash of $40.0 million for the same period in fiscal 2022.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resulted in a net use of cash for the first nine months of fiscal 2023 primarily related to Accounts Receivable that fluctuate from period to period, depending on the amount and timing of sales, billing activities and cash collections; and an increase in Accounts Payable, by the timing of payments. The use of cash from assets and liabilities was partially offset by customer Unbilled Receivables and Advance Payments and Unearned Revenue; Accrued Expenses, Inventories and Other Assets and Liabilities.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$11.7 million and $1.2 million for the first nine months of fiscal 2023 and 2022, respectively, which consisted of the Redline acquisition and capital expenditures offset by proceeds from the sale of marketable securities.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cash flows consist primarily of borrowings and repayments of short-term debt, repurchase of stock and proceeds from the sale of shares of common stock through employee equity plans. Net cash provided by financing activities was $6.2 million for the first nine months of fiscal 2023, primarily from cash proceeds from Short-term Debt and the issuance of common stock under employee stock plans of $1.1 million partially offset by payments for taxes related to settlement of equity awards of $1.1 million. Net cash used in financing activities was $4.0 million for the first nine months of fiscal 2022, primarily due to the repurchase of common stock of $(4.6) million partially offset by cash proceeds from the issuance of common stock under employee stock plans of $0.9.</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principal sources of liquidity consisted of $22.5 million in cash and cash equivalents; $15.8 million of available credit under our $25.0 million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 million of any combination of the securities described in the shelf registration statement or a related prospectus supplement.</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 with a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formula-based revolving credit facility can also be utilized to issue letters of credit with a $12.0 million sub-limit. On March 10, 2023, Silicon Valley Bank was closed by the California Department of Financial Protection and Innovation, and the FDIC was appointed as receiver and Silicon Valley Bank was subsequently transferred into a new entity, SVB Bridge Bank. Full access to our SVB Bridge Bank deposits and credit facility were restored by March 14, 2023. As of March 31, 2023, available credit under the SVB Credit Facility was </w:t>
      </w:r>
      <w:r>
        <w:rPr>
          <w:rFonts w:ascii="Times New Roman;sans-serif" w:hAnsi="Times New Roman;sans-serif"/>
          <w:b w:val="false"/>
          <w:color w:val="000000"/>
          <w:sz w:val="20"/>
          <w:highlight w:val="white"/>
        </w:rPr>
        <w:t>$15.8 million</w:t>
      </w:r>
      <w:r>
        <w:rPr>
          <w:rFonts w:ascii="Times New Roman;sans-serif" w:hAnsi="Times New Roman;sans-serif"/>
          <w:b w:val="false"/>
          <w:color w:val="000000"/>
          <w:sz w:val="20"/>
        </w:rPr>
        <w:t>, reflecting the available limit of $25.0 million less outstanding letters of credit of $3.0 million. We borrowed $50.2 million and repaid $44.0 million against the SVB Credit Facility during the nine months ended March 31, 2023. As of March 31, 2023 there was $6.2 million of borrowing outstanding.</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were not in compliance with the affirmative covenant in Section 6.8 of the SVB Credit Facility, as amended, which restricts Aviat from having domestic operating or depository accounts with banks other than SVB. We opened a non-SVB deposit account with Wells Fargo Bank, N.A. in the immediate aftermath of the SVB closure by regulatory authorities on March 10, 2023 so that we could continue receiving customer remittances. We subsequently requested and received a waiver from the lender for this noncompliance. We were in compliance with all other aspects of the credit agreement.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commercial commitments of $62.8 million outstanding that were not recorded on our unaudited condensed consolidated balance sheets.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Restructuring Payments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liabilities for restructuring activities totaling $0.9 million as of March 31, 2023, which were classified as current liabilities and expected to be paid out in cash over the next 12 months. We expect to fund these future payments with available cash and cash provided by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our critical accounting estimates, see the “Critical Accounting Estimates” section of “Item 7. Management’s Discussion and Analysis of Financial Condition and Results of Operations” in our fiscal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sometimes use foreign exchange forward contracts to hedge forecasted foreign currency transactions relating to sales and purchase transactions. The foreign exchange hedges do not qualify as cash flow hedges. The changes in fair value related to the hedges will be recorded in income or expenses line items on our statements of operations.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no forward contracts outstanding.</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international business is transacted in non-U.S. dollar currency. As discussed above, from time to time we utilize foreign currency hedging instruments to minimize the currency risk of international transactions. The impact of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translating the assets and liabilities of foreign operations to U.S. dollars for the first nine months of fiscal 2023 and 2022 was $0.3 million and $(1.1) million, respectively, and was included as a component of stockholders’ equity. As of March 31, 2023 and July 1, 2022, the cumulative translation adjustment decreased our equity by $15.8 million and $16.0 million, respectively.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for changes in interest rates relates primarily to our cash equivalents and borrowings under our SVB Credit Facility.</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Exposure on Cash Equivalents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$22.5 million in total cash and cash equivalents as of March 31, 2023. Cash equivalents totaled $3.7 million as of March 31, 2023 and were comprised of bank certificates of deposit. Cash equivalents investments have been recorded at fair value on our balance sheet. Fair value is measured using inputs that fall into a three-level hierarchy that prioritizes the inputs used to measure fair value based on observability of such inputs. For more information on the fair value measurements of cash equivalents, please refer to “Note 3 Fair Value Measurements of Assets and Liabilities” of the Notes to unaudited condensed consolidated financial statements in this Quarterly Report on Form 10-Q.</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cash equivalents earn interest at fixed rates; therefore, changes in interest rates will not generate a gain or loss on these investments unless they are sold prior to maturity. The weighted-average days to maturity for cash equivalents held as of March 31, 2023 was 27 days, and these investments had an average yield of approximately 5% per annum. A 10% change in interest rates on our cash equivalents is not expected to have a material impact on our financial position, results of operations, or cash flows.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Exposure on Borrowings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borrowings under the SVB Credit Facility incurred interest at the prime rate plus a spread of 0.50% to 1.50% with such spread determined based on our adjusted quick ratio. During the first nine months of fiscal 2023, our weighted-average interest rate was 6.96%, and the interest expense on these borrowings was immaterial.</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management’s evaluation, with the participation of our President and CEO, and Chief Financial Officer (“CFO”), as of March 31, 2023,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Changes in Internal Controls over Financial Reporting</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to our internal controls over financial reporting as defined in Rules 13a-15(f) or 15d-15(f) that occurred during the quarter ended March 31, 2023 that have materially affected, or are reasonably likely to materially affect, our internal controls over financial reporting.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360" w:after="283"/>
        <w:jc w:val="center"/>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legal proceedings as of March 31, 2023, please refer to “Legal Proceedings” and “Contingent Liabilities” under “Note 13 Commitments and Contingencies” of the Notes to unaudited condensed consolidated financial statements in this Quarterly Report on Form 10-Q, which are incorporated into this item by reference.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carefully review and consider the information regarding certain factors which could materially affect our business, operating results, cash flows, and financial condition set forth under Item 1A, Risk Factors, in our fiscal 2022 Annual Report on Form 10-K filed with the SEC on September 14, 2022.</w:t>
      </w:r>
    </w:p>
    <w:p>
      <w:pPr>
        <w:pStyle w:val="TextBody"/>
        <w:spacing w:lineRule="auto" w:line="26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recent developments in the financial services industry we disclose the additional risk factor below.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Actual events involving limited liquidity, defaults, non-performance or other adverse developments that affect financial institutions or the financial services industry generally, or concerns or rumors about any events of these kinds or other similar risks, have in the past and may in the future adversely affect our liquidity.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terms favorable to us, or at all.</w:t>
      </w:r>
      <w:r>
        <w:rPr>
          <w:color w:val="000000"/>
        </w:rPr>
        <w:t xml:space="preserve"> </w:t>
      </w:r>
      <w:r>
        <w:rPr>
          <w:rFonts w:ascii="Times New Roman;sans-serif" w:hAnsi="Times New Roman;sans-serif"/>
          <w:b w:val="false"/>
          <w:color w:val="000000"/>
          <w:sz w:val="20"/>
        </w:rPr>
        <w:t>Any decline in available funding or access to our cash and liquidity resources could, among other things,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pStyle w:val="TextBody"/>
        <w:spacing w:before="0" w:after="0"/>
        <w:ind w:left="0" w:right="0" w:firstLine="720"/>
        <w:jc w:val="both"/>
        <w:rPr/>
      </w:pPr>
      <w:r>
        <w:rPr/>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Any customer or supplier bankruptcy or insolvency, or the failure of any customer to make payments when due, or any breach or default by a customer or supplier, or the loss of any significant supplier relationships, could result in material losses to the Company and may have a material adverse impact on our business.</w:t>
      </w:r>
    </w:p>
    <w:p>
      <w:pPr>
        <w:pStyle w:val="TextBody"/>
        <w:spacing w:before="180" w:after="283"/>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nine months of fiscal 2023 we did not repurchase any shares of our common stock in the open market. </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our Board of Directors approved a stock repurchase program to purchase up to $10.0 million of our common stock. As of March 31, 2023, $8.0 million remains available under the stock repurchase program, and we may choose to suspend or discontinue the repurchase program at any time.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herewith or incorporated by reference to exhibits previously filed with the SEC:</w:t>
      </w:r>
    </w:p>
    <w:tbl>
      <w:tblPr>
        <w:tblW w:w="10205" w:type="dxa"/>
        <w:jc w:val="left"/>
        <w:tblInd w:w="0" w:type="dxa"/>
        <w:tblCellMar>
          <w:top w:w="28" w:type="dxa"/>
          <w:left w:w="28" w:type="dxa"/>
          <w:bottom w:w="28" w:type="dxa"/>
          <w:right w:w="28" w:type="dxa"/>
        </w:tblCellMar>
      </w:tblPr>
      <w:tblGrid>
        <w:gridCol w:w="317"/>
        <w:gridCol w:w="280"/>
        <w:gridCol w:w="281"/>
        <w:gridCol w:w="109"/>
        <w:gridCol w:w="109"/>
        <w:gridCol w:w="109"/>
        <w:gridCol w:w="2685"/>
        <w:gridCol w:w="2601"/>
        <w:gridCol w:w="3714"/>
      </w:tblGrid>
      <w:tr>
        <w:trPr/>
        <w:tc>
          <w:tcPr>
            <w:tcW w:w="31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01"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r>
      <w:tr>
        <w:trPr/>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Descriptions</w:t>
            </w:r>
          </w:p>
        </w:tc>
      </w:tr>
      <w:tr>
        <w:trPr/>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both"/>
              <w:rPr/>
            </w:pPr>
            <w:hyperlink r:id="rId2">
              <w:r>
                <w:rPr>
                  <w:rStyle w:val="InternetLink"/>
                </w:rPr>
                <w:t xml:space="preserve">Amended and Restated Certificate of Incorporation of Aviat Networks, Inc., as amended (incorporated by reference to Exhibit 3.1 to the </w:t>
              </w:r>
            </w:hyperlink>
            <w:hyperlink r:id="rId3">
              <w:r>
                <w:rPr>
                  <w:rStyle w:val="InternetLink"/>
                </w:rPr>
                <w:t>Quarterly</w:t>
              </w:r>
            </w:hyperlink>
            <w:hyperlink r:id="rId4">
              <w:r>
                <w:rPr>
                  <w:rStyle w:val="InternetLink"/>
                </w:rPr>
                <w:t xml:space="preserve"> Report on Form 10-Q filed with the SEC on February 10, 2017, File No. 001-33278)</w:t>
              </w:r>
            </w:hyperlink>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Amended and Restated Bylaws of Aviat Networks, Inc. (incorporated by reference to Exhibit 3.1 to the Current Report on Form 8-K filed with the SEC on August 23, 2022, File No. 001-33278)</w:t>
              </w:r>
            </w:hyperlink>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Pr>
                <w:t xml:space="preserve">Amendment No. 1 to the Amended and Restated Tax Benefit Preservation Plan, dated as of February 28, 2023, by and between Aviat Networks, Inc. and Computershare Inc., as Rights Agent (incorporated by reference to Exhibit 4.1 to the Current Report on Form 8-K filed with the SEC on </w:t>
              </w:r>
            </w:hyperlink>
            <w:hyperlink r:id="rId7">
              <w:r>
                <w:rPr>
                  <w:rStyle w:val="InternetLink"/>
                </w:rPr>
                <w:t>Mar</w:t>
              </w:r>
            </w:hyperlink>
            <w:hyperlink r:id="rId8">
              <w:r>
                <w:rPr>
                  <w:rStyle w:val="InternetLink"/>
                </w:rPr>
                <w:t>ch 1</w:t>
              </w:r>
            </w:hyperlink>
            <w:hyperlink r:id="rId9">
              <w:r>
                <w:rPr>
                  <w:rStyle w:val="InternetLink"/>
                </w:rPr>
                <w:t>, 2023, File No. 001-33278)</w:t>
              </w:r>
            </w:hyperlink>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3fy23avnwform10qex311.htm">
              <w:r>
                <w:rPr>
                  <w:rStyle w:val="InternetLink"/>
                  <w:rFonts w:ascii="Times New Roman;sans-serif" w:hAnsi="Times New Roman;sans-serif"/>
                  <w:b w:val="false"/>
                  <w:color w:val="0000FF"/>
                  <w:sz w:val="20"/>
                  <w:u w:val="single"/>
                </w:rPr>
                <w:t>Rule 13a-14(a)/15d-14(a) Certification of President and Chief Executive Officer</w:t>
              </w:r>
            </w:hyperlink>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3fy23avnwform10qex312.htm">
              <w:r>
                <w:rPr>
                  <w:rStyle w:val="InternetLink"/>
                  <w:rFonts w:ascii="Times New Roman;sans-serif" w:hAnsi="Times New Roman;sans-serif"/>
                  <w:b w:val="false"/>
                  <w:color w:val="0000FF"/>
                  <w:sz w:val="20"/>
                  <w:u w:val="single"/>
                </w:rPr>
                <w:t>Rule 13a-14(a)/15d-14(a) Certification of Chief Financial Officer</w:t>
              </w:r>
            </w:hyperlink>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3fy23avnwform10qex32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2326" w:type="dxa"/>
        <w:jc w:val="right"/>
        <w:tblInd w:w="0" w:type="dxa"/>
        <w:tblCellMar>
          <w:top w:w="28" w:type="dxa"/>
          <w:left w:w="28" w:type="dxa"/>
          <w:bottom w:w="28" w:type="dxa"/>
          <w:right w:w="28" w:type="dxa"/>
        </w:tblCellMar>
      </w:tblPr>
      <w:tblGrid>
        <w:gridCol w:w="745"/>
        <w:gridCol w:w="655"/>
        <w:gridCol w:w="926"/>
      </w:tblGrid>
      <w:tr>
        <w:trPr/>
        <w:tc>
          <w:tcPr>
            <w:tcW w:w="74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 NETWORKS, INC.</w:t>
              <w:br/>
              <w:t>(Registrant)</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tbl>
      <w:tblPr>
        <w:tblW w:w="6584" w:type="dxa"/>
        <w:jc w:val="right"/>
        <w:tblInd w:w="0" w:type="dxa"/>
        <w:tblCellMar>
          <w:top w:w="28" w:type="dxa"/>
          <w:left w:w="28" w:type="dxa"/>
          <w:bottom w:w="28" w:type="dxa"/>
          <w:right w:w="28" w:type="dxa"/>
        </w:tblCellMar>
      </w:tblPr>
      <w:tblGrid>
        <w:gridCol w:w="151"/>
        <w:gridCol w:w="134"/>
        <w:gridCol w:w="135"/>
        <w:gridCol w:w="1800"/>
        <w:gridCol w:w="1800"/>
        <w:gridCol w:w="2564"/>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M. Gray</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 Gray</w:t>
              <w:br/>
              <w:t>Senior Vice President and Chief Financial Officer (duly authorized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302(a)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Peter A. Smith, certify that: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fiscal quarter ended March 31, 2023, of Aviat Networks,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6024" w:type="dxa"/>
        <w:jc w:val="left"/>
        <w:tblInd w:w="0" w:type="dxa"/>
        <w:tblCellMar>
          <w:top w:w="28" w:type="dxa"/>
          <w:left w:w="28" w:type="dxa"/>
          <w:bottom w:w="28" w:type="dxa"/>
          <w:right w:w="28" w:type="dxa"/>
        </w:tblCellMar>
      </w:tblPr>
      <w:tblGrid>
        <w:gridCol w:w="200"/>
        <w:gridCol w:w="177"/>
        <w:gridCol w:w="178"/>
        <w:gridCol w:w="379"/>
        <w:gridCol w:w="379"/>
        <w:gridCol w:w="381"/>
        <w:gridCol w:w="209"/>
        <w:gridCol w:w="209"/>
        <w:gridCol w:w="211"/>
        <w:gridCol w:w="164"/>
        <w:gridCol w:w="164"/>
        <w:gridCol w:w="164"/>
        <w:gridCol w:w="935"/>
        <w:gridCol w:w="935"/>
        <w:gridCol w:w="133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433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Smith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Smith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302(a)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David M. Gray, certify that: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fiscal quarter ended March 31, 2023, of Aviat Networks,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6969" w:type="dxa"/>
        <w:jc w:val="left"/>
        <w:tblInd w:w="0" w:type="dxa"/>
        <w:tblCellMar>
          <w:top w:w="28" w:type="dxa"/>
          <w:left w:w="28" w:type="dxa"/>
          <w:bottom w:w="28" w:type="dxa"/>
          <w:right w:w="28" w:type="dxa"/>
        </w:tblCellMar>
      </w:tblPr>
      <w:tblGrid>
        <w:gridCol w:w="200"/>
        <w:gridCol w:w="177"/>
        <w:gridCol w:w="178"/>
        <w:gridCol w:w="379"/>
        <w:gridCol w:w="379"/>
        <w:gridCol w:w="381"/>
        <w:gridCol w:w="209"/>
        <w:gridCol w:w="209"/>
        <w:gridCol w:w="211"/>
        <w:gridCol w:w="169"/>
        <w:gridCol w:w="169"/>
        <w:gridCol w:w="169"/>
        <w:gridCol w:w="1211"/>
        <w:gridCol w:w="1211"/>
        <w:gridCol w:w="171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527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M. Gray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 Gray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60"/>
        <w:jc w:val="center"/>
        <w:rPr/>
      </w:pPr>
      <w:r>
        <w:rPr/>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OF CHIEF EXECUTIVE OFFICER AND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OFFICER OF AVIAT NETWORKS,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TITLE 18 OF THE UNITED STATES CODE SECTION 1350,</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180" w:after="60"/>
        <w:jc w:val="center"/>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the Quarterly Report on Form 10-Q of Aviat Networks, Inc. (“Aviat Networks”) for the fiscal quarter ended March 31, 2023,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pStyle w:val="TextBody"/>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Aviat Networks as of the dates and for the periods expressed in the Report.</w:t>
      </w:r>
    </w:p>
    <w:p>
      <w:pPr>
        <w:pStyle w:val="TextBody"/>
        <w:spacing w:before="0" w:after="200"/>
        <w:rPr/>
      </w:pPr>
      <w:r>
        <w:rPr/>
      </w:r>
    </w:p>
    <w:tbl>
      <w:tblPr>
        <w:tblW w:w="5398" w:type="dxa"/>
        <w:jc w:val="center"/>
        <w:tblInd w:w="0" w:type="dxa"/>
        <w:tblCellMar>
          <w:top w:w="28" w:type="dxa"/>
          <w:left w:w="28" w:type="dxa"/>
          <w:bottom w:w="28" w:type="dxa"/>
          <w:right w:w="28" w:type="dxa"/>
        </w:tblCellMar>
      </w:tblPr>
      <w:tblGrid>
        <w:gridCol w:w="200"/>
        <w:gridCol w:w="177"/>
        <w:gridCol w:w="178"/>
        <w:gridCol w:w="379"/>
        <w:gridCol w:w="379"/>
        <w:gridCol w:w="381"/>
        <w:gridCol w:w="1079"/>
        <w:gridCol w:w="1079"/>
        <w:gridCol w:w="154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Smith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A. Smith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ind w:left="0" w:right="0" w:hanging="630"/>
              <w:rPr>
                <w:sz w:val="4"/>
                <w:szCs w:val="4"/>
              </w:rPr>
            </w:pPr>
            <w:r>
              <w:rPr>
                <w:sz w:val="4"/>
                <w:szCs w:val="4"/>
              </w:rPr>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tbl>
      <w:tblPr>
        <w:tblW w:w="6328" w:type="dxa"/>
        <w:jc w:val="center"/>
        <w:tblInd w:w="0" w:type="dxa"/>
        <w:tblCellMar>
          <w:top w:w="28" w:type="dxa"/>
          <w:left w:w="28" w:type="dxa"/>
          <w:bottom w:w="28" w:type="dxa"/>
          <w:right w:w="28" w:type="dxa"/>
        </w:tblCellMar>
      </w:tblPr>
      <w:tblGrid>
        <w:gridCol w:w="200"/>
        <w:gridCol w:w="177"/>
        <w:gridCol w:w="178"/>
        <w:gridCol w:w="379"/>
        <w:gridCol w:w="379"/>
        <w:gridCol w:w="381"/>
        <w:gridCol w:w="1352"/>
        <w:gridCol w:w="1352"/>
        <w:gridCol w:w="193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M. Gray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M. Gray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ind w:left="0" w:right="0" w:hanging="630"/>
              <w:rPr>
                <w:sz w:val="4"/>
                <w:szCs w:val="4"/>
              </w:rPr>
            </w:pPr>
            <w:r>
              <w:rPr>
                <w:sz w:val="4"/>
                <w:szCs w:val="4"/>
              </w:rPr>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tc>
      </w:tr>
    </w:tbl>
    <w:p>
      <w:pPr>
        <w:pStyle w:val="TextBody"/>
        <w:spacing w:before="80" w:after="283"/>
        <w:jc w:val="center"/>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77789/000137778917000022/avnwexhibit31amendedandres.htm" TargetMode="External"/><Relationship Id="rId3" Type="http://schemas.openxmlformats.org/officeDocument/2006/relationships/hyperlink" Target="http://www.sec.gov/Archives/edgar/data/1377789/000137778917000022/avnwexhibit31amendedandres.htm" TargetMode="External"/><Relationship Id="rId4" Type="http://schemas.openxmlformats.org/officeDocument/2006/relationships/hyperlink" Target="http://www.sec.gov/Archives/edgar/data/1377789/000137778917000022/avnwexhibit31amendedandres.htm" TargetMode="External"/><Relationship Id="rId5" Type="http://schemas.openxmlformats.org/officeDocument/2006/relationships/hyperlink" Target="http://www.sec.gov/Archives/edgar/data/1377789/000137778922000134/amendedandrestatedbylaws82.htm" TargetMode="External"/><Relationship Id="rId6" Type="http://schemas.openxmlformats.org/officeDocument/2006/relationships/hyperlink" Target="http://www.sec.gov/Archives/edgar/data/1377789/000137778923000007/0001377789-23-000007-index.htm" TargetMode="External"/><Relationship Id="rId7" Type="http://schemas.openxmlformats.org/officeDocument/2006/relationships/hyperlink" Target="http://www.sec.gov/Archives/edgar/data/1377789/000137778923000007/0001377789-23-000007-index.htm" TargetMode="External"/><Relationship Id="rId8" Type="http://schemas.openxmlformats.org/officeDocument/2006/relationships/hyperlink" Target="http://www.sec.gov/Archives/edgar/data/1377789/000137778923000007/0001377789-23-000007-index.htm" TargetMode="External"/><Relationship Id="rId9" Type="http://schemas.openxmlformats.org/officeDocument/2006/relationships/hyperlink" Target="http://www.sec.gov/Archives/edgar/data/1377789/000137778923000007/0001377789-23-000007-index.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16136</Words>
  <CharactersWithSpaces>102351</CharactersWithSpaces>
  <Paragraphs>2373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