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8" w:lineRule="exact"/>
        <w:rPr>
          <w:sz w:val="24"/>
          <w:szCs w:val="24"/>
          <w:color w:val="auto"/>
        </w:rPr>
      </w:pPr>
    </w:p>
    <w:p>
      <w:pPr>
        <w:ind w:left="500" w:right="420" w:hanging="465"/>
        <w:spacing w:after="0" w:line="262"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December 30, 2016</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52" w:lineRule="exact"/>
        <w:rPr>
          <w:sz w:val="24"/>
          <w:szCs w:val="24"/>
          <w:color w:val="auto"/>
        </w:rPr>
      </w:pPr>
    </w:p>
    <w:p>
      <w:pPr>
        <w:ind w:left="500" w:right="400" w:hanging="451"/>
        <w:spacing w:after="0" w:line="262"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450850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AVIAT NETWORKS,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85" w:lineRule="exact"/>
        <w:rPr>
          <w:sz w:val="24"/>
          <w:szCs w:val="24"/>
          <w:color w:val="auto"/>
        </w:rPr>
      </w:pPr>
    </w:p>
    <w:tbl>
      <w:tblPr>
        <w:tblLayout w:type="fixed"/>
        <w:tblInd w:w="720" w:type="dxa"/>
        <w:tblCellMar>
          <w:top w:w="0" w:type="dxa"/>
          <w:left w:w="0" w:type="dxa"/>
          <w:bottom w:w="0" w:type="dxa"/>
          <w:right w:w="0" w:type="dxa"/>
        </w:tblCellMar>
      </w:tblPr>
      <w:tr>
        <w:trPr>
          <w:trHeight w:val="262"/>
        </w:trPr>
        <w:tc>
          <w:tcPr>
            <w:tcW w:w="7100" w:type="dxa"/>
            <w:vAlign w:val="bottom"/>
          </w:tcPr>
          <w:p>
            <w:pPr>
              <w:jc w:val="center"/>
              <w:ind w:right="2831"/>
              <w:spacing w:after="0"/>
              <w:rPr>
                <w:sz w:val="20"/>
                <w:szCs w:val="20"/>
                <w:color w:val="auto"/>
              </w:rPr>
            </w:pPr>
            <w:r>
              <w:rPr>
                <w:rFonts w:ascii="Times New Roman" w:cs="Times New Roman" w:eastAsia="Times New Roman" w:hAnsi="Times New Roman"/>
                <w:sz w:val="20"/>
                <w:szCs w:val="20"/>
                <w:b w:val="1"/>
                <w:bCs w:val="1"/>
                <w:color w:val="auto"/>
                <w:w w:val="96"/>
              </w:rPr>
              <w:t>Delaware</w:t>
            </w: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20"/>
                <w:szCs w:val="20"/>
                <w:b w:val="1"/>
                <w:bCs w:val="1"/>
                <w:color w:val="auto"/>
              </w:rPr>
              <w:t>20-5961564</w:t>
            </w:r>
          </w:p>
        </w:tc>
      </w:tr>
      <w:tr>
        <w:trPr>
          <w:trHeight w:val="235"/>
        </w:trPr>
        <w:tc>
          <w:tcPr>
            <w:tcW w:w="7100" w:type="dxa"/>
            <w:vAlign w:val="bottom"/>
          </w:tcPr>
          <w:p>
            <w:pPr>
              <w:jc w:val="center"/>
              <w:ind w:right="2831"/>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560" w:type="dxa"/>
            <w:vAlign w:val="bottom"/>
          </w:tcPr>
          <w:p>
            <w:pPr>
              <w:jc w:val="center"/>
              <w:ind w:left="192"/>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7100" w:type="dxa"/>
            <w:vAlign w:val="bottom"/>
          </w:tcPr>
          <w:p>
            <w:pPr>
              <w:jc w:val="center"/>
              <w:ind w:right="2831"/>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560" w:type="dxa"/>
            <w:vAlign w:val="bottom"/>
          </w:tcPr>
          <w:p>
            <w:pPr>
              <w:jc w:val="center"/>
              <w:ind w:left="192"/>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31"/>
        </w:trPr>
        <w:tc>
          <w:tcPr>
            <w:tcW w:w="7100" w:type="dxa"/>
            <w:vAlign w:val="bottom"/>
          </w:tcPr>
          <w:p>
            <w:pPr>
              <w:jc w:val="center"/>
              <w:ind w:right="2831"/>
              <w:spacing w:after="0"/>
              <w:rPr>
                <w:sz w:val="20"/>
                <w:szCs w:val="20"/>
                <w:color w:val="auto"/>
              </w:rPr>
            </w:pPr>
            <w:r>
              <w:rPr>
                <w:rFonts w:ascii="Times New Roman" w:cs="Times New Roman" w:eastAsia="Times New Roman" w:hAnsi="Times New Roman"/>
                <w:sz w:val="18"/>
                <w:szCs w:val="18"/>
                <w:b w:val="1"/>
                <w:bCs w:val="1"/>
                <w:color w:val="auto"/>
                <w:w w:val="99"/>
              </w:rPr>
              <w:t>860 N. McCarthy Blvd., Suite 200, Milpitas, California</w:t>
            </w:r>
          </w:p>
        </w:tc>
        <w:tc>
          <w:tcPr>
            <w:tcW w:w="1560" w:type="dxa"/>
            <w:vAlign w:val="bottom"/>
          </w:tcPr>
          <w:p>
            <w:pPr>
              <w:jc w:val="right"/>
              <w:ind w:right="312"/>
              <w:spacing w:after="0"/>
              <w:rPr>
                <w:sz w:val="20"/>
                <w:szCs w:val="20"/>
                <w:color w:val="auto"/>
              </w:rPr>
            </w:pPr>
            <w:r>
              <w:rPr>
                <w:rFonts w:ascii="Times New Roman" w:cs="Times New Roman" w:eastAsia="Times New Roman" w:hAnsi="Times New Roman"/>
                <w:sz w:val="20"/>
                <w:szCs w:val="20"/>
                <w:b w:val="1"/>
                <w:bCs w:val="1"/>
                <w:color w:val="auto"/>
              </w:rPr>
              <w:t>95035</w:t>
            </w:r>
          </w:p>
        </w:tc>
      </w:tr>
      <w:tr>
        <w:trPr>
          <w:trHeight w:val="245"/>
        </w:trPr>
        <w:tc>
          <w:tcPr>
            <w:tcW w:w="7100" w:type="dxa"/>
            <w:vAlign w:val="bottom"/>
          </w:tcPr>
          <w:p>
            <w:pPr>
              <w:jc w:val="center"/>
              <w:ind w:right="281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560" w:type="dxa"/>
            <w:vAlign w:val="bottom"/>
          </w:tcPr>
          <w:p>
            <w:pPr>
              <w:jc w:val="center"/>
              <w:ind w:left="192"/>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355"/>
        </w:trPr>
        <w:tc>
          <w:tcPr>
            <w:tcW w:w="7100" w:type="dxa"/>
            <w:vAlign w:val="bottom"/>
          </w:tcPr>
          <w:p>
            <w:pPr>
              <w:jc w:val="center"/>
              <w:ind w:left="2811"/>
              <w:spacing w:after="0"/>
              <w:rPr>
                <w:sz w:val="20"/>
                <w:szCs w:val="20"/>
                <w:color w:val="auto"/>
              </w:rPr>
            </w:pPr>
            <w:r>
              <w:rPr>
                <w:rFonts w:ascii="Times New Roman" w:cs="Times New Roman" w:eastAsia="Times New Roman" w:hAnsi="Times New Roman"/>
                <w:sz w:val="20"/>
                <w:szCs w:val="20"/>
                <w:b w:val="1"/>
                <w:bCs w:val="1"/>
                <w:color w:val="auto"/>
                <w:w w:val="99"/>
              </w:rPr>
              <w:t>(408) 941-7100</w:t>
            </w:r>
          </w:p>
        </w:tc>
        <w:tc>
          <w:tcPr>
            <w:tcW w:w="1560" w:type="dxa"/>
            <w:vAlign w:val="bottom"/>
          </w:tcPr>
          <w:p>
            <w:pPr>
              <w:spacing w:after="0"/>
              <w:rPr>
                <w:sz w:val="24"/>
                <w:szCs w:val="24"/>
                <w:color w:val="auto"/>
              </w:rPr>
            </w:pPr>
          </w:p>
        </w:tc>
      </w:tr>
      <w:tr>
        <w:trPr>
          <w:trHeight w:val="212"/>
        </w:trPr>
        <w:tc>
          <w:tcPr>
            <w:tcW w:w="7100" w:type="dxa"/>
            <w:vAlign w:val="bottom"/>
          </w:tcPr>
          <w:p>
            <w:pPr>
              <w:jc w:val="center"/>
              <w:ind w:left="279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560" w:type="dxa"/>
            <w:vAlign w:val="bottom"/>
          </w:tcPr>
          <w:p>
            <w:pPr>
              <w:spacing w:after="0"/>
              <w:rPr>
                <w:sz w:val="18"/>
                <w:szCs w:val="18"/>
                <w:color w:val="auto"/>
              </w:rPr>
            </w:pPr>
          </w:p>
        </w:tc>
      </w:tr>
      <w:tr>
        <w:trPr>
          <w:trHeight w:val="280"/>
        </w:trPr>
        <w:tc>
          <w:tcPr>
            <w:tcW w:w="7100" w:type="dxa"/>
            <w:vAlign w:val="bottom"/>
          </w:tcPr>
          <w:p>
            <w:pPr>
              <w:jc w:val="center"/>
              <w:ind w:left="2811"/>
              <w:spacing w:after="0"/>
              <w:rPr>
                <w:sz w:val="20"/>
                <w:szCs w:val="20"/>
                <w:color w:val="auto"/>
              </w:rPr>
            </w:pPr>
            <w:r>
              <w:rPr>
                <w:rFonts w:ascii="Times New Roman" w:cs="Times New Roman" w:eastAsia="Times New Roman" w:hAnsi="Times New Roman"/>
                <w:sz w:val="20"/>
                <w:szCs w:val="20"/>
                <w:b w:val="1"/>
                <w:bCs w:val="1"/>
                <w:color w:val="auto"/>
                <w:w w:val="98"/>
              </w:rPr>
              <w:t>No changes</w:t>
            </w:r>
          </w:p>
        </w:tc>
        <w:tc>
          <w:tcPr>
            <w:tcW w:w="1560" w:type="dxa"/>
            <w:vAlign w:val="bottom"/>
          </w:tcPr>
          <w:p>
            <w:pPr>
              <w:spacing w:after="0"/>
              <w:rPr>
                <w:sz w:val="24"/>
                <w:szCs w:val="24"/>
                <w:color w:val="auto"/>
              </w:rPr>
            </w:pPr>
          </w:p>
        </w:tc>
      </w:tr>
    </w:tbl>
    <w:p>
      <w:pPr>
        <w:jc w:val="center"/>
        <w:ind w:right="-19"/>
        <w:spacing w:after="0" w:line="232" w:lineRule="auto"/>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ind w:left="476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70" w:lineRule="exact"/>
        <w:rPr>
          <w:sz w:val="24"/>
          <w:szCs w:val="24"/>
          <w:color w:val="auto"/>
        </w:rPr>
      </w:pPr>
    </w:p>
    <w:p>
      <w:pPr>
        <w:ind w:right="5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096" w:right="23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63" w:lineRule="exact"/>
        <w:rPr>
          <w:sz w:val="24"/>
          <w:szCs w:val="24"/>
          <w:color w:val="auto"/>
        </w:rPr>
      </w:pPr>
    </w:p>
    <w:p>
      <w:pPr>
        <w:sectPr>
          <w:pgSz w:w="11900" w:h="16838" w:orient="portrait"/>
          <w:cols w:equalWidth="0" w:num="4">
            <w:col w:w="1700" w:space="720"/>
            <w:col w:w="4260" w:space="720"/>
            <w:col w:w="2780" w:space="720"/>
            <w:col w:w="520"/>
          </w:cols>
          <w:pgMar w:left="240" w:top="1096"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w:t>
      </w:r>
    </w:p>
    <w:p>
      <w:pPr>
        <w:spacing w:after="0" w:line="198" w:lineRule="exact"/>
        <w:rPr>
          <w:sz w:val="24"/>
          <w:szCs w:val="24"/>
          <w:color w:val="auto"/>
        </w:rPr>
      </w:pPr>
    </w:p>
    <w:p>
      <w:pPr>
        <w:sectPr>
          <w:pgSz w:w="11900" w:h="16838" w:orient="portrait"/>
          <w:cols w:equalWidth="0" w:num="5">
            <w:col w:w="1700" w:space="720"/>
            <w:col w:w="80" w:space="80"/>
            <w:col w:w="4100" w:space="720"/>
            <w:col w:w="2780" w:space="720"/>
            <w:col w:w="520"/>
          </w:cols>
          <w:pgMar w:left="240" w:top="1096" w:right="239" w:bottom="1440" w:gutter="0" w:footer="0" w:header="0"/>
          <w:type w:val="continuous"/>
        </w:sectPr>
      </w:pPr>
    </w:p>
    <w:p>
      <w:pPr>
        <w:ind w:right="2040"/>
        <w:spacing w:after="0" w:line="470"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 The number of shares outstanding of the registrant’s Common Stock as of February 2, 2017 was 5,306,298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6"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30, 2016</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3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9"/>
        </w:trPr>
        <w:tc>
          <w:tcPr>
            <w:tcW w:w="1034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Part I. Financial Information</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Item 1. Financial Statements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Condensed Consolidated Balance Sheets - December 30, 2016 and July 1, 2016 (Unaudited)</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Condensed Consolidated Statements of Operations - Three and Six Months Ended December 30, 2016 and January 1, 2016 (Unaudited)</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5"/>
        </w:trPr>
        <w:tc>
          <w:tcPr>
            <w:tcW w:w="10340" w:type="dxa"/>
            <w:vAlign w:val="bottom"/>
            <w:shd w:val="clear" w:color="auto" w:fill="CCEEFF"/>
          </w:tcPr>
          <w:p>
            <w:pPr>
              <w:ind w:left="38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Condensed Consolidated Statements of Comprehensive Income (Loss) - Three and Six Months Ended December 30, 2016 and January 1,</w:t>
              </w:r>
            </w:hyperlink>
          </w:p>
        </w:tc>
        <w:tc>
          <w:tcPr>
            <w:tcW w:w="640" w:type="dxa"/>
            <w:vAlign w:val="bottom"/>
            <w:shd w:val="clear" w:color="auto" w:fill="CCEEFF"/>
          </w:tcPr>
          <w:p>
            <w:pPr>
              <w:spacing w:after="0"/>
              <w:rPr>
                <w:sz w:val="19"/>
                <w:szCs w:val="19"/>
                <w:color w:val="auto"/>
              </w:rPr>
            </w:pPr>
          </w:p>
        </w:tc>
      </w:tr>
      <w:tr>
        <w:trPr>
          <w:trHeight w:val="241"/>
        </w:trPr>
        <w:tc>
          <w:tcPr>
            <w:tcW w:w="10340" w:type="dxa"/>
            <w:vAlign w:val="bottom"/>
            <w:tcBorders>
              <w:bottom w:val="single" w:sz="8" w:color="CCEEFF"/>
            </w:tcBorders>
            <w:shd w:val="clear" w:color="auto" w:fill="CCEEFF"/>
          </w:tcPr>
          <w:p>
            <w:pPr>
              <w:ind w:left="62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2016 (Unaudited)</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Condensed Consolidated Statements of Cash Flows - Six Months Ended December 30, 2016 and January 1, 2016 (Unaudited)</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6</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Notes to Condensed Consolidated Financial Statements (Unaudited)</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7</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20">
              <w:r>
                <w:rPr>
                  <w:rFonts w:ascii="Times New Roman" w:cs="Times New Roman" w:eastAsia="Times New Roman" w:hAnsi="Times New Roman"/>
                  <w:sz w:val="18"/>
                  <w:szCs w:val="18"/>
                  <w:color w:val="auto"/>
                </w:rPr>
                <w:t>Item 2. Management’s Discussion and Analysis of Financial Condition and Results of Operations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20">
              <w:r>
                <w:rPr>
                  <w:rFonts w:ascii="Times New Roman" w:cs="Times New Roman" w:eastAsia="Times New Roman" w:hAnsi="Times New Roman"/>
                  <w:sz w:val="18"/>
                  <w:szCs w:val="18"/>
                  <w:color w:val="auto"/>
                </w:rPr>
                <w:t>20</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Item 3. Quantitative and Qualitative Disclosures About Market Risk</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27</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Item 4. Controls and Procedures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b w:val="1"/>
                <w:bCs w:val="1"/>
                <w:color w:val="auto"/>
              </w:rPr>
            </w:pPr>
            <w:hyperlink w:anchor="page30">
              <w:r>
                <w:rPr>
                  <w:rFonts w:ascii="Times New Roman" w:cs="Times New Roman" w:eastAsia="Times New Roman" w:hAnsi="Times New Roman"/>
                  <w:sz w:val="18"/>
                  <w:szCs w:val="18"/>
                  <w:b w:val="1"/>
                  <w:bCs w:val="1"/>
                  <w:color w:val="auto"/>
                </w:rPr>
                <w:t>Part II. Other Information</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1. Legal Proceedings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1A. Risk Factors</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2. Unregistered Sales of Equity Securities and Use of Proceeds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3. Defaults upon Senior Securities</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4. Mine Safety Disclosures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5. Other Information</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43"/>
        </w:trPr>
        <w:tc>
          <w:tcPr>
            <w:tcW w:w="10340" w:type="dxa"/>
            <w:vAlign w:val="bottom"/>
          </w:tcPr>
          <w:p>
            <w:pPr>
              <w:ind w:left="38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6. Exhibits</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b w:val="1"/>
                <w:bCs w:val="1"/>
                <w:color w:val="auto"/>
              </w:rPr>
            </w:pPr>
            <w:hyperlink w:anchor="page31">
              <w:r>
                <w:rPr>
                  <w:rFonts w:ascii="Times New Roman" w:cs="Times New Roman" w:eastAsia="Times New Roman" w:hAnsi="Times New Roman"/>
                  <w:sz w:val="18"/>
                  <w:szCs w:val="18"/>
                  <w:b w:val="1"/>
                  <w:bCs w:val="1"/>
                  <w:color w:val="auto"/>
                </w:rPr>
                <w:t>Signature</w:t>
              </w:r>
            </w:hyperlink>
          </w:p>
        </w:tc>
        <w:tc>
          <w:tcPr>
            <w:tcW w:w="64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31</w:t>
              </w:r>
            </w:hyperlink>
          </w:p>
        </w:tc>
      </w:tr>
      <w:tr>
        <w:trPr>
          <w:trHeight w:val="243"/>
        </w:trPr>
        <w:tc>
          <w:tcPr>
            <w:tcW w:w="10340" w:type="dxa"/>
            <w:vAlign w:val="bottom"/>
          </w:tcPr>
          <w:p>
            <w:pPr>
              <w:ind w:left="40"/>
              <w:spacing w:after="0"/>
              <w:rPr>
                <w:rFonts w:ascii="Times New Roman" w:cs="Times New Roman" w:eastAsia="Times New Roman" w:hAnsi="Times New Roman"/>
                <w:sz w:val="18"/>
                <w:szCs w:val="18"/>
                <w:b w:val="1"/>
                <w:bCs w:val="1"/>
                <w:color w:val="auto"/>
              </w:rPr>
            </w:pPr>
            <w:hyperlink w:anchor="page32">
              <w:r>
                <w:rPr>
                  <w:rFonts w:ascii="Times New Roman" w:cs="Times New Roman" w:eastAsia="Times New Roman" w:hAnsi="Times New Roman"/>
                  <w:sz w:val="18"/>
                  <w:szCs w:val="18"/>
                  <w:b w:val="1"/>
                  <w:bCs w:val="1"/>
                  <w:color w:val="auto"/>
                </w:rPr>
                <w:t>Exhibit Index</w:t>
              </w:r>
            </w:hyperlink>
          </w:p>
        </w:tc>
        <w:tc>
          <w:tcPr>
            <w:tcW w:w="64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32</w:t>
              </w:r>
            </w:hyperlink>
          </w:p>
        </w:tc>
      </w:tr>
      <w:tr>
        <w:trPr>
          <w:trHeight w:val="486"/>
        </w:trPr>
        <w:tc>
          <w:tcPr>
            <w:tcW w:w="1034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24"/>
                <w:szCs w:val="24"/>
                <w:color w:val="auto"/>
              </w:rPr>
            </w:pPr>
          </w:p>
        </w:tc>
      </w:tr>
    </w:tbl>
    <w:p>
      <w:pPr>
        <w:sectPr>
          <w:pgSz w:w="11900" w:h="16838" w:orient="portrait"/>
          <w:cols w:equalWidth="0" w:num="1">
            <w:col w:w="10980"/>
          </w:cols>
          <w:pgMar w:left="460" w:top="576" w:right="4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73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300" w:type="dxa"/>
            <w:vAlign w:val="bottom"/>
          </w:tcPr>
          <w:p>
            <w:pPr>
              <w:jc w:val="center"/>
              <w:ind w:right="555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AVIAT NETWORKS, INC.</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3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80" w:type="dxa"/>
            <w:vAlign w:val="bottom"/>
          </w:tcPr>
          <w:p>
            <w:pPr>
              <w:spacing w:after="0"/>
              <w:rPr>
                <w:sz w:val="24"/>
                <w:szCs w:val="24"/>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95"/>
        </w:trPr>
        <w:tc>
          <w:tcPr>
            <w:tcW w:w="1280" w:type="dxa"/>
            <w:vAlign w:val="bottom"/>
            <w:tcBorders>
              <w:bottom w:val="single" w:sz="8" w:color="CCEEFF"/>
            </w:tcBorders>
            <w:vMerge w:val="continue"/>
          </w:tcPr>
          <w:p>
            <w:pPr>
              <w:spacing w:after="0"/>
              <w:rPr>
                <w:sz w:val="16"/>
                <w:szCs w:val="16"/>
                <w:color w:val="auto"/>
              </w:rPr>
            </w:pPr>
          </w:p>
        </w:tc>
        <w:tc>
          <w:tcPr>
            <w:tcW w:w="7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7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30,479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56,201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63,449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Unbilled costs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7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27,293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10,790</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133,119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140,414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18,162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6,068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7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156,918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166,111</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33,217</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23,205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Advance payments and unearned income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30,615</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90,862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99,947</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Unearned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8,387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102,537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112,654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7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xml:space="preserve">Preferred stock, </w:t>
            </w:r>
            <w:r>
              <w:rPr>
                <w:rFonts w:ascii="Times New Roman" w:cs="Times New Roman" w:eastAsia="Times New Roman" w:hAnsi="Times New Roman"/>
                <w:sz w:val="14"/>
                <w:szCs w:val="14"/>
                <w:color w:val="auto"/>
              </w:rPr>
              <w:t>$0.01 par value, 50,000,000 shares authorized, no shares issued or outstanding</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Common stock, </w:t>
            </w:r>
            <w:r>
              <w:rPr>
                <w:rFonts w:ascii="Times New Roman" w:cs="Times New Roman" w:eastAsia="Times New Roman" w:hAnsi="Times New Roman"/>
                <w:sz w:val="14"/>
                <w:szCs w:val="14"/>
                <w:color w:val="auto"/>
              </w:rPr>
              <w:t>$0.01 par value, 300,000,000 shares authorized, 5,306,298 shares issued and outstanding at December 30, 2016; 5,261,041</w:t>
            </w:r>
          </w:p>
        </w:tc>
        <w:tc>
          <w:tcPr>
            <w:tcW w:w="1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8"/>
        </w:trPr>
        <w:tc>
          <w:tcPr>
            <w:tcW w:w="85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shares issued and outstanding at July 1, 2016</w:t>
            </w: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812,552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811,601</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(747,381)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37"/>
        </w:trPr>
        <w:tc>
          <w:tcPr>
            <w:tcW w:w="1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7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54,381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53,457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jc w:val="center"/>
              <w:ind w:right="4270"/>
              <w:spacing w:after="0"/>
              <w:rPr>
                <w:sz w:val="20"/>
                <w:szCs w:val="20"/>
                <w:color w:val="auto"/>
              </w:rPr>
            </w:pPr>
            <w:r>
              <w:rPr>
                <w:rFonts w:ascii="Times New Roman" w:cs="Times New Roman" w:eastAsia="Times New Roman" w:hAnsi="Times New Roman"/>
                <w:sz w:val="18"/>
                <w:szCs w:val="18"/>
                <w:color w:val="auto"/>
                <w:w w:val="98"/>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156,918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166,111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90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900"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0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880" w:type="dxa"/>
            <w:vAlign w:val="bottom"/>
          </w:tcPr>
          <w:p>
            <w:pPr>
              <w:jc w:val="right"/>
              <w:ind w:right="111"/>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product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45,958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44,675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80,682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98,361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25,741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51,610</w:t>
            </w:r>
          </w:p>
        </w:tc>
        <w:tc>
          <w:tcPr>
            <w:tcW w:w="0" w:type="dxa"/>
            <w:vAlign w:val="bottom"/>
          </w:tcPr>
          <w:p>
            <w:pPr>
              <w:spacing w:after="0"/>
              <w:rPr>
                <w:sz w:val="1"/>
                <w:szCs w:val="1"/>
                <w:color w:val="auto"/>
              </w:rPr>
            </w:pPr>
          </w:p>
        </w:tc>
      </w:tr>
      <w:tr>
        <w:trPr>
          <w:trHeight w:val="237"/>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68,536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70,416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126,743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149,971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31,003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55,863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70,508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42,028</w:t>
            </w:r>
          </w:p>
        </w:tc>
        <w:tc>
          <w:tcPr>
            <w:tcW w:w="0" w:type="dxa"/>
            <w:vAlign w:val="bottom"/>
          </w:tcPr>
          <w:p>
            <w:pPr>
              <w:spacing w:after="0"/>
              <w:rPr>
                <w:sz w:val="1"/>
                <w:szCs w:val="1"/>
                <w:color w:val="auto"/>
              </w:rPr>
            </w:pPr>
          </w:p>
        </w:tc>
      </w:tr>
      <w:tr>
        <w:trPr>
          <w:trHeight w:val="237"/>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47,420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53,992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88,262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112,536</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37,435</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10,686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29,243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33,290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7"/>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18,603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21,422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38,893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44,031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 net of tax</w:t>
            </w: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attributable to Aviat Networks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 attributable to Aviat Networks: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from continuing operations, net of tax</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from discontinued operations, net of tax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Basic income (loss) per share attributable to Aviat Networks’ common stockholders: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r>
      <w:tr>
        <w:trPr>
          <w:trHeight w:val="297"/>
        </w:trPr>
        <w:tc>
          <w:tcPr>
            <w:tcW w:w="6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basic</w:t>
            </w: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5,218</w:t>
            </w:r>
          </w:p>
        </w:tc>
      </w:tr>
      <w:tr>
        <w:trPr>
          <w:trHeight w:val="27"/>
        </w:trPr>
        <w:tc>
          <w:tcPr>
            <w:tcW w:w="6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Diluted income (loss) per share attributable to Aviat Networks’ common stockholders: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r>
      <w:tr>
        <w:trPr>
          <w:trHeight w:val="297"/>
        </w:trPr>
        <w:tc>
          <w:tcPr>
            <w:tcW w:w="6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diluted</w:t>
            </w: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5,218</w:t>
            </w:r>
          </w:p>
        </w:tc>
      </w:tr>
      <w:tr>
        <w:trPr>
          <w:trHeight w:val="27"/>
        </w:trPr>
        <w:tc>
          <w:tcPr>
            <w:tcW w:w="6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73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738"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88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loss on hedging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cumulative translation adjustments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5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Aviat Networks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2"/>
                <w:szCs w:val="12"/>
                <w:color w:val="auto"/>
              </w:rPr>
            </w:pPr>
          </w:p>
        </w:tc>
        <w:tc>
          <w:tcPr>
            <w:tcW w:w="1140" w:type="dxa"/>
            <w:vAlign w:val="bottom"/>
          </w:tcPr>
          <w:p>
            <w:pPr>
              <w:jc w:val="right"/>
              <w:ind w:right="291"/>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(Recovery) provision for uncollectible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Charges for inventory and customer service inventory write-downs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disposition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6,435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Unbilled costs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Advance payments and unearned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payable or receivable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8,840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6,380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for acquisition of property, plant and equipment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borrowings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4,499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30,479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34,735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34,978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39,522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6" w:name="page7"/>
    <w:bookmarkEnd w:id="6"/>
    <w:p>
      <w:pPr>
        <w:ind w:left="466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six months ended December 30, 2016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July 1, 2016.</w:t>
      </w:r>
    </w:p>
    <w:p>
      <w:pPr>
        <w:spacing w:after="0" w:line="135"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and majority-owned subsidiaries. All intercompany transactions and accounts have been eliminated.</w:t>
      </w:r>
    </w:p>
    <w:p>
      <w:pPr>
        <w:spacing w:after="0" w:line="108"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We operate on a 52-week or 53-week year ending on the Friday closest to June 30. The first two quarters of fiscal 2017 and fiscal 2016 included 13 weeks in each quarter. Fiscal year 2017 will be comprised of 52 weeks and will end on June 30, 2017.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In June 2016, we effected a reverse stock split of all of the outstanding shares of our common stock at a ratio of 1-for-12 (“Reverse Stock Split”). The authorized shares of 300 million and par value per share of the common stock at $0.01 per share remain unchanged after the reverse stock split. All share and per-share data in our unaudited condensed consolidated financial statements and applicable disclosures have been retroactively adjusted to reflect this reverse stock split.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576"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of and for the six months ended December 30, 2016, as compared to the significant accounting policies described in our Annual Report on Form 10-K for the fiscal year ended July 1, 2016.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April 2015, the Financial Accounting Standards Board (“FASB”) issued Accounting Standards Update (“ASU”) No. 2015-03, Interest - Imputation of Interest (Topic 835-30),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xml:space="preserve">. To simplify the presentation of debt issuance costs, the standard requires that debt issuance costs related to a recognized debt liability be presented in the balance sheet as a direct deduction from the carrying amount of that debt liability, consistent with debt discounts. The standard is effective for us beginning in our fiscal year 2017. In August 2015, the FASB issued ASU No. 2015-15, </w:t>
      </w:r>
      <w:r>
        <w:rPr>
          <w:rFonts w:ascii="Times New Roman" w:cs="Times New Roman" w:eastAsia="Times New Roman" w:hAnsi="Times New Roman"/>
          <w:sz w:val="18"/>
          <w:szCs w:val="18"/>
          <w:i w:val="1"/>
          <w:iCs w:val="1"/>
          <w:color w:val="auto"/>
        </w:rPr>
        <w:t>Presentation and Subsequent Measurement of Debt Issuance Costs Associated with Line-of-Credit Arrangements</w:t>
      </w:r>
      <w:r>
        <w:rPr>
          <w:rFonts w:ascii="Times New Roman" w:cs="Times New Roman" w:eastAsia="Times New Roman" w:hAnsi="Times New Roman"/>
          <w:sz w:val="18"/>
          <w:szCs w:val="18"/>
          <w:color w:val="auto"/>
        </w:rPr>
        <w:t>. This ASU includes an SEC staff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announcement that the SEC staff would not object to an entity deferring and presenting the costs of securing a revolving line of credit as an asset, and amortizing the costs over the term of the line-of-credit arrangement, regardless of there are any outstanding borrowings on the line-of-credit arrangement. The subject of this ASU was not previously addressed by ASU No. 2015-03. We have adopted both accounting guidance during the first quarter of fiscal 2017 and applied its provisions retrospectively. The adoption of this standard had no material impact on our condensed consolidated financial statements and related disclosures.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73" w:lineRule="exact"/>
        <w:rPr>
          <w:sz w:val="20"/>
          <w:szCs w:val="20"/>
          <w:color w:val="auto"/>
        </w:rPr>
      </w:pPr>
    </w:p>
    <w:p>
      <w:pPr>
        <w:ind w:right="80" w:firstLine="486"/>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Statement of Cash Flows (Topic 230):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The guidance addresses diversity in practice that exists in the classification and presentation of changes in restricted cash and require that a statement of cash flows explain the change during the period in the total of cash, cash equivalents, and amounts generally described as restricted cash or restricted cash equivalents. The guidance will be effective retrospectively for our fiscal year 2019. Early adoption is permitted. We are evaluating the effect the adoption of the standard will have on our condensed financial statements and related disclosures.</w:t>
      </w:r>
    </w:p>
    <w:p>
      <w:pPr>
        <w:spacing w:after="0" w:line="126"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October 2016, the FASB issued ASU 2016-16 (Topic 740), </w:t>
      </w:r>
      <w:r>
        <w:rPr>
          <w:rFonts w:ascii="Times New Roman" w:cs="Times New Roman" w:eastAsia="Times New Roman" w:hAnsi="Times New Roman"/>
          <w:sz w:val="18"/>
          <w:szCs w:val="18"/>
          <w:i w:val="1"/>
          <w:iCs w:val="1"/>
          <w:color w:val="auto"/>
        </w:rPr>
        <w:t>Accounting for Income Taxes: Intra-Entity Asset Transfers of Assets Other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which requires that an entity recognizes the tax expense from the sale of intra-entity sales of assets, other than inventory, in the seller’s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 when the transfer occurs, even though the pre-tax effects of that transaction are eliminate in consolidation. The guidance will be effective for our fiscal year 2019. Early adoption is permitted. The ASU must be adopted using a modified retrospective method. We are evaluating the effect the adoption of the standard will have on our condensed financial statements and related disclosures. We do not expect the adoption of this standard to have a material impact on our consolidated financial statements.</w:t>
      </w:r>
    </w:p>
    <w:p>
      <w:pPr>
        <w:spacing w:after="0" w:line="1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w:t>
      </w:r>
      <w:r>
        <w:rPr>
          <w:rFonts w:ascii="Times New Roman" w:cs="Times New Roman" w:eastAsia="Times New Roman" w:hAnsi="Times New Roman"/>
          <w:sz w:val="18"/>
          <w:szCs w:val="18"/>
          <w:i w:val="1"/>
          <w:iCs w:val="1"/>
          <w:color w:val="auto"/>
        </w:rPr>
        <w:t>, Clarification of Certain Cash Receipts and Cash Payments</w:t>
      </w:r>
      <w:r>
        <w:rPr>
          <w:rFonts w:ascii="Times New Roman" w:cs="Times New Roman" w:eastAsia="Times New Roman" w:hAnsi="Times New Roman"/>
          <w:sz w:val="18"/>
          <w:szCs w:val="18"/>
          <w:color w:val="auto"/>
        </w:rPr>
        <w:t>, which provides guidance on the presentation and classification of eight specific cash flow issues. Those issues are cash payment for debt prepayment or debt extinguishment costs; settlement of zero-coupon debt instrument or other debt instrument with coupon interest rates that are insignificant in relation to the effective interest rate of the borrowing; contingent consideration payments made after a business combination; cash received from settlement of corporate-owned life insurance policies; distribution received from equity method investees; beneficial interest in securitization transactions; and classification of cash receipts and payments that have aspect of more than one class of cash flows. The guidance is effective for annual periods and interim periods within those annual periods beginning after December 15, 2017 with early adoption permitted. We do not expect the adoption of this standard to have a material impact on our consolidated financial statements.</w:t>
      </w:r>
    </w:p>
    <w:p>
      <w:pPr>
        <w:spacing w:after="0" w:line="13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which will supersede nearly all existing revenue recognition guidance under GAAP. Under the new standard, recognition of revenue occurs when a customer obtains control of promised goods or services in an amount that reflects the consideration to which the entity expects to be entitled in exchange for those goods or services. Additional disclosures regarding the nature, amount, timing, and uncertainty of revenue and cash flows arising from contracts with customers, and assets recognized from costs incurred to obtain or fulfill a contract will also be required. The FASB subsequently issued an update to this standard in August 2015, ASU 2015-14 (ASC Topic 606) </w:t>
      </w:r>
      <w:r>
        <w:rPr>
          <w:rFonts w:ascii="Times New Roman" w:cs="Times New Roman" w:eastAsia="Times New Roman" w:hAnsi="Times New Roman"/>
          <w:sz w:val="18"/>
          <w:szCs w:val="18"/>
          <w:i w:val="1"/>
          <w:iCs w:val="1"/>
          <w:color w:val="auto"/>
        </w:rPr>
        <w:t>Revenue from Contracts with Customers, Deferral of the Effective Date</w:t>
      </w:r>
      <w:r>
        <w:rPr>
          <w:rFonts w:ascii="Times New Roman" w:cs="Times New Roman" w:eastAsia="Times New Roman" w:hAnsi="Times New Roman"/>
          <w:sz w:val="18"/>
          <w:szCs w:val="18"/>
          <w:color w:val="auto"/>
        </w:rPr>
        <w:t>, which provides deferral of the effective date by one year. The standard will be effective for us beginning in our fiscal 2019 and allows for either full retrospective or modified retrospective adoption.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738" w:right="259" w:bottom="1440" w:gutter="0" w:footer="0" w:header="0"/>
        </w:sectPr>
      </w:pPr>
    </w:p>
    <w:bookmarkStart w:id="8" w:name="page9"/>
    <w:bookmarkEnd w:id="8"/>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Early adoption is permitted only as of annual reporting periods beginning after December 15, 2016 and including interim reporting periods within such reporting period. The FASB has since issued additional updates of its new standard on revenue recognition issued in May 2014. In March 2016, an amendment was issued to clarify the implementation guidance on principal versus agent consideration. ASU 2016-08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Principal versus Agent Considerations (Reporting Revenue Gross versus Net) </w:t>
      </w:r>
      <w:r>
        <w:rPr>
          <w:rFonts w:ascii="Times New Roman" w:cs="Times New Roman" w:eastAsia="Times New Roman" w:hAnsi="Times New Roman"/>
          <w:sz w:val="18"/>
          <w:szCs w:val="18"/>
          <w:color w:val="auto"/>
        </w:rPr>
        <w:t>requires entities to determine whether the nature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promise to provide goods or services to a customer is performed in a principal or agent capacity and to recognize revenue in a gross or net manner based on its principal/agent designation. In April 2016, ASU 2016-10 (ASC Topic 606) </w:t>
      </w:r>
      <w:r>
        <w:rPr>
          <w:rFonts w:ascii="Times New Roman" w:cs="Times New Roman" w:eastAsia="Times New Roman" w:hAnsi="Times New Roman"/>
          <w:sz w:val="18"/>
          <w:szCs w:val="18"/>
          <w:i w:val="1"/>
          <w:iCs w:val="1"/>
          <w:color w:val="auto"/>
        </w:rPr>
        <w:t>Revenue from Contracts with Customers, Identifying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and Licensing </w:t>
      </w:r>
      <w:r>
        <w:rPr>
          <w:rFonts w:ascii="Times New Roman" w:cs="Times New Roman" w:eastAsia="Times New Roman" w:hAnsi="Times New Roman"/>
          <w:sz w:val="18"/>
          <w:szCs w:val="18"/>
          <w:color w:val="auto"/>
        </w:rPr>
        <w:t>was issued to clarify the identification of performance obligations and the licensing implementation guidance in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 ASU 2016-12 (ASC Topic 606) </w:t>
      </w:r>
      <w:r>
        <w:rPr>
          <w:rFonts w:ascii="Times New Roman" w:cs="Times New Roman" w:eastAsia="Times New Roman" w:hAnsi="Times New Roman"/>
          <w:sz w:val="18"/>
          <w:szCs w:val="18"/>
          <w:i w:val="1"/>
          <w:iCs w:val="1"/>
          <w:color w:val="auto"/>
        </w:rPr>
        <w:t>Revenue from Contracts with Customers, Narrow-Scope Improvements and Practical Expedients</w:t>
      </w:r>
      <w:r>
        <w:rPr>
          <w:rFonts w:ascii="Times New Roman" w:cs="Times New Roman" w:eastAsia="Times New Roman" w:hAnsi="Times New Roman"/>
          <w:sz w:val="18"/>
          <w:szCs w:val="18"/>
          <w:color w:val="auto"/>
        </w:rPr>
        <w:t xml:space="preserve"> was issued in May 2016 related to its guidance on assessing collectability, presentation of sales tax, noncash consideration, and completed contracts and contract modification at transition, which reduce the potential for diversity in practice, and the cost and complexity of application at transition and on an ongoing basis. ASU 2016-20 (ASC Topic 606) </w:t>
      </w:r>
      <w:r>
        <w:rPr>
          <w:rFonts w:ascii="Times New Roman" w:cs="Times New Roman" w:eastAsia="Times New Roman" w:hAnsi="Times New Roman"/>
          <w:sz w:val="18"/>
          <w:szCs w:val="18"/>
          <w:i w:val="1"/>
          <w:iCs w:val="1"/>
          <w:color w:val="auto"/>
        </w:rPr>
        <w:t>Technical Corrections and Improvements to Topic 606, Revenue from Contracts with Customers</w:t>
      </w:r>
      <w:r>
        <w:rPr>
          <w:rFonts w:ascii="Times New Roman" w:cs="Times New Roman" w:eastAsia="Times New Roman" w:hAnsi="Times New Roman"/>
          <w:sz w:val="18"/>
          <w:szCs w:val="18"/>
          <w:color w:val="auto"/>
        </w:rPr>
        <w:t xml:space="preserve"> was issued in December 2016 provides clarity related to loan guarantees, contract costs -impairment testing, contract costs - interaction of impairment testing with other guidance, provisions for losses on construction-type and production-type contracts, scope exception for this topic and disclosure of remaining performance obligations. We are evaluating the effects of the new guidance and have not yet selected a transition method nor have we determined the potential effects of adoption on our condensed consolidated financial statements.</w:t>
      </w:r>
    </w:p>
    <w:p>
      <w:pPr>
        <w:spacing w:after="0" w:line="141"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(Topic 718)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which requires the recognition of the income tax effects of awards in the income statement when the awards vest or are settled, thus eliminating additional paid in capital pools. The guidance also allows for the employer to repurchase more of an employee’s shares for tax withholding purposes without triggering liability accounting. In addition, the guidance allows for a policy election to account for forfeitures as they occur rather than on an estimated basis. The guidance is effective for annual periods and interim periods within those annual periods beginning after December 15, 2016 with early adoption permitted. We are evaluating the effect of the adoption the standard will have on our condensed consolidated financial statements and related disclosures.</w:t>
      </w:r>
    </w:p>
    <w:p>
      <w:pPr>
        <w:spacing w:after="0" w:line="12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7"/>
          <w:szCs w:val="17"/>
          <w:color w:val="auto"/>
        </w:rPr>
        <w:t xml:space="preserve">In February 2016, the FASB issued ASU 2016-02,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which introduces the recognition of lease assets and lease liabilities by lessees for those leases classified as operating leases under previous guidance. This standard will become effective for interim and annual periods beginning after December 15, 2018, with early adoption permitted. The guidance is required to be adopted at the earliest period presented using a modified retrospective approach. We are evaluating the effect the adoption of the standard will have on our condensed consolidated financial statements and related disclosures.</w:t>
      </w:r>
    </w:p>
    <w:p>
      <w:pPr>
        <w:spacing w:after="0" w:line="108"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 - Overall (Subtopic 825-10): Recognition and Measurement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and Financial Liabilities</w:t>
      </w:r>
      <w:r>
        <w:rPr>
          <w:rFonts w:ascii="Times New Roman" w:cs="Times New Roman" w:eastAsia="Times New Roman" w:hAnsi="Times New Roman"/>
          <w:sz w:val="18"/>
          <w:szCs w:val="18"/>
          <w:color w:val="auto"/>
        </w:rPr>
        <w:t>. This guidance retains the current accounting for classifying and measuring investments in debt securities and loans,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do not expect the adoption of this standard to have a material impact on our consolidated financial statements.</w:t>
      </w:r>
    </w:p>
    <w:p>
      <w:pPr>
        <w:spacing w:after="0" w:line="129" w:lineRule="exact"/>
        <w:rPr>
          <w:sz w:val="20"/>
          <w:szCs w:val="20"/>
          <w:color w:val="auto"/>
        </w:rPr>
      </w:pPr>
    </w:p>
    <w:p>
      <w:pPr>
        <w:ind w:right="80" w:firstLine="486"/>
        <w:spacing w:after="0" w:line="259"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(Topic 330),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which provides guidance to companies who account for inventory using either the first-in, first-out or average cost methods. The guidance states that companies should measure inventory at the lower of cost and net realizable value. Net realizable value is defined as the estimated selling prices in the ordinary course of business, less reasonably predictable costs of completion, disposal and transportation. This ASU is effective for fiscal years beginning after December 15, 2016. Early adoption is permitted. We are evaluating the effect the adoption of the standard will have on our condensed consolidated financial statements and related disclosures.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42"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Net Income (Loss) Per Share of Common Stock</w:t>
      </w:r>
    </w:p>
    <w:p>
      <w:pPr>
        <w:spacing w:after="0" w:line="17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Net income (loss) per share is computed using the two-class method, by dividing net income (loss) attributable to the Company by the weighted-average number of shares of the Company’s outstanding common stock.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due to the fact that the unvested restricted shares are not contractually obligated to share the losses of the Company. The impact on earnings per share of the participating securities under the two-class method is immaterial.</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(loss) per share attributable to the common stockholders: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40" w:type="dxa"/>
            <w:vAlign w:val="bottom"/>
          </w:tcPr>
          <w:p>
            <w:pPr>
              <w:spacing w:after="0"/>
              <w:rPr>
                <w:sz w:val="12"/>
                <w:szCs w:val="12"/>
                <w:color w:val="auto"/>
              </w:rPr>
            </w:pPr>
          </w:p>
        </w:tc>
        <w:tc>
          <w:tcPr>
            <w:tcW w:w="12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88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from continuing operations, net of tax</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97"/>
        </w:trPr>
        <w:tc>
          <w:tcPr>
            <w:tcW w:w="6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Aviat Networks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0" w:type="dxa"/>
            <w:vAlign w:val="bottom"/>
          </w:tcPr>
          <w:p>
            <w:pPr>
              <w:spacing w:after="0"/>
              <w:rPr>
                <w:sz w:val="1"/>
                <w:szCs w:val="1"/>
                <w:color w:val="auto"/>
              </w:rPr>
            </w:pPr>
          </w:p>
        </w:tc>
      </w:tr>
      <w:tr>
        <w:trPr>
          <w:trHeight w:val="311"/>
        </w:trPr>
        <w:tc>
          <w:tcPr>
            <w:tcW w:w="6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5,218</w:t>
            </w: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2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5,218</w:t>
            </w: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2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Basic income (loss) per share attributable to Aviat Networks’ common stockholders: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97"/>
        </w:trPr>
        <w:tc>
          <w:tcPr>
            <w:tcW w:w="6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311"/>
        </w:trPr>
        <w:tc>
          <w:tcPr>
            <w:tcW w:w="6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Diluted income (loss) per share attributable to Aviat Networks’ common stockholders: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weighted-average equity awards that were excluded from the diluted net income (loss) per share calculations: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4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tcPr>
          <w:p>
            <w:pPr>
              <w:spacing w:after="0"/>
              <w:rPr>
                <w:sz w:val="12"/>
                <w:szCs w:val="12"/>
                <w:color w:val="auto"/>
              </w:rPr>
            </w:pPr>
          </w:p>
        </w:tc>
        <w:tc>
          <w:tcPr>
            <w:tcW w:w="15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1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2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2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stocks units and performance stock units</w:t>
            </w:r>
          </w:p>
        </w:tc>
        <w:tc>
          <w:tcPr>
            <w:tcW w:w="2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potential shares of common stock excluded</w:t>
            </w:r>
          </w:p>
        </w:tc>
        <w:tc>
          <w:tcPr>
            <w:tcW w:w="29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3.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net accounts receivable as of December 30, 2016 and July 1, 2016 were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80" w:type="dxa"/>
            <w:vAlign w:val="bottom"/>
          </w:tcPr>
          <w:p>
            <w:pPr>
              <w:spacing w:after="0"/>
              <w:rPr>
                <w:sz w:val="13"/>
                <w:szCs w:val="13"/>
                <w:color w:val="auto"/>
              </w:rPr>
            </w:pPr>
          </w:p>
        </w:tc>
        <w:tc>
          <w:tcPr>
            <w:tcW w:w="108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63,864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71,416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allowances for collection losses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56,201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63,449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inventories as of December 30, 2016 and July 1, 2016 were as follows: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80" w:type="dxa"/>
            <w:vAlign w:val="bottom"/>
          </w:tcPr>
          <w:p>
            <w:pPr>
              <w:spacing w:after="0"/>
              <w:rPr>
                <w:sz w:val="24"/>
                <w:szCs w:val="24"/>
                <w:color w:val="auto"/>
              </w:rPr>
            </w:pPr>
          </w:p>
        </w:tc>
        <w:tc>
          <w:tcPr>
            <w:tcW w:w="108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products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14,706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20,044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5,104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20,433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27,293</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cost of revenue included within finished goods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4,947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5,984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Consigned inventories included within raw materials and supplies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recorded charges to adjust our inventory and customer service inventory to the lower of cost or market. These charges were primarily due to excess and obsolete inventory resulting from product transitioning or discontinuance. During the three and six months ended December 30, 2016 and January 1, 2016, such charges incurred were classified in cost of product sales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5"/>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2"/>
                <w:szCs w:val="12"/>
                <w:color w:val="auto"/>
              </w:rPr>
            </w:pPr>
          </w:p>
        </w:tc>
        <w:tc>
          <w:tcPr>
            <w:tcW w:w="90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obsolete inventory charges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service inventory write-downs</w:t>
            </w:r>
          </w:p>
        </w:tc>
        <w:tc>
          <w:tcPr>
            <w:tcW w:w="20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6"/>
              </w:rPr>
              <w:t>529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Our property, plant and equipment, net as of December 30, 2016 and July 1, 2016 were as follows: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w w:val="95"/>
              </w:rPr>
              <w:t>July 1,</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11,714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14,620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42,960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70,004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16,836</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18,162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including amortization of software developed for internal use, was as follows: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9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37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accrued expenses are summarized below:</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w w:val="95"/>
              </w:rPr>
              <w:t>July 1,</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7,663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7,161</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commissions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warranties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9,999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8,549</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23,044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23,205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Warranties</w:t>
      </w:r>
    </w:p>
    <w:p>
      <w:pPr>
        <w:spacing w:after="0" w:line="17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accrue for the estimated cost to repair or replace products under warranty at the time of sale. Changes in our warranty liability, which is included as a component of accrued expenses in the condensed consolidated balance sheets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5"/>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2"/>
                <w:szCs w:val="12"/>
                <w:color w:val="auto"/>
              </w:rPr>
            </w:pPr>
          </w:p>
        </w:tc>
        <w:tc>
          <w:tcPr>
            <w:tcW w:w="90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provision recorded during the period</w:t>
            </w:r>
          </w:p>
        </w:tc>
        <w:tc>
          <w:tcPr>
            <w:tcW w:w="20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Consumption during the period</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4,797</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payments and Unearned Income</w:t>
            </w: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advanced payments and unearned income are summarized below:</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w w:val="95"/>
              </w:rPr>
              <w:t>July 1,</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Advanced payments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rPr>
              <w:t>10,407</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12,124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Unearned income</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center"/>
              <w:ind w:left="137"/>
              <w:spacing w:after="0"/>
              <w:rPr>
                <w:sz w:val="20"/>
                <w:szCs w:val="20"/>
                <w:color w:val="auto"/>
              </w:rPr>
            </w:pPr>
            <w:r>
              <w:rPr>
                <w:rFonts w:ascii="Times New Roman" w:cs="Times New Roman" w:eastAsia="Times New Roman" w:hAnsi="Times New Roman"/>
                <w:sz w:val="18"/>
                <w:szCs w:val="18"/>
                <w:color w:val="auto"/>
              </w:rPr>
              <w:t>15,044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18,491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rPr>
              <w:t>25,451</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30,615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 of Assets and Liabilities</w:t>
      </w:r>
    </w:p>
    <w:p>
      <w:pPr>
        <w:spacing w:after="0" w:line="175"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2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observable inputs that are corroborated by market data; and</w:t>
      </w:r>
    </w:p>
    <w:p>
      <w:pPr>
        <w:spacing w:after="0" w:line="63"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804" w:right="239" w:bottom="1440" w:gutter="0" w:footer="0" w:header="0"/>
        </w:sectPr>
      </w:pPr>
    </w:p>
    <w:bookmarkStart w:id="12" w:name="page13"/>
    <w:bookmarkEnd w:id="12"/>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amounts, estimated fair values and valuation input levels of our assets and liabilities that are measured at fair value on a recurring basis as of December 30, 2016 and July 1, 2016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December 30, 2016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July 1, 2016</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2"/>
                <w:szCs w:val="22"/>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22"/>
                <w:szCs w:val="22"/>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22"/>
                <w:szCs w:val="22"/>
                <w:color w:val="auto"/>
              </w:rPr>
            </w:pP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2"/>
                <w:szCs w:val="22"/>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Valuation Inputs</w:t>
            </w:r>
          </w:p>
        </w:tc>
      </w:tr>
      <w:tr>
        <w:trPr>
          <w:trHeight w:val="249"/>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Level 1</w:t>
            </w: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Level 2</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 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Level 2</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Level 2</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Level 2</w:t>
            </w: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960" w:firstLine="486"/>
        <w:spacing w:after="0" w:line="282" w:lineRule="auto"/>
        <w:rPr>
          <w:sz w:val="20"/>
          <w:szCs w:val="20"/>
          <w:color w:val="auto"/>
        </w:rPr>
      </w:pPr>
      <w:r>
        <w:rPr>
          <w:rFonts w:ascii="Times New Roman" w:cs="Times New Roman" w:eastAsia="Times New Roman" w:hAnsi="Times New Roman"/>
          <w:sz w:val="18"/>
          <w:szCs w:val="18"/>
          <w:color w:val="auto"/>
        </w:rPr>
        <w:t>We classify items within Level 1 if quoted prices are available in active markets. Our Level 1 items mainly are money market funds. As of December 30, 2016 and July 1, 2016, these money market funds were valued at $1.00 net asset value per share.</w:t>
      </w:r>
    </w:p>
    <w:p>
      <w:pPr>
        <w:spacing w:after="0" w:line="10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changes in fair value related to our foreign currency forward contracts were recorded in cost of revenues on our condensed consolidated statements of operations.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30, 2016 and July 1, 2016, we did not have any recurring assets or liabilities that were valued using significant unobservable inputs.</w:t>
      </w:r>
    </w:p>
    <w:p>
      <w:pPr>
        <w:spacing w:after="0" w:line="17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policy is to recognize asset or liability transfers among Level 1, Level 2 and Level 3 as of the actual date of the events or change in circumstances that caused the transfer. During the first six months of fiscal 2017 and 2016, we had no transfers between levels of the fair value hierarchy of our assets or liabilities measured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Credit Facility and Debt</w:t>
      </w:r>
    </w:p>
    <w:p>
      <w:pPr>
        <w:spacing w:after="0" w:line="17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On March 28, 2014, we entered into a Second Amended and Restated Loan Agreement with Silicon Valley Bank (the “SVB Credit Facility”). The SVB Credit Facility expires on June 30, 2018. The SVB Credit Facility provides for a committed amount of up to $30.0 million, with a $30.0 million sublimit that can be borrowed by our Singapore subsidiary. Borrowings may be advanced under the SVB Credit Facility at the lesser of $30.0 million or a borrowing base equal to a specified percentage of the value of eligible accounts receivable and U.S. unbilled accounts of the Company, subject to certain reserves and eligibility criteria. The SVB Credit Facility can also be utilized to issue letters of credit with a $12.0 million sublimit. If the SVB Credit Facility is terminated by us in certain circumstances prior to its expiration, we are subject to an early termination fee equal to 1% of the revolving line.</w:t>
      </w:r>
    </w:p>
    <w:p>
      <w:pPr>
        <w:spacing w:after="0" w:line="134"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Our outstanding debt under the SVB Credit Facility was $8.0 million and $9.0 million as of December 30, 2016 and July 1, 2016, respectively. The SVB Credit Facility carries an interest rate computed at the daily prime rate as published in the Wall Street Journal plus a spread of 0.50% to 1.50%, with such spread determined based on our adjusted quick ratio. During the first six months of fiscal year 2017, the weighted average interest rate on our outstanding loan was 4.03%. As of December 30, 2016, available credit under the SVB Credit Facility was $5.1 million reflecting the calculated borrowing base of $20.0 million less existing borrowings of $8.0 million and outstanding letters of credit of $6.9 million.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742" w:right="239" w:bottom="1440" w:gutter="0" w:footer="0" w:header="0"/>
        </w:sectPr>
      </w:pPr>
    </w:p>
    <w:bookmarkStart w:id="13" w:name="page14"/>
    <w:bookmarkEnd w:id="13"/>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 above the applicable interest rate. As of December 30, 2016, we were in compliance with the quarterly financial covenants, as amended, contained in the SVB Credit Facility. However, as we have historically amended the agreement to revise financial covenants and the fact that the SVB Credit Facility contains subjective acceleration clauses that could be triggered by the lender, the $8.0 million and $9.0 million borrowing was classified as a current liability as of December 30, 2016 and July 1, 2016.</w:t>
      </w:r>
    </w:p>
    <w:p>
      <w:pPr>
        <w:spacing w:after="0" w:line="13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December 30, 2016 and July 1, 2016. The line of credit also provides for the issuance of standby letters of credit and company credit cards, of which $0.1 million was outstanding as of December 30, 2016. This facility may be terminated upon notice, is reviewed annually for renewal or modification, and is supported by a corporate guarantee.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Restructuring Activities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restructuring related activities during the three and six months ended December 30,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8"/>
          </w:tcPr>
          <w:p>
            <w:pPr>
              <w:ind w:left="720"/>
              <w:spacing w:after="0"/>
              <w:rPr>
                <w:sz w:val="20"/>
                <w:szCs w:val="20"/>
                <w:color w:val="auto"/>
              </w:rPr>
            </w:pPr>
            <w:r>
              <w:rPr>
                <w:rFonts w:ascii="Times New Roman" w:cs="Times New Roman" w:eastAsia="Times New Roman" w:hAnsi="Times New Roman"/>
                <w:sz w:val="14"/>
                <w:szCs w:val="14"/>
                <w:b w:val="1"/>
                <w:bCs w:val="1"/>
                <w:color w:val="auto"/>
              </w:rPr>
              <w:t>Severance and Benefits</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Facilities and Other</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20" w:type="dxa"/>
            <w:vAlign w:val="bottom"/>
          </w:tcPr>
          <w:p>
            <w:pPr>
              <w:spacing w:after="0"/>
              <w:rPr>
                <w:sz w:val="12"/>
                <w:szCs w:val="12"/>
                <w:color w:val="auto"/>
              </w:rPr>
            </w:pPr>
          </w:p>
        </w:tc>
        <w:tc>
          <w:tcPr>
            <w:tcW w:w="7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2016-2017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2015-2016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2013-2014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2015-2016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2014-2015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2013-2014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3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Plan</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Accrual balance, July 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4,815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Charges, net</w:t>
            </w:r>
          </w:p>
        </w:tc>
        <w:tc>
          <w:tcPr>
            <w:tcW w:w="14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Accrual balance, September 30, 2016</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Charges, net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Accrual balance as of December 30, 2016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June 2016, we entered into a lease termination agreement to end our headquarters lease in Santa Clara, California and in September 2016 we vacated the building. Under the lease termination agreement, we agreed to pay a termination fee of $1.9 million payable over 14 months. The termination fee was included in the restructuring liabilities as of December 30, 2016 under the Fiscal 2014-2015 Plan and the Fiscal 2013-2014 Plan.</w:t>
      </w:r>
    </w:p>
    <w:p>
      <w:pPr>
        <w:spacing w:after="0" w:line="12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As of December 30, 2016, $2.4 million of the accrual balance was in short-term restructuring liabilities while $0.2 million was included in other long-term liabilities on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2016-2017 Plan</w:t>
      </w:r>
    </w:p>
    <w:p>
      <w:pPr>
        <w:spacing w:after="0" w:line="1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2016, we initiated a restructuring plan (the “Fiscal 2016-2017 Plan”) to streamline our operations and align expenses with current revenue levels. Activities under the Fiscal 2016-2017 Plan primarily include reductions in workforce in marketing, selling and general and administrative functions. We intend to substantially complete the remaining restructuring activities under the Fiscal 2016-2017 Plan by the third quarter of fiscal 2017.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742"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2015-2016 Plan</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 reductions in workforce across the Company, but primarily in operations outside the United States. We substantially completed the restructuring activities under the Fiscal 2015-2016 Plan as of July 1, 2016. Payment related to the accrued restructuring liability balance for this plan will be paid through fiscal 2020.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2014-2015 Plan</w:t>
      </w:r>
    </w:p>
    <w:p>
      <w:pPr>
        <w:spacing w:after="0" w:line="17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workforce and additional facility downsizing of our Santa Clara, California headquarters. We substantially completed the restructuring activities under the Fiscal 2014-2015 Plan as of July 1, 2016. Payment related to the accrued restructuring liability balance for this plan will be paid through fiscal 2018.</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2013-2014 Plan</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workforce and facility downsizing of our Santa Clara, California headquarters and certain international field offices. We substantially completed the restructuring activities under the Fiscal 2013-2014 Plan as of June 27, 2014. Payment related to the accrued restructuring liability balance for this plan will be paid through fiscal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2007 Stock Equity Plan and Activities</w:t>
      </w:r>
    </w:p>
    <w:p>
      <w:pPr>
        <w:spacing w:after="0" w:line="17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have one stock incentive plan for our employees and nonemployee directors, the 2007 Stock Equity Plan, as amended and restated effective November 13, 2015 (the “2007 Stock Plan”). During the six months ended December 30, 2016, we awarded 72,941 performance stock units, 50,000 market-based stock units and 213,467 restricted stock units associated with our fiscal 2017 Long-Term Incentive Plan under the 2007 Stock Plan. For the performance share units, the performance criteria is ending the fiscal year 2017 with positive adjusted earnings before interest, taxes, depreciation and amortization. Once the performance share units are earned, they will be vested three years after the grant date. For the market-based stock units, the performance goal is based on the Company’s common stock price at the end of calendar year 2018. The award units will be vested on the date that the Compensation Committee certifies achievement of the performance measure. The restricted stock units granted will be vested in full three years after the grant date.</w:t>
      </w:r>
    </w:p>
    <w:p>
      <w:pPr>
        <w:spacing w:after="0" w:line="13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30, 2016, we cancelled 6,253 market-based stock units, 10,370 restricted stock units, 983 shares of stock appreciation rights, and options to purchase 15,430 shares of our common stock due to employee terminations. In the same period, we cancelled 48,626 market-based stock units due to the non-achievement of specified market conditions and options to purchase 16,416 shares of our common stock expired.</w:t>
      </w:r>
    </w:p>
    <w:p>
      <w:pPr>
        <w:spacing w:after="0" w:line="12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issue new shares of our common stock to our employees upon the exercise of stock options, vesting of restricted stock awards and units or vesting of performance share awards and units. All awards that are cancelled prior to vesting or expire unexercised are returned to the approved pool of reserved shares under the 2007 Stock Plan and made available for future grants. Shares of our common stock remaining available for future issuance under the 2007 Stock Plan totaled 262,191 as of December 30, 2016.</w:t>
      </w:r>
    </w:p>
    <w:p>
      <w:pPr>
        <w:spacing w:after="0" w:line="126" w:lineRule="exact"/>
        <w:rPr>
          <w:sz w:val="20"/>
          <w:szCs w:val="20"/>
          <w:color w:val="auto"/>
        </w:rPr>
      </w:pPr>
    </w:p>
    <w:p>
      <w:pPr>
        <w:ind w:right="460" w:firstLine="486"/>
        <w:spacing w:after="0" w:line="258" w:lineRule="auto"/>
        <w:rPr>
          <w:sz w:val="20"/>
          <w:szCs w:val="20"/>
          <w:color w:val="auto"/>
        </w:rPr>
      </w:pPr>
      <w:r>
        <w:rPr>
          <w:rFonts w:ascii="Times New Roman" w:cs="Times New Roman" w:eastAsia="Times New Roman" w:hAnsi="Times New Roman"/>
          <w:sz w:val="18"/>
          <w:szCs w:val="18"/>
          <w:color w:val="auto"/>
        </w:rPr>
        <w:t>On September 6, 2016, our Board of Directors (the “Board”) authorized and declared a dividend distribution of one right (a “Right”) for each outstanding share of our common stock, par value $0.01 per share (the “Common Shares”), to our stockholders of record as of the close of business on September 16, 2016. Each Right entitles the registered holder to purchase from the Company one one-thousandth of a share of Series A Participating Preferred Stock, par value $0.01 per share (the “Preferred Shares”), of the Company at an exercise price of $35.00 (the “Exercise Price”) per one one-thousandth of a Preferred Share, subject to adjustment. Until the rights become exercisable, they will not be evidenced</w:t>
      </w: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20"/>
          </w:cols>
          <w:pgMar w:left="240" w:top="738" w:right="339" w:bottom="1440" w:gutter="0" w:footer="0" w:header="0"/>
        </w:sectPr>
      </w:pPr>
    </w:p>
    <w:bookmarkStart w:id="15" w:name="page16"/>
    <w:bookmarkEnd w:id="15"/>
    <w:p>
      <w:pPr>
        <w:ind w:right="60"/>
        <w:spacing w:after="0" w:line="256" w:lineRule="auto"/>
        <w:rPr>
          <w:sz w:val="20"/>
          <w:szCs w:val="20"/>
          <w:color w:val="auto"/>
        </w:rPr>
      </w:pPr>
      <w:r>
        <w:rPr>
          <w:rFonts w:ascii="Times New Roman" w:cs="Times New Roman" w:eastAsia="Times New Roman" w:hAnsi="Times New Roman"/>
          <w:sz w:val="18"/>
          <w:szCs w:val="18"/>
          <w:color w:val="auto"/>
        </w:rPr>
        <w:t>by separate certificates and will trade automatically with shares of the Company’s common stock. The Rights have a de minimus fair value. The complete terms of the Rights are set forth in a Tax Benefit Preservation Plan (the “Plan”), effective as of September 6, 2016,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of the Internal Revenue Code of 1986, as amended. The Plan reduces the likelihood that changes in our investor base have the unintended effect of limiting our use of the Tax Benefits.</w:t>
      </w:r>
    </w:p>
    <w:p>
      <w:pPr>
        <w:spacing w:after="0" w:line="134"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Also, on September 6, 2016, our Board of Directors adopted certain amendments to our Amended and Restated Certificate of Incorporation, as amended (the “Charter Amendments”). The Charter Amendments are designed to preserve the Tax Benefits by restricting certain transfers of our common stock.</w:t>
      </w:r>
    </w:p>
    <w:p>
      <w:pPr>
        <w:spacing w:after="0" w:line="12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Both the Plan and the Charter Amendments were approved at our 2016 annual meeting of stockholders on November 16, 2016. No actions were taken under the Plan as of December 30, 2016.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Total compensation expense for share-based awards included in our condensed consolidated statements of operations for the three and six months ended December 30, 2016 and January 1, 2016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2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88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01"/>
        </w:trPr>
        <w:tc>
          <w:tcPr>
            <w:tcW w:w="6280" w:type="dxa"/>
            <w:vAlign w:val="bottom"/>
            <w:gridSpan w:val="4"/>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By Expense Category:</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5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6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0"/>
        </w:trPr>
        <w:tc>
          <w:tcPr>
            <w:tcW w:w="62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By Types of Award:</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43"/>
        </w:trPr>
        <w:tc>
          <w:tcPr>
            <w:tcW w:w="6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Restricted and performance stock awards and units</w:t>
            </w:r>
          </w:p>
        </w:tc>
        <w:tc>
          <w:tcPr>
            <w:tcW w:w="2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As of December 30, 2016, there was $0.2 million of total unrecognized compensation expense related to nonvested stock options granted under our 2007 Stock Plan. This expense is expected to be recognized over a weighted average period of 1.6 years. As of December 30, 2016, there was $4.3 million of total unrecognized compensation expense related to nonvested stock awards and units granted under our 2007 Stock Plan. This expense is expected to be recognized over a weighted average period of 2.2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and Geographic Information</w:t>
      </w:r>
    </w:p>
    <w:p>
      <w:pPr>
        <w:spacing w:after="0" w:line="175"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w:t>
      </w:r>
    </w:p>
    <w:p>
      <w:pPr>
        <w:spacing w:after="0" w:line="12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We report revenue by region and country based on the location where our customers accept delivery of our products and services. Revenue by region for the three and six months ended December 30, 2016 and January 1, 2016 were as follows: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4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88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31,844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67,937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67,064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Africa and Middle East</w:t>
            </w:r>
          </w:p>
        </w:tc>
        <w:tc>
          <w:tcPr>
            <w:tcW w:w="2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16,770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31,119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50,991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 and Russia</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12,059</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2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20,370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19,857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68,536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70,416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126,743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149,971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Mobile Telephone Networks Group (MTN Group) accounted for 13% and 22% of our accounts receivable as of December 30, 2016 and July 1, 2016, respectively. Motorola Solutions, Inc. (Motorola) accounted for 12% and 11% of our accounts receivable as of December 30, 2016 and July 1, 2016, respectively. During the three and six months ended December 30, 2016, MTN Group accounted for 12% and 11%, respectively, of our total revenue. During the three and six months ended January 1, 2016, MTN Group accounted for 20% and 18%, respectively, of our total revenue. Motorola accounted for 10% of our total revenue during the three months ended January 1, 2016; however, Motorola did not account for 10% of our total revenue during the six months ended January 1, 2016. We have entered into separate and distinct contracts with MTN Group and Motorola, as well as separate arrangements with various their various subsidiaries. The loss of all business from MTN Group or Motorola, or any other significant customers, could adversely affect our results of operations, cash flows and financial position.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Divestiture</w:t>
      </w:r>
    </w:p>
    <w:p>
      <w:pPr>
        <w:spacing w:after="0" w:line="1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sold our WiMAX business on September 2, 2011 and began accounting for the WiMAX business as a discontinued operation. The operating results of our WiMAX business were included in discontinued operations in our condensed consolidated financial statements for all periods presented. The income recognized in the first six months of fiscal 2016 of $0.4 million, net of income taxes, was primarily due to recovery of certain WiMAX customer receivables that were previously written down. No income was recognized in respect of the WiMAX business in the first six months of fiscal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Our effective tax rate varies from the U.S. federal statutory rate of 35% due to results of foreign operations that are subject to income taxes at different statutory rates, certain jurisdictions where we cannot recognize tax benefits on current losses and tax benefit from a foreign tax refund. During interim periods, we accrue tax expenses for jurisdictions that are anticipated to be profitable for fiscal 2017.</w:t>
      </w:r>
    </w:p>
    <w:p>
      <w:pPr>
        <w:spacing w:after="0" w:line="122"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 determination of our provision for the first six months of fiscal 2017 and 2016 was based on our estimated annual effective tax rate adjusted for losses in certain jurisdictions for which no tax benefit can be recognized. The tax expense for the first six months of fiscal 2017 and 2016 were primarily attributable to tax expense related to profitable subsidiaries.</w:t>
      </w:r>
    </w:p>
    <w:p>
      <w:pPr>
        <w:spacing w:after="0" w:line="12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During the fiscal year 2014, we received an assessment letter from the Inland Revenue Authority of Singapore (“IRAS”) related to deductions claimed in prior years and made a payment of $13.2 million related to tax years 2007 through 2010, reflecting all the taxes incrementally assessed by IRAS. Since the initial assessment, we continue to pursue remedies to challenge this assessment. During the first quarter of fiscal 2017, we received an initial refund of $3.7 million from IRAS which was recorded as a discrete tax benefit during the quarter. We will continue our discussion with IRAS to resolve the remaining tax positions. We believe that we have adequately provided for any reasonably foreseeable outcomes related to our tax audits.</w:t>
      </w:r>
    </w:p>
    <w:p>
      <w:pPr>
        <w:spacing w:after="0" w:line="130"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have a number of years with open tax audits which vary from jurisdiction to jurisdiction. Our major tax jurisdictions include the U.S., Singapore and Nigeria. The earliest years that are open and subject to potential audits for these jurisdictions are as follows: U.S. — 2003; Singapore — 2006; and Nigeria — 2011.</w:t>
      </w:r>
    </w:p>
    <w:p>
      <w:pPr>
        <w:spacing w:after="0" w:line="122"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We account for interest and penalties related to unrecognized tax benefits as part of our provision for federal, foreign and state income taxes. Such interest expense was not material for the three and six months ended December 30, 2016 and January 1,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804"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lease office and manufacturing facilities under non-cancelable operating leases expiring at various dates through 2024. We lease approximately 19,000 square feet of office space in Milpitas, California with a term of 60 months as our corporate headquarters. In June 2016, we entered into a lease termination agreement for our previous headquarters lease in Santa Clara, California and the termination fees are included in the restructuring liabilities in the condensed consolidated balance sheets.</w:t>
      </w:r>
    </w:p>
    <w:p>
      <w:pPr>
        <w:spacing w:after="0" w:line="126"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As of December 30, 2016, our future minimum lease payments under all non-cancelable operating leases with an initial lease term in excess of one year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Ending in June</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96"/>
        </w:trPr>
        <w:tc>
          <w:tcPr>
            <w:tcW w:w="9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 (two quarters remaining)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1,169</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1,736</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1,313</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852</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874</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2,231</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8,175</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These commitments do not contain any material rent escalations, rent holidays, contingent rent, rent concessions, leasehold improvement incentives or unusual provisions or conditions. We sublease a portion of our facilities to third parties and the total minimum rents to be received in the future under our non-cancelable subleases were $0.1 million as of December 30, 2016. The future minimum lease payments are not reduced by the minimum sublease rents.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Rental expense for operating leases, including rentals on a month-to-month basis,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88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2"/>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2,134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Orders and Other Commitments</w:t>
      </w:r>
    </w:p>
    <w:p>
      <w:pPr>
        <w:spacing w:after="0" w:line="17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December 30, 2016, we had outstanding purchase obligations with our suppliers or contract manufacturers of $22.6 million. In addition, we had contractual obligations of approximately $1.7 million associated with software licenses as of December 30, 2016.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 and Commercial Commitments</w:t>
      </w:r>
    </w:p>
    <w:p>
      <w:pPr>
        <w:spacing w:after="0" w:line="17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December 30, 2016, we had no guarantees applicable to our debt arrangements.</w:t>
      </w:r>
    </w:p>
    <w:p>
      <w:pPr>
        <w:spacing w:after="0" w:line="126"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92" w:right="239" w:bottom="1440" w:gutter="0" w:footer="0" w:header="0"/>
        </w:sectPr>
      </w:pPr>
    </w:p>
    <w:bookmarkStart w:id="18" w:name="page19"/>
    <w:bookmarkEnd w:id="18"/>
    <w:p>
      <w:pPr>
        <w:ind w:right="40"/>
        <w:spacing w:after="0" w:line="258" w:lineRule="auto"/>
        <w:rPr>
          <w:sz w:val="20"/>
          <w:szCs w:val="20"/>
          <w:color w:val="auto"/>
        </w:rPr>
      </w:pPr>
      <w:r>
        <w:rPr>
          <w:rFonts w:ascii="Times New Roman" w:cs="Times New Roman" w:eastAsia="Times New Roman" w:hAnsi="Times New Roman"/>
          <w:sz w:val="18"/>
          <w:szCs w:val="18"/>
          <w:color w:val="auto"/>
        </w:rPr>
        <w:t>performance on certain contracts to provide products and services to customers. As of December 30, 2016, we had commercial commitments of $40.4 million outstanding that were not recorded in our condensed consolidated balance sheets. During the second fiscal quarter, we recorded a payout of $0.4 million on the performance guarantees to a contractor in the Middle East region. We believe the customer improperly drew on the performance bond and intend to pursue all remedies available to recover the payment. We do not believe, based on historical experience and information currently available, that it is probable that any significant amounts will be required to be paid on the performance guarantees in the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December 30, 2016,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December 30, 2016, we had not recorded any liabilities related to these indemnifications.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 In August 2016, we received correspondence from a customer in Africa demanding that certain inventory to be repurchased under the terms of an inventory management agreement that we believe has expired. We are continuing to investigate this demand, however, during the second fiscal quarter of 2017, we recorded $0.3 million charge based on an estimate of the probable loss. We believe that we have numerous contractual and legal defenses to these disputes, which are in their early stages, and we intend to dispute them vigorously.</w:t>
      </w:r>
    </w:p>
    <w:p>
      <w:pPr>
        <w:spacing w:after="0" w:line="13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litigations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3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record a loss contingency as a charge to operations when (i) it is probable that an asset has been impaired or a liability has been incurred at the date of the condensed consolidated financial statements; and (ii) the amount of the loss can be reasonably estimated. Disclosure in the notes to the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42" w:right="239" w:bottom="1440" w:gutter="0" w:footer="0" w:header="0"/>
        </w:sectPr>
      </w:pPr>
    </w:p>
    <w:bookmarkStart w:id="19" w:name="page20"/>
    <w:bookmarkEnd w:id="19"/>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20"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price and margin erosion as a result of increased competition in the microwave transmission industry;</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the volume, timing and customer, product and geographic mix of our product orders;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financial covenant requirements which could impact, among other things, our liquidity;</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of our receipt of payment for products or services from our customers;</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projected new product development dates or anticipated cost reductions of new products;</w:t>
      </w:r>
    </w:p>
    <w:p>
      <w:pPr>
        <w:spacing w:after="0" w:line="63" w:lineRule="exact"/>
        <w:rPr>
          <w:rFonts w:ascii="Times New Roman" w:cs="Times New Roman" w:eastAsia="Times New Roman" w:hAnsi="Times New Roman"/>
          <w:sz w:val="18"/>
          <w:szCs w:val="18"/>
          <w:i w:val="1"/>
          <w:iCs w:val="1"/>
          <w:color w:val="auto"/>
        </w:rPr>
      </w:pPr>
    </w:p>
    <w:p>
      <w:pPr>
        <w:ind w:left="980" w:right="520" w:hanging="324"/>
        <w:spacing w:after="0" w:line="28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suppliers’ inability to perform and deliver on time as a result of their financial condition, component shortages or other supply chain constraints;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acceptance of new products;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ability of our subcontractors to timely perform;</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weakness in the global economy affecting customer spending;</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retention of our key personnel;</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and maintain key customer relationships;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 economic conditions in the telecommunications sector combined with operator and supplier consolidation;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failure to protect our intellectual property rights or defend against intellectual property infringement claims by others;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742" w:right="259" w:bottom="1440" w:gutter="0" w:footer="0" w:header="0"/>
        </w:sectPr>
      </w:pPr>
    </w:p>
    <w:bookmarkStart w:id="20" w:name="page21"/>
    <w:bookmarkEnd w:id="20"/>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results of our restructuring efforts;</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to preserve and use our net operating loss carryforwards;</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currency and interest rate risks; and</w:t>
      </w:r>
    </w:p>
    <w:p>
      <w:pPr>
        <w:spacing w:after="0" w:line="6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political turmoil in countries where we have significant business.</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factors besides those listed here also could adversely affect us. See “Item 1A. Risk Factors” in our fiscal 2016 Annual Report on Form 10-K filed with the SEC on September 9, 2016 for more information regarding factors that may cause our results to differ materially from those expressed or implied by the forward-looking statements contained in this Quarterly Report on Form 10-Q.</w:t>
      </w:r>
    </w:p>
    <w:p>
      <w:pPr>
        <w:spacing w:after="0" w:line="12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Operating Environment and Key Factors Impacting Fiscal 2016 and 2017 Results</w:t>
      </w:r>
    </w:p>
    <w:p>
      <w:pPr>
        <w:spacing w:after="0" w:line="17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below, our fiscal year ending June 30, 2017 is referred to as “fiscal 2017” or “2017” and our fiscal year ended July 1, 2016 is referred to as “fiscal 2016” or “2016”.</w:t>
      </w:r>
    </w:p>
    <w:p>
      <w:pPr>
        <w:spacing w:after="0" w:line="12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generate revenue by designing, developing, manufacturing and supporting a range of wireless networking products, solutions and services for mobile and fixed communications service providers, private network operators, federal, state and local government agencies, transportation, energy and utility companies, public safety agencies and broadcast network operators around the world. Our products include point-to-point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optical transmission equipment and other equipment necessary to build and deploy a complete telecommunications transmission network. We provide a full suite of professional services for planning, deployment, operations and maintenance of our customers’ networks.</w:t>
      </w:r>
    </w:p>
    <w:p>
      <w:pPr>
        <w:spacing w:after="0" w:line="135"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 However, within the industry there continues to be strong price competition for new business and periodic large customer consolidations that intensify competition in all regions.</w:t>
      </w:r>
    </w:p>
    <w:p>
      <w:pPr>
        <w:spacing w:after="0" w:line="12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strategic focus in fiscal 2017 is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2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32" w:right="239" w:bottom="1440" w:gutter="0" w:footer="0" w:header="0"/>
        </w:sectPr>
      </w:pPr>
    </w:p>
    <w:bookmarkStart w:id="21" w:name="page22"/>
    <w:bookmarkEnd w:id="21"/>
    <w:p>
      <w:pPr>
        <w:jc w:val="both"/>
        <w:ind w:right="240" w:firstLine="486"/>
        <w:spacing w:after="0" w:line="261" w:lineRule="auto"/>
        <w:rPr>
          <w:sz w:val="20"/>
          <w:szCs w:val="20"/>
          <w:color w:val="auto"/>
        </w:rPr>
      </w:pPr>
      <w:r>
        <w:rPr>
          <w:rFonts w:ascii="Times New Roman" w:cs="Times New Roman" w:eastAsia="Times New Roman" w:hAnsi="Times New Roman"/>
          <w:sz w:val="18"/>
          <w:szCs w:val="18"/>
          <w:color w:val="auto"/>
        </w:rPr>
        <w:t>In line with industry trends,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126"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continue to explore strategic alternatives to improve the market position and profitability of our product offerings in the marketplace, generate additional liquidity and enhance our valuation. We expect to pursue our goals during the next twelve months principally through organic growth and through other strategic alternatives. Some of these alternatives have included, and could continue to include, selective acquisitions, divestitures and the sale of assets. We have also provided, and may from time to time in the future provide, information to interested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17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the emergence of early stage LTE deployments. Our international business was adversely affected in fiscal 2016 by constrained availability of U.S. dollars in countries with economies highly dependent on resource exports, particularly oil. This condition limited capital spending and slowed payments from customers in those locations. Those conditions are continuing in early fiscal 2017.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2016 Annual Report on Form 10-K, a number of factors could prevent us from achieving our objectives, including ongoing pricing pressures attributable to competition and macroeconomic conditions in the geographic markets that we service.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manage our sales activities primarily on a geographic basis in North America and three international geographic regions: (1) Africa and the Middle East, (2) Europe and Russia, and (3) Latin America and Asia Pacific. Revenue by region for the three and six months ended December 30, 2016 and January 1, 2016 and the related changes were shown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2"/>
                <w:szCs w:val="12"/>
                <w:color w:val="auto"/>
              </w:rPr>
            </w:pPr>
          </w:p>
        </w:tc>
        <w:tc>
          <w:tcPr>
            <w:tcW w:w="11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North America</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39,353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31,844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7,509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67,937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67,064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265"/>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Africa and Middle East</w:t>
            </w: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16,770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23,703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31,119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50,991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275"/>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Europe and Russia</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12,059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265"/>
        </w:trPr>
        <w:tc>
          <w:tcPr>
            <w:tcW w:w="28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Latin America and Asia Pacific</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9,603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9,252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351</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20,370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19,857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513</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242"/>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126,743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149,971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Our revenue in North America increased $7.5 million, or 23.6%, during the second quarter of fiscal 2017 compared with the same quarter of fiscal 2016. North America revenue increased primarily due to a large increase in revenue from completion of private network projects, offset in part by a decrease in revenue from mobile operators in the region. On a year-to-date basis, North America revenue increased $0.9 million, or 1.3%, compared with the same period in fiscal 2016. The year-to-date increase in North America was from private network customers, offset by a decrease in revenue from mobile operators.</w:t>
      </w:r>
    </w:p>
    <w:p>
      <w:pPr>
        <w:spacing w:after="0" w:line="11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revenue in Africa and the Middle East decreased $6.9 million, or 29.2%, for the second quarter of fiscal 2017 compared with the same quarter of fiscal 2016. The decrease in revenue was primarily due to lower sales volume to our large operator customers in Africa, including the MTN Group. The decrease was also attributable to a large sale to a private network customer in North Africa in the second quarter of fiscal 2016 that was not repeated in fiscal 2017. On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742" w:right="239" w:bottom="1440" w:gutter="0" w:footer="0" w:header="0"/>
        </w:sectPr>
      </w:pPr>
    </w:p>
    <w:bookmarkStart w:id="22" w:name="page23"/>
    <w:bookmarkEnd w:id="22"/>
    <w:p>
      <w:pPr>
        <w:ind w:right="140"/>
        <w:spacing w:after="0" w:line="282" w:lineRule="auto"/>
        <w:rPr>
          <w:sz w:val="20"/>
          <w:szCs w:val="20"/>
          <w:color w:val="auto"/>
        </w:rPr>
      </w:pPr>
      <w:r>
        <w:rPr>
          <w:rFonts w:ascii="Times New Roman" w:cs="Times New Roman" w:eastAsia="Times New Roman" w:hAnsi="Times New Roman"/>
          <w:sz w:val="18"/>
          <w:szCs w:val="18"/>
          <w:color w:val="auto"/>
        </w:rPr>
        <w:t>year-to-date basis, Africa and the Middle East revenue decreased $19.9 million, or 39.0%, compared with the same period in fiscal 2016. The year-to-date decrease in the region was also from lower sales to mobile operator customers in Africa and a decrease in revenue from private networks in the Middle East.</w:t>
      </w:r>
    </w:p>
    <w:p>
      <w:pPr>
        <w:spacing w:after="0" w:line="108"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Revenue in Europe and Russia decreased $2.8 million, or 50.0%, for the second quarter of fiscal 2017 compared with the same quarter of fiscal 2016. The decrease was primarily due to lower sales to some of our large customers in the region. On a year-to-date basis, revenue in Europe and Russia was down $4.7 million, or 39.3%, from the same period in fiscal 2016. The decrease came from lower sales to our large customers in the region compared with the same periods in fiscal 2016.</w:t>
      </w:r>
    </w:p>
    <w:p>
      <w:pPr>
        <w:spacing w:after="0" w:line="12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Revenue in Latin America and Asia Pacific increased $0.4 million, or 3.8%, during the second quarter of fiscal 2017 compared with the same quarter in fiscal 2016. The increase was primarily due to increased deliveries to our larger customers in Latin America, offset by decreased sales in Asia Pacific. On a year-to-date basis, revenue in Latin America and Asia Pacific increased $0.5 million, or 2.6%, from the same period in fiscal 2016 for the same reasons.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2"/>
                <w:szCs w:val="12"/>
                <w:color w:val="auto"/>
              </w:rPr>
            </w:pPr>
          </w:p>
        </w:tc>
        <w:tc>
          <w:tcPr>
            <w:tcW w:w="11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Product sales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45,958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44,675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80,682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98,361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65"/>
        </w:trPr>
        <w:tc>
          <w:tcPr>
            <w:tcW w:w="28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22,578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25,741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46,061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51,610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(5,549)</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42"/>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126,743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revenue from product sales increased $1.3 million, or 2.9%, for the second quarter of fiscal 2017 compared with the same quarter in fiscal 2016. Product volumes were higher in North America and Latin America, overcoming smaller decreases in other regions. Our services revenue decreased by $3.2 million, or 12.3%, during the second quarter of fiscal 2017 compared with the same quarter of fiscal 2016. Most of the reduction was with customers in the Middle East, Africa, and Asia Pacific, partially offset by an increase in North America and Latin America.</w:t>
      </w:r>
    </w:p>
    <w:p>
      <w:pPr>
        <w:spacing w:after="0" w:line="126" w:lineRule="exact"/>
        <w:rPr>
          <w:sz w:val="20"/>
          <w:szCs w:val="20"/>
          <w:color w:val="auto"/>
        </w:rPr>
      </w:pPr>
    </w:p>
    <w:p>
      <w:pPr>
        <w:jc w:val="both"/>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revenue from product sales decreased by $17.7 million, or 18.0%, for the first six months of fiscal 2017 compared with the same period in fiscal 2016. The decrease came primarily from weaker product sales in Africa, the Middle East, and Europe, offset in part by stronger sales in North America and Latin America. Our services revenue was down by $5.5 million, or 10.8%, during the first six months of fiscal 2017 compared with the same period of fiscal 2016, due to reduced service activities in most regions, except for Asia Pacific where we had a small increase in service sales.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68,536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70,416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126,743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149,971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65"/>
        </w:trPr>
        <w:tc>
          <w:tcPr>
            <w:tcW w:w="2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47,420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53,992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(6,572)</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88,262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112,536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(24,274)</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5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Gross margin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21,116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16,424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4,692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28.6 %</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38,481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37,435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 of revenue</w:t>
            </w:r>
          </w:p>
        </w:tc>
        <w:tc>
          <w:tcPr>
            <w:tcW w:w="18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30.8%</w:t>
            </w:r>
          </w:p>
        </w:tc>
        <w:tc>
          <w:tcPr>
            <w:tcW w:w="2200" w:type="dxa"/>
            <w:vAlign w:val="bottom"/>
          </w:tcPr>
          <w:p>
            <w:pPr>
              <w:jc w:val="right"/>
              <w:ind w:right="1368"/>
              <w:spacing w:after="0"/>
              <w:rPr>
                <w:sz w:val="20"/>
                <w:szCs w:val="20"/>
                <w:color w:val="auto"/>
              </w:rPr>
            </w:pPr>
            <w:r>
              <w:rPr>
                <w:rFonts w:ascii="Times New Roman" w:cs="Times New Roman" w:eastAsia="Times New Roman" w:hAnsi="Times New Roman"/>
                <w:sz w:val="14"/>
                <w:szCs w:val="14"/>
                <w:color w:val="auto"/>
              </w:rPr>
              <w:t>23.3%</w:t>
            </w:r>
          </w:p>
        </w:tc>
        <w:tc>
          <w:tcPr>
            <w:tcW w:w="22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30.4%</w:t>
            </w:r>
          </w:p>
        </w:tc>
        <w:tc>
          <w:tcPr>
            <w:tcW w:w="2880" w:type="dxa"/>
            <w:vAlign w:val="bottom"/>
          </w:tcPr>
          <w:p>
            <w:pPr>
              <w:jc w:val="right"/>
              <w:ind w:right="2048"/>
              <w:spacing w:after="0"/>
              <w:rPr>
                <w:sz w:val="20"/>
                <w:szCs w:val="20"/>
                <w:color w:val="auto"/>
              </w:rPr>
            </w:pPr>
            <w:r>
              <w:rPr>
                <w:rFonts w:ascii="Times New Roman" w:cs="Times New Roman" w:eastAsia="Times New Roman" w:hAnsi="Times New Roman"/>
                <w:sz w:val="14"/>
                <w:szCs w:val="14"/>
                <w:color w:val="auto"/>
              </w:rPr>
              <w:t>25.0%</w:t>
            </w:r>
          </w:p>
        </w:tc>
      </w:tr>
      <w:tr>
        <w:trPr>
          <w:trHeight w:val="275"/>
        </w:trPr>
        <w:tc>
          <w:tcPr>
            <w:tcW w:w="2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Product margin %</w:t>
            </w:r>
          </w:p>
        </w:tc>
        <w:tc>
          <w:tcPr>
            <w:tcW w:w="18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32.5%</w:t>
            </w:r>
          </w:p>
        </w:tc>
        <w:tc>
          <w:tcPr>
            <w:tcW w:w="2200" w:type="dxa"/>
            <w:vAlign w:val="bottom"/>
            <w:shd w:val="clear" w:color="auto" w:fill="CCEEFF"/>
          </w:tcPr>
          <w:p>
            <w:pPr>
              <w:jc w:val="right"/>
              <w:ind w:right="1368"/>
              <w:spacing w:after="0"/>
              <w:rPr>
                <w:sz w:val="20"/>
                <w:szCs w:val="20"/>
                <w:color w:val="auto"/>
              </w:rPr>
            </w:pPr>
            <w:r>
              <w:rPr>
                <w:rFonts w:ascii="Times New Roman" w:cs="Times New Roman" w:eastAsia="Times New Roman" w:hAnsi="Times New Roman"/>
                <w:sz w:val="14"/>
                <w:szCs w:val="14"/>
                <w:color w:val="auto"/>
              </w:rPr>
              <w:t>25.4%</w:t>
            </w:r>
          </w:p>
        </w:tc>
        <w:tc>
          <w:tcPr>
            <w:tcW w:w="22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30.8%</w:t>
            </w:r>
          </w:p>
        </w:tc>
        <w:tc>
          <w:tcPr>
            <w:tcW w:w="2880" w:type="dxa"/>
            <w:vAlign w:val="bottom"/>
            <w:shd w:val="clear" w:color="auto" w:fill="CCEEFF"/>
          </w:tcPr>
          <w:p>
            <w:pPr>
              <w:jc w:val="right"/>
              <w:ind w:right="2048"/>
              <w:spacing w:after="0"/>
              <w:rPr>
                <w:sz w:val="20"/>
                <w:szCs w:val="20"/>
                <w:color w:val="auto"/>
              </w:rPr>
            </w:pPr>
            <w:r>
              <w:rPr>
                <w:rFonts w:ascii="Times New Roman" w:cs="Times New Roman" w:eastAsia="Times New Roman" w:hAnsi="Times New Roman"/>
                <w:sz w:val="14"/>
                <w:szCs w:val="14"/>
                <w:color w:val="auto"/>
              </w:rPr>
              <w:t>28.3%</w:t>
            </w:r>
          </w:p>
        </w:tc>
      </w:tr>
      <w:tr>
        <w:trPr>
          <w:trHeight w:val="260"/>
        </w:trPr>
        <w:tc>
          <w:tcPr>
            <w:tcW w:w="2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Service margin %</w:t>
            </w:r>
          </w:p>
        </w:tc>
        <w:tc>
          <w:tcPr>
            <w:tcW w:w="18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27.3%</w:t>
            </w:r>
          </w:p>
        </w:tc>
        <w:tc>
          <w:tcPr>
            <w:tcW w:w="2200" w:type="dxa"/>
            <w:vAlign w:val="bottom"/>
          </w:tcPr>
          <w:p>
            <w:pPr>
              <w:jc w:val="right"/>
              <w:ind w:right="1368"/>
              <w:spacing w:after="0"/>
              <w:rPr>
                <w:sz w:val="20"/>
                <w:szCs w:val="20"/>
                <w:color w:val="auto"/>
              </w:rPr>
            </w:pPr>
            <w:r>
              <w:rPr>
                <w:rFonts w:ascii="Times New Roman" w:cs="Times New Roman" w:eastAsia="Times New Roman" w:hAnsi="Times New Roman"/>
                <w:sz w:val="14"/>
                <w:szCs w:val="14"/>
                <w:color w:val="auto"/>
              </w:rPr>
              <w:t>19.7%</w:t>
            </w:r>
          </w:p>
        </w:tc>
        <w:tc>
          <w:tcPr>
            <w:tcW w:w="22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29.7%</w:t>
            </w:r>
          </w:p>
        </w:tc>
        <w:tc>
          <w:tcPr>
            <w:tcW w:w="2880" w:type="dxa"/>
            <w:vAlign w:val="bottom"/>
          </w:tcPr>
          <w:p>
            <w:pPr>
              <w:jc w:val="right"/>
              <w:ind w:right="2048"/>
              <w:spacing w:after="0"/>
              <w:rPr>
                <w:sz w:val="20"/>
                <w:szCs w:val="20"/>
                <w:color w:val="auto"/>
              </w:rPr>
            </w:pPr>
            <w:r>
              <w:rPr>
                <w:rFonts w:ascii="Times New Roman" w:cs="Times New Roman" w:eastAsia="Times New Roman" w:hAnsi="Times New Roman"/>
                <w:sz w:val="14"/>
                <w:szCs w:val="14"/>
                <w:color w:val="auto"/>
              </w:rPr>
              <w:t>18.6%</w:t>
            </w:r>
          </w:p>
        </w:tc>
      </w:tr>
    </w:tbl>
    <w:p>
      <w:pPr>
        <w:spacing w:after="0" w:line="154"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Gross margin for the three and six months ended December 30, 2016 increased by $4.7 million, or 28.6%, and $1.0 million, or 2.8%, respectively, compared with the three and six months ended January 1, 2016. On the quarter-to-date basis and on a year-to-date basis, the margin increase was from lower supply chain costs and improved margin rates in services businesses in all sectors.</w:t>
      </w:r>
    </w:p>
    <w:p>
      <w:pPr>
        <w:spacing w:after="0" w:line="12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Gross margin as a percentage of revenue increased in the second quarter of fiscal 2017 compared with the same quarter of fiscal 2016, primarily due to improved service margins and lower supply chain costs. Product margin as a percentage of product revenue increased from the prior year quarter primarily due to lower supply chain costs. Service margin as a percentage of service revenue increased primarily due to lower service costs leading to more profitable service business in most sectors.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42" w:right="239" w:bottom="1440" w:gutter="0" w:footer="0" w:header="0"/>
        </w:sectPr>
      </w:pPr>
    </w:p>
    <w:bookmarkStart w:id="23" w:name="page24"/>
    <w:bookmarkEnd w:id="23"/>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On a year-to-date basis, gross margin as a percentage of revenue increased due to lower supply chain costs in the current year and improved service margins. Gross margin rates in services businesses in all sectors improved compared with the same period in fiscal 2016. Product margin as a percentage of product revenue increased over the same period in fiscal 2016 primarily due to reduced supply chain costs. We attributed the margin improvement in the service business and our reduced supply chain costs to process improvement programs within the Company along with our restructuring program implemented over the past several quarters.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vMerge w:val="restart"/>
          </w:tcPr>
          <w:p>
            <w:pPr>
              <w:spacing w:after="0"/>
              <w:rPr>
                <w:sz w:val="12"/>
                <w:szCs w:val="12"/>
                <w:color w:val="auto"/>
              </w:rPr>
            </w:pP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vMerge w:val="restart"/>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4,475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5,210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9,418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10,686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60"/>
        </w:trPr>
        <w:tc>
          <w:tcPr>
            <w:tcW w:w="2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 of revenue</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research and development expenses decreased $0.7 million, or 14.1%, in the second quarter of fiscal 2017 compared with the same period in fiscal</w:t>
      </w:r>
    </w:p>
    <w:p>
      <w:pPr>
        <w:spacing w:after="0" w:line="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2016. The decrease was primarily due to a $0.4 million economic incentive grant credit in the second quarter of fiscal 2017 and a $0.3 million reduction in product development costs.</w:t>
      </w:r>
    </w:p>
    <w:p>
      <w:pPr>
        <w:spacing w:after="0" w:line="126"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decreased $1.3 million, or 11.9%, in the first six months of fiscal 2017 compared with the same period in fiscal 2016. The decrease for the first six months of fiscal 2017 compared with the same period in fiscal 2016 was primarily due to a $0.7 million economic incentive grant credit in the first six months of fiscal 2017 and a $0.6 million reduction in product development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vMerge w:val="restart"/>
          </w:tcPr>
          <w:p>
            <w:pPr>
              <w:spacing w:after="0"/>
              <w:rPr>
                <w:sz w:val="12"/>
                <w:szCs w:val="12"/>
                <w:color w:val="auto"/>
              </w:rPr>
            </w:pP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1, 2016</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vMerge w:val="restart"/>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Selling and administrative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14,056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16,178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1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29,243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33,290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60"/>
        </w:trPr>
        <w:tc>
          <w:tcPr>
            <w:tcW w:w="2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 of revenue</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Our selling and administrative expenses declined $2.1 million, or 13.1%, and $4.0 million, or 12.2%, respectively, in the three and six months ended December 30, 2016 compared with the same periods in fiscal 2016. The decrease for the second quarter of fiscal 2017 compared with the same quarter in fiscal 2016 was primarily due to a $1.9 million decrease in personnel and related expenses as a result of the restructuring programs we implemented, a $0.5 million decrease in professional fees. The decreases were partially offset by a $0.3 million increase in commission expenses.</w:t>
      </w:r>
    </w:p>
    <w:p>
      <w:pPr>
        <w:spacing w:after="0" w:line="126"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The decrease for the first six months of fiscal 2017 compared with the same period in fiscal 2016 was primarily due to a $3.1 million decrease in personnel and related expenses, a $0.7 million decrease in professional fees, and a $0.4 million decrease in commission expenses. The decreases were partially offset by a $0.2 million accelerated depreciation of Santa Clara building leasehold improvements.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2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8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Restructuring Charges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Our restructuring expenses consisted primarily of severance and related benefit charges, facilities costs related to obligations under non-cancelable leases for facilities that we ceased to use.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42"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2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8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30.9 %</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65"/>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0" w:type="dxa"/>
            <w:vAlign w:val="bottom"/>
          </w:tcPr>
          <w:p>
            <w:pPr>
              <w:spacing w:after="0"/>
              <w:rPr>
                <w:sz w:val="1"/>
                <w:szCs w:val="1"/>
                <w:color w:val="auto"/>
              </w:rPr>
            </w:pPr>
          </w:p>
        </w:tc>
      </w:tr>
      <w:tr>
        <w:trPr>
          <w:trHeight w:val="275"/>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reflected interest earned on our cash equivalents which were comprised of money market funds and certificates of deposit.</w:t>
      </w:r>
    </w:p>
    <w:p>
      <w:pPr>
        <w:spacing w:after="0" w:line="17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Interest expense was primarily related to interest associated with borrowings and term loan under the SVB Credit Facility and discounts on customer letters of credit.</w:t>
      </w:r>
    </w:p>
    <w:p>
      <w:pPr>
        <w:spacing w:after="0" w:line="108"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Other expense related to the foreign exchange gain (loss) on a dividend declared by our Nigeria entity (a partnership for U.S. tax purposes) to Aviat U.S. entity. The foreign exchange rate for Nigerian Naira dropped quickly in the first quarter of fiscal 2017, and stabilized in the second quarter of fiscal 2017.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2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840" w:type="dxa"/>
            <w:vAlign w:val="bottom"/>
            <w:tcBorders>
              <w:top w:val="single" w:sz="8" w:color="CCEEFF"/>
            </w:tcBorders>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Income (loss) from continuing operations</w:t>
            </w:r>
          </w:p>
        </w:tc>
        <w:tc>
          <w:tcPr>
            <w:tcW w:w="22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2,587</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7,614</w:t>
            </w:r>
          </w:p>
        </w:tc>
        <w:tc>
          <w:tcPr>
            <w:tcW w:w="1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6,068</w:t>
            </w:r>
          </w:p>
        </w:tc>
        <w:tc>
          <w:tcPr>
            <w:tcW w:w="1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200"/>
        </w:trPr>
        <w:tc>
          <w:tcPr>
            <w:tcW w:w="2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before income taxes</w:t>
            </w:r>
          </w:p>
        </w:tc>
        <w:tc>
          <w:tcPr>
            <w:tcW w:w="2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70.6 %</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 During the first quarter of fiscal 2017, we received a tax refund of $3.7 million from the Inland Revenue Authority of Singapore related to an assessment we paid in fiscal year 2014 related to deductions claimed in tax years 2007 through 2010. This tax refund was recorded as a discrete tax benefit during the quarter. The determination of the effective tax rate reflects tax expense and benefit generated in certain jurisdictions. However, jurisdictions with a year-to-date loss where no tax benefit can be recognized are excluded from the annual effective tax rate.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Discontinued Operations</w:t>
      </w:r>
    </w:p>
    <w:p>
      <w:pPr>
        <w:spacing w:after="0" w:line="17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discontinued operations consist of the WiMAX business, which was sold on September 2, 2011. The $0.4 million income net of tax recognized in the first six months of fiscal 2016 was primarily due to recovery of certain WiMAX customer receivables that were previously written down.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75"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As of December 30, 2016, our total cash and cash equivalents were $35.0 million of which $17.9 million, or 51%, was held by entities outside the United States. Of the amount of cash and cash equivalents held by our foreign subsidiaries at December 30, 2016, $13.3 million was held in jurisdictions where our undistributed earnings are indefinitely reinvested, and if repatriated, would be subject to U.S. taxes which are currently nominal.</w:t>
      </w:r>
    </w:p>
    <w:p>
      <w:pPr>
        <w:spacing w:after="0" w:line="122"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As of December 30, 2016, our principal sources of liquidity consisted of the $35.2 million in cash, cash equivalents and short-term investments, $5.1 million of available credit under our $30.0 million SVB Credit Facility which expires on June 30, 2018 and future collections of receivables from customers. As of December 30, 2016, we were in compliance with the amended financial covenants contained in the SVB Credit Facility. However, as a result of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738" w:right="239" w:bottom="1440" w:gutter="0" w:footer="0" w:header="0"/>
        </w:sectPr>
      </w:pPr>
    </w:p>
    <w:bookmarkStart w:id="25" w:name="page26"/>
    <w:bookmarkEnd w:id="25"/>
    <w:p>
      <w:pPr>
        <w:spacing w:after="0" w:line="255" w:lineRule="auto"/>
        <w:rPr>
          <w:sz w:val="20"/>
          <w:szCs w:val="20"/>
          <w:color w:val="auto"/>
        </w:rPr>
      </w:pPr>
      <w:r>
        <w:rPr>
          <w:rFonts w:ascii="Times New Roman" w:cs="Times New Roman" w:eastAsia="Times New Roman" w:hAnsi="Times New Roman"/>
          <w:sz w:val="18"/>
          <w:szCs w:val="18"/>
          <w:color w:val="auto"/>
        </w:rPr>
        <w:t>uncertainty on our ability to continue to meet the financial covenants in the future and the fact that the SVB Credit Facility contains subjective acceleration clauses that could be triggered by the lender, the $8.0 million and $9.0 million borrowing was classified as a current liability as of December 30, 2016 and July 1, 2016.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six months of fiscal 2017, our total cash and cash equivalents increased by $4.5 million primarily due to $8.8 million of cash provided by operating activities, offset by $2.9 million of cash used for capital expenditures, $1.0 million of cash used in net repayment of SVB Credit Facility, and $0.5 million effect of exchange rate changes on cash and cash equivalents.</w:t>
      </w:r>
    </w:p>
    <w:p>
      <w:pPr>
        <w:spacing w:after="0" w:line="13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was $8.8 million in the first six months of fiscal 2017 as compared to cash provided by operating activities of $6.4 million in the first six months of fiscal 2016. Cash provided by operating activities is presented as net income (loss) adjusted for non-cash items and changes in operating assets and liabilities. Net income increased by $7.8 million, net contribution of non-cash items to cash provided by operating activities decreased by $2.5 million and net contribution of changes in operating assets and liabilities to cash provided by operating activities decreased by $2.9 million for the first six months of fiscal 2017 as compared to the same period in fiscal 2016.</w:t>
      </w:r>
    </w:p>
    <w:p>
      <w:pPr>
        <w:spacing w:after="0" w:line="13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$7.8 million increase in net income includes a $3.7 million tax refund from the Inland Revenue Authority of Singapore related to a $13.2 million tax assessment we paid in fiscal year 2014. This tax refund was recorded as a discrete tax benefit when it was received during our first quarter of fiscal 2017.</w:t>
      </w:r>
    </w:p>
    <w:p>
      <w:pPr>
        <w:spacing w:after="0" w:line="108" w:lineRule="exact"/>
        <w:rPr>
          <w:sz w:val="20"/>
          <w:szCs w:val="20"/>
          <w:color w:val="auto"/>
        </w:rPr>
      </w:pPr>
    </w:p>
    <w:p>
      <w:pPr>
        <w:ind w:right="400" w:firstLine="486"/>
        <w:spacing w:after="0" w:line="261" w:lineRule="auto"/>
        <w:rPr>
          <w:sz w:val="20"/>
          <w:szCs w:val="20"/>
          <w:color w:val="auto"/>
        </w:rPr>
      </w:pPr>
      <w:r>
        <w:rPr>
          <w:rFonts w:ascii="Times New Roman" w:cs="Times New Roman" w:eastAsia="Times New Roman" w:hAnsi="Times New Roman"/>
          <w:sz w:val="18"/>
          <w:szCs w:val="18"/>
          <w:color w:val="auto"/>
        </w:rPr>
        <w:t>The $2.5 million decrease in the net contribution of non-cash items to cash provided by operating activities was primarily due to a $1.2 million decrease in charges for inventory write-downs, a $0.8 million decrease in bad debt expense, a $0.2 million decrease in depreciation and amortization of property, plant and equipment, a $0.1 million decrease in deferred income taxes, and a $0.1 million decrease in loss on disposition of property, plant and equipment.</w:t>
      </w:r>
    </w:p>
    <w:p>
      <w:pPr>
        <w:spacing w:after="0" w:line="12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Changes in operating assets and liabilities resulted in a net decrease of $2.9 million to cash provided by operating activities for the first six months of fiscal 2017 as compared to the same period in 2016. Accounts receivable and unbilled costs fluctuate from period to period, depending on the amount, timing of sales and billing activities as well as cash collections. The fluctuations in accounts payable and accrued expenses were primarily due to the timing liabilities incurred and vendor payments. The change in inventories and in customer service inventories were primarily due to demand. The decrease in customer advance payments and unearned income was due to the timing of payment from customers and revenue recognition. We used $2.4 million in cash during the first six months of fiscal 2017 on expenses related to restructuring liabilities.</w:t>
      </w:r>
    </w:p>
    <w:p>
      <w:pPr>
        <w:spacing w:after="0" w:line="134"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During the remainder of fiscal year 2017, we expect to spend approximately $1.0 million for capital expenditures, primarily on equipment for development and manufacturing of new products and to support customer managed services.</w:t>
      </w:r>
    </w:p>
    <w:p>
      <w:pPr>
        <w:spacing w:after="0" w:line="10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June 30, 2018. While we intend to renew and expect the SVB Credit Facility to be renewed, there can be no assurance that the SVB Credit Facility will be renewed. In addition, there can be no assurance that our business will generate cash flow from operations, we will be in compliance with the quarterly financial covenants contained in the SVB Credit Facility, or that we will have a sufficient borrowing base under such facility, or that anticipated operational improvements will be achieved.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742" w:right="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Payments</w:t>
      </w:r>
    </w:p>
    <w:p>
      <w:pPr>
        <w:spacing w:after="0" w:line="17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had liabilities for restructuring activities totaling $2.6 million as of December 30, 2016, $2.4 million of which was classified as current liability and expected to be paid out in cash over the next 12 months. We expect to fund these future payments with available cash and cash provided by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7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amounts disclosed in our fiscal 2016 Annual Report on Form 10-K filed with the SEC on September 9, 2016 include our commercial commitments and contractual obligations. During the first six months of fiscal 2017, no material changes occurred in our contractual obligations to purchase goods and services and to make payments under operating leases or our commercial commitments and contingent liabilities on outstanding letters of credit, guarantees and other arrangements as disclosed in our fiscal 2016 Annual Report on Form 10-K. Please refer to Note 11 Commitments and Contingencies of the Notes to Condensed Consolidated Financial Statements in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For information about our critical accounting estimates, see the “Critical Accounting Estimates” section of “Item 7. Management’s Discussion and Analysis of Financial Condition and Results of Operations” in our fiscal 2016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75"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use foreign exchange forward contracts to hedge forecasted foreign currency transactions relating to forecasted sales and purchase transactions. Prior to the fourth quarter of fiscal 2015, these derivatives were designated as cash flow hedges. The effective portion of the gain or loss was initially reported as a component of accumulated other comprehensive income (loss), and upon occurrence of the forecasted transaction, was subsequently reclassified into the income or expense line item to which the hedged transaction relates. Beginning the fourth quarter of fiscal 2015, we no longer prepared contemporaneous documentation of hedges for the new foreign exchange forward contracts we entered into. As a result, the foreign exchange hedges no longer qualified as cash flow hedges. The changes in fair value related to the hedges were recorded in income or expenses line items on our statements of operations. The last qualifying cash flow hedges occurred in the first quarter of fiscal 2016 and we reclassified $41 thousands gain out of accumulated other comprehensive loss into cost of revenues during the first quarter of fiscal 2016.</w:t>
      </w:r>
    </w:p>
    <w:p>
      <w:pPr>
        <w:spacing w:after="0" w:line="13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38" w:right="239" w:bottom="1440" w:gutter="0" w:footer="0" w:header="0"/>
        </w:sectPr>
      </w:pPr>
    </w:p>
    <w:bookmarkStart w:id="27" w:name="page28"/>
    <w:bookmarkEnd w:id="27"/>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As of December 30, 2016, we had foreign currency forward contracts outstanding with a total notional amount of $6.0 million consisting of three different currencies. The following is a summary of the gross notional amount of our outstanding contracts grouped by the underlying foreign currency as of December 30, 2016:</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Notional Contract</w:t>
            </w:r>
          </w:p>
        </w:tc>
        <w:tc>
          <w:tcPr>
            <w:tcW w:w="460" w:type="dxa"/>
            <w:vAlign w:val="bottom"/>
          </w:tcPr>
          <w:p>
            <w:pPr>
              <w:spacing w:after="0"/>
              <w:rPr>
                <w:sz w:val="13"/>
                <w:szCs w:val="13"/>
                <w:color w:val="auto"/>
              </w:rPr>
            </w:pPr>
          </w:p>
        </w:tc>
        <w:tc>
          <w:tcPr>
            <w:tcW w:w="114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jc w:val="center"/>
              <w:ind w:right="379"/>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7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2"/>
                <w:szCs w:val="12"/>
                <w:color w:val="auto"/>
              </w:rPr>
            </w:pPr>
          </w:p>
        </w:tc>
        <w:tc>
          <w:tcPr>
            <w:tcW w:w="1140" w:type="dxa"/>
            <w:vAlign w:val="bottom"/>
          </w:tcPr>
          <w:p>
            <w:pPr>
              <w:jc w:val="center"/>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8120" w:type="dxa"/>
            <w:vAlign w:val="bottom"/>
            <w:gridSpan w:val="2"/>
            <w:vMerge w:val="continue"/>
          </w:tcPr>
          <w:p>
            <w:pPr>
              <w:spacing w:after="0"/>
              <w:rPr>
                <w:sz w:val="16"/>
                <w:szCs w:val="16"/>
                <w:color w:val="auto"/>
              </w:rPr>
            </w:pPr>
          </w:p>
        </w:tc>
        <w:tc>
          <w:tcPr>
            <w:tcW w:w="17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(Local Currency)</w:t>
            </w:r>
          </w:p>
        </w:tc>
        <w:tc>
          <w:tcPr>
            <w:tcW w:w="460" w:type="dxa"/>
            <w:vAlign w:val="bottom"/>
          </w:tcPr>
          <w:p>
            <w:pPr>
              <w:spacing w:after="0"/>
              <w:rPr>
                <w:sz w:val="16"/>
                <w:szCs w:val="16"/>
                <w:color w:val="auto"/>
              </w:rPr>
            </w:pPr>
          </w:p>
        </w:tc>
        <w:tc>
          <w:tcPr>
            <w:tcW w:w="114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50"/>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Japanese yen</w:t>
            </w:r>
          </w:p>
        </w:tc>
        <w:tc>
          <w:tcPr>
            <w:tcW w:w="17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447,034</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4,274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British pound</w:t>
            </w:r>
          </w:p>
        </w:tc>
        <w:tc>
          <w:tcPr>
            <w:tcW w:w="170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46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17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1,377</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5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of all currency forward contracts</w:t>
            </w:r>
          </w:p>
        </w:tc>
        <w:tc>
          <w:tcPr>
            <w:tcW w:w="17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6,048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Net foreign exchange income (loss) recorded in our condensed consolidated statements of operations during the three and six months ended December 30, 2016 and 2016 was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0" w:type="dxa"/>
            <w:vAlign w:val="bottom"/>
          </w:tcPr>
          <w:p>
            <w:pPr>
              <w:spacing w:after="0"/>
              <w:rPr>
                <w:sz w:val="12"/>
                <w:szCs w:val="12"/>
                <w:color w:val="auto"/>
              </w:rPr>
            </w:pPr>
          </w:p>
        </w:tc>
        <w:tc>
          <w:tcPr>
            <w:tcW w:w="880" w:type="dxa"/>
            <w:vAlign w:val="bottom"/>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 included in costs of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 included in other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A 10% adverse change in currency exchange rates for our foreign currency derivatives held as of December 30, 2016 would have an impact of approximately $0.6 million on the fair value of such instruments.</w:t>
      </w:r>
    </w:p>
    <w:p>
      <w:pPr>
        <w:spacing w:after="0" w:line="108"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Certain of our international business was transacted in non-U.S. dollar currency. As discussed above, we utilize foreign currency hedging instruments to minimize the currency risk of international transactions. The impact of translating the assets and liabilities of foreign operations to U.S. dollars for the first six months of fiscal 2017 was $1.1 million and was included as a component of stockholders’ equity. As of December 30, 2016 and July 1, 2016, the cumulative translation adjustment decreased our stockholders’ equity by $12.3 million and $11.2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equivalents and borrowings under our credit facility.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Cash Equivalents</w:t>
      </w:r>
    </w:p>
    <w:p>
      <w:pPr>
        <w:spacing w:after="0" w:line="175"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had $35.0 million in total cash and cash equivalents as of December 30, 2016. Cash equivalents totaled $18.1 million as of December 30, 2016 and were comprised of money market funds and bank certificates of deposit. Cash equivalents have been recorded at fair value on our balance sheet.</w:t>
      </w:r>
    </w:p>
    <w:p>
      <w:pPr>
        <w:spacing w:after="0" w:line="10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December 30, 2016 was 75 days, and these investments had an average yield of 5.48% per annum. A 10% change in interest rates on our cash and cash equivalents is not expected to have a material impact on our financial position, results of operations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Borrowings</w:t>
      </w:r>
    </w:p>
    <w:p>
      <w:pPr>
        <w:spacing w:after="0" w:line="175"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2017, we had $8.0 million of borrowings outstanding under the SVB Credit Facility that incurred interest at the prime rate plus a spread of 0.50% to 1.50% with such spread determined based on our adjusted quick ratio. During the first six months of fiscal 2017, our weighted average interest rate was 4.03% and the interest expense on these borrowings was insignificant.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42" w:right="239" w:bottom="1440" w:gutter="0" w:footer="0" w:header="0"/>
        </w:sectPr>
      </w:pPr>
    </w:p>
    <w:bookmarkStart w:id="28" w:name="page29"/>
    <w:bookmarkEnd w:id="28"/>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Based on management’s evaluation, with participation of our Chief Executive Officer (CEO) and Chief Financial Officer (CFO), as of the end of the period covered by this report, our CEO and CFO have concluded that our disclosure controls and procedures, as defined in Rules 13a-15(e) and 15d-15(e) under the Securities Exchange Act of 1934, as amended (the “Exchange Act”), as of December 30, 2016,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principal executive officer and principal financial officer, as appropriate to allow timely decisions regarding required disclosures.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or 15d-15(f) that occurred during our first six months of fiscal 2017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management, including the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00"/>
          </w:cols>
          <w:pgMar w:left="240" w:top="742" w:right="359" w:bottom="1440" w:gutter="0" w:footer="0" w:header="0"/>
        </w:sectPr>
      </w:pPr>
    </w:p>
    <w:bookmarkStart w:id="29" w:name="page30"/>
    <w:bookmarkEnd w:id="29"/>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Please refer to Legal Proceedings under Note 11 Commitments and Contingencies of the Notes to Condensed Consolidated Financial Statements in this Quarterly Report on Form 10-Q.</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2016 Annual Report on Form 10-K filed with the SEC on September 9, 2016.</w:t>
      </w:r>
    </w:p>
    <w:p>
      <w:pPr>
        <w:spacing w:after="0" w:line="12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do not believe that there have been any other material additions or changes to the risk factors previously disclosed in our fiscal 2016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jc w:val="center"/>
        <w:ind w:right="93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center"/>
        <w:ind w:right="9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on the Exhibit Index (following the Signature section of this report) and is included, or incorporated by reference, in this Form 10-Q.</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900" w:right="259" w:bottom="1440" w:gutter="0" w:footer="0" w:header="0"/>
        </w:sectPr>
      </w:pPr>
    </w:p>
    <w:bookmarkStart w:id="30" w:name="page31"/>
    <w:bookmarkEnd w:id="3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AVIAT NETWORKS, INC.</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34290</wp:posOffset>
            </wp:positionV>
            <wp:extent cx="3310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Eric Chang</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Vice President, Corporate Controller and Principal Accounting Officer</w:t>
      </w:r>
    </w:p>
    <w:p>
      <w:pPr>
        <w:spacing w:after="0" w:line="2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accounting officer and duly authorized officer)</w:t>
      </w: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20"/>
          </w:cols>
          <w:pgMar w:left="240" w:top="79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78"/>
        </w:trPr>
        <w:tc>
          <w:tcPr>
            <w:tcW w:w="114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following exhibits are filed herewith or incorporated by reference to exhibits previously filed with the SEC:</w:t>
            </w:r>
          </w:p>
        </w:tc>
      </w:tr>
      <w:tr>
        <w:trPr>
          <w:trHeight w:val="400"/>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160" w:type="dxa"/>
            <w:vAlign w:val="bottom"/>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Descriptions</w:t>
            </w:r>
          </w:p>
        </w:tc>
      </w:tr>
      <w:tr>
        <w:trPr>
          <w:trHeight w:val="120"/>
        </w:trPr>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160" w:type="dxa"/>
            <w:vAlign w:val="bottom"/>
            <w:tcBorders>
              <w:top w:val="single" w:sz="8" w:color="auto"/>
            </w:tcBorders>
          </w:tcPr>
          <w:p>
            <w:pPr>
              <w:spacing w:after="0"/>
              <w:rPr>
                <w:sz w:val="10"/>
                <w:szCs w:val="10"/>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Amended and Restated Certificate of Incorporation of Aviat Networks, Inc., as amended</w:t>
            </w:r>
          </w:p>
        </w:tc>
      </w:tr>
      <w:tr>
        <w:trPr>
          <w:trHeight w:val="225"/>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Bylaws of Aviat Networks, Inc. (incorporate by reference to Exhibit 3.2 to the Current Report on Form 8-K filed</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 the SEC on October 2, 2015, File No. 001-33278)</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25"/>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0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Preservation Plan, dated as of September 6, 2016, by and between Aviat Networks, Inc. and Computershare Inc., as Rights</w:t>
            </w:r>
          </w:p>
        </w:tc>
      </w:tr>
      <w:tr>
        <w:trPr>
          <w:trHeight w:val="216"/>
        </w:trPr>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Agent (incorporated by reference to Exhibit 4.1 to the Current Report on Form 8-K filed with the SEC on September 7, 2016, File No. 011-</w:t>
            </w:r>
          </w:p>
        </w:tc>
      </w:tr>
      <w:tr>
        <w:trPr>
          <w:trHeight w:val="241"/>
        </w:trPr>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33278)</w:t>
            </w:r>
          </w:p>
        </w:tc>
      </w:tr>
      <w:tr>
        <w:trPr>
          <w:trHeight w:val="243"/>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13a-14(a)/15d-14(a) Certification of Chief Executive Officer</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Rule 13a-14(a)/15d-14(a) Certification of Chief Financial Officer</w:t>
            </w:r>
          </w:p>
        </w:tc>
      </w:tr>
      <w:tr>
        <w:trPr>
          <w:trHeight w:val="243"/>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Executive Officer and Chief Financial Officer</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43"/>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43"/>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43"/>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70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32</w:t>
            </w:r>
          </w:p>
        </w:tc>
      </w:tr>
    </w:tbl>
    <w:p>
      <w:pPr>
        <w:sectPr>
          <w:pgSz w:w="11900" w:h="16838" w:orient="portrait"/>
          <w:cols w:equalWidth="0" w:num="1">
            <w:col w:w="11420"/>
          </w:cols>
          <w:pgMar w:left="240" w:top="792" w:right="2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AMENDED AND RESTATED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CERTIFICATE OF INCORPORATION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OF</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HARRIS STRATEX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0" w:firstLine="324"/>
        <w:spacing w:after="0" w:line="271" w:lineRule="auto"/>
        <w:rPr>
          <w:sz w:val="20"/>
          <w:szCs w:val="20"/>
          <w:color w:val="auto"/>
        </w:rPr>
      </w:pPr>
      <w:r>
        <w:rPr>
          <w:rFonts w:ascii="Times New Roman" w:cs="Times New Roman" w:eastAsia="Times New Roman" w:hAnsi="Times New Roman"/>
          <w:sz w:val="22"/>
          <w:szCs w:val="22"/>
          <w:color w:val="auto"/>
        </w:rPr>
        <w:t>Harris Stratex Networks,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 corporation organized and existing under, and by virtue of, the General Corporation Law of the State of Delaware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hereby certifies as follows:</w:t>
      </w:r>
    </w:p>
    <w:p>
      <w:pPr>
        <w:spacing w:after="0" w:line="50"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Harris Stratex Networks, Inc.</w:t>
      </w:r>
    </w:p>
    <w:p>
      <w:pPr>
        <w:spacing w:after="0" w:line="11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certificate of incorporation of the Corporation was filed with the Secretary of the State of Delaware on</w:t>
      </w:r>
    </w:p>
    <w:p>
      <w:pPr>
        <w:spacing w:after="0" w:line="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October 5, 2006. The Amended and Restated Certificate of Incorporation of the Corporation was filed with the Secretary of State of Delaware on January 26, 2007. A Certificate of Designations of Series A Junior Participating Preferred Stock was filed with the Secretary of State of Delaware on April 21, 2009.</w:t>
      </w:r>
    </w:p>
    <w:p>
      <w:pPr>
        <w:spacing w:after="0" w:line="76" w:lineRule="exact"/>
        <w:rPr>
          <w:sz w:val="20"/>
          <w:szCs w:val="20"/>
          <w:color w:val="auto"/>
        </w:rPr>
      </w:pPr>
    </w:p>
    <w:p>
      <w:pPr>
        <w:ind w:right="80" w:firstLine="332"/>
        <w:spacing w:after="0" w:line="252" w:lineRule="auto"/>
        <w:tabs>
          <w:tab w:leader="none" w:pos="62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amended and restated certificate of incorporation which restates, integrates and amends the Corporation’s certificate of incorporation, as heretofore amended or supplemented, has been duly adopted by the board of directors of the Corporation (the “Board”) and by the stockholders of the Corporation in accordance with Sections 242 and 245 of the DGCL, and has been duly executed by an officer of the Corporation and filed in accordance with Section 103 of the DGCL.</w:t>
      </w:r>
    </w:p>
    <w:p>
      <w:pPr>
        <w:spacing w:after="0" w:line="71" w:lineRule="exact"/>
        <w:rPr>
          <w:rFonts w:ascii="Times New Roman" w:cs="Times New Roman" w:eastAsia="Times New Roman" w:hAnsi="Times New Roman"/>
          <w:sz w:val="22"/>
          <w:szCs w:val="22"/>
          <w:color w:val="auto"/>
        </w:rPr>
      </w:pPr>
    </w:p>
    <w:p>
      <w:pPr>
        <w:ind w:right="480" w:firstLine="332"/>
        <w:spacing w:after="0" w:line="257" w:lineRule="auto"/>
        <w:tabs>
          <w:tab w:leader="none" w:pos="6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the filing with the Secretary of State of the State of Delaware of this certificate of incorporation of the Corporation, as restated, integrated and amended (the “</w:t>
      </w:r>
      <w:r>
        <w:rPr>
          <w:rFonts w:ascii="Times New Roman" w:cs="Times New Roman" w:eastAsia="Times New Roman" w:hAnsi="Times New Roman"/>
          <w:sz w:val="22"/>
          <w:szCs w:val="22"/>
          <w:u w:val="single" w:color="auto"/>
          <w:color w:val="auto"/>
        </w:rPr>
        <w:t>Amended and Restated Certificate of Incorporation</w:t>
      </w:r>
      <w:r>
        <w:rPr>
          <w:rFonts w:ascii="Times New Roman" w:cs="Times New Roman" w:eastAsia="Times New Roman" w:hAnsi="Times New Roman"/>
          <w:sz w:val="22"/>
          <w:szCs w:val="22"/>
          <w:color w:val="auto"/>
        </w:rPr>
        <w:t>”), no shares of the Corporation’s Class B common stock, par value $0.01 per share, are issued and outstanding;</w:t>
      </w:r>
    </w:p>
    <w:p>
      <w:pPr>
        <w:spacing w:after="0" w:line="65"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text of the Amended and Restated Certificate of Incorporation shall read, in its entirety, as follows: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I</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Name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name of the Corporation is Harris Stratex Networks, Inc.</w:t>
      </w:r>
    </w:p>
    <w:p>
      <w:pPr>
        <w:spacing w:after="0" w:line="25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5"/>
          <w:szCs w:val="25"/>
          <w:b w:val="1"/>
          <w:bCs w:val="1"/>
          <w:color w:val="auto"/>
        </w:rPr>
        <w:t>Article II</w:t>
      </w:r>
    </w:p>
    <w:p>
      <w:pPr>
        <w:spacing w:after="0" w:line="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5"/>
          <w:szCs w:val="25"/>
          <w:b w:val="1"/>
          <w:bCs w:val="1"/>
          <w:color w:val="auto"/>
        </w:rPr>
        <w:t>Registered Agent</w:t>
      </w:r>
    </w:p>
    <w:p>
      <w:pPr>
        <w:spacing w:after="0" w:line="133" w:lineRule="exact"/>
        <w:rPr>
          <w:sz w:val="20"/>
          <w:szCs w:val="20"/>
          <w:color w:val="auto"/>
        </w:rPr>
      </w:pPr>
    </w:p>
    <w:p>
      <w:pPr>
        <w:ind w:right="140" w:firstLine="324"/>
        <w:spacing w:after="0" w:line="271" w:lineRule="auto"/>
        <w:rPr>
          <w:sz w:val="20"/>
          <w:szCs w:val="20"/>
          <w:color w:val="auto"/>
        </w:rPr>
      </w:pPr>
      <w:r>
        <w:rPr>
          <w:rFonts w:ascii="Times New Roman" w:cs="Times New Roman" w:eastAsia="Times New Roman" w:hAnsi="Times New Roman"/>
          <w:sz w:val="22"/>
          <w:szCs w:val="22"/>
          <w:color w:val="auto"/>
        </w:rPr>
        <w:t>The address of the registered office of the Corporation in the State of Delaware is 1209 Orange Street, the City of Wilmington, County of New Castle, and the name of its registered agent at that address is The Corporation Trust Company.</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87" w:right="2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III</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Purpose</w:t>
      </w:r>
    </w:p>
    <w:p>
      <w:pPr>
        <w:spacing w:after="0" w:line="133" w:lineRule="exact"/>
        <w:rPr>
          <w:sz w:val="20"/>
          <w:szCs w:val="20"/>
          <w:color w:val="auto"/>
        </w:rPr>
      </w:pPr>
    </w:p>
    <w:p>
      <w:pPr>
        <w:ind w:right="340" w:firstLine="324"/>
        <w:spacing w:after="0" w:line="271"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DGCL.</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IV</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Capitalization</w:t>
      </w:r>
    </w:p>
    <w:p>
      <w:pPr>
        <w:spacing w:after="0" w:line="133" w:lineRule="exact"/>
        <w:rPr>
          <w:sz w:val="20"/>
          <w:szCs w:val="20"/>
          <w:color w:val="auto"/>
        </w:rPr>
      </w:pPr>
    </w:p>
    <w:p>
      <w:pPr>
        <w:ind w:right="40" w:firstLine="332"/>
        <w:spacing w:after="0" w:line="254" w:lineRule="auto"/>
        <w:tabs>
          <w:tab w:leader="none" w:pos="618"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Capitalization</w:t>
      </w:r>
      <w:r>
        <w:rPr>
          <w:rFonts w:ascii="Times New Roman" w:cs="Times New Roman" w:eastAsia="Times New Roman" w:hAnsi="Times New Roman"/>
          <w:sz w:val="22"/>
          <w:szCs w:val="22"/>
          <w:color w:val="auto"/>
        </w:rPr>
        <w:t>. The total number of shares of all classes that this Corporation is authorized to issue is 350,000,000 shares, of which (i) 50,000,000 shares shall be designated as preferred stock, par value $0.01 per share (the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and</w:t>
      </w:r>
    </w:p>
    <w:p>
      <w:pPr>
        <w:spacing w:after="0" w:line="1" w:lineRule="exact"/>
        <w:rPr>
          <w:rFonts w:ascii="Times New Roman" w:cs="Times New Roman" w:eastAsia="Times New Roman" w:hAnsi="Times New Roman"/>
          <w:sz w:val="22"/>
          <w:szCs w:val="22"/>
          <w:color w:val="auto"/>
        </w:rPr>
      </w:pPr>
    </w:p>
    <w:p>
      <w:pPr>
        <w:ind w:right="40" w:firstLine="8"/>
        <w:spacing w:after="0" w:line="244"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300,000,000 shares shall be designated as common stock, par value $0.01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Upon the filing of this Amended and Restated Certificate of Incorporation with the Secretary of State of the State of Delaware (the “</w:t>
      </w:r>
      <w:r>
        <w:rPr>
          <w:rFonts w:ascii="Times New Roman" w:cs="Times New Roman" w:eastAsia="Times New Roman" w:hAnsi="Times New Roman"/>
          <w:sz w:val="22"/>
          <w:szCs w:val="22"/>
          <w:u w:val="single" w:color="auto"/>
          <w:color w:val="auto"/>
        </w:rPr>
        <w:t>Filing Time</w:t>
      </w:r>
      <w:r>
        <w:rPr>
          <w:rFonts w:ascii="Times New Roman" w:cs="Times New Roman" w:eastAsia="Times New Roman" w:hAnsi="Times New Roman"/>
          <w:sz w:val="22"/>
          <w:szCs w:val="22"/>
          <w:color w:val="auto"/>
        </w:rPr>
        <w:t>”), each share of common stock of the Corporation, however designated, issued and outstanding immediately prior thereto (“</w:t>
      </w:r>
      <w:r>
        <w:rPr>
          <w:rFonts w:ascii="Times New Roman" w:cs="Times New Roman" w:eastAsia="Times New Roman" w:hAnsi="Times New Roman"/>
          <w:sz w:val="22"/>
          <w:szCs w:val="22"/>
          <w:u w:val="single" w:color="auto"/>
          <w:color w:val="auto"/>
        </w:rPr>
        <w:t>Old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be automatically reclassified as one validly issued, fully paid and non-assessable share of Common Stock without any further action on the part of the Corporation or by the holder thereof. Each certificate formerly representing a share or shares of Old Common Stock shall automatically represent from and after the Filing Time, without any further action on the part of the Corporation or any holder thereof, a number of shares of Common Stock equal to the number of shares of Old Common Stock represented by such certificate immediately prior to the Filing Time.</w:t>
      </w:r>
    </w:p>
    <w:p>
      <w:pPr>
        <w:spacing w:after="0" w:line="79" w:lineRule="exact"/>
        <w:rPr>
          <w:rFonts w:ascii="Times New Roman" w:cs="Times New Roman" w:eastAsia="Times New Roman" w:hAnsi="Times New Roman"/>
          <w:sz w:val="22"/>
          <w:szCs w:val="22"/>
          <w:color w:val="auto"/>
        </w:rPr>
      </w:pPr>
    </w:p>
    <w:p>
      <w:pPr>
        <w:ind w:right="220" w:firstLine="332"/>
        <w:spacing w:after="0" w:line="252" w:lineRule="auto"/>
        <w:tabs>
          <w:tab w:leader="none" w:pos="63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Shares of Preferred Stock may be issued in one or more series from time to time by the Board, and the Board is expressly authorized to fix by resolution or resolutions the designations and the powers, preferences and rights, and the qualifications, limitations and restrictions thereof, of the shares of each series of Preferred Stock, including without limitation the following:</w:t>
      </w:r>
    </w:p>
    <w:p>
      <w:pPr>
        <w:spacing w:after="0" w:line="71" w:lineRule="exact"/>
        <w:rPr>
          <w:rFonts w:ascii="Times New Roman" w:cs="Times New Roman" w:eastAsia="Times New Roman" w:hAnsi="Times New Roman"/>
          <w:sz w:val="22"/>
          <w:szCs w:val="22"/>
          <w:color w:val="auto"/>
        </w:rPr>
      </w:pPr>
    </w:p>
    <w:p>
      <w:pPr>
        <w:ind w:left="1240" w:hanging="260"/>
        <w:spacing w:after="0"/>
        <w:tabs>
          <w:tab w:leader="none" w:pos="1240"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distinctive serial designation of such series which shall distinguish it from other series;</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included in such series;</w:t>
      </w:r>
    </w:p>
    <w:p>
      <w:pPr>
        <w:spacing w:after="0" w:line="111" w:lineRule="exact"/>
        <w:rPr>
          <w:rFonts w:ascii="Times New Roman" w:cs="Times New Roman" w:eastAsia="Times New Roman" w:hAnsi="Times New Roman"/>
          <w:sz w:val="22"/>
          <w:szCs w:val="22"/>
          <w:color w:val="auto"/>
        </w:rPr>
      </w:pPr>
    </w:p>
    <w:p>
      <w:pPr>
        <w:jc w:val="both"/>
        <w:ind w:left="660" w:right="540" w:firstLine="320"/>
        <w:spacing w:after="0" w:line="295" w:lineRule="auto"/>
        <w:tabs>
          <w:tab w:leader="none" w:pos="1362" w:val="left"/>
        </w:tabs>
        <w:numPr>
          <w:ilvl w:val="2"/>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dividend rate (or method of determining such rate) payable to the holders of the shares of such series, any conditions upon which such dividends shall be paid and the date or dates upon which such dividends shall be payable;</w:t>
      </w:r>
    </w:p>
    <w:p>
      <w:pPr>
        <w:spacing w:after="0" w:line="27" w:lineRule="exact"/>
        <w:rPr>
          <w:rFonts w:ascii="Times New Roman" w:cs="Times New Roman" w:eastAsia="Times New Roman" w:hAnsi="Times New Roman"/>
          <w:sz w:val="21"/>
          <w:szCs w:val="21"/>
          <w:color w:val="auto"/>
        </w:rPr>
      </w:pPr>
    </w:p>
    <w:p>
      <w:pPr>
        <w:ind w:left="660" w:right="40" w:firstLine="320"/>
        <w:spacing w:after="0" w:line="257" w:lineRule="auto"/>
        <w:tabs>
          <w:tab w:leader="none" w:pos="1350"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dividends on the shares of such series shall be cumulative and, in the case of shares of any series having cumulative dividend rights, the date or dates or method of determining the date or dates from which dividends on the shares of such series shall be cumulative;</w:t>
      </w:r>
    </w:p>
    <w:p>
      <w:pPr>
        <w:spacing w:after="0" w:line="65" w:lineRule="exact"/>
        <w:rPr>
          <w:rFonts w:ascii="Times New Roman" w:cs="Times New Roman" w:eastAsia="Times New Roman" w:hAnsi="Times New Roman"/>
          <w:sz w:val="22"/>
          <w:szCs w:val="22"/>
          <w:color w:val="auto"/>
        </w:rPr>
      </w:pPr>
    </w:p>
    <w:p>
      <w:pPr>
        <w:ind w:left="660" w:firstLine="320"/>
        <w:spacing w:after="0" w:line="257" w:lineRule="auto"/>
        <w:tabs>
          <w:tab w:leader="none" w:pos="1290"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or amounts which shall be payable out of the assets of the corporation to the holders of the shares of such series upon voluntary or involuntary liquidation, dissolution or winding up the Corporation, and the relative rights of priority, if any, of payment of the shares of such series;</w:t>
      </w:r>
    </w:p>
    <w:p>
      <w:pPr>
        <w:spacing w:after="0" w:line="65" w:lineRule="exact"/>
        <w:rPr>
          <w:rFonts w:ascii="Times New Roman" w:cs="Times New Roman" w:eastAsia="Times New Roman" w:hAnsi="Times New Roman"/>
          <w:sz w:val="22"/>
          <w:szCs w:val="22"/>
          <w:color w:val="auto"/>
        </w:rPr>
      </w:pPr>
    </w:p>
    <w:p>
      <w:pPr>
        <w:ind w:left="660" w:firstLine="320"/>
        <w:spacing w:after="0" w:line="257" w:lineRule="auto"/>
        <w:tabs>
          <w:tab w:leader="none" w:pos="1350"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or prices at which, the period or periods within which and the terms and conditions upon which the shares of such series may be redeemed, in whole or in part, at the option of the Corporation or at the option of the holder or holders thereof or upon the happening of a specified event or events;</w:t>
      </w:r>
    </w:p>
    <w:p>
      <w:pPr>
        <w:spacing w:after="0" w:line="65" w:lineRule="exact"/>
        <w:rPr>
          <w:rFonts w:ascii="Times New Roman" w:cs="Times New Roman" w:eastAsia="Times New Roman" w:hAnsi="Times New Roman"/>
          <w:sz w:val="22"/>
          <w:szCs w:val="22"/>
          <w:color w:val="auto"/>
        </w:rPr>
      </w:pPr>
    </w:p>
    <w:p>
      <w:pPr>
        <w:jc w:val="both"/>
        <w:ind w:left="660" w:right="120" w:firstLine="320"/>
        <w:spacing w:after="0" w:line="257" w:lineRule="auto"/>
        <w:tabs>
          <w:tab w:leader="none" w:pos="1410"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if any, of the Corporation to purchase or redeem shares of such series pursuant to a sinking fund or otherwise and the price or prices at which, the period or periods within which and the terms and conditions upon which the shares of such series shall be redeemed or purchased, in whole or in part, pursuant to such obligation;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08" w:right="259" w:bottom="1440" w:gutter="0" w:footer="0" w:header="0"/>
        </w:sectPr>
      </w:pPr>
    </w:p>
    <w:bookmarkStart w:id="34" w:name="page35"/>
    <w:bookmarkEnd w:id="34"/>
    <w:p>
      <w:pPr>
        <w:ind w:left="660" w:right="60" w:firstLine="320"/>
        <w:spacing w:after="0" w:line="252" w:lineRule="auto"/>
        <w:tabs>
          <w:tab w:leader="none" w:pos="147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 shares of such series shall be convertible or exchangeable, at any time or times at the option of the holder or holders thereof or at the option of the Corporation or upon happening of a specified event or events, into shares of any other class or classes of stock of the Corporation, and the price or prices or rate or rates of exchange or conversion and any adjustments applicable thereto; and</w:t>
      </w:r>
    </w:p>
    <w:p>
      <w:pPr>
        <w:spacing w:after="0" w:line="71" w:lineRule="exact"/>
        <w:rPr>
          <w:rFonts w:ascii="Times New Roman" w:cs="Times New Roman" w:eastAsia="Times New Roman" w:hAnsi="Times New Roman"/>
          <w:sz w:val="22"/>
          <w:szCs w:val="22"/>
          <w:color w:val="auto"/>
        </w:rPr>
      </w:pPr>
    </w:p>
    <w:p>
      <w:pPr>
        <w:ind w:left="660" w:right="540" w:firstLine="320"/>
        <w:spacing w:after="0" w:line="271" w:lineRule="auto"/>
        <w:tabs>
          <w:tab w:leader="none" w:pos="135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 holders of the shares of such series shall have voting rights, in addition to the voting rights provided by law, and if so the terms of such voting rights.</w:t>
      </w:r>
    </w:p>
    <w:p>
      <w:pPr>
        <w:spacing w:after="0" w:line="50" w:lineRule="exact"/>
        <w:rPr>
          <w:sz w:val="20"/>
          <w:szCs w:val="20"/>
          <w:color w:val="auto"/>
        </w:rPr>
      </w:pPr>
    </w:p>
    <w:p>
      <w:pPr>
        <w:ind w:right="180" w:firstLine="324"/>
        <w:spacing w:after="0" w:line="249" w:lineRule="auto"/>
        <w:rPr>
          <w:sz w:val="20"/>
          <w:szCs w:val="20"/>
          <w:color w:val="auto"/>
        </w:rPr>
      </w:pPr>
      <w:r>
        <w:rPr>
          <w:rFonts w:ascii="Times New Roman" w:cs="Times New Roman" w:eastAsia="Times New Roman" w:hAnsi="Times New Roman"/>
          <w:sz w:val="22"/>
          <w:szCs w:val="22"/>
          <w:color w:val="auto"/>
        </w:rPr>
        <w:t xml:space="preserve">Subject to the rights of the holders of any series of Preferred Stock, the number of authorized shares of any class or series of Preferred Stock may be increased or decreased (but not below the number of shares thereof then outstanding) by the affirmative vote of the holders of a majority of the outstanding shares of such class or series, voting together as a single class, irrespective of the provisions of Section 242(b)(2) of the DGCL. The Board has designated a series of its Series A Junior Participating Preferred Stock pursuant to a Certificate of Designations duly filed with the Secretary of State of Delaware on April 21, 2009, a copy of which is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incorporated herein by reference.</w:t>
      </w:r>
    </w:p>
    <w:p>
      <w:pPr>
        <w:spacing w:after="0" w:line="36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5"/>
          <w:szCs w:val="25"/>
          <w:b w:val="1"/>
          <w:bCs w:val="1"/>
          <w:color w:val="auto"/>
        </w:rPr>
        <w:t>Article V</w:t>
      </w:r>
    </w:p>
    <w:p>
      <w:pPr>
        <w:spacing w:after="0" w:line="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5"/>
          <w:szCs w:val="25"/>
          <w:b w:val="1"/>
          <w:bCs w:val="1"/>
          <w:color w:val="auto"/>
        </w:rPr>
        <w:t>Directors</w:t>
      </w:r>
    </w:p>
    <w:p>
      <w:pPr>
        <w:spacing w:after="0" w:line="133"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22"/>
          <w:szCs w:val="22"/>
          <w:color w:val="auto"/>
        </w:rPr>
        <w:t>The number of directors (the “</w:t>
      </w:r>
      <w:r>
        <w:rPr>
          <w:rFonts w:ascii="Times New Roman" w:cs="Times New Roman" w:eastAsia="Times New Roman" w:hAnsi="Times New Roman"/>
          <w:sz w:val="22"/>
          <w:szCs w:val="22"/>
          <w:u w:val="single" w:color="auto"/>
          <w:color w:val="auto"/>
        </w:rPr>
        <w:t>Directors</w:t>
      </w:r>
      <w:r>
        <w:rPr>
          <w:rFonts w:ascii="Times New Roman" w:cs="Times New Roman" w:eastAsia="Times New Roman" w:hAnsi="Times New Roman"/>
          <w:sz w:val="22"/>
          <w:szCs w:val="22"/>
          <w:color w:val="auto"/>
        </w:rPr>
        <w:t>”) that shall constitute the whole Board shall be fixed from time to time pursuant to the amended and restated bylaws of the Corporation, as may be further amended from time to time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w:t>
      </w: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Article VI</w:t>
      </w:r>
    </w:p>
    <w:p>
      <w:pPr>
        <w:spacing w:after="0" w:line="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Limitation of Liability</w:t>
      </w:r>
    </w:p>
    <w:p>
      <w:pPr>
        <w:spacing w:after="0" w:line="133" w:lineRule="exact"/>
        <w:rPr>
          <w:sz w:val="20"/>
          <w:szCs w:val="20"/>
          <w:color w:val="auto"/>
        </w:rPr>
      </w:pPr>
    </w:p>
    <w:p>
      <w:pPr>
        <w:ind w:firstLine="324"/>
        <w:spacing w:after="0" w:line="246" w:lineRule="auto"/>
        <w:rPr>
          <w:sz w:val="20"/>
          <w:szCs w:val="20"/>
          <w:color w:val="auto"/>
        </w:rPr>
      </w:pPr>
      <w:r>
        <w:rPr>
          <w:rFonts w:ascii="Times New Roman" w:cs="Times New Roman" w:eastAsia="Times New Roman" w:hAnsi="Times New Roman"/>
          <w:sz w:val="22"/>
          <w:szCs w:val="22"/>
          <w:color w:val="auto"/>
        </w:rPr>
        <w:t>A Director shall not be liable to the Corporation or its stockholders for monetary damages for breach of fiduciary duty as a Director, except to the extent that such exemption from liability or limitation thereof is not permitted under the DGCL as currently in effect or as the same may hereafter be amended. If the DGCL is hereafter amended to authorize corporate action further limiting or eliminating the liability of Directors to the Corporation or its stockholders, then without any further action by any individual, corporation (including not-for-profit), general or limited partnership, limited liability company, joint venture, estate, trust, association, organization, government entity or other entity of any kind or nature such liability shall be so limited or eliminated to the fullest extent permitted by the DGCL as so amended. No adoption, amendment, modification or repeal of this Article VI or any other provision of this Amended and Restated Certificate of Incorporation shall adversely affect any right or protection of a Director existing at the time of such adoption, amendment, modification or repeal with respect to acts or omissions occurring prior to such time.</w:t>
      </w: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Article VII</w:t>
      </w:r>
    </w:p>
    <w:p>
      <w:pPr>
        <w:spacing w:after="0" w:line="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Bylaws</w:t>
      </w:r>
    </w:p>
    <w:p>
      <w:pPr>
        <w:spacing w:after="0" w:line="133"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22"/>
          <w:szCs w:val="22"/>
          <w:color w:val="auto"/>
        </w:rPr>
        <w:t>In furtherance and not in limitation of the powers conferred by statute, the Board is expressly authorized to adopt, repeal, alter, amend and rescind from time to time any or all of the Bylaws of the Corporation.</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240" w:top="477" w:right="319" w:bottom="1440" w:gutter="0" w:footer="0" w:header="0"/>
        </w:sectPr>
      </w:pPr>
    </w:p>
    <w:bookmarkStart w:id="35" w:name="page36"/>
    <w:bookmarkEnd w:id="35"/>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Article VIII</w:t>
      </w:r>
    </w:p>
    <w:p>
      <w:pPr>
        <w:spacing w:after="0" w:line="6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Amendment of Amended and Restated Certificate of Incorporation</w:t>
      </w:r>
    </w:p>
    <w:p>
      <w:pPr>
        <w:spacing w:after="0" w:line="13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22"/>
          <w:szCs w:val="22"/>
          <w:color w:val="auto"/>
        </w:rPr>
        <w:t>This Corporation reserves the right to amend, alter, change or repeal any provision contained in this Amended and Restated Certificate of Incorporation, in the manner now or hereafter prescribed by statute, and all rights conferred on stockholders herein are granted subject to this reservation.</w:t>
      </w:r>
    </w:p>
    <w:p>
      <w:pPr>
        <w:spacing w:after="0" w:line="200" w:lineRule="exact"/>
        <w:rPr>
          <w:sz w:val="20"/>
          <w:szCs w:val="20"/>
          <w:color w:val="auto"/>
        </w:rPr>
      </w:pPr>
    </w:p>
    <w:p>
      <w:pPr>
        <w:spacing w:after="0" w:line="3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240" w:top="408" w:right="519" w:bottom="1440" w:gutter="0" w:footer="0" w:header="0"/>
        </w:sectPr>
      </w:pPr>
    </w:p>
    <w:bookmarkStart w:id="36" w:name="page37"/>
    <w:bookmarkEnd w:id="36"/>
    <w:p>
      <w:pPr>
        <w:ind w:firstLine="324"/>
        <w:spacing w:after="0" w:line="271" w:lineRule="auto"/>
        <w:rPr>
          <w:sz w:val="20"/>
          <w:szCs w:val="20"/>
          <w:color w:val="auto"/>
        </w:rPr>
      </w:pPr>
      <w:r>
        <w:rPr>
          <w:rFonts w:ascii="Times New Roman" w:cs="Times New Roman" w:eastAsia="Times New Roman" w:hAnsi="Times New Roman"/>
          <w:sz w:val="22"/>
          <w:szCs w:val="22"/>
          <w:color w:val="auto"/>
        </w:rPr>
        <w:t>IN WITNESS WHEREOF, I have signed this Amended and Restated Certificate of Incorporation this 19th day of November, 2009.</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HARRIS STRATEX NETWORKS, INC.</w:t>
      </w:r>
    </w:p>
    <w:p>
      <w:pPr>
        <w:spacing w:after="0" w:line="314" w:lineRule="exact"/>
        <w:rPr>
          <w:sz w:val="20"/>
          <w:szCs w:val="20"/>
          <w:color w:val="auto"/>
        </w:rPr>
      </w:pPr>
    </w:p>
    <w:p>
      <w:pPr>
        <w:ind w:left="5560"/>
        <w:spacing w:after="0"/>
        <w:tabs>
          <w:tab w:leader="none" w:pos="6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Harald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28575</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160"/>
          </w:cols>
          <w:pgMar w:left="240" w:top="841" w:right="499" w:bottom="1440" w:gutter="0" w:footer="0" w:header="0"/>
        </w:sectPr>
      </w:pPr>
    </w:p>
    <w:p>
      <w:pPr>
        <w:spacing w:after="0" w:line="5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Harald J. Braun</w:t>
      </w:r>
    </w:p>
    <w:p>
      <w:pPr>
        <w:spacing w:after="0" w:line="56" w:lineRule="exact"/>
        <w:rPr>
          <w:sz w:val="20"/>
          <w:szCs w:val="20"/>
          <w:color w:val="auto"/>
        </w:rPr>
      </w:pPr>
    </w:p>
    <w:p>
      <w:pPr>
        <w:sectPr>
          <w:pgSz w:w="11900" w:h="16838" w:orient="portrait"/>
          <w:cols w:equalWidth="0" w:num="2">
            <w:col w:w="6660" w:space="460"/>
            <w:col w:w="4040"/>
          </w:cols>
          <w:pgMar w:left="240" w:top="841" w:right="499" w:bottom="1440" w:gutter="0" w:footer="0" w:header="0"/>
          <w:type w:val="continuous"/>
        </w:sectPr>
      </w:pPr>
    </w:p>
    <w:p>
      <w:pPr>
        <w:ind w:left="60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Chief Executive Officer and President</w:t>
      </w:r>
    </w:p>
    <w:p>
      <w:pPr>
        <w:spacing w:after="0" w:line="200" w:lineRule="exact"/>
        <w:rPr>
          <w:sz w:val="20"/>
          <w:szCs w:val="20"/>
          <w:color w:val="auto"/>
        </w:rPr>
      </w:pPr>
    </w:p>
    <w:p>
      <w:pPr>
        <w:sectPr>
          <w:pgSz w:w="11900" w:h="16838" w:orient="portrait"/>
          <w:cols w:equalWidth="0" w:num="2">
            <w:col w:w="6540" w:space="580"/>
            <w:col w:w="4040"/>
          </w:cols>
          <w:pgMar w:left="240" w:top="841" w:right="499" w:bottom="1440" w:gutter="0" w:footer="0" w:header="0"/>
          <w:type w:val="continuous"/>
        </w:sectPr>
      </w:pPr>
    </w:p>
    <w:p>
      <w:pPr>
        <w:spacing w:after="0" w:line="2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240" w:top="841" w:right="499"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25"/>
          <w:szCs w:val="25"/>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CERTIFICATE OF DESIGNATIONS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SERIES A JUNIOR PARTICIPATING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PREFERRED STOCK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HARRIS STRATEX NETWORKS, INC.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(Pursuant to Section 151 of the Delaware General Corporation Law)</w:t>
      </w:r>
    </w:p>
    <w:p>
      <w:pPr>
        <w:spacing w:after="0" w:line="200" w:lineRule="exact"/>
        <w:rPr>
          <w:sz w:val="20"/>
          <w:szCs w:val="20"/>
          <w:color w:val="auto"/>
        </w:rPr>
      </w:pPr>
    </w:p>
    <w:p>
      <w:pPr>
        <w:spacing w:after="0" w:line="224" w:lineRule="exact"/>
        <w:rPr>
          <w:sz w:val="20"/>
          <w:szCs w:val="20"/>
          <w:color w:val="auto"/>
        </w:rPr>
      </w:pPr>
    </w:p>
    <w:p>
      <w:pPr>
        <w:ind w:right="140" w:firstLine="432"/>
        <w:spacing w:after="0" w:line="249" w:lineRule="auto"/>
        <w:rPr>
          <w:sz w:val="20"/>
          <w:szCs w:val="20"/>
          <w:color w:val="auto"/>
        </w:rPr>
      </w:pPr>
      <w:r>
        <w:rPr>
          <w:rFonts w:ascii="Times New Roman" w:cs="Times New Roman" w:eastAsia="Times New Roman" w:hAnsi="Times New Roman"/>
          <w:sz w:val="22"/>
          <w:szCs w:val="22"/>
          <w:color w:val="auto"/>
        </w:rPr>
        <w:t>Harris Stratex Networks, Inc., a corporation organized and existing under the General Corporation Law of the State of Delaware (hereinafter called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DOES HEREBY CERTIFY that pursuant to the authority vested in the Board of Directors of the Corporation (hereinafter called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by the Amended and Restated Certificate of Incorporation of the Corporation, and in accordance with the provisions of Section 151 of the General Corporation Law of the State of Delaware, the Board of Directors on April 20, 2009 adopted a resolution providing for the authorization of a series of preferred stock, as follows:</w:t>
      </w:r>
    </w:p>
    <w:p>
      <w:pPr>
        <w:spacing w:after="0" w:line="73" w:lineRule="exact"/>
        <w:rPr>
          <w:sz w:val="20"/>
          <w:szCs w:val="20"/>
          <w:color w:val="auto"/>
        </w:rPr>
      </w:pPr>
    </w:p>
    <w:p>
      <w:pPr>
        <w:ind w:right="360" w:firstLine="324"/>
        <w:spacing w:after="0" w:line="268" w:lineRule="auto"/>
        <w:rPr>
          <w:sz w:val="20"/>
          <w:szCs w:val="20"/>
          <w:color w:val="auto"/>
        </w:rPr>
      </w:pPr>
      <w:r>
        <w:rPr>
          <w:rFonts w:ascii="Times New Roman" w:cs="Times New Roman" w:eastAsia="Times New Roman" w:hAnsi="Times New Roman"/>
          <w:sz w:val="21"/>
          <w:szCs w:val="21"/>
          <w:color w:val="auto"/>
        </w:rPr>
        <w:t>RESOLVED, that pursuant to the authority granted to and vested in the Board of Directors of the Corporation in accordance with the provisions of the Amended and Restated Certificate of Incorporation, the Board of Directors hereby creates a series of preferred stock, par value $0.01 per share (the “S</w:t>
      </w:r>
      <w:r>
        <w:rPr>
          <w:rFonts w:ascii="Times New Roman" w:cs="Times New Roman" w:eastAsia="Times New Roman" w:hAnsi="Times New Roman"/>
          <w:sz w:val="21"/>
          <w:szCs w:val="21"/>
          <w:u w:val="single" w:color="auto"/>
          <w:color w:val="auto"/>
        </w:rPr>
        <w:t>eries A Junior Participating Preferred Stoc</w:t>
      </w:r>
      <w:r>
        <w:rPr>
          <w:rFonts w:ascii="Times New Roman" w:cs="Times New Roman" w:eastAsia="Times New Roman" w:hAnsi="Times New Roman"/>
          <w:sz w:val="21"/>
          <w:szCs w:val="21"/>
          <w:color w:val="auto"/>
        </w:rPr>
        <w:t>k”), of the Corporation and hereby states the designation and number of shares, and fixes the relative rights, preferences, and limitations thereof as follows:</w:t>
      </w:r>
    </w:p>
    <w:p>
      <w:pPr>
        <w:spacing w:after="0" w:line="56" w:lineRule="exact"/>
        <w:rPr>
          <w:sz w:val="20"/>
          <w:szCs w:val="20"/>
          <w:color w:val="auto"/>
        </w:rPr>
      </w:pPr>
    </w:p>
    <w:p>
      <w:pPr>
        <w:ind w:right="20" w:firstLine="324"/>
        <w:spacing w:after="0" w:line="249"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Designation and Amount</w:t>
      </w:r>
      <w:r>
        <w:rPr>
          <w:rFonts w:ascii="Times New Roman" w:cs="Times New Roman" w:eastAsia="Times New Roman" w:hAnsi="Times New Roman"/>
          <w:sz w:val="22"/>
          <w:szCs w:val="22"/>
          <w:color w:val="auto"/>
        </w:rPr>
        <w:t>. The shares of such series shall be designated as “</w:t>
      </w:r>
      <w:r>
        <w:rPr>
          <w:rFonts w:ascii="Times New Roman" w:cs="Times New Roman" w:eastAsia="Times New Roman" w:hAnsi="Times New Roman"/>
          <w:sz w:val="22"/>
          <w:szCs w:val="22"/>
          <w:u w:val="single" w:color="auto"/>
          <w:color w:val="auto"/>
        </w:rPr>
        <w:t>Series A Junior Participating Preferred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xml:space="preserve">” and the number of shares constituting the Series A Junior Participating Preferred Stock shall be 1,000,000. Such number of shares may be increased or decreased by resolution of the Board of Directors;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decrease shall reduce the number of shares of Series A Junior Participating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Junior Participating Preferred Stock.</w:t>
      </w:r>
    </w:p>
    <w:p>
      <w:pPr>
        <w:spacing w:after="0" w:line="73"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Dividends and Distributions</w:t>
      </w:r>
      <w:r>
        <w:rPr>
          <w:rFonts w:ascii="Times New Roman" w:cs="Times New Roman" w:eastAsia="Times New Roman" w:hAnsi="Times New Roman"/>
          <w:sz w:val="22"/>
          <w:szCs w:val="22"/>
          <w:color w:val="auto"/>
        </w:rPr>
        <w:t>. Subject to the rights of the holders of any shares of any series of preferred stock (or any similar stock) ranking prior and superior to the Series A Junior Participating Preferred Stock with respect to dividends, the holders of shares of Series A Junior Participating Preferred Stock, in preference to the holders of common stock, par value $0.01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of the Corporation, and of any other junior stock, shall be entitled to receive, when, as and if declared by the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sectPr>
      </w:pPr>
    </w:p>
    <w:bookmarkStart w:id="38" w:name="page39"/>
    <w:bookmarkEnd w:id="38"/>
    <w:p>
      <w:pPr>
        <w:ind w:right="380"/>
        <w:spacing w:after="0" w:line="260" w:lineRule="auto"/>
        <w:rPr>
          <w:sz w:val="20"/>
          <w:szCs w:val="20"/>
          <w:color w:val="auto"/>
        </w:rPr>
      </w:pPr>
      <w:r>
        <w:rPr>
          <w:rFonts w:ascii="Times New Roman" w:cs="Times New Roman" w:eastAsia="Times New Roman" w:hAnsi="Times New Roman"/>
          <w:sz w:val="21"/>
          <w:szCs w:val="21"/>
          <w:color w:val="auto"/>
        </w:rPr>
        <w:t>Board of Directors out of funds legally available for the purpose, quarterly dividends payable in cash on the first day of March, June, September and December in each year (each such date being referred to herein as a “</w:t>
      </w:r>
      <w:r>
        <w:rPr>
          <w:rFonts w:ascii="Times New Roman" w:cs="Times New Roman" w:eastAsia="Times New Roman" w:hAnsi="Times New Roman"/>
          <w:sz w:val="21"/>
          <w:szCs w:val="21"/>
          <w:u w:val="single" w:color="auto"/>
          <w:color w:val="auto"/>
        </w:rPr>
        <w:t>Quarterly Dividend Payment Date</w:t>
      </w:r>
      <w:r>
        <w:rPr>
          <w:rFonts w:ascii="Times New Roman" w:cs="Times New Roman" w:eastAsia="Times New Roman" w:hAnsi="Times New Roman"/>
          <w:sz w:val="21"/>
          <w:szCs w:val="21"/>
          <w:color w:val="auto"/>
        </w:rPr>
        <w:t>”), commencing on the first Quarterly Dividend Payment Date after the first issuance of a share or fraction of a share of Series A Junior Participating Preferred Stock, in an amount per share (rounded to the nearest cent) equal to the greater of (a) $1.00 or</w:t>
      </w:r>
    </w:p>
    <w:p>
      <w:pPr>
        <w:spacing w:after="0" w:line="4" w:lineRule="exact"/>
        <w:rPr>
          <w:sz w:val="20"/>
          <w:szCs w:val="20"/>
          <w:color w:val="auto"/>
        </w:rPr>
      </w:pPr>
    </w:p>
    <w:p>
      <w:pPr>
        <w:ind w:right="20" w:firstLine="8"/>
        <w:spacing w:after="0" w:line="243" w:lineRule="auto"/>
        <w:tabs>
          <w:tab w:leader="none" w:pos="3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 for adjustment hereinafter set forth, one thousand (1,000) times the aggregate per share amount of all cash dividends, and one thousand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Junior Participating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Junior Participating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90" w:lineRule="exact"/>
        <w:rPr>
          <w:sz w:val="20"/>
          <w:szCs w:val="20"/>
          <w:color w:val="auto"/>
        </w:rPr>
      </w:pPr>
    </w:p>
    <w:p>
      <w:pPr>
        <w:ind w:right="120" w:firstLine="324"/>
        <w:spacing w:after="0" w:line="249" w:lineRule="auto"/>
        <w:rPr>
          <w:sz w:val="20"/>
          <w:szCs w:val="20"/>
          <w:color w:val="auto"/>
        </w:rPr>
      </w:pPr>
      <w:r>
        <w:rPr>
          <w:rFonts w:ascii="Times New Roman" w:cs="Times New Roman" w:eastAsia="Times New Roman" w:hAnsi="Times New Roman"/>
          <w:sz w:val="22"/>
          <w:szCs w:val="22"/>
          <w:color w:val="auto"/>
        </w:rPr>
        <w:t>The Corporation shall declare a dividend or distribution on the Series A Junior Participating Preferred Stock as provided in the first paragraph of this section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Junior Participating Preferred Stock shall nevertheless be payable on such subsequent Quarterly Dividend Payment Date.</w:t>
      </w:r>
    </w:p>
    <w:p>
      <w:pPr>
        <w:spacing w:after="0" w:line="73"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22"/>
          <w:szCs w:val="22"/>
          <w:color w:val="auto"/>
        </w:rPr>
        <w:t>Dividends shall begin to accrue and be cumulative on outstanding shares of Series A Junior Participating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not more than 60 days prior to the date fixed for the payment thereof.</w:t>
      </w:r>
    </w:p>
    <w:p>
      <w:pPr>
        <w:spacing w:after="0" w:line="88" w:lineRule="exact"/>
        <w:rPr>
          <w:sz w:val="20"/>
          <w:szCs w:val="20"/>
          <w:color w:val="auto"/>
        </w:rPr>
      </w:pPr>
    </w:p>
    <w:p>
      <w:pPr>
        <w:ind w:right="80" w:firstLine="324"/>
        <w:spacing w:after="0" w:line="27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The holders of shares of Series A Junior Participating Preferred Stock shall have the following voting rights:</w:t>
      </w:r>
    </w:p>
    <w:p>
      <w:pPr>
        <w:spacing w:after="0" w:line="50" w:lineRule="exact"/>
        <w:rPr>
          <w:sz w:val="20"/>
          <w:szCs w:val="20"/>
          <w:color w:val="auto"/>
        </w:rPr>
      </w:pPr>
    </w:p>
    <w:p>
      <w:pPr>
        <w:ind w:right="300" w:firstLine="324"/>
        <w:spacing w:after="0" w:line="271" w:lineRule="auto"/>
        <w:rPr>
          <w:sz w:val="20"/>
          <w:szCs w:val="20"/>
          <w:color w:val="auto"/>
        </w:rPr>
      </w:pPr>
      <w:r>
        <w:rPr>
          <w:rFonts w:ascii="Times New Roman" w:cs="Times New Roman" w:eastAsia="Times New Roman" w:hAnsi="Times New Roman"/>
          <w:sz w:val="22"/>
          <w:szCs w:val="22"/>
          <w:color w:val="auto"/>
        </w:rPr>
        <w:t>Subject to the provision for adjustment hereinafter set forth, each share of Series A Junior Participating Preferred Stock shall entitle the holder thereof to one thousand votes on all matters submitted to a vote of</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77" w:right="259" w:bottom="1440" w:gutter="0" w:footer="0" w:header="0"/>
        </w:sectPr>
      </w:pPr>
    </w:p>
    <w:bookmarkStart w:id="39" w:name="page40"/>
    <w:bookmarkEnd w:id="39"/>
    <w:p>
      <w:pPr>
        <w:spacing w:after="0" w:line="261" w:lineRule="auto"/>
        <w:rPr>
          <w:sz w:val="20"/>
          <w:szCs w:val="20"/>
          <w:color w:val="auto"/>
        </w:rPr>
      </w:pPr>
      <w:r>
        <w:rPr>
          <w:rFonts w:ascii="Times New Roman" w:cs="Times New Roman" w:eastAsia="Times New Roman" w:hAnsi="Times New Roman"/>
          <w:sz w:val="21"/>
          <w:szCs w:val="21"/>
          <w:color w:val="auto"/>
        </w:rPr>
        <w:t>the stockholders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66" w:lineRule="exact"/>
        <w:rPr>
          <w:sz w:val="20"/>
          <w:szCs w:val="20"/>
          <w:color w:val="auto"/>
        </w:rPr>
      </w:pPr>
    </w:p>
    <w:p>
      <w:pPr>
        <w:jc w:val="both"/>
        <w:ind w:right="60" w:firstLine="324"/>
        <w:spacing w:after="0" w:line="252" w:lineRule="auto"/>
        <w:rPr>
          <w:sz w:val="20"/>
          <w:szCs w:val="20"/>
          <w:color w:val="auto"/>
        </w:rPr>
      </w:pPr>
      <w:r>
        <w:rPr>
          <w:rFonts w:ascii="Times New Roman" w:cs="Times New Roman" w:eastAsia="Times New Roman" w:hAnsi="Times New Roman"/>
          <w:sz w:val="22"/>
          <w:szCs w:val="22"/>
          <w:color w:val="auto"/>
        </w:rPr>
        <w:t>Except as otherwise provided herein, in any other Certificate of Designations creating a series of preferred stock or any similar stock, or by law, the holders of shares of Series A Junior Participating Preferred Stock and the holders of shares of Common Stock and any other capital stock of the Corporation having general voting rights shall vote together as one class on all matters submitted to a vote of stockholders of the Corporation.</w:t>
      </w:r>
    </w:p>
    <w:p>
      <w:pPr>
        <w:spacing w:after="0" w:line="72"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22"/>
          <w:szCs w:val="22"/>
          <w:color w:val="auto"/>
        </w:rPr>
        <w:t>Except as set forth herein, or as otherwise provided by law,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6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Certain Restrictions</w:t>
      </w:r>
      <w:r>
        <w:rPr>
          <w:rFonts w:ascii="Times New Roman" w:cs="Times New Roman" w:eastAsia="Times New Roman" w:hAnsi="Times New Roman"/>
          <w:sz w:val="22"/>
          <w:szCs w:val="22"/>
          <w:color w:val="auto"/>
        </w:rPr>
        <w:t>. 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72" w:lineRule="exact"/>
        <w:rPr>
          <w:sz w:val="20"/>
          <w:szCs w:val="20"/>
          <w:color w:val="auto"/>
        </w:rPr>
      </w:pPr>
    </w:p>
    <w:p>
      <w:pPr>
        <w:ind w:left="660" w:right="820" w:firstLine="320"/>
        <w:spacing w:after="0" w:line="271" w:lineRule="auto"/>
        <w:tabs>
          <w:tab w:leader="none" w:pos="124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dividends, or make any other distributions, on any shares of stock ranking junior (either as to dividends or upon liquidation, dissolution or winding up) to the Series A Junior Participating Preferred Stock;</w:t>
      </w:r>
    </w:p>
    <w:p>
      <w:pPr>
        <w:spacing w:after="0" w:line="49" w:lineRule="exact"/>
        <w:rPr>
          <w:rFonts w:ascii="Times New Roman" w:cs="Times New Roman" w:eastAsia="Times New Roman" w:hAnsi="Times New Roman"/>
          <w:sz w:val="22"/>
          <w:szCs w:val="22"/>
          <w:color w:val="auto"/>
        </w:rPr>
      </w:pPr>
    </w:p>
    <w:p>
      <w:pPr>
        <w:jc w:val="both"/>
        <w:ind w:left="660" w:right="60" w:firstLine="320"/>
        <w:spacing w:after="0" w:line="252" w:lineRule="auto"/>
        <w:tabs>
          <w:tab w:leader="none" w:pos="130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dividends,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71" w:lineRule="exact"/>
        <w:rPr>
          <w:rFonts w:ascii="Times New Roman" w:cs="Times New Roman" w:eastAsia="Times New Roman" w:hAnsi="Times New Roman"/>
          <w:sz w:val="22"/>
          <w:szCs w:val="22"/>
          <w:color w:val="auto"/>
        </w:rPr>
      </w:pPr>
    </w:p>
    <w:p>
      <w:pPr>
        <w:ind w:left="660" w:right="20" w:firstLine="320"/>
        <w:spacing w:after="0" w:line="250" w:lineRule="auto"/>
        <w:tabs>
          <w:tab w:leader="none" w:pos="136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or purchase or otherwise acquire for consideration shares of any stock ranking junior (either as to dividends or upon liquidation, dissolution or winding up) to the Series A Junior Participating Preferred Stock, provided that the Corporation may at any time redeem, purchase or otherwise acquire shares of any such junior stock in exchange for shares of any stock of the Corporation ranking junior (as to dividends and upon dissolution, liquidation and winding up) to the Series A Junior Participating Preferred Stock; or</w:t>
      </w:r>
    </w:p>
    <w:p>
      <w:pPr>
        <w:spacing w:after="0" w:line="73" w:lineRule="exact"/>
        <w:rPr>
          <w:rFonts w:ascii="Times New Roman" w:cs="Times New Roman" w:eastAsia="Times New Roman" w:hAnsi="Times New Roman"/>
          <w:sz w:val="22"/>
          <w:szCs w:val="22"/>
          <w:color w:val="auto"/>
        </w:rPr>
      </w:pPr>
    </w:p>
    <w:p>
      <w:pPr>
        <w:ind w:left="660" w:right="40" w:firstLine="320"/>
        <w:spacing w:after="0" w:line="248" w:lineRule="auto"/>
        <w:tabs>
          <w:tab w:leader="none" w:pos="135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or purchase or otherwise acquire for consideration any shares of Series A Junior Participating Preferred Stock, or any shares of stock ranking on a parity (either as to dividends or upon liquidation, dissolution or winding up) with the Series A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477" w:right="279" w:bottom="1440" w:gutter="0" w:footer="0" w:header="0"/>
        </w:sectPr>
      </w:pPr>
    </w:p>
    <w:bookmarkStart w:id="40" w:name="page41"/>
    <w:bookmarkEnd w:id="40"/>
    <w:p>
      <w:pPr>
        <w:ind w:right="360" w:firstLine="324"/>
        <w:spacing w:after="0" w:line="257" w:lineRule="auto"/>
        <w:rPr>
          <w:sz w:val="20"/>
          <w:szCs w:val="20"/>
          <w:color w:val="auto"/>
        </w:rPr>
      </w:pPr>
      <w:r>
        <w:rPr>
          <w:rFonts w:ascii="Times New Roman" w:cs="Times New Roman" w:eastAsia="Times New Roman" w:hAnsi="Times New Roman"/>
          <w:sz w:val="22"/>
          <w:szCs w:val="22"/>
          <w:color w:val="auto"/>
        </w:rPr>
        <w:t>The Corporation shall not permit any subsidiary of the Corporation to purchase or otherwise acquire for consideration any shares of stock of the Company unless the Corporation could, under this Section 4, purchase or otherwise acquire such shares at such time and in such manner.</w:t>
      </w:r>
    </w:p>
    <w:p>
      <w:pPr>
        <w:spacing w:after="0" w:line="65" w:lineRule="exact"/>
        <w:rPr>
          <w:sz w:val="20"/>
          <w:szCs w:val="20"/>
          <w:color w:val="auto"/>
        </w:rPr>
      </w:pPr>
    </w:p>
    <w:p>
      <w:pPr>
        <w:ind w:right="180" w:firstLine="324"/>
        <w:spacing w:after="0" w:line="249"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Reacquired Shares</w:t>
      </w:r>
      <w:r>
        <w:rPr>
          <w:rFonts w:ascii="Times New Roman" w:cs="Times New Roman" w:eastAsia="Times New Roman" w:hAnsi="Times New Roman"/>
          <w:sz w:val="22"/>
          <w:szCs w:val="22"/>
          <w:color w:val="auto"/>
        </w:rPr>
        <w:t>. Any shares of Series A Junior Participating Preferred Stock purchased or otherwise acquired by the Company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Amended and Restated Certificate of Incorporation, or in any other Certificate of Designations creating a series of preferred stock or any similar stock or as otherwise required by law.</w:t>
      </w:r>
    </w:p>
    <w:p>
      <w:pPr>
        <w:spacing w:after="0" w:line="73"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Liquidation, Dissolution or Winding Up</w:t>
      </w:r>
      <w:r>
        <w:rPr>
          <w:rFonts w:ascii="Times New Roman" w:cs="Times New Roman" w:eastAsia="Times New Roman" w:hAnsi="Times New Roman"/>
          <w:sz w:val="22"/>
          <w:szCs w:val="22"/>
          <w:color w:val="auto"/>
        </w:rPr>
        <w:t>. Upon any liquidation, dissolution or winding up of the Corporation, no distribution shall be made (1)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$1,000.00 per share, plus an amount equal to accrued and unpaid dividends and distributions thereon, whether or not declared, to the date of such payment, provided that the holders of shares of Series A Junior Participating Preferred Stock shall be entitled to receive an aggregate amount per share, subject to the provision for adjustment hereinafter set forth, equal to one thousand (1,000) times the aggregate amount to be distributed per share to holders of shares of Common Stock, or (2) to the holders of shares of stock ranking on a parity (either as to dividends or upon liquidation, dissolution or winding up) with the Series A Junior Participating Preferred Stock, except distributions made ratably on the Series A Junior Participating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Junior Participating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78" w:lineRule="exact"/>
        <w:rPr>
          <w:sz w:val="20"/>
          <w:szCs w:val="20"/>
          <w:color w:val="auto"/>
        </w:rPr>
      </w:pPr>
    </w:p>
    <w:p>
      <w:pPr>
        <w:ind w:right="40" w:firstLine="324"/>
        <w:spacing w:after="0" w:line="245"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Consolidation, Merger, etc</w:t>
      </w:r>
      <w:r>
        <w:rPr>
          <w:rFonts w:ascii="Times New Roman" w:cs="Times New Roman" w:eastAsia="Times New Roman" w:hAnsi="Times New Roman"/>
          <w:sz w:val="22"/>
          <w:szCs w:val="22"/>
          <w:color w:val="auto"/>
        </w:rPr>
        <w:t>. In case the Corporation shall enter into any consolidation, merger, combination or other transaction in which the shares of Common Stock are exchanged for or changed into other stock or securities, cash and/or any other property, then in any such case each share of Series A Junior Participating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Junior Participating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77" w:right="239"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No Redemption</w:t>
      </w:r>
      <w:r>
        <w:rPr>
          <w:rFonts w:ascii="Times New Roman" w:cs="Times New Roman" w:eastAsia="Times New Roman" w:hAnsi="Times New Roman"/>
          <w:sz w:val="22"/>
          <w:szCs w:val="22"/>
          <w:color w:val="auto"/>
        </w:rPr>
        <w:t>. The shares of Series A Junior Participating Preferred Stock shall not be redeemable.</w:t>
      </w:r>
    </w:p>
    <w:p>
      <w:pPr>
        <w:spacing w:after="0" w:line="112"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Rank</w:t>
      </w:r>
      <w:r>
        <w:rPr>
          <w:rFonts w:ascii="Times New Roman" w:cs="Times New Roman" w:eastAsia="Times New Roman" w:hAnsi="Times New Roman"/>
          <w:sz w:val="22"/>
          <w:szCs w:val="22"/>
          <w:color w:val="auto"/>
        </w:rPr>
        <w:t>. The Series A Junior Participating Preferred Stock shall rank, with respect to the payment of dividends and the distribution of assets, junior to all series of any other class of the Corporation’s preferred stock.</w:t>
      </w:r>
    </w:p>
    <w:p>
      <w:pPr>
        <w:spacing w:after="0" w:line="50" w:lineRule="exact"/>
        <w:rPr>
          <w:sz w:val="20"/>
          <w:szCs w:val="20"/>
          <w:color w:val="auto"/>
        </w:rPr>
      </w:pPr>
    </w:p>
    <w:p>
      <w:pPr>
        <w:jc w:val="both"/>
        <w:ind w:right="180" w:firstLine="324"/>
        <w:spacing w:after="0" w:line="252"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Amended and Restated Certificate of Incorporation of the Corporation shall not be amended in any manner which would materially alter or change the powers, preferences or special rights of the Series A Junior Participating Preferred Stock so as to affect them adversely without the affirmative vote of the holders of at least a majority of the outstanding shares of Series A Junior Participating Preferred Stock, voting together as a single class.</w:t>
      </w:r>
    </w:p>
    <w:p>
      <w:pPr>
        <w:spacing w:after="0" w:line="1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00"/>
          </w:cols>
          <w:pgMar w:left="240" w:top="477" w:right="359" w:bottom="1440" w:gutter="0" w:footer="0" w:header="0"/>
        </w:sectPr>
      </w:pPr>
    </w:p>
    <w:bookmarkStart w:id="42" w:name="page43"/>
    <w:bookmarkEnd w:id="42"/>
    <w:p>
      <w:pPr>
        <w:ind w:firstLine="324"/>
        <w:spacing w:after="0" w:line="271" w:lineRule="auto"/>
        <w:rPr>
          <w:sz w:val="20"/>
          <w:szCs w:val="20"/>
          <w:color w:val="auto"/>
        </w:rPr>
      </w:pPr>
      <w:r>
        <w:rPr>
          <w:rFonts w:ascii="Times New Roman" w:cs="Times New Roman" w:eastAsia="Times New Roman" w:hAnsi="Times New Roman"/>
          <w:sz w:val="22"/>
          <w:szCs w:val="22"/>
          <w:color w:val="auto"/>
        </w:rPr>
        <w:t>IN WITNESS WHEREOF, this Certificate of Designations is executed on behalf of the Company by its Chief Executive Officer and President, this 20th day of April 2009.</w:t>
      </w: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HARRIS STRATEX NETWORKS,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 Harald J. Braun</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Harald J. Braun</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057" w:right="239" w:bottom="1440" w:gutter="0" w:footer="0" w:header="0"/>
        </w:sectPr>
      </w:pPr>
    </w:p>
    <w:bookmarkStart w:id="43" w:name="page44"/>
    <w:bookmarkEnd w:id="43"/>
    <w:p>
      <w:pPr>
        <w:jc w:val="center"/>
        <w:ind w:right="-99"/>
        <w:spacing w:after="0"/>
        <w:rPr>
          <w:sz w:val="20"/>
          <w:szCs w:val="20"/>
          <w:color w:val="auto"/>
        </w:rPr>
      </w:pPr>
      <w:r>
        <w:rPr>
          <w:rFonts w:ascii="Times New Roman" w:cs="Times New Roman" w:eastAsia="Times New Roman" w:hAnsi="Times New Roman"/>
          <w:sz w:val="29"/>
          <w:szCs w:val="29"/>
          <w:color w:val="auto"/>
        </w:rPr>
        <w:t>CERTIFICATE OF OWNERSHIP AND MERGER</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color w:val="auto"/>
        </w:rPr>
        <w:t>MERGING</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color w:val="auto"/>
        </w:rPr>
        <w:t>AVIAT NETWORKS, INC.,</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color w:val="auto"/>
        </w:rPr>
        <w:t>A DELAWARE CORPORATION,</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color w:val="auto"/>
        </w:rPr>
        <w:t>INTO</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color w:val="auto"/>
        </w:rPr>
        <w:t>HARRIS STRATEX NETWORKS, INC., A DELAWARE CORPORATION</w:t>
      </w: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i w:val="1"/>
          <w:iCs w:val="1"/>
          <w:color w:val="auto"/>
        </w:rPr>
        <w:t>Pursuant to Section 253 of the General Corporation Law of the State of Delaware</w:t>
      </w: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i w:val="1"/>
          <w:iCs w:val="1"/>
          <w:color w:val="auto"/>
        </w:rPr>
        <w:t>January 27, 2010</w:t>
      </w: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Harris Stratex Networks, Inc., a Delaware corporation (the “</w:t>
      </w:r>
      <w:r>
        <w:rPr>
          <w:rFonts w:ascii="Times New Roman" w:cs="Times New Roman" w:eastAsia="Times New Roman" w:hAnsi="Times New Roman"/>
          <w:sz w:val="22"/>
          <w:szCs w:val="22"/>
          <w:u w:val="single" w:color="auto"/>
          <w:color w:val="auto"/>
        </w:rPr>
        <w:t>Parent Corporation</w:t>
      </w:r>
      <w:r>
        <w:rPr>
          <w:rFonts w:ascii="Times New Roman" w:cs="Times New Roman" w:eastAsia="Times New Roman" w:hAnsi="Times New Roman"/>
          <w:sz w:val="22"/>
          <w:szCs w:val="22"/>
          <w:color w:val="auto"/>
        </w:rPr>
        <w:t>”), does hereby certify as follows:</w:t>
      </w:r>
    </w:p>
    <w:p>
      <w:pPr>
        <w:spacing w:after="0" w:line="108"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FIRST: </w:t>
      </w:r>
      <w:r>
        <w:rPr>
          <w:rFonts w:ascii="Times New Roman" w:cs="Times New Roman" w:eastAsia="Times New Roman" w:hAnsi="Times New Roman"/>
          <w:sz w:val="22"/>
          <w:szCs w:val="22"/>
          <w:color w:val="auto"/>
        </w:rPr>
        <w:t>That the Parent Corporation was incorporated pursuant to the General Corporation Law of the State of Delaware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41" w:lineRule="exact"/>
        <w:rPr>
          <w:sz w:val="20"/>
          <w:szCs w:val="20"/>
          <w:color w:val="auto"/>
        </w:rPr>
      </w:pPr>
    </w:p>
    <w:p>
      <w:pPr>
        <w:ind w:right="220" w:firstLine="324"/>
        <w:spacing w:after="0" w:line="275" w:lineRule="auto"/>
        <w:rPr>
          <w:sz w:val="20"/>
          <w:szCs w:val="20"/>
          <w:color w:val="auto"/>
        </w:rPr>
      </w:pPr>
      <w:r>
        <w:rPr>
          <w:rFonts w:ascii="Times New Roman" w:cs="Times New Roman" w:eastAsia="Times New Roman" w:hAnsi="Times New Roman"/>
          <w:sz w:val="22"/>
          <w:szCs w:val="22"/>
          <w:b w:val="1"/>
          <w:bCs w:val="1"/>
          <w:color w:val="auto"/>
        </w:rPr>
        <w:t>SECOND</w:t>
      </w:r>
      <w:r>
        <w:rPr>
          <w:rFonts w:ascii="Times New Roman" w:cs="Times New Roman" w:eastAsia="Times New Roman" w:hAnsi="Times New Roman"/>
          <w:sz w:val="22"/>
          <w:szCs w:val="22"/>
          <w:color w:val="auto"/>
        </w:rPr>
        <w:t>: That the Parent Corporation owns all of the issued and outstanding shares of the capital stock of Aviat Networks,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 a Delaware corporation (the “</w:t>
      </w:r>
      <w:r>
        <w:rPr>
          <w:rFonts w:ascii="Times New Roman" w:cs="Times New Roman" w:eastAsia="Times New Roman" w:hAnsi="Times New Roman"/>
          <w:sz w:val="22"/>
          <w:szCs w:val="22"/>
          <w:u w:val="single" w:color="auto"/>
          <w:color w:val="auto"/>
        </w:rPr>
        <w:t>Subsidiary Corporation</w:t>
      </w:r>
      <w:r>
        <w:rPr>
          <w:rFonts w:ascii="Times New Roman" w:cs="Times New Roman" w:eastAsia="Times New Roman" w:hAnsi="Times New Roman"/>
          <w:sz w:val="22"/>
          <w:szCs w:val="22"/>
          <w:color w:val="auto"/>
        </w:rPr>
        <w:t>”).</w:t>
      </w:r>
    </w:p>
    <w:p>
      <w:pPr>
        <w:spacing w:after="0" w:line="41" w:lineRule="exact"/>
        <w:rPr>
          <w:sz w:val="20"/>
          <w:szCs w:val="20"/>
          <w:color w:val="auto"/>
        </w:rPr>
      </w:pPr>
    </w:p>
    <w:p>
      <w:pPr>
        <w:ind w:right="340" w:firstLine="32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THIRD: </w:t>
      </w:r>
      <w:r>
        <w:rPr>
          <w:rFonts w:ascii="Times New Roman" w:cs="Times New Roman" w:eastAsia="Times New Roman" w:hAnsi="Times New Roman"/>
          <w:sz w:val="22"/>
          <w:szCs w:val="22"/>
          <w:color w:val="auto"/>
        </w:rPr>
        <w:t>That the Parent Corporation, by the resolutions duly adopted by its Board of Directors as of January 22, 2010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determined to merge the Subsidiary Corporation into itself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Parent Corporation being the surviving corporation.</w:t>
      </w:r>
    </w:p>
    <w:p>
      <w:pPr>
        <w:spacing w:after="0" w:line="59"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22"/>
          <w:szCs w:val="22"/>
          <w:b w:val="1"/>
          <w:bCs w:val="1"/>
          <w:color w:val="auto"/>
        </w:rPr>
        <w:t>FOURTH</w:t>
      </w:r>
      <w:r>
        <w:rPr>
          <w:rFonts w:ascii="Times New Roman" w:cs="Times New Roman" w:eastAsia="Times New Roman" w:hAnsi="Times New Roman"/>
          <w:sz w:val="22"/>
          <w:szCs w:val="22"/>
          <w:color w:val="auto"/>
        </w:rPr>
        <w:t>: That the Amended and Restated Certificate of Incorporation of Parent Corporation as in effect immediately prior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Merger shall be the certificate of incorporation of the surviving corporation, except that Article First thereof shall be amended to read in its entirety as follows: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“FIRST: The name of the Corporation is Aviat Networks, Inc.”</w:t>
      </w:r>
    </w:p>
    <w:p>
      <w:pPr>
        <w:spacing w:after="0" w:line="108"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22"/>
          <w:szCs w:val="22"/>
          <w:b w:val="1"/>
          <w:bCs w:val="1"/>
          <w:color w:val="auto"/>
        </w:rPr>
        <w:t>FIFTH</w:t>
      </w:r>
      <w:r>
        <w:rPr>
          <w:rFonts w:ascii="Times New Roman" w:cs="Times New Roman" w:eastAsia="Times New Roman" w:hAnsi="Times New Roman"/>
          <w:sz w:val="22"/>
          <w:szCs w:val="22"/>
          <w:color w:val="auto"/>
        </w:rPr>
        <w:t>: That the merger of the Subsidiary Corporation into the Parent Corporation shall be effective as of the date and time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filing of this Certificate of Ownership and Merger with the Delaware Secretary of State.</w:t>
      </w:r>
    </w:p>
    <w:p>
      <w:pPr>
        <w:spacing w:after="0" w:line="45"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2"/>
          <w:szCs w:val="22"/>
          <w:color w:val="auto"/>
        </w:rPr>
        <w:t>[This space intentionally left blank]</w:t>
      </w: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20"/>
          </w:cols>
          <w:pgMar w:left="240" w:top="351" w:right="339" w:bottom="1440" w:gutter="0" w:footer="0" w:header="0"/>
        </w:sectPr>
      </w:pPr>
    </w:p>
    <w:bookmarkStart w:id="44" w:name="page45"/>
    <w:bookmarkEnd w:id="44"/>
    <w:p>
      <w:pPr>
        <w:ind w:firstLine="324"/>
        <w:spacing w:after="0" w:line="271" w:lineRule="auto"/>
        <w:rPr>
          <w:sz w:val="20"/>
          <w:szCs w:val="20"/>
          <w:color w:val="auto"/>
        </w:rPr>
      </w:pPr>
      <w:r>
        <w:rPr>
          <w:rFonts w:ascii="Times New Roman" w:cs="Times New Roman" w:eastAsia="Times New Roman" w:hAnsi="Times New Roman"/>
          <w:sz w:val="22"/>
          <w:szCs w:val="22"/>
          <w:color w:val="auto"/>
        </w:rPr>
        <w:t>IN WITNESS WHEREOF, the Parent Corporation has caused this Certificate of Ownership and Merger to be signed as of the date first written above by a duly authorized officer, declaring that the facts stated herein are true.</w:t>
      </w:r>
    </w:p>
    <w:p>
      <w:pPr>
        <w:spacing w:after="0" w:line="200" w:lineRule="exact"/>
        <w:rPr>
          <w:sz w:val="20"/>
          <w:szCs w:val="20"/>
          <w:color w:val="auto"/>
        </w:rPr>
      </w:pPr>
    </w:p>
    <w:p>
      <w:pPr>
        <w:spacing w:after="0" w:line="25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HARRIS STRATEX NETWORKS,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60"/>
        <w:spacing w:after="0"/>
        <w:tabs>
          <w:tab w:leader="none" w:pos="59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Harald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28575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8" w:lineRule="exact"/>
        <w:rPr>
          <w:sz w:val="20"/>
          <w:szCs w:val="20"/>
          <w:color w:val="auto"/>
        </w:rPr>
      </w:pPr>
    </w:p>
    <w:p>
      <w:pPr>
        <w:ind w:left="5980"/>
        <w:spacing w:after="0"/>
        <w:tabs>
          <w:tab w:leader="none" w:pos="6860" w:val="left"/>
        </w:tabs>
        <w:rPr>
          <w:sz w:val="20"/>
          <w:szCs w:val="20"/>
          <w:color w:val="auto"/>
        </w:rPr>
      </w:pPr>
      <w:r>
        <w:rPr>
          <w:rFonts w:ascii="Times New Roman" w:cs="Times New Roman" w:eastAsia="Times New Roman" w:hAnsi="Times New Roman"/>
          <w:sz w:val="22"/>
          <w:szCs w:val="22"/>
          <w:color w:val="auto"/>
        </w:rPr>
        <w:t>Name:</w:t>
        <w:tab/>
        <w:t>Harald J. Braun</w:t>
      </w:r>
    </w:p>
    <w:p>
      <w:pPr>
        <w:spacing w:after="0" w:line="44" w:lineRule="exact"/>
        <w:rPr>
          <w:sz w:val="20"/>
          <w:szCs w:val="20"/>
          <w:color w:val="auto"/>
        </w:rPr>
      </w:pPr>
    </w:p>
    <w:p>
      <w:pPr>
        <w:ind w:left="5980"/>
        <w:spacing w:after="0"/>
        <w:tabs>
          <w:tab w:leader="none" w:pos="6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240" w:top="841" w:right="45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Exhibit A</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Resolutions of the Board of Directors of Harris Stratex Networks, Inc., a Delaware corporation</w:t>
      </w:r>
    </w:p>
    <w:p>
      <w:pPr>
        <w:spacing w:after="0" w:line="200" w:lineRule="exact"/>
        <w:rPr>
          <w:sz w:val="20"/>
          <w:szCs w:val="20"/>
          <w:color w:val="auto"/>
        </w:rPr>
      </w:pPr>
    </w:p>
    <w:p>
      <w:pPr>
        <w:spacing w:after="0" w:line="276" w:lineRule="exact"/>
        <w:rPr>
          <w:sz w:val="20"/>
          <w:szCs w:val="20"/>
          <w:color w:val="auto"/>
        </w:rPr>
      </w:pPr>
    </w:p>
    <w:p>
      <w:pPr>
        <w:ind w:right="100" w:firstLine="324"/>
        <w:spacing w:after="0" w:line="271" w:lineRule="auto"/>
        <w:rPr>
          <w:sz w:val="20"/>
          <w:szCs w:val="20"/>
          <w:color w:val="auto"/>
        </w:rPr>
      </w:pPr>
      <w:r>
        <w:rPr>
          <w:rFonts w:ascii="Times New Roman" w:cs="Times New Roman" w:eastAsia="Times New Roman" w:hAnsi="Times New Roman"/>
          <w:sz w:val="22"/>
          <w:szCs w:val="22"/>
          <w:color w:val="auto"/>
        </w:rPr>
        <w:t>WHEREAS, Harris Stratex Networks, Inc., a Delaware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owns all of the issued and outstanding shares of the capital stock of Aviat Networks, Inc., a Delaware corporation (the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15" w:lineRule="exact"/>
        <w:rPr>
          <w:sz w:val="20"/>
          <w:szCs w:val="20"/>
          <w:color w:val="auto"/>
        </w:rPr>
      </w:pPr>
    </w:p>
    <w:p>
      <w:pPr>
        <w:ind w:right="100" w:firstLine="324"/>
        <w:spacing w:after="0" w:line="271" w:lineRule="auto"/>
        <w:rPr>
          <w:sz w:val="20"/>
          <w:szCs w:val="20"/>
          <w:color w:val="auto"/>
        </w:rPr>
      </w:pPr>
      <w:r>
        <w:rPr>
          <w:rFonts w:ascii="Times New Roman" w:cs="Times New Roman" w:eastAsia="Times New Roman" w:hAnsi="Times New Roman"/>
          <w:sz w:val="22"/>
          <w:szCs w:val="22"/>
          <w:color w:val="auto"/>
        </w:rPr>
        <w:t>WHEREAS, the Board of Directors of the Corporation has deemed it advisable that the Subsidiary be merged with and into the Corporation pursuant to Section 253 of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NOW, THEREFORE, be it resolved as follows:</w:t>
      </w:r>
    </w:p>
    <w:p>
      <w:pPr>
        <w:spacing w:after="0" w:line="200" w:lineRule="exact"/>
        <w:rPr>
          <w:sz w:val="20"/>
          <w:szCs w:val="20"/>
          <w:color w:val="auto"/>
        </w:rPr>
      </w:pPr>
    </w:p>
    <w:p>
      <w:pPr>
        <w:spacing w:after="0" w:line="276" w:lineRule="exact"/>
        <w:rPr>
          <w:sz w:val="20"/>
          <w:szCs w:val="20"/>
          <w:color w:val="auto"/>
        </w:rPr>
      </w:pPr>
    </w:p>
    <w:p>
      <w:pPr>
        <w:ind w:right="220" w:firstLine="324"/>
        <w:spacing w:after="0" w:line="257" w:lineRule="auto"/>
        <w:rPr>
          <w:sz w:val="20"/>
          <w:szCs w:val="20"/>
          <w:color w:val="auto"/>
        </w:rPr>
      </w:pPr>
      <w:r>
        <w:rPr>
          <w:rFonts w:ascii="Times New Roman" w:cs="Times New Roman" w:eastAsia="Times New Roman" w:hAnsi="Times New Roman"/>
          <w:sz w:val="22"/>
          <w:szCs w:val="22"/>
          <w:color w:val="auto"/>
        </w:rPr>
        <w:t>RESOLVED, that, effective upon the filing of the Certificate of Ownership and Merger filed in respect thereof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Time</w:t>
      </w:r>
      <w:r>
        <w:rPr>
          <w:rFonts w:ascii="Times New Roman" w:cs="Times New Roman" w:eastAsia="Times New Roman" w:hAnsi="Times New Roman"/>
          <w:sz w:val="22"/>
          <w:szCs w:val="22"/>
          <w:color w:val="auto"/>
        </w:rPr>
        <w:t>”), the Subsidiary shall be merged with and into the Corporation with the Corporation being the surviving corporation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0"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22"/>
          <w:szCs w:val="22"/>
          <w:color w:val="auto"/>
        </w:rPr>
        <w:t>RESOLVED FURTHER, that it is intended that the Merger constitute a reorganization within the meaning of Section 368(a) of the Internal Revenue Code of 1986, as amended, and that these resolutions constitute a plan of reorganization within the meaning of Section 368 and the regulations thereunder;</w:t>
      </w:r>
    </w:p>
    <w:p>
      <w:pPr>
        <w:spacing w:after="0" w:line="200" w:lineRule="exact"/>
        <w:rPr>
          <w:sz w:val="20"/>
          <w:szCs w:val="20"/>
          <w:color w:val="auto"/>
        </w:rPr>
      </w:pPr>
    </w:p>
    <w:p>
      <w:pPr>
        <w:spacing w:after="0" w:line="230" w:lineRule="exact"/>
        <w:rPr>
          <w:sz w:val="20"/>
          <w:szCs w:val="20"/>
          <w:color w:val="auto"/>
        </w:rPr>
      </w:pPr>
    </w:p>
    <w:p>
      <w:pPr>
        <w:ind w:right="360" w:firstLine="324"/>
        <w:spacing w:after="0" w:line="271" w:lineRule="auto"/>
        <w:rPr>
          <w:sz w:val="20"/>
          <w:szCs w:val="20"/>
          <w:color w:val="auto"/>
        </w:rPr>
      </w:pPr>
      <w:r>
        <w:rPr>
          <w:rFonts w:ascii="Times New Roman" w:cs="Times New Roman" w:eastAsia="Times New Roman" w:hAnsi="Times New Roman"/>
          <w:sz w:val="22"/>
          <w:szCs w:val="22"/>
          <w:color w:val="auto"/>
        </w:rPr>
        <w:t>RESOLVED FURTHER, that, at any time prior to the Effective Time, the Merger may be amended, modified, terminated or abandoned by action of the Board of Directors of the Corporation;</w:t>
      </w:r>
    </w:p>
    <w:p>
      <w:pPr>
        <w:spacing w:after="0" w:line="200" w:lineRule="exact"/>
        <w:rPr>
          <w:sz w:val="20"/>
          <w:szCs w:val="20"/>
          <w:color w:val="auto"/>
        </w:rPr>
      </w:pPr>
    </w:p>
    <w:p>
      <w:pPr>
        <w:spacing w:after="0" w:line="215" w:lineRule="exact"/>
        <w:rPr>
          <w:sz w:val="20"/>
          <w:szCs w:val="20"/>
          <w:color w:val="auto"/>
        </w:rPr>
      </w:pPr>
    </w:p>
    <w:p>
      <w:pPr>
        <w:ind w:right="760" w:firstLine="324"/>
        <w:spacing w:after="0" w:line="271" w:lineRule="auto"/>
        <w:rPr>
          <w:sz w:val="20"/>
          <w:szCs w:val="20"/>
          <w:color w:val="auto"/>
        </w:rPr>
      </w:pPr>
      <w:r>
        <w:rPr>
          <w:rFonts w:ascii="Times New Roman" w:cs="Times New Roman" w:eastAsia="Times New Roman" w:hAnsi="Times New Roman"/>
          <w:sz w:val="22"/>
          <w:szCs w:val="22"/>
          <w:color w:val="auto"/>
        </w:rPr>
        <w:t>RESOLVED FURTHER, that pursuant to Section 259 of the DGCL, at the Effective Time, the separate existence of the Subsidiary shall cease, and the Corporation shall continue its existence as the surviving corporation of the Merger;</w:t>
      </w:r>
    </w:p>
    <w:p>
      <w:pPr>
        <w:spacing w:after="0" w:line="200" w:lineRule="exact"/>
        <w:rPr>
          <w:sz w:val="20"/>
          <w:szCs w:val="20"/>
          <w:color w:val="auto"/>
        </w:rPr>
      </w:pPr>
    </w:p>
    <w:p>
      <w:pPr>
        <w:spacing w:after="0" w:line="215"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22"/>
          <w:szCs w:val="22"/>
          <w:color w:val="auto"/>
        </w:rPr>
        <w:t>RESOLVED FURTHER, that upon the Effective Time, the directors and officers of the Corporation, as constituted immediately prior to the Effective Time, shall continue to be the directors and officers of the Corporation;</w:t>
      </w:r>
    </w:p>
    <w:p>
      <w:pPr>
        <w:spacing w:after="0" w:line="200" w:lineRule="exact"/>
        <w:rPr>
          <w:sz w:val="20"/>
          <w:szCs w:val="20"/>
          <w:color w:val="auto"/>
        </w:rPr>
      </w:pPr>
    </w:p>
    <w:p>
      <w:pPr>
        <w:spacing w:after="0" w:line="215" w:lineRule="exact"/>
        <w:rPr>
          <w:sz w:val="20"/>
          <w:szCs w:val="20"/>
          <w:color w:val="auto"/>
        </w:rPr>
      </w:pPr>
    </w:p>
    <w:p>
      <w:pPr>
        <w:ind w:right="20" w:firstLine="324"/>
        <w:spacing w:after="0" w:line="249" w:lineRule="auto"/>
        <w:rPr>
          <w:sz w:val="20"/>
          <w:szCs w:val="20"/>
          <w:color w:val="auto"/>
        </w:rPr>
      </w:pPr>
      <w:r>
        <w:rPr>
          <w:rFonts w:ascii="Times New Roman" w:cs="Times New Roman" w:eastAsia="Times New Roman" w:hAnsi="Times New Roman"/>
          <w:sz w:val="22"/>
          <w:szCs w:val="22"/>
          <w:color w:val="auto"/>
        </w:rPr>
        <w:t>RESOLVED FURTHER, that by virtue of the Merger and without any action on the part of the holder thereof, each then outstanding or treasury share of capital stock of the Corporation shall remain unchanged and continue to remain outstanding or held in treasury, respectively, as one share of capital stock of the Corporation, held by the person who was the holder of such share of capital stock of the Corporation immediately prior to the Merger and that each stock certificate evidencing ownership of shares of capital stock of the Corporation issued and outstanding immediately prior to the Effective Time shall continue to evidence ownership of such shares;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08" w:right="239" w:bottom="1440" w:gutter="0" w:footer="0" w:header="0"/>
        </w:sectPr>
      </w:pPr>
    </w:p>
    <w:bookmarkStart w:id="46" w:name="page47"/>
    <w:bookmarkEnd w:id="46"/>
    <w:p>
      <w:pPr>
        <w:ind w:right="40" w:firstLine="324"/>
        <w:spacing w:after="0" w:line="271" w:lineRule="auto"/>
        <w:rPr>
          <w:sz w:val="20"/>
          <w:szCs w:val="20"/>
          <w:color w:val="auto"/>
        </w:rPr>
      </w:pPr>
      <w:r>
        <w:rPr>
          <w:rFonts w:ascii="Times New Roman" w:cs="Times New Roman" w:eastAsia="Times New Roman" w:hAnsi="Times New Roman"/>
          <w:sz w:val="22"/>
          <w:szCs w:val="22"/>
          <w:color w:val="auto"/>
        </w:rPr>
        <w:t xml:space="preserve">RESOLVED FURTHER; that the form of certificate for fully paid and nonassessable shares of Common Stock, $0.01 par value per share, of the Corporation issued anytime after the Effective Time shall be in the form attached hereto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5" w:lineRule="exact"/>
        <w:rPr>
          <w:sz w:val="20"/>
          <w:szCs w:val="20"/>
          <w:color w:val="auto"/>
        </w:rPr>
      </w:pPr>
    </w:p>
    <w:p>
      <w:pPr>
        <w:ind w:right="420" w:firstLine="324"/>
        <w:spacing w:after="0" w:line="295" w:lineRule="auto"/>
        <w:rPr>
          <w:sz w:val="20"/>
          <w:szCs w:val="20"/>
          <w:color w:val="auto"/>
        </w:rPr>
      </w:pPr>
      <w:r>
        <w:rPr>
          <w:rFonts w:ascii="Times New Roman" w:cs="Times New Roman" w:eastAsia="Times New Roman" w:hAnsi="Times New Roman"/>
          <w:sz w:val="21"/>
          <w:szCs w:val="21"/>
          <w:color w:val="auto"/>
        </w:rPr>
        <w:t>RESOLVED FURTHER, that by virtue of the Merger and without any action on the part of the holder thereof, each then outstanding share of common stock of the Subsidiary shall be cancelled and no consideration shall be issued in respect thereof;</w:t>
      </w:r>
    </w:p>
    <w:p>
      <w:pPr>
        <w:spacing w:after="0" w:line="392" w:lineRule="exact"/>
        <w:rPr>
          <w:sz w:val="20"/>
          <w:szCs w:val="20"/>
          <w:color w:val="auto"/>
        </w:rPr>
      </w:pPr>
    </w:p>
    <w:p>
      <w:pPr>
        <w:ind w:right="300" w:firstLine="324"/>
        <w:spacing w:after="0" w:line="271" w:lineRule="auto"/>
        <w:rPr>
          <w:sz w:val="20"/>
          <w:szCs w:val="20"/>
          <w:color w:val="auto"/>
        </w:rPr>
      </w:pPr>
      <w:r>
        <w:rPr>
          <w:rFonts w:ascii="Times New Roman" w:cs="Times New Roman" w:eastAsia="Times New Roman" w:hAnsi="Times New Roman"/>
          <w:sz w:val="22"/>
          <w:szCs w:val="22"/>
          <w:color w:val="auto"/>
        </w:rPr>
        <w:t>RESOLVED FURTHER, that, in connection with the Merger, the Board of Directors deems it desirable, advisable and in the best interest of the Corporation and its stockholders to change its corporate name to “Aviat Networks, Inc.”; and</w:t>
      </w:r>
    </w:p>
    <w:p>
      <w:pPr>
        <w:spacing w:after="0" w:line="200" w:lineRule="exact"/>
        <w:rPr>
          <w:sz w:val="20"/>
          <w:szCs w:val="20"/>
          <w:color w:val="auto"/>
        </w:rPr>
      </w:pPr>
    </w:p>
    <w:p>
      <w:pPr>
        <w:spacing w:after="0" w:line="215" w:lineRule="exact"/>
        <w:rPr>
          <w:sz w:val="20"/>
          <w:szCs w:val="20"/>
          <w:color w:val="auto"/>
        </w:rPr>
      </w:pPr>
    </w:p>
    <w:p>
      <w:pPr>
        <w:ind w:right="140" w:firstLine="324"/>
        <w:spacing w:after="0" w:line="271" w:lineRule="auto"/>
        <w:rPr>
          <w:sz w:val="20"/>
          <w:szCs w:val="20"/>
          <w:color w:val="auto"/>
        </w:rPr>
      </w:pPr>
      <w:r>
        <w:rPr>
          <w:rFonts w:ascii="Times New Roman" w:cs="Times New Roman" w:eastAsia="Times New Roman" w:hAnsi="Times New Roman"/>
          <w:sz w:val="22"/>
          <w:szCs w:val="22"/>
          <w:color w:val="auto"/>
        </w:rPr>
        <w:t>RESOLVED FURTHER, that, at the Effective Time, Article First of the Amended and Restated Certificate of Incorporation of the Corporation shall be amended to read in its entirety as follows:</w:t>
      </w: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“FIRST: The name of the Corporation is Aviat Networks, Inc.”</w:t>
      </w:r>
    </w:p>
    <w:p>
      <w:pPr>
        <w:spacing w:after="0" w:line="200" w:lineRule="exact"/>
        <w:rPr>
          <w:sz w:val="20"/>
          <w:szCs w:val="20"/>
          <w:color w:val="auto"/>
        </w:rPr>
      </w:pPr>
    </w:p>
    <w:p>
      <w:pPr>
        <w:spacing w:after="0" w:line="276"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22"/>
          <w:szCs w:val="22"/>
          <w:color w:val="auto"/>
        </w:rPr>
        <w:t>RESOLVED FURTHER, that each officer of the Corporation is authorized to make and execute a Certificate of Ownership and Merger setting forth a copy of these resolutions, and the date of adoption thereof, and to file the same in the office of the Secretary of State of the State of Delaware;</w:t>
      </w:r>
    </w:p>
    <w:p>
      <w:pPr>
        <w:spacing w:after="0" w:line="200" w:lineRule="exact"/>
        <w:rPr>
          <w:sz w:val="20"/>
          <w:szCs w:val="20"/>
          <w:color w:val="auto"/>
        </w:rPr>
      </w:pPr>
    </w:p>
    <w:p>
      <w:pPr>
        <w:spacing w:after="0" w:line="230" w:lineRule="exact"/>
        <w:rPr>
          <w:sz w:val="20"/>
          <w:szCs w:val="20"/>
          <w:color w:val="auto"/>
        </w:rPr>
      </w:pPr>
    </w:p>
    <w:p>
      <w:pPr>
        <w:ind w:right="240" w:firstLine="324"/>
        <w:spacing w:after="0" w:line="252" w:lineRule="auto"/>
        <w:rPr>
          <w:sz w:val="20"/>
          <w:szCs w:val="20"/>
          <w:color w:val="auto"/>
        </w:rPr>
      </w:pPr>
      <w:r>
        <w:rPr>
          <w:rFonts w:ascii="Times New Roman" w:cs="Times New Roman" w:eastAsia="Times New Roman" w:hAnsi="Times New Roman"/>
          <w:sz w:val="22"/>
          <w:szCs w:val="22"/>
          <w:color w:val="auto"/>
        </w:rPr>
        <w:t>RESOLVED FURTHER, that in connection with changing the Corporation’s name, each officer of the Corporation is authorized, in the name and on behalf of the Corporation, to enter into any agreements with the office of the Secretary of State of the State of Delaware, and to make and execute such additional certificates and to file the same in the office of the Secretary of State of the State of Delaware, in each case as may, in his or her judgment, be required or advisable;</w:t>
      </w:r>
    </w:p>
    <w:p>
      <w:pPr>
        <w:spacing w:after="0" w:line="72" w:lineRule="exact"/>
        <w:rPr>
          <w:sz w:val="20"/>
          <w:szCs w:val="20"/>
          <w:color w:val="auto"/>
        </w:rPr>
      </w:pPr>
    </w:p>
    <w:p>
      <w:pPr>
        <w:ind w:right="140" w:firstLine="324"/>
        <w:spacing w:after="0" w:line="250" w:lineRule="auto"/>
        <w:rPr>
          <w:sz w:val="20"/>
          <w:szCs w:val="20"/>
          <w:color w:val="auto"/>
        </w:rPr>
      </w:pPr>
      <w:r>
        <w:rPr>
          <w:rFonts w:ascii="Times New Roman" w:cs="Times New Roman" w:eastAsia="Times New Roman" w:hAnsi="Times New Roman"/>
          <w:sz w:val="22"/>
          <w:szCs w:val="22"/>
          <w:color w:val="auto"/>
        </w:rPr>
        <w:t>RESOLVED FURTHER, that in order for the Corporation to comply with all applicable regulations and requirements of federal, state, local and foreign governmental agencies and exchanges, each officer of the Corporation is authorized, in the name and on behalf of the Corporation, to prepare, execute and file or cause to be filed all reports, statements, documents, undertakings, commitments and information with any exchange or governmental agencies as may, in his or her judgment, be required or advisable in connection with the Merger or the Corporation’s name change;</w:t>
      </w:r>
    </w:p>
    <w:p>
      <w:pPr>
        <w:spacing w:after="0" w:line="200" w:lineRule="exact"/>
        <w:rPr>
          <w:sz w:val="20"/>
          <w:szCs w:val="20"/>
          <w:color w:val="auto"/>
        </w:rPr>
      </w:pPr>
    </w:p>
    <w:p>
      <w:pPr>
        <w:spacing w:after="0" w:line="238"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22"/>
          <w:szCs w:val="22"/>
          <w:color w:val="auto"/>
        </w:rPr>
        <w:t>RESOLVED FURTHER, that, after the Effective Time, each officer of the Corporation is hereby authorized, in the name and on behalf of the Corporation, to prepare, execute and file a listing application or supplemental listing application, and such other documents, and to take such steps, as may be necessary or desirable, with the NASDAQ, the Depositary Trust Company and/or the Corporation’s transfer agent to reflect the change in the Corporation’s name and the CUSIP numbers of the Corporation’s securities;</w:t>
      </w:r>
    </w:p>
    <w:p>
      <w:pPr>
        <w:spacing w:after="0" w:line="200" w:lineRule="exact"/>
        <w:rPr>
          <w:sz w:val="20"/>
          <w:szCs w:val="20"/>
          <w:color w:val="auto"/>
        </w:rPr>
      </w:pPr>
    </w:p>
    <w:p>
      <w:pPr>
        <w:spacing w:after="0" w:line="238"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22"/>
          <w:szCs w:val="22"/>
          <w:color w:val="auto"/>
        </w:rPr>
        <w:t>RESOLVED FURTHER, that in connection with changing the Corporation’s name, each officer of the Corporation is authorized, in the name and on behalf of the Corporation, to change the CUSIP numbers of the Corporation’s securities, to create a new corporate seal, to notify the Corporation’s stockholders and to</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77" w:right="259" w:bottom="1440" w:gutter="0" w:footer="0" w:header="0"/>
        </w:sectPr>
      </w:pPr>
    </w:p>
    <w:bookmarkStart w:id="47" w:name="page48"/>
    <w:bookmarkEnd w:id="47"/>
    <w:p>
      <w:pPr>
        <w:ind w:right="660"/>
        <w:spacing w:after="0" w:line="271" w:lineRule="auto"/>
        <w:rPr>
          <w:sz w:val="20"/>
          <w:szCs w:val="20"/>
          <w:color w:val="auto"/>
        </w:rPr>
      </w:pPr>
      <w:r>
        <w:rPr>
          <w:rFonts w:ascii="Times New Roman" w:cs="Times New Roman" w:eastAsia="Times New Roman" w:hAnsi="Times New Roman"/>
          <w:sz w:val="22"/>
          <w:szCs w:val="22"/>
          <w:color w:val="auto"/>
        </w:rPr>
        <w:t>give such notices to, and obtain such consents from, third parties, in each case as may, in his or her judgment, be required or advisable; and</w:t>
      </w:r>
    </w:p>
    <w:p>
      <w:pPr>
        <w:spacing w:after="0" w:line="200" w:lineRule="exact"/>
        <w:rPr>
          <w:sz w:val="20"/>
          <w:szCs w:val="20"/>
          <w:color w:val="auto"/>
        </w:rPr>
      </w:pPr>
    </w:p>
    <w:p>
      <w:pPr>
        <w:spacing w:after="0" w:line="21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22"/>
          <w:szCs w:val="22"/>
          <w:color w:val="auto"/>
        </w:rPr>
        <w:t>RESOLVED FURTHER, that, effective as of the Effective Time, each of the benefits plans and programs of the Corporation are hereby amended to replace each reference to “Harris Stratex Networks, Inc.” with “Aviat Networks, Inc.” to reflect the change in the Corporation’s name, including, but not limited to the following plans and programs of the Corporation:</w:t>
      </w:r>
    </w:p>
    <w:p>
      <w:pPr>
        <w:spacing w:after="0" w:line="200" w:lineRule="exact"/>
        <w:rPr>
          <w:sz w:val="20"/>
          <w:szCs w:val="20"/>
          <w:color w:val="auto"/>
        </w:rPr>
      </w:pPr>
    </w:p>
    <w:p>
      <w:pPr>
        <w:spacing w:after="0" w:line="23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Harris Stratex Networks, Inc. 2007 Stock Equity Plan, as amended and restated</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Harris Stratex Networks, Inc., 2010 Employee Stock Purchase Plan</w:t>
      </w:r>
    </w:p>
    <w:p>
      <w:pPr>
        <w:spacing w:after="0" w:line="328" w:lineRule="exact"/>
        <w:rPr>
          <w:sz w:val="20"/>
          <w:szCs w:val="20"/>
          <w:color w:val="auto"/>
        </w:rPr>
      </w:pPr>
    </w:p>
    <w:p>
      <w:pPr>
        <w:ind w:right="80" w:firstLine="324"/>
        <w:spacing w:after="0" w:line="247" w:lineRule="auto"/>
        <w:rPr>
          <w:sz w:val="20"/>
          <w:szCs w:val="20"/>
          <w:color w:val="auto"/>
        </w:rPr>
      </w:pPr>
      <w:r>
        <w:rPr>
          <w:rFonts w:ascii="Times New Roman" w:cs="Times New Roman" w:eastAsia="Times New Roman" w:hAnsi="Times New Roman"/>
          <w:sz w:val="22"/>
          <w:szCs w:val="22"/>
          <w:color w:val="auto"/>
        </w:rPr>
        <w:t>RESOLVED FURTHER, that each officer of the Corporation is hereby authorized, in the name and on behalf of the Corporation, to sign, seal, execute, acknowledge, file, deliver and record all papers,instruments, agreements, documents and certificates, and to pay all charges, fees, taxes and other expenses, from time to time necessary, desirable or appropriate to be done, signed, sealed, executed, acknowledged, filed, delivered, recorded or paid, under any applicable law, or otherwise, as may be necessary or desirable to effectuate the immediately preceding resolution and to make any other amendments or modifications to such identified plans and any other benefits plans or programs (including registration statements, trust agreements and any other related documents) maintained or sponsored by the Corporation or any of its affiliates to reflect the change in the Corporation’s name;</w:t>
      </w:r>
    </w:p>
    <w:p>
      <w:pPr>
        <w:spacing w:after="0" w:line="200" w:lineRule="exact"/>
        <w:rPr>
          <w:sz w:val="20"/>
          <w:szCs w:val="20"/>
          <w:color w:val="auto"/>
        </w:rPr>
      </w:pPr>
    </w:p>
    <w:p>
      <w:pPr>
        <w:spacing w:after="0" w:line="243" w:lineRule="exact"/>
        <w:rPr>
          <w:sz w:val="20"/>
          <w:szCs w:val="20"/>
          <w:color w:val="auto"/>
        </w:rPr>
      </w:pPr>
    </w:p>
    <w:p>
      <w:pPr>
        <w:ind w:firstLine="324"/>
        <w:spacing w:after="0" w:line="249" w:lineRule="auto"/>
        <w:rPr>
          <w:sz w:val="20"/>
          <w:szCs w:val="20"/>
          <w:color w:val="auto"/>
        </w:rPr>
      </w:pPr>
      <w:r>
        <w:rPr>
          <w:rFonts w:ascii="Times New Roman" w:cs="Times New Roman" w:eastAsia="Times New Roman" w:hAnsi="Times New Roman"/>
          <w:sz w:val="22"/>
          <w:szCs w:val="22"/>
          <w:color w:val="auto"/>
        </w:rPr>
        <w:t>RESOLVED FURTHER, that, after the Effective Time, each officer of the Corporation is hereby authorized, in the name and on behalf of the Corporation, to sign, seal, execute, acknowledge, file, deliver and record all papers, instruments, agreements, documents and certificate, and to pay all charges, fees, taxes and other expenses, from time to time necessary, desirable or appropriate to be done, signed, sealed, executed, acknowledged, filed, delivered, recorded or paid, under any applicable law, or otherwise, as may be necessary or desirable in order to change the names of the Corporation’s subsidiaries to reflect the change in the Corporation’s name;</w:t>
      </w:r>
    </w:p>
    <w:p>
      <w:pPr>
        <w:spacing w:after="0" w:line="200" w:lineRule="exact"/>
        <w:rPr>
          <w:sz w:val="20"/>
          <w:szCs w:val="20"/>
          <w:color w:val="auto"/>
        </w:rPr>
      </w:pPr>
    </w:p>
    <w:p>
      <w:pPr>
        <w:spacing w:after="0" w:line="237" w:lineRule="exact"/>
        <w:rPr>
          <w:sz w:val="20"/>
          <w:szCs w:val="20"/>
          <w:color w:val="auto"/>
        </w:rPr>
      </w:pPr>
    </w:p>
    <w:p>
      <w:pPr>
        <w:ind w:right="300" w:firstLine="324"/>
        <w:spacing w:after="0" w:line="257" w:lineRule="auto"/>
        <w:rPr>
          <w:sz w:val="20"/>
          <w:szCs w:val="20"/>
          <w:color w:val="auto"/>
        </w:rPr>
      </w:pPr>
      <w:r>
        <w:rPr>
          <w:rFonts w:ascii="Times New Roman" w:cs="Times New Roman" w:eastAsia="Times New Roman" w:hAnsi="Times New Roman"/>
          <w:sz w:val="22"/>
          <w:szCs w:val="22"/>
          <w:color w:val="auto"/>
        </w:rPr>
        <w:t>RESOLVED FURTHER, that all actions to be taken or heretofore taken by any officer of the Corporation in connection with any matter referred to or contemplated by any of the foregoing resolutions be, and they hereby are, approved, ratified and confirmed in all respects;</w:t>
      </w:r>
    </w:p>
    <w:p>
      <w:pPr>
        <w:spacing w:after="0" w:line="200" w:lineRule="exact"/>
        <w:rPr>
          <w:sz w:val="20"/>
          <w:szCs w:val="20"/>
          <w:color w:val="auto"/>
        </w:rPr>
      </w:pPr>
    </w:p>
    <w:p>
      <w:pPr>
        <w:spacing w:after="0" w:line="230" w:lineRule="exact"/>
        <w:rPr>
          <w:sz w:val="20"/>
          <w:szCs w:val="20"/>
          <w:color w:val="auto"/>
        </w:rPr>
      </w:pPr>
    </w:p>
    <w:p>
      <w:pPr>
        <w:ind w:right="20" w:firstLine="324"/>
        <w:spacing w:after="0" w:line="249" w:lineRule="auto"/>
        <w:rPr>
          <w:sz w:val="20"/>
          <w:szCs w:val="20"/>
          <w:color w:val="auto"/>
        </w:rPr>
      </w:pPr>
      <w:r>
        <w:rPr>
          <w:rFonts w:ascii="Times New Roman" w:cs="Times New Roman" w:eastAsia="Times New Roman" w:hAnsi="Times New Roman"/>
          <w:sz w:val="22"/>
          <w:szCs w:val="22"/>
          <w:color w:val="auto"/>
        </w:rPr>
        <w:t>RESOLVED FURTHER, that each officer of the Corporation is authorized to do all acts and things and to sign, seal, execute, acknowledge, file, deliver and record all papers, instruments, agreements, documents and certificates, and to pay all charges, fees, taxes and other expenses, from time to time necessary, desirable or appropriate to be done, signed, sealed, executed, acknowledged, filed, delivered, recorded or paid, under any applicable law, or otherwise, and to certify as having been adopted by this Board of Directors any form of resolution required by any law, regulation or agency, in order to effectuate the purpose of the foregoing resolutions or any of them or to carry out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77" w:right="259" w:bottom="1440" w:gutter="0" w:footer="0" w:header="0"/>
        </w:sectPr>
      </w:pPr>
    </w:p>
    <w:bookmarkStart w:id="48" w:name="page49"/>
    <w:bookmarkEnd w:id="48"/>
    <w:p>
      <w:pPr>
        <w:jc w:val="center"/>
        <w:ind w:left="260" w:right="2200"/>
        <w:spacing w:after="0" w:line="402" w:lineRule="auto"/>
        <w:rPr>
          <w:sz w:val="20"/>
          <w:szCs w:val="20"/>
          <w:color w:val="auto"/>
        </w:rPr>
      </w:pPr>
      <w:r>
        <w:rPr>
          <w:rFonts w:ascii="Times New Roman" w:cs="Times New Roman" w:eastAsia="Times New Roman" w:hAnsi="Times New Roman"/>
          <w:sz w:val="22"/>
          <w:szCs w:val="22"/>
          <w:b w:val="1"/>
          <w:bCs w:val="1"/>
          <w:color w:val="auto"/>
        </w:rPr>
        <w:t>CERTIFICATE OF AMENDMENT OF AMENDED AND RESTATED CERTIFICATE OF INCORPORATION OF AVIAT NETWORKS, INC.</w:t>
      </w:r>
    </w:p>
    <w:p>
      <w:pPr>
        <w:spacing w:after="0" w:line="200" w:lineRule="exact"/>
        <w:rPr>
          <w:sz w:val="20"/>
          <w:szCs w:val="20"/>
          <w:color w:val="auto"/>
        </w:rPr>
      </w:pPr>
    </w:p>
    <w:p>
      <w:pPr>
        <w:spacing w:after="0" w:line="254" w:lineRule="exact"/>
        <w:rPr>
          <w:sz w:val="20"/>
          <w:szCs w:val="20"/>
          <w:color w:val="auto"/>
        </w:rPr>
      </w:pPr>
    </w:p>
    <w:p>
      <w:pPr>
        <w:ind w:right="600" w:firstLine="648"/>
        <w:spacing w:after="0" w:line="386" w:lineRule="auto"/>
        <w:rPr>
          <w:sz w:val="20"/>
          <w:szCs w:val="20"/>
          <w:color w:val="auto"/>
        </w:rPr>
      </w:pPr>
      <w:r>
        <w:rPr>
          <w:rFonts w:ascii="Times New Roman" w:cs="Times New Roman" w:eastAsia="Times New Roman" w:hAnsi="Times New Roman"/>
          <w:sz w:val="20"/>
          <w:szCs w:val="20"/>
          <w:color w:val="auto"/>
        </w:rPr>
        <w:t>Aviat Networks, Inc., a corporation organized and existing under the laws of the State of Delaware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hereby certifies that:</w:t>
      </w:r>
    </w:p>
    <w:p>
      <w:pPr>
        <w:spacing w:after="0" w:line="156" w:lineRule="exact"/>
        <w:rPr>
          <w:sz w:val="20"/>
          <w:szCs w:val="20"/>
          <w:color w:val="auto"/>
        </w:rPr>
      </w:pPr>
    </w:p>
    <w:p>
      <w:pPr>
        <w:ind w:left="1020" w:hanging="364"/>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the Corporation is Aviat Networks, Inc.</w:t>
      </w:r>
    </w:p>
    <w:p>
      <w:pPr>
        <w:spacing w:after="0" w:line="323" w:lineRule="exact"/>
        <w:rPr>
          <w:rFonts w:ascii="Times New Roman" w:cs="Times New Roman" w:eastAsia="Times New Roman" w:hAnsi="Times New Roman"/>
          <w:sz w:val="20"/>
          <w:szCs w:val="20"/>
          <w:color w:val="auto"/>
        </w:rPr>
      </w:pPr>
    </w:p>
    <w:p>
      <w:pPr>
        <w:ind w:right="760" w:firstLine="656"/>
        <w:spacing w:after="0" w:line="382" w:lineRule="auto"/>
        <w:tabs>
          <w:tab w:leader="none" w:pos="101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was originally incorporated under the name Harris Stratex Networks, Inc., and the original Certificate of Incorporation was filed with the Secretary of State of the State of Delaware on October 5, 2006.</w:t>
      </w:r>
    </w:p>
    <w:p>
      <w:pPr>
        <w:spacing w:after="0" w:line="159" w:lineRule="exact"/>
        <w:rPr>
          <w:rFonts w:ascii="Times New Roman" w:cs="Times New Roman" w:eastAsia="Times New Roman" w:hAnsi="Times New Roman"/>
          <w:sz w:val="20"/>
          <w:szCs w:val="20"/>
          <w:color w:val="auto"/>
        </w:rPr>
      </w:pPr>
    </w:p>
    <w:p>
      <w:pPr>
        <w:ind w:right="100" w:firstLine="656"/>
        <w:spacing w:after="0" w:line="382" w:lineRule="auto"/>
        <w:tabs>
          <w:tab w:leader="none" w:pos="101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IV(a) of the Amended and Restated Certificate of Incorporation of the Corporation is hereby amended and restated to read in its entirety as follows:</w:t>
      </w:r>
    </w:p>
    <w:p>
      <w:pPr>
        <w:spacing w:after="0" w:line="159" w:lineRule="exact"/>
        <w:rPr>
          <w:sz w:val="20"/>
          <w:szCs w:val="20"/>
          <w:color w:val="auto"/>
        </w:rPr>
      </w:pPr>
    </w:p>
    <w:p>
      <w:pPr>
        <w:ind w:left="660" w:firstLine="648"/>
        <w:spacing w:after="0" w:line="3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Capitalization</w:t>
      </w:r>
      <w:r>
        <w:rPr>
          <w:rFonts w:ascii="Times New Roman" w:cs="Times New Roman" w:eastAsia="Times New Roman" w:hAnsi="Times New Roman"/>
          <w:sz w:val="20"/>
          <w:szCs w:val="20"/>
          <w:color w:val="auto"/>
        </w:rPr>
        <w:t>. The total number of shares of all classes that this Corporation is authorized to issue is 350,000,000 shares, of which (i) 50,000,000 shares shall be designated as preferred stock, par value $0.01 per share (the “</w:t>
      </w:r>
      <w:r>
        <w:rPr>
          <w:rFonts w:ascii="Times New Roman" w:cs="Times New Roman" w:eastAsia="Times New Roman" w:hAnsi="Times New Roman"/>
          <w:sz w:val="20"/>
          <w:szCs w:val="20"/>
          <w:u w:val="single" w:color="auto"/>
          <w:color w:val="auto"/>
        </w:rPr>
        <w:t>Preferred Stock</w:t>
      </w:r>
      <w:r>
        <w:rPr>
          <w:rFonts w:ascii="Times New Roman" w:cs="Times New Roman" w:eastAsia="Times New Roman" w:hAnsi="Times New Roman"/>
          <w:sz w:val="20"/>
          <w:szCs w:val="20"/>
          <w:color w:val="auto"/>
        </w:rPr>
        <w:t>”), and (ii) 300,000,000 shares shall be designated as common stock, par value $0.01 per share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Upon the filing and effectiveness (the “</w:t>
      </w:r>
      <w:r>
        <w:rPr>
          <w:rFonts w:ascii="Times New Roman" w:cs="Times New Roman" w:eastAsia="Times New Roman" w:hAnsi="Times New Roman"/>
          <w:sz w:val="20"/>
          <w:szCs w:val="20"/>
          <w:u w:val="single" w:color="auto"/>
          <w:color w:val="auto"/>
        </w:rPr>
        <w:t>Effective Time</w:t>
      </w:r>
      <w:r>
        <w:rPr>
          <w:rFonts w:ascii="Times New Roman" w:cs="Times New Roman" w:eastAsia="Times New Roman" w:hAnsi="Times New Roman"/>
          <w:sz w:val="20"/>
          <w:szCs w:val="20"/>
          <w:color w:val="auto"/>
        </w:rPr>
        <w:t>”) pursuant to the DGCL of this Certificate of Amendment to the Amended and Restated Certificate of Incorporation of the Corporation, each 12 shares of Common Stock either issued and outstanding or held by the Corporation in treasury stock immediately prior to the Effective Time shall, automatically and without any action on the part of the respective holders thereof, be combined and converted into one share of Common Stock (the “</w:t>
      </w:r>
      <w:r>
        <w:rPr>
          <w:rFonts w:ascii="Times New Roman" w:cs="Times New Roman" w:eastAsia="Times New Roman" w:hAnsi="Times New Roman"/>
          <w:sz w:val="20"/>
          <w:szCs w:val="20"/>
          <w:u w:val="single" w:color="auto"/>
          <w:color w:val="auto"/>
        </w:rPr>
        <w:t>Reverse Stock Split</w:t>
      </w:r>
      <w:r>
        <w:rPr>
          <w:rFonts w:ascii="Times New Roman" w:cs="Times New Roman" w:eastAsia="Times New Roman" w:hAnsi="Times New Roman"/>
          <w:sz w:val="20"/>
          <w:szCs w:val="20"/>
          <w:color w:val="auto"/>
        </w:rPr>
        <w:t>”). No fractional shares shall be issued in connection with the Reverse Stock Split. Stockholders who otherwise would be entitled to receive fractional shares of Common Stock shall be entitled to receive cash (without interest or deduction) in lieu of such fractional share interests, in an amount equal to the product obtained by multiplying (a) the fraction of one share owned by the stockholder by (2) the closing price per share of the Common Stock as reported on The Nasdaq Stock Market as of the date of the Effective Time. Each certificate that immediately prior to the Effective Time represented shares of Common Stock (an “</w:t>
      </w:r>
      <w:r>
        <w:rPr>
          <w:rFonts w:ascii="Times New Roman" w:cs="Times New Roman" w:eastAsia="Times New Roman" w:hAnsi="Times New Roman"/>
          <w:sz w:val="20"/>
          <w:szCs w:val="20"/>
          <w:u w:val="single" w:color="auto"/>
          <w:color w:val="auto"/>
        </w:rPr>
        <w:t>Old Certificate</w:t>
      </w:r>
      <w:r>
        <w:rPr>
          <w:rFonts w:ascii="Times New Roman" w:cs="Times New Roman" w:eastAsia="Times New Roman" w:hAnsi="Times New Roman"/>
          <w:sz w:val="20"/>
          <w:szCs w:val="20"/>
          <w:color w:val="auto"/>
        </w:rPr>
        <w:t>”) shall thereafter represent that number of shares of Common Stock into which the shares of Common Stock represented by the Old Certificate shall have been combined, subject to the elimination of fractional share interests as described above.”</w:t>
      </w:r>
    </w:p>
    <w:p>
      <w:pPr>
        <w:spacing w:after="0" w:line="194" w:lineRule="exact"/>
        <w:rPr>
          <w:sz w:val="20"/>
          <w:szCs w:val="20"/>
          <w:color w:val="auto"/>
        </w:rPr>
      </w:pPr>
    </w:p>
    <w:p>
      <w:pPr>
        <w:ind w:right="420" w:firstLine="656"/>
        <w:spacing w:after="0" w:line="414" w:lineRule="auto"/>
        <w:tabs>
          <w:tab w:leader="none" w:pos="1021"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Certificate of Amendment to the Amended and Restated Certificate of Incorporation was duly adopted by the Board of Directors and stockholders of the Corporation in accordance with the provisions of Section 242 of the Delaware General Corporation Law.</w:t>
      </w: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400"/>
          </w:cols>
          <w:pgMar w:left="240" w:top="635" w:right="259" w:bottom="1440" w:gutter="0" w:footer="0" w:header="0"/>
        </w:sectPr>
      </w:pPr>
    </w:p>
    <w:bookmarkStart w:id="49" w:name="page50"/>
    <w:bookmarkEnd w:id="49"/>
    <w:p>
      <w:pPr>
        <w:ind w:firstLine="648"/>
        <w:spacing w:after="0" w:line="382" w:lineRule="auto"/>
        <w:rPr>
          <w:sz w:val="20"/>
          <w:szCs w:val="20"/>
          <w:color w:val="auto"/>
        </w:rPr>
      </w:pPr>
      <w:r>
        <w:rPr>
          <w:rFonts w:ascii="Times New Roman" w:cs="Times New Roman" w:eastAsia="Times New Roman" w:hAnsi="Times New Roman"/>
          <w:sz w:val="20"/>
          <w:szCs w:val="20"/>
          <w:color w:val="auto"/>
        </w:rPr>
        <w:t>IN WITNESS WHEREOF, Aviat Networks, Inc. has caused this Certificate of Amendment to the Amended and Restated Certificate of Incorporation to be signed this 10th day of June, 2016.</w:t>
      </w:r>
    </w:p>
    <w:p>
      <w:pPr>
        <w:spacing w:after="0" w:line="385"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b w:val="1"/>
          <w:bCs w:val="1"/>
          <w:color w:val="auto"/>
        </w:rPr>
        <w:t>AVIAT NETWORKS, INC</w:t>
      </w:r>
    </w:p>
    <w:p>
      <w:pPr>
        <w:spacing w:after="0" w:line="38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By: /s/ Michael A Pangia</w:t>
      </w:r>
    </w:p>
    <w:p>
      <w:pPr>
        <w:spacing w:after="0" w:line="5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Name: Michael A. Pangia</w:t>
      </w:r>
    </w:p>
    <w:p>
      <w:pPr>
        <w:spacing w:after="0" w:line="5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Title: President &amp; Chief Executive Officer</w:t>
      </w:r>
    </w:p>
    <w:p>
      <w:pPr>
        <w:sectPr>
          <w:pgSz w:w="11900" w:h="16838" w:orient="portrait"/>
          <w:cols w:equalWidth="0" w:num="1">
            <w:col w:w="11340"/>
          </w:cols>
          <w:pgMar w:left="240" w:top="900"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ELIMINATION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SERIES A PARTICIPATING PREFERRED STOCK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AVIAT NETWORKS,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240030</wp:posOffset>
            </wp:positionV>
            <wp:extent cx="42024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Pursuant to Section 151(g)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65405</wp:posOffset>
            </wp:positionV>
            <wp:extent cx="42024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Aviat Networks,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certifies as follows:</w:t>
      </w:r>
    </w:p>
    <w:p>
      <w:pPr>
        <w:spacing w:after="0" w:line="216" w:lineRule="exact"/>
        <w:rPr>
          <w:sz w:val="20"/>
          <w:szCs w:val="20"/>
          <w:color w:val="auto"/>
        </w:rPr>
      </w:pPr>
    </w:p>
    <w:p>
      <w:pPr>
        <w:ind w:left="-20" w:right="80" w:firstLine="656"/>
        <w:spacing w:after="0" w:line="256" w:lineRule="auto"/>
        <w:tabs>
          <w:tab w:leader="none" w:pos="95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Amended and Restated Certificate of Incorporation, as amended (the “</w:t>
      </w:r>
      <w:r>
        <w:rPr>
          <w:rFonts w:ascii="Times New Roman" w:cs="Times New Roman" w:eastAsia="Times New Roman" w:hAnsi="Times New Roman"/>
          <w:sz w:val="20"/>
          <w:szCs w:val="20"/>
          <w:b w:val="1"/>
          <w:bCs w:val="1"/>
          <w:color w:val="auto"/>
        </w:rPr>
        <w:t>Charter</w:t>
      </w:r>
      <w:r>
        <w:rPr>
          <w:rFonts w:ascii="Times New Roman" w:cs="Times New Roman" w:eastAsia="Times New Roman" w:hAnsi="Times New Roman"/>
          <w:sz w:val="20"/>
          <w:szCs w:val="20"/>
          <w:color w:val="auto"/>
        </w:rPr>
        <w:t>”), of the Company authorizes the issuance of 1,000,000 shares of preferred stock, par value $0.01 per share, of the Company designated as Series A Junior Participating Preferred Stock (the “</w:t>
      </w:r>
      <w:r>
        <w:rPr>
          <w:rFonts w:ascii="Times New Roman" w:cs="Times New Roman" w:eastAsia="Times New Roman" w:hAnsi="Times New Roman"/>
          <w:sz w:val="20"/>
          <w:szCs w:val="20"/>
          <w:b w:val="1"/>
          <w:bCs w:val="1"/>
          <w:color w:val="auto"/>
        </w:rPr>
        <w:t>Existing Series A Preferred Stock</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ind w:left="-20" w:right="60" w:firstLine="656"/>
        <w:spacing w:after="0" w:line="273" w:lineRule="auto"/>
        <w:tabs>
          <w:tab w:leader="none" w:pos="95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provisions of Section 151(g) of the General Corporation Law of the State of Delaware (the “</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 the Board of Directors of the Company adopted the following resolutions:</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RESOLVED</w:t>
      </w:r>
      <w:r>
        <w:rPr>
          <w:rFonts w:ascii="Times New Roman" w:cs="Times New Roman" w:eastAsia="Times New Roman" w:hAnsi="Times New Roman"/>
          <w:sz w:val="20"/>
          <w:szCs w:val="20"/>
          <w:color w:val="auto"/>
        </w:rPr>
        <w:t>: That no shares of the Existing Series A Preferred Stock are outstanding.</w:t>
      </w:r>
    </w:p>
    <w:p>
      <w:pPr>
        <w:spacing w:after="0" w:line="216" w:lineRule="exact"/>
        <w:rPr>
          <w:sz w:val="20"/>
          <w:szCs w:val="20"/>
          <w:color w:val="auto"/>
        </w:rPr>
      </w:pPr>
    </w:p>
    <w:p>
      <w:pPr>
        <w:ind w:left="640" w:right="100"/>
        <w:spacing w:after="0" w:line="273" w:lineRule="auto"/>
        <w:rPr>
          <w:sz w:val="20"/>
          <w:szCs w:val="20"/>
          <w:color w:val="auto"/>
        </w:rPr>
      </w:pPr>
      <w:r>
        <w:rPr>
          <w:rFonts w:ascii="Times New Roman" w:cs="Times New Roman" w:eastAsia="Times New Roman" w:hAnsi="Times New Roman"/>
          <w:sz w:val="20"/>
          <w:szCs w:val="20"/>
          <w:b w:val="1"/>
          <w:bCs w:val="1"/>
          <w:color w:val="auto"/>
        </w:rPr>
        <w:t>RESOLVED FURTHER</w:t>
      </w:r>
      <w:r>
        <w:rPr>
          <w:rFonts w:ascii="Times New Roman" w:cs="Times New Roman" w:eastAsia="Times New Roman" w:hAnsi="Times New Roman"/>
          <w:sz w:val="20"/>
          <w:szCs w:val="20"/>
          <w:color w:val="auto"/>
        </w:rPr>
        <w:t>: That all matters set forth in the Charter with respect to the Existing Series A Preferred Stock are eliminated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Charter.</w:t>
      </w:r>
    </w:p>
    <w:p>
      <w:pPr>
        <w:spacing w:after="0" w:line="152" w:lineRule="exact"/>
        <w:rPr>
          <w:sz w:val="20"/>
          <w:szCs w:val="20"/>
          <w:color w:val="auto"/>
        </w:rPr>
      </w:pPr>
    </w:p>
    <w:p>
      <w:pPr>
        <w:ind w:left="640"/>
        <w:spacing w:after="0" w:line="248" w:lineRule="auto"/>
        <w:rPr>
          <w:sz w:val="20"/>
          <w:szCs w:val="20"/>
          <w:color w:val="auto"/>
        </w:rPr>
      </w:pPr>
      <w:r>
        <w:rPr>
          <w:rFonts w:ascii="Times New Roman" w:cs="Times New Roman" w:eastAsia="Times New Roman" w:hAnsi="Times New Roman"/>
          <w:sz w:val="20"/>
          <w:szCs w:val="20"/>
          <w:b w:val="1"/>
          <w:bCs w:val="1"/>
          <w:color w:val="auto"/>
        </w:rPr>
        <w:t>RESOLVED FURTHER</w:t>
      </w:r>
      <w:r>
        <w:rPr>
          <w:rFonts w:ascii="Times New Roman" w:cs="Times New Roman" w:eastAsia="Times New Roman" w:hAnsi="Times New Roman"/>
          <w:sz w:val="20"/>
          <w:szCs w:val="20"/>
          <w:color w:val="auto"/>
        </w:rPr>
        <w:t>: That the Chairman of the Board, the Chief Executive Officer, the President, the Chief Financial Officer,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Treasurer, the Secretary or any Senior Vice President or Assistant Secretary of the Company are, and each of them hereby is, authorized and directed to prepare and file a Certificate of Elimination (the “</w:t>
      </w:r>
      <w:r>
        <w:rPr>
          <w:rFonts w:ascii="Times New Roman" w:cs="Times New Roman" w:eastAsia="Times New Roman" w:hAnsi="Times New Roman"/>
          <w:sz w:val="20"/>
          <w:szCs w:val="20"/>
          <w:b w:val="1"/>
          <w:bCs w:val="1"/>
          <w:color w:val="auto"/>
        </w:rPr>
        <w:t>Certificate of Elimination</w:t>
      </w:r>
      <w:r>
        <w:rPr>
          <w:rFonts w:ascii="Times New Roman" w:cs="Times New Roman" w:eastAsia="Times New Roman" w:hAnsi="Times New Roman"/>
          <w:sz w:val="20"/>
          <w:szCs w:val="20"/>
          <w:color w:val="auto"/>
        </w:rPr>
        <w:t>”) in accordance with the foregoing resolution and the provisions of the DGCL and to take such other actions as they may deem necessary or appropriate to carry out the intent and purpose of the foregoing resolutions.</w:t>
      </w:r>
    </w:p>
    <w:p>
      <w:pPr>
        <w:spacing w:after="0" w:line="176" w:lineRule="exact"/>
        <w:rPr>
          <w:sz w:val="20"/>
          <w:szCs w:val="20"/>
          <w:color w:val="auto"/>
        </w:rPr>
      </w:pPr>
    </w:p>
    <w:p>
      <w:pPr>
        <w:ind w:left="640" w:right="100"/>
        <w:spacing w:after="0" w:line="250" w:lineRule="auto"/>
        <w:rPr>
          <w:sz w:val="20"/>
          <w:szCs w:val="20"/>
          <w:color w:val="auto"/>
        </w:rPr>
      </w:pPr>
      <w:r>
        <w:rPr>
          <w:rFonts w:ascii="Times New Roman" w:cs="Times New Roman" w:eastAsia="Times New Roman" w:hAnsi="Times New Roman"/>
          <w:sz w:val="20"/>
          <w:szCs w:val="20"/>
          <w:b w:val="1"/>
          <w:bCs w:val="1"/>
          <w:color w:val="auto"/>
        </w:rPr>
        <w:t>RESOLVED FURTHER</w:t>
      </w:r>
      <w:r>
        <w:rPr>
          <w:rFonts w:ascii="Times New Roman" w:cs="Times New Roman" w:eastAsia="Times New Roman" w:hAnsi="Times New Roman"/>
          <w:sz w:val="20"/>
          <w:szCs w:val="20"/>
          <w:color w:val="auto"/>
        </w:rPr>
        <w:t>: That the foregoing persons are authorized and directed, for and in the name of and on behalf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to execute and file the Certificate of Elimination with the Secretary of State of the State of Delaware, whereupon all matters with respect to the Existing Series A Preferred Stock shall be eliminated from the Charter and the shares of the Existing Series A Preferred Stock shall resume the status of authorized and unissued shares of preferred stock of the Company.</w:t>
      </w:r>
    </w:p>
    <w:p>
      <w:pPr>
        <w:spacing w:after="0" w:line="180" w:lineRule="exact"/>
        <w:rPr>
          <w:sz w:val="20"/>
          <w:szCs w:val="20"/>
          <w:color w:val="auto"/>
        </w:rPr>
      </w:pPr>
    </w:p>
    <w:p>
      <w:pPr>
        <w:jc w:val="both"/>
        <w:ind w:left="-20" w:right="60" w:firstLine="656"/>
        <w:spacing w:after="0" w:line="254" w:lineRule="auto"/>
        <w:tabs>
          <w:tab w:leader="none" w:pos="95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provisions of Section 151(g) of the DGCL, all references to the Existing Series A Preferred Stock in the Charter are hereby eliminated, and the shares that were designated the Existing Series A Preferred Stock are hereby returned to the status of authorized but unissued shares of preferred stock of the Company.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400"/>
          </w:cols>
          <w:pgMar w:left="260" w:top="572" w:right="239" w:bottom="1440" w:gutter="0" w:footer="0" w:header="0"/>
        </w:sectPr>
      </w:pPr>
    </w:p>
    <w:bookmarkStart w:id="51" w:name="page52"/>
    <w:bookmarkEnd w:id="51"/>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Company has caused this Certificate of Elimination to be signed on its behalf by its duly authorized officer on this 7th day of September,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AVIAT NETWORKS, INC.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20"/>
          <w:szCs w:val="20"/>
          <w:color w:val="auto"/>
        </w:rPr>
        <w:t>By:</w:t>
        <w:tab/>
        <w:t>/s/ 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31115</wp:posOffset>
            </wp:positionV>
            <wp:extent cx="3302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7" w:lineRule="exact"/>
        <w:rPr>
          <w:sz w:val="20"/>
          <w:szCs w:val="20"/>
          <w:color w:val="auto"/>
        </w:rPr>
      </w:pPr>
    </w:p>
    <w:p>
      <w:pPr>
        <w:ind w:left="6240"/>
        <w:spacing w:after="0"/>
        <w:tabs>
          <w:tab w:leader="none" w:pos="7060" w:val="left"/>
        </w:tabs>
        <w:rPr>
          <w:sz w:val="20"/>
          <w:szCs w:val="20"/>
          <w:color w:val="auto"/>
        </w:rPr>
      </w:pPr>
      <w:r>
        <w:rPr>
          <w:rFonts w:ascii="Times New Roman" w:cs="Times New Roman" w:eastAsia="Times New Roman" w:hAnsi="Times New Roman"/>
          <w:sz w:val="20"/>
          <w:szCs w:val="20"/>
          <w:color w:val="auto"/>
        </w:rPr>
        <w:t>Name:</w:t>
        <w:tab/>
        <w:t>Ralph S. Marimon</w:t>
      </w:r>
    </w:p>
    <w:p>
      <w:pPr>
        <w:spacing w:after="0" w:line="54" w:lineRule="exact"/>
        <w:rPr>
          <w:sz w:val="20"/>
          <w:szCs w:val="20"/>
          <w:color w:val="auto"/>
        </w:rPr>
      </w:pPr>
    </w:p>
    <w:p>
      <w:pPr>
        <w:ind w:left="6240"/>
        <w:spacing w:after="0"/>
        <w:tabs>
          <w:tab w:leader="none" w:pos="706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Senior Vice President and Chief Financial Officer</w:t>
      </w:r>
    </w:p>
    <w:p>
      <w:pPr>
        <w:sectPr>
          <w:pgSz w:w="11900" w:h="16838" w:orient="portrait"/>
          <w:cols w:equalWidth="0" w:num="1">
            <w:col w:w="11040"/>
          </w:cols>
          <w:pgMar w:left="240" w:top="1224" w:right="619" w:bottom="1440" w:gutter="0" w:footer="0" w:header="0"/>
        </w:sectPr>
      </w:pPr>
    </w:p>
    <w:bookmarkStart w:id="52" w:name="page53"/>
    <w:bookmarkEnd w:id="52"/>
    <w:p>
      <w:pPr>
        <w:jc w:val="center"/>
        <w:ind w:left="320" w:right="1500"/>
        <w:spacing w:after="0" w:line="259" w:lineRule="auto"/>
        <w:rPr>
          <w:sz w:val="20"/>
          <w:szCs w:val="20"/>
          <w:color w:val="auto"/>
        </w:rPr>
      </w:pPr>
      <w:r>
        <w:rPr>
          <w:rFonts w:ascii="Times New Roman" w:cs="Times New Roman" w:eastAsia="Times New Roman" w:hAnsi="Times New Roman"/>
          <w:sz w:val="22"/>
          <w:szCs w:val="22"/>
          <w:b w:val="1"/>
          <w:bCs w:val="1"/>
          <w:color w:val="auto"/>
        </w:rPr>
        <w:t>CERTIFICATE OF DESIGNATION OF RIGHTS, PREFERENCES AND PRIVILEGES OF SERIES A PARTICIPATING PREFERRED STOCK OF AVIAT NETWORKS,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374650</wp:posOffset>
            </wp:positionV>
            <wp:extent cx="41935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Pursuant to Section 151 of the</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65405</wp:posOffset>
            </wp:positionV>
            <wp:extent cx="41935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191"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22"/>
          <w:szCs w:val="22"/>
          <w:color w:val="auto"/>
        </w:rPr>
        <w:t>Aviat Networks, Inc., a corporation organized and existing under the General Corporation Law of the State of Delaware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in accordance with the provisions of Section 103 thereof, does hereby certify:</w:t>
      </w:r>
    </w:p>
    <w:p>
      <w:pPr>
        <w:spacing w:after="0" w:line="4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2"/>
          <w:szCs w:val="22"/>
          <w:color w:val="auto"/>
        </w:rPr>
        <w:t>That pursuant to the authority conferred upon the Board of Directors of the Corporation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by the Amended and Restated Certificate of Incorporation, as amended, on September 6, 2016, the Board adopted the following resolutions creating a series of preferred stock, par value $0.01 per share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of the Corporation designated as Series A Participating Preferred Stock:</w:t>
      </w:r>
    </w:p>
    <w:p>
      <w:pPr>
        <w:spacing w:after="0" w:line="6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RESOLVED: </w:t>
      </w:r>
      <w:r>
        <w:rPr>
          <w:rFonts w:ascii="Times New Roman" w:cs="Times New Roman" w:eastAsia="Times New Roman" w:hAnsi="Times New Roman"/>
          <w:sz w:val="22"/>
          <w:szCs w:val="22"/>
          <w:color w:val="auto"/>
        </w:rPr>
        <w:t>That pursuant to the authority vested in the Board by the Amended and Restated Certificate of Incorporation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as amended (the “</w:t>
      </w:r>
      <w:r>
        <w:rPr>
          <w:rFonts w:ascii="Times New Roman" w:cs="Times New Roman" w:eastAsia="Times New Roman" w:hAnsi="Times New Roman"/>
          <w:sz w:val="22"/>
          <w:szCs w:val="22"/>
          <w:b w:val="1"/>
          <w:bCs w:val="1"/>
          <w:color w:val="auto"/>
        </w:rPr>
        <w:t>Charter</w:t>
      </w:r>
      <w:r>
        <w:rPr>
          <w:rFonts w:ascii="Times New Roman" w:cs="Times New Roman" w:eastAsia="Times New Roman" w:hAnsi="Times New Roman"/>
          <w:sz w:val="22"/>
          <w:szCs w:val="22"/>
          <w:color w:val="auto"/>
        </w:rPr>
        <w:t>”), the Board does hereby provide for the issuance of a series of Preferred Stock of the Corporation and does hereby fix and herein state and express the designations, powers, preferences and relative and other special rights, and the qualifications, limitations and restrictions, of such series of Preferred Stock as follows:</w:t>
      </w:r>
    </w:p>
    <w:p>
      <w:pPr>
        <w:spacing w:after="0" w:line="6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color w:val="auto"/>
        </w:rPr>
        <w:t>Designation and Amount</w:t>
      </w:r>
      <w:r>
        <w:rPr>
          <w:rFonts w:ascii="Times New Roman" w:cs="Times New Roman" w:eastAsia="Times New Roman" w:hAnsi="Times New Roman"/>
          <w:sz w:val="22"/>
          <w:szCs w:val="22"/>
          <w:color w:val="auto"/>
        </w:rPr>
        <w:t>. The shares of such series shall be designated as “</w:t>
      </w:r>
      <w:r>
        <w:rPr>
          <w:rFonts w:ascii="Times New Roman" w:cs="Times New Roman" w:eastAsia="Times New Roman" w:hAnsi="Times New Roman"/>
          <w:sz w:val="22"/>
          <w:szCs w:val="22"/>
          <w:b w:val="1"/>
          <w:bCs w:val="1"/>
          <w:color w:val="auto"/>
        </w:rPr>
        <w:t>Series A Participating Preferred Stock</w:t>
      </w:r>
      <w:r>
        <w:rPr>
          <w:rFonts w:ascii="Times New Roman" w:cs="Times New Roman" w:eastAsia="Times New Roman" w:hAnsi="Times New Roman"/>
          <w:sz w:val="22"/>
          <w:szCs w:val="22"/>
          <w:color w:val="auto"/>
        </w:rPr>
        <w:t>.” The Series A Participating Preferred Stock shall have a par value of $0.01 per share, and the number of shares constituting such series shall be 100,000. Such number of shares may be increased or decreased by resolution of the Board; provided, however, that no decrease shall reduce the number of shares of Series A Participating Preferred Stock to a number less than the number of shares then outstanding plus the number of shares reserved for issuance upon the exercise of outstanding options, rights or warrants or upon the exercise of any options, rights or warrants issuable upon conversion of any outstanding securities issued by the Corporation convertible into Series A Participating Preferred Stock.</w:t>
      </w:r>
    </w:p>
    <w:p>
      <w:pPr>
        <w:spacing w:after="0" w:line="7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color w:val="auto"/>
        </w:rPr>
        <w:t>Proportional Adjustment</w:t>
      </w:r>
      <w:r>
        <w:rPr>
          <w:rFonts w:ascii="Times New Roman" w:cs="Times New Roman" w:eastAsia="Times New Roman" w:hAnsi="Times New Roman"/>
          <w:sz w:val="22"/>
          <w:szCs w:val="22"/>
          <w:color w:val="auto"/>
        </w:rPr>
        <w:t>. In the event that the Corporation shall at any time after the issuance of any share or shares of Series A Participating Preferred Stock (the “</w:t>
      </w:r>
      <w:r>
        <w:rPr>
          <w:rFonts w:ascii="Times New Roman" w:cs="Times New Roman" w:eastAsia="Times New Roman" w:hAnsi="Times New Roman"/>
          <w:sz w:val="22"/>
          <w:szCs w:val="22"/>
          <w:b w:val="1"/>
          <w:bCs w:val="1"/>
          <w:color w:val="auto"/>
        </w:rPr>
        <w:t>Rights Declaration Date</w:t>
      </w:r>
      <w:r>
        <w:rPr>
          <w:rFonts w:ascii="Times New Roman" w:cs="Times New Roman" w:eastAsia="Times New Roman" w:hAnsi="Times New Roman"/>
          <w:sz w:val="22"/>
          <w:szCs w:val="22"/>
          <w:color w:val="auto"/>
        </w:rPr>
        <w:t>”) (a) declare any dividend on the common stock of the Corporation, par value $0.01 per share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payable in shares of Common Stock, (b) subdivide the outstanding Common Stock or (c) combine the outstanding Common Stock into a smaller number of shares, then in each such case the Corporation shall simultaneously effect a proportional adjustment to the number of outstanding shares of Series A Participating Preferred Stock by an amount the numerator of which is the number of shares of Common Stock outstanding immediately after such event and the denominator of which is the number of shares of Common Stock that were outstanding immediately prior to such event.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color w:val="auto"/>
        </w:rPr>
        <w:t>Dividends and Distributions</w:t>
      </w:r>
      <w:r>
        <w:rPr>
          <w:rFonts w:ascii="Times New Roman" w:cs="Times New Roman" w:eastAsia="Times New Roman" w:hAnsi="Times New Roman"/>
          <w:sz w:val="22"/>
          <w:szCs w:val="22"/>
          <w:color w:val="auto"/>
        </w:rPr>
        <w:t>.</w:t>
      </w:r>
    </w:p>
    <w:p>
      <w:pPr>
        <w:spacing w:after="0" w:line="116" w:lineRule="exact"/>
        <w:rPr>
          <w:sz w:val="20"/>
          <w:szCs w:val="20"/>
          <w:color w:val="auto"/>
        </w:rPr>
      </w:pPr>
    </w:p>
    <w:p>
      <w:pPr>
        <w:ind w:left="660" w:right="60" w:hanging="4"/>
        <w:spacing w:after="0" w:line="248" w:lineRule="auto"/>
        <w:tabs>
          <w:tab w:leader="none" w:pos="95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 and to the prior and superior rights of the holders of any shares of any series of Preferred Stock ranking prior and superior to the shares of Series A Participating Preferred Stock with respect to dividends, the holders of shares of Series A Participating Preferred Stock shall be entitled to receive, when, as and if declared by the Board out of funds legally available for the purpose, quarterly dividends payable in cash on the last day of October, January, April and July in each year (each such date being referred to herein as a “</w:t>
      </w:r>
      <w:r>
        <w:rPr>
          <w:rFonts w:ascii="Times New Roman" w:cs="Times New Roman" w:eastAsia="Times New Roman" w:hAnsi="Times New Roman"/>
          <w:sz w:val="22"/>
          <w:szCs w:val="22"/>
          <w:b w:val="1"/>
          <w:bCs w:val="1"/>
          <w:color w:val="auto"/>
        </w:rPr>
        <w:t>Quarterly Dividend Payment Date</w:t>
      </w:r>
      <w:r>
        <w:rPr>
          <w:rFonts w:ascii="Times New Roman" w:cs="Times New Roman" w:eastAsia="Times New Roman" w:hAnsi="Times New Roman"/>
          <w:sz w:val="22"/>
          <w:szCs w:val="22"/>
          <w:color w:val="auto"/>
        </w:rPr>
        <w:t>”), commencing on the first Quarterly Dividend Payment Date after the first issuance of a share or fraction of a share of Series A Participating Preferred Stock, in an amount</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40"/>
          </w:cols>
          <w:pgMar w:left="240" w:top="365" w:right="319" w:bottom="1440" w:gutter="0" w:footer="0" w:header="0"/>
        </w:sectPr>
      </w:pPr>
    </w:p>
    <w:bookmarkStart w:id="53" w:name="page54"/>
    <w:bookmarkEnd w:id="53"/>
    <w:p>
      <w:pPr>
        <w:ind w:left="660" w:right="180"/>
        <w:spacing w:after="0" w:line="249" w:lineRule="auto"/>
        <w:rPr>
          <w:sz w:val="20"/>
          <w:szCs w:val="20"/>
          <w:color w:val="auto"/>
        </w:rPr>
      </w:pPr>
      <w:r>
        <w:rPr>
          <w:rFonts w:ascii="Times New Roman" w:cs="Times New Roman" w:eastAsia="Times New Roman" w:hAnsi="Times New Roman"/>
          <w:sz w:val="22"/>
          <w:szCs w:val="22"/>
          <w:color w:val="auto"/>
        </w:rPr>
        <w:t>per share (rounded to the nearest cent) equal to the greater of (i) $1.00 and (ii) subject to Section 2,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Participating Preferred Stock.</w:t>
      </w:r>
    </w:p>
    <w:p>
      <w:pPr>
        <w:spacing w:after="0" w:line="73" w:lineRule="exact"/>
        <w:rPr>
          <w:sz w:val="20"/>
          <w:szCs w:val="20"/>
          <w:color w:val="auto"/>
        </w:rPr>
      </w:pPr>
    </w:p>
    <w:p>
      <w:pPr>
        <w:ind w:left="660" w:right="200" w:hanging="4"/>
        <w:spacing w:after="0" w:line="249" w:lineRule="auto"/>
        <w:tabs>
          <w:tab w:leader="none" w:pos="96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 shall declare a dividend or distribution on the Series A Participating Preferred Stock as provided in paragraph (a) above immediately after it declares a dividend or distribution on the Common Stock (other than a dividend payable in shares of Common Stock);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the event that no dividend or distribution shall have been declared on the Common Stock during the period between any Quarterly Dividend Payment Date and the next subsequent Quarterly Dividend Payment Date, a dividend of $1.00 per share on the Series A Participating Preferred Stock shall nevertheless be payable on such subsequent Quarterly Dividend Payment Date.</w:t>
      </w:r>
    </w:p>
    <w:p>
      <w:pPr>
        <w:spacing w:after="0" w:line="72" w:lineRule="exact"/>
        <w:rPr>
          <w:rFonts w:ascii="Times New Roman" w:cs="Times New Roman" w:eastAsia="Times New Roman" w:hAnsi="Times New Roman"/>
          <w:sz w:val="22"/>
          <w:szCs w:val="22"/>
          <w:color w:val="auto"/>
        </w:rPr>
      </w:pPr>
    </w:p>
    <w:p>
      <w:pPr>
        <w:ind w:left="660" w:right="20" w:hanging="4"/>
        <w:spacing w:after="0" w:line="245" w:lineRule="auto"/>
        <w:tabs>
          <w:tab w:leader="none" w:pos="95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shall begin to accrue and be cumulative on outstanding shares of Series A Participating Preferred Stock from the Quarterly Dividend Payment Date next preceding the date of issue of such shares of Series A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Participating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Participating Preferred Stock entitled to receive payment of a dividend or distribution declared thereon, which record date shall be no more than 60 days prior to the date fixed for the payment thereof.</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color w:val="auto"/>
        </w:rPr>
        <w:t>Voting Rights</w:t>
      </w:r>
      <w:r>
        <w:rPr>
          <w:rFonts w:ascii="Times New Roman" w:cs="Times New Roman" w:eastAsia="Times New Roman" w:hAnsi="Times New Roman"/>
          <w:sz w:val="22"/>
          <w:szCs w:val="22"/>
          <w:color w:val="auto"/>
        </w:rPr>
        <w:t>. The holders of shares of Series A Participating Preferred Stock shall have the following voting rights:</w:t>
      </w:r>
    </w:p>
    <w:p>
      <w:pPr>
        <w:spacing w:after="0" w:line="116" w:lineRule="exact"/>
        <w:rPr>
          <w:sz w:val="20"/>
          <w:szCs w:val="20"/>
          <w:color w:val="auto"/>
        </w:rPr>
      </w:pPr>
    </w:p>
    <w:p>
      <w:pPr>
        <w:ind w:left="660" w:hanging="4"/>
        <w:spacing w:after="0" w:line="246" w:lineRule="auto"/>
        <w:tabs>
          <w:tab w:leader="none" w:pos="95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 for adjustment hereinafter set forth, each share of Series A Participating Preferred Stock shall entitle the holder thereof to 1,000 votes on all matters submitted to a vote of the stockholders of the Corporation. In the event that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number of votes per share to which holders of shares of Series A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3" w:lineRule="exact"/>
        <w:rPr>
          <w:rFonts w:ascii="Times New Roman" w:cs="Times New Roman" w:eastAsia="Times New Roman" w:hAnsi="Times New Roman"/>
          <w:sz w:val="22"/>
          <w:szCs w:val="22"/>
          <w:color w:val="auto"/>
        </w:rPr>
      </w:pPr>
    </w:p>
    <w:p>
      <w:pPr>
        <w:ind w:left="660" w:right="200" w:hanging="4"/>
        <w:spacing w:after="0" w:line="271" w:lineRule="auto"/>
        <w:tabs>
          <w:tab w:leader="none" w:pos="96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in any other Certificate of Designation creating a series of Preferred Stock or any similar stock, the Charter or the Amended and Restated Bylaws of the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77" w:right="239" w:bottom="1440" w:gutter="0" w:footer="0" w:header="0"/>
        </w:sectPr>
      </w:pPr>
    </w:p>
    <w:bookmarkStart w:id="54" w:name="page55"/>
    <w:bookmarkEnd w:id="54"/>
    <w:p>
      <w:pPr>
        <w:ind w:left="4" w:right="360"/>
        <w:spacing w:after="0" w:line="259" w:lineRule="auto"/>
        <w:rPr>
          <w:sz w:val="20"/>
          <w:szCs w:val="20"/>
          <w:color w:val="auto"/>
        </w:rPr>
      </w:pPr>
      <w:r>
        <w:rPr>
          <w:rFonts w:ascii="Times New Roman" w:cs="Times New Roman" w:eastAsia="Times New Roman" w:hAnsi="Times New Roman"/>
          <w:sz w:val="22"/>
          <w:szCs w:val="22"/>
          <w:color w:val="auto"/>
        </w:rPr>
        <w:t>Corporation (the “</w:t>
      </w:r>
      <w:r>
        <w:rPr>
          <w:rFonts w:ascii="Times New Roman" w:cs="Times New Roman" w:eastAsia="Times New Roman" w:hAnsi="Times New Roman"/>
          <w:sz w:val="22"/>
          <w:szCs w:val="22"/>
          <w:b w:val="1"/>
          <w:bCs w:val="1"/>
          <w:color w:val="auto"/>
        </w:rPr>
        <w:t>Bylaws</w:t>
      </w:r>
      <w:r>
        <w:rPr>
          <w:rFonts w:ascii="Times New Roman" w:cs="Times New Roman" w:eastAsia="Times New Roman" w:hAnsi="Times New Roman"/>
          <w:sz w:val="22"/>
          <w:szCs w:val="22"/>
          <w:color w:val="auto"/>
        </w:rPr>
        <w:t>”), or by law, the holders of shares of Series A Participating Preferred Stock and the holders of shares of Common Stock shall vote together as one class on all matters submitted to a vote of stockholders of the Corporation.</w:t>
      </w:r>
    </w:p>
    <w:p>
      <w:pPr>
        <w:spacing w:after="0" w:line="63" w:lineRule="exact"/>
        <w:rPr>
          <w:sz w:val="20"/>
          <w:szCs w:val="20"/>
          <w:color w:val="auto"/>
        </w:rPr>
      </w:pPr>
    </w:p>
    <w:p>
      <w:pPr>
        <w:ind w:left="4" w:hanging="4"/>
        <w:spacing w:after="0" w:line="257" w:lineRule="auto"/>
        <w:tabs>
          <w:tab w:leader="none" w:pos="29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herein or as required by law, the holders of Series A Participating Preferred Stock shall have no special voting rights and their consent shall not be required (except to the extent that they are entitled to vote with holders of Common Stock as set forth herein) for taking any corporate action.</w:t>
      </w:r>
    </w:p>
    <w:p>
      <w:pPr>
        <w:spacing w:after="0" w:line="65" w:lineRule="exact"/>
        <w:rPr>
          <w:sz w:val="20"/>
          <w:szCs w:val="20"/>
          <w:color w:val="auto"/>
        </w:rPr>
      </w:pPr>
    </w:p>
    <w:p>
      <w:pPr>
        <w:ind w:left="4"/>
        <w:spacing w:after="0" w:line="248" w:lineRule="auto"/>
        <w:rPr>
          <w:sz w:val="20"/>
          <w:szCs w:val="20"/>
          <w:color w:val="auto"/>
        </w:rPr>
      </w:pPr>
      <w:r>
        <w:rPr>
          <w:rFonts w:ascii="Times New Roman" w:cs="Times New Roman" w:eastAsia="Times New Roman" w:hAnsi="Times New Roman"/>
          <w:sz w:val="22"/>
          <w:szCs w:val="22"/>
          <w:color w:val="auto"/>
        </w:rPr>
        <w:t>(d)(i) If at any time dividends on any Series A Participating Preferred Stock shall be in arrears in an amount equal to six quarterly dividends thereon, then the occurrence of such contingency shall mark the beginning of a period (herein called a “</w:t>
      </w:r>
      <w:r>
        <w:rPr>
          <w:rFonts w:ascii="Times New Roman" w:cs="Times New Roman" w:eastAsia="Times New Roman" w:hAnsi="Times New Roman"/>
          <w:sz w:val="22"/>
          <w:szCs w:val="22"/>
          <w:b w:val="1"/>
          <w:bCs w:val="1"/>
          <w:color w:val="auto"/>
        </w:rPr>
        <w:t>default period</w:t>
      </w:r>
      <w:r>
        <w:rPr>
          <w:rFonts w:ascii="Times New Roman" w:cs="Times New Roman" w:eastAsia="Times New Roman" w:hAnsi="Times New Roman"/>
          <w:sz w:val="22"/>
          <w:szCs w:val="22"/>
          <w:color w:val="auto"/>
        </w:rPr>
        <w:t>”) that shall extend until such time as all accrued and unpaid dividends for all previous quarterly dividend periods and for the current quarterly dividend period on all shares of Series A Participating Preferred Stock then outstanding shall have been declared and paid or set apart for payment. During each default period, all holders of Preferred Stock (including holders of Series A Participating Preferred Stock) with dividends in arrears in an amount equal to six quarterly dividends thereon, voting as a class, irrespective of series, shall have the right to elect two directors.</w:t>
      </w:r>
    </w:p>
    <w:p>
      <w:pPr>
        <w:spacing w:after="0" w:line="74" w:lineRule="exact"/>
        <w:rPr>
          <w:sz w:val="20"/>
          <w:szCs w:val="20"/>
          <w:color w:val="auto"/>
        </w:rPr>
      </w:pPr>
    </w:p>
    <w:p>
      <w:pPr>
        <w:ind w:left="644" w:hanging="320"/>
        <w:spacing w:after="0"/>
        <w:tabs>
          <w:tab w:leader="none" w:pos="6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default period, such voting right of the holders of Series A Participating Preferred Stock may be</w:t>
      </w:r>
    </w:p>
    <w:p>
      <w:pPr>
        <w:spacing w:after="0" w:line="27" w:lineRule="exact"/>
        <w:rPr>
          <w:rFonts w:ascii="Times New Roman" w:cs="Times New Roman" w:eastAsia="Times New Roman" w:hAnsi="Times New Roman"/>
          <w:sz w:val="22"/>
          <w:szCs w:val="22"/>
          <w:color w:val="auto"/>
        </w:rPr>
      </w:pPr>
    </w:p>
    <w:p>
      <w:pPr>
        <w:ind w:left="4" w:right="4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exercised initially at a special meeting called pursuant to subparagraph (iii) of this Section 4(d) or at any annual meeting of stockholders, and thereafter at annual meetings of stockholders; provided, however, that such voting right shall not be exercised unless the holders of at least one-third in number of shares of Preferred Stock outstanding shall be present in person or by proxy. The absence of a quorum of the holders of Common Stock shall not affect the exercise by the holders of Preferred Stock of such voting right. At any meeting at which the holders of Preferred Stock shall exercise such voting right initially during an existing default period, they shall have the right, voting as a class, to elect directors to fill such vacancies, if any, in the Board as may then exist up to two directors or, if such right is exercised at an annual meeting of stockholders, to elect two directors. If the number that may be so elected at any special meeting does not amount to the required number, the holders of Preferred Stock shall have the right to make such increase in the number of directors as shall be necessary to permit the election by them of the required number. After the holders of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Participating Preferred Stock.</w:t>
      </w:r>
    </w:p>
    <w:p>
      <w:pPr>
        <w:spacing w:after="0" w:line="71" w:lineRule="exact"/>
        <w:rPr>
          <w:rFonts w:ascii="Times New Roman" w:cs="Times New Roman" w:eastAsia="Times New Roman" w:hAnsi="Times New Roman"/>
          <w:sz w:val="22"/>
          <w:szCs w:val="22"/>
          <w:color w:val="auto"/>
        </w:rPr>
      </w:pPr>
    </w:p>
    <w:p>
      <w:pPr>
        <w:ind w:left="4" w:right="40" w:firstLine="320"/>
        <w:spacing w:after="0" w:line="246" w:lineRule="auto"/>
        <w:tabs>
          <w:tab w:leader="none" w:pos="70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holders of Preferred Stock shall, during an existing default period, have previously exercised their right to elect directors, the Board may order, or any stockholder or stockholders owning in the aggregate not less than 10% of the total number of shares of Preferred Stock outstanding, irrespective of series, may request, the calling of a special meeting of the holders of Preferred Stock, which meeting shall thereupon be called by the Chairman of the Board, Chief Executive Officer, President, Chief Financial Officer, Secretary, Assistant Secretary or any Senior Vice President of the Corporation. Notice of such meeting and of any annual meeting at which holders of Preferred Stock are entitled to vote pursuant to this paragraph (d)(iii) shall be given to each holder of record of Preferred Stock by mailing a copy of such notice to such holder at such holder’s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w:t>
      </w:r>
    </w:p>
    <w:p>
      <w:pPr>
        <w:spacing w:after="0" w:line="209"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4"/>
          </w:cols>
          <w:pgMar w:left="896" w:top="473" w:right="239" w:bottom="1440" w:gutter="0" w:footer="0" w:header="0"/>
        </w:sectPr>
      </w:pPr>
    </w:p>
    <w:bookmarkStart w:id="55" w:name="page56"/>
    <w:bookmarkEnd w:id="55"/>
    <w:p>
      <w:pPr>
        <w:ind w:left="660" w:right="60"/>
        <w:spacing w:after="0" w:line="257" w:lineRule="auto"/>
        <w:rPr>
          <w:sz w:val="20"/>
          <w:szCs w:val="20"/>
          <w:color w:val="auto"/>
        </w:rPr>
      </w:pPr>
      <w:r>
        <w:rPr>
          <w:rFonts w:ascii="Times New Roman" w:cs="Times New Roman" w:eastAsia="Times New Roman" w:hAnsi="Times New Roman"/>
          <w:sz w:val="22"/>
          <w:szCs w:val="22"/>
          <w:color w:val="auto"/>
        </w:rPr>
        <w:t>aggregate not less than 10% of the total number of shares of Preferred Stock outstanding. Notwithstanding the provisions of this paragraph (d)(iii), no such special meeting shall be called during the period within 60 days immediately preceding the date fixed for the next annual meeting of the stockholders.</w:t>
      </w:r>
    </w:p>
    <w:p>
      <w:pPr>
        <w:spacing w:after="0" w:line="65" w:lineRule="exact"/>
        <w:rPr>
          <w:sz w:val="20"/>
          <w:szCs w:val="20"/>
          <w:color w:val="auto"/>
        </w:rPr>
      </w:pPr>
    </w:p>
    <w:p>
      <w:pPr>
        <w:ind w:left="660" w:right="40" w:firstLine="320"/>
        <w:spacing w:after="0" w:line="246" w:lineRule="auto"/>
        <w:tabs>
          <w:tab w:leader="none" w:pos="135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(A) the directors so elected by the holders of Preferred Stock shall continue in office until their successors shall have been elected by such holders or until the expiration of the default period, and (B) any vacancy in the Board may (except as provided in subparagraph (ii) of this Section 4(d)) be filled by vote of a majority of the remaining directors theretofore elected by the holders of the class of stock that elected the director whose office shall have become vacant. References in this Section 4(d) to directors elected by the holders of a particular class of stock shall include directors elected by such directors to fill vacancies as provided in clause (B) of the foregoing sentence.</w:t>
      </w:r>
    </w:p>
    <w:p>
      <w:pPr>
        <w:spacing w:after="0" w:line="83" w:lineRule="exact"/>
        <w:rPr>
          <w:rFonts w:ascii="Times New Roman" w:cs="Times New Roman" w:eastAsia="Times New Roman" w:hAnsi="Times New Roman"/>
          <w:sz w:val="22"/>
          <w:szCs w:val="22"/>
          <w:color w:val="auto"/>
        </w:rPr>
      </w:pPr>
    </w:p>
    <w:p>
      <w:pPr>
        <w:ind w:left="660" w:right="60" w:firstLine="320"/>
        <w:spacing w:after="0" w:line="266" w:lineRule="auto"/>
        <w:tabs>
          <w:tab w:leader="none" w:pos="129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upon the expiration of a default period, (A) the right of the holders of Preferred Stock as a class to elect directors shall cease, (B) the term of any directors elected by the holders of Preferred Stock as a class shall terminate and</w:t>
      </w:r>
    </w:p>
    <w:p>
      <w:pPr>
        <w:spacing w:after="0" w:line="1" w:lineRule="exact"/>
        <w:rPr>
          <w:rFonts w:ascii="Times New Roman" w:cs="Times New Roman" w:eastAsia="Times New Roman" w:hAnsi="Times New Roman"/>
          <w:sz w:val="21"/>
          <w:szCs w:val="21"/>
          <w:color w:val="auto"/>
        </w:rPr>
      </w:pPr>
    </w:p>
    <w:p>
      <w:pPr>
        <w:ind w:left="660" w:right="200" w:hanging="4"/>
        <w:spacing w:after="0" w:line="260" w:lineRule="auto"/>
        <w:tabs>
          <w:tab w:leader="none" w:pos="100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directors shall be such number as may be provided for in the Charter or the Bylaws irrespective of any increase made pursuant to the provisions of subparagraph (ii) of this Section 4(d) (such number being subject, however, to change thereafter in any manner provided by law or in the Charter or Bylaws). Any vacancies in the Board effected by the provisions of clauses (B) and (C) in the preceding sentence may be filled by a majority of the remaining directors.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color w:val="auto"/>
        </w:rPr>
        <w:t>Certain Restrictions.</w:t>
      </w:r>
    </w:p>
    <w:p>
      <w:pPr>
        <w:spacing w:after="0" w:line="116" w:lineRule="exact"/>
        <w:rPr>
          <w:sz w:val="20"/>
          <w:szCs w:val="20"/>
          <w:color w:val="auto"/>
        </w:rPr>
      </w:pPr>
    </w:p>
    <w:p>
      <w:pPr>
        <w:ind w:left="660" w:hanging="4"/>
        <w:spacing w:after="0" w:line="252" w:lineRule="auto"/>
        <w:tabs>
          <w:tab w:leader="none" w:pos="95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not declare any dividend on, make any distribution on, or redeem or purchase or otherwise acquire for consideration any shares of Common Stock after the first issuance of a share or fraction of a share of Series A Participating Preferred Stock unless concurrently therewith it shall declare a dividend on the Series A Participating Preferred Stock as required by Section 3 hereof.</w:t>
      </w:r>
    </w:p>
    <w:p>
      <w:pPr>
        <w:spacing w:after="0" w:line="71" w:lineRule="exact"/>
        <w:rPr>
          <w:rFonts w:ascii="Times New Roman" w:cs="Times New Roman" w:eastAsia="Times New Roman" w:hAnsi="Times New Roman"/>
          <w:sz w:val="22"/>
          <w:szCs w:val="22"/>
          <w:color w:val="auto"/>
        </w:rPr>
      </w:pPr>
    </w:p>
    <w:p>
      <w:pPr>
        <w:ind w:left="660" w:right="180" w:hanging="4"/>
        <w:spacing w:after="0" w:line="252" w:lineRule="auto"/>
        <w:tabs>
          <w:tab w:leader="none" w:pos="96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quarterly dividends or other dividends or distributions payable on the Series A Participating Preferred Stock as provided in Section 3 hereof are in arrears, thereafter and until all accrued and unpaid dividends and distributions, whether or not declared, on shares of Series A Participating Preferred Stock outstanding shall have been paid in full, the Corporation shall not:</w:t>
      </w:r>
    </w:p>
    <w:p>
      <w:pPr>
        <w:spacing w:after="0" w:line="71" w:lineRule="exact"/>
        <w:rPr>
          <w:rFonts w:ascii="Times New Roman" w:cs="Times New Roman" w:eastAsia="Times New Roman" w:hAnsi="Times New Roman"/>
          <w:sz w:val="22"/>
          <w:szCs w:val="22"/>
          <w:color w:val="auto"/>
        </w:rPr>
      </w:pPr>
    </w:p>
    <w:p>
      <w:pPr>
        <w:ind w:left="660" w:right="320" w:firstLine="320"/>
        <w:spacing w:after="0" w:line="257" w:lineRule="auto"/>
        <w:tabs>
          <w:tab w:leader="none" w:pos="124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dividends on, make any other distributions on, or redeem or purchase or otherwise acquire for consideration any shares of stock ranking junior (either as to dividends or upon liquidation, dissolution or winding up) to the Series A Participating Preferred Stock;</w:t>
      </w:r>
    </w:p>
    <w:p>
      <w:pPr>
        <w:spacing w:after="0" w:line="65" w:lineRule="exact"/>
        <w:rPr>
          <w:rFonts w:ascii="Times New Roman" w:cs="Times New Roman" w:eastAsia="Times New Roman" w:hAnsi="Times New Roman"/>
          <w:sz w:val="22"/>
          <w:szCs w:val="22"/>
          <w:color w:val="auto"/>
        </w:rPr>
      </w:pPr>
    </w:p>
    <w:p>
      <w:pPr>
        <w:ind w:left="660" w:right="140" w:firstLine="320"/>
        <w:spacing w:after="0" w:line="252" w:lineRule="auto"/>
        <w:tabs>
          <w:tab w:leader="none" w:pos="130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dividends, or make any other distributions, on any shares of stock ranking on a parity (either as to dividends or upon liquidation, dissolution or winding up) with the Series A Participating Preferred Stock, except dividends paid ratably on the Series A Participating Preferred Stock and all such parity stock on which dividends are payable or in arrears in proportion to the total amounts to which the holders of all such shares are then entitled;</w:t>
      </w:r>
    </w:p>
    <w:p>
      <w:pPr>
        <w:spacing w:after="0" w:line="71" w:lineRule="exact"/>
        <w:rPr>
          <w:rFonts w:ascii="Times New Roman" w:cs="Times New Roman" w:eastAsia="Times New Roman" w:hAnsi="Times New Roman"/>
          <w:sz w:val="22"/>
          <w:szCs w:val="22"/>
          <w:color w:val="auto"/>
        </w:rPr>
      </w:pPr>
    </w:p>
    <w:p>
      <w:pPr>
        <w:ind w:left="660" w:right="560" w:firstLine="320"/>
        <w:spacing w:after="0" w:line="254" w:lineRule="auto"/>
        <w:tabs>
          <w:tab w:leader="none" w:pos="136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or purchase or otherwise acquire for consideration shares of any stock ranking on a parity (either as to dividends or upon liquidation, dissolution or winding up) with the Series A Participating Preferred</w:t>
      </w:r>
    </w:p>
    <w:p>
      <w:pPr>
        <w:spacing w:after="0" w:line="1" w:lineRule="exact"/>
        <w:rPr>
          <w:rFonts w:ascii="Times New Roman" w:cs="Times New Roman" w:eastAsia="Times New Roman" w:hAnsi="Times New Roman"/>
          <w:sz w:val="22"/>
          <w:szCs w:val="22"/>
          <w:color w:val="auto"/>
        </w:rPr>
      </w:pPr>
    </w:p>
    <w:p>
      <w:pPr>
        <w:ind w:left="660" w:right="24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Stock;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Corporation may at any time redeem, purchase or otherwise acquire shares of any such parity stock in exchange for shares of any stock</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77" w:right="239" w:bottom="1440" w:gutter="0" w:footer="0" w:header="0"/>
        </w:sectPr>
      </w:pPr>
    </w:p>
    <w:bookmarkStart w:id="56" w:name="page57"/>
    <w:bookmarkEnd w:id="56"/>
    <w:p>
      <w:pPr>
        <w:ind w:left="660" w:right="440"/>
        <w:spacing w:after="0" w:line="271" w:lineRule="auto"/>
        <w:rPr>
          <w:sz w:val="20"/>
          <w:szCs w:val="20"/>
          <w:color w:val="auto"/>
        </w:rPr>
      </w:pPr>
      <w:r>
        <w:rPr>
          <w:rFonts w:ascii="Times New Roman" w:cs="Times New Roman" w:eastAsia="Times New Roman" w:hAnsi="Times New Roman"/>
          <w:sz w:val="22"/>
          <w:szCs w:val="22"/>
          <w:color w:val="auto"/>
        </w:rPr>
        <w:t>of the Corporation ranking junior (either as to dividends or upon dissolution, liquidation or winding up) to the Series A Participating Preferred Stock; or</w:t>
      </w:r>
    </w:p>
    <w:p>
      <w:pPr>
        <w:spacing w:after="0" w:line="50" w:lineRule="exact"/>
        <w:rPr>
          <w:sz w:val="20"/>
          <w:szCs w:val="20"/>
          <w:color w:val="auto"/>
        </w:rPr>
      </w:pPr>
    </w:p>
    <w:p>
      <w:pPr>
        <w:ind w:left="660" w:right="20" w:firstLine="320"/>
        <w:spacing w:after="0" w:line="249" w:lineRule="auto"/>
        <w:tabs>
          <w:tab w:leader="none" w:pos="135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or purchase or otherwise acquire for consideration any shares of Series A Participating Preferred Stock, or any shares of stock ranking on a parity with the Series A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72" w:lineRule="exact"/>
        <w:rPr>
          <w:rFonts w:ascii="Times New Roman" w:cs="Times New Roman" w:eastAsia="Times New Roman" w:hAnsi="Times New Roman"/>
          <w:sz w:val="22"/>
          <w:szCs w:val="22"/>
          <w:color w:val="auto"/>
        </w:rPr>
      </w:pPr>
    </w:p>
    <w:p>
      <w:pPr>
        <w:ind w:left="660" w:right="20" w:hanging="4"/>
        <w:spacing w:after="0" w:line="257" w:lineRule="auto"/>
        <w:tabs>
          <w:tab w:leader="none" w:pos="95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not permit any subsidiary of the Corporation to purchase or otherwise acquire for consideration any shares of stock of the Corporation unless the Corporation could, pursuant to paragraph (a) of this Section 5, purchase or otherwise acquire such shares at such time and in such manner.</w:t>
      </w:r>
    </w:p>
    <w:p>
      <w:pPr>
        <w:spacing w:after="0" w:line="6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color w:val="auto"/>
        </w:rPr>
        <w:t>Reacquired Shares</w:t>
      </w:r>
      <w:r>
        <w:rPr>
          <w:rFonts w:ascii="Times New Roman" w:cs="Times New Roman" w:eastAsia="Times New Roman" w:hAnsi="Times New Roman"/>
          <w:sz w:val="22"/>
          <w:szCs w:val="22"/>
          <w:color w:val="auto"/>
        </w:rPr>
        <w:t>. Any shares of Series A Participating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subject to the conditions and restrictions on issuance set forth herein, in the Charter or in any other Certificate of Designation creating a series of Preferred Stock or any similar stock or as otherwise required by law.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i w:val="1"/>
          <w:iCs w:val="1"/>
          <w:color w:val="auto"/>
        </w:rPr>
        <w:t>Liquidation, Dissolution or Winding Up</w:t>
      </w:r>
      <w:r>
        <w:rPr>
          <w:rFonts w:ascii="Times New Roman" w:cs="Times New Roman" w:eastAsia="Times New Roman" w:hAnsi="Times New Roman"/>
          <w:sz w:val="22"/>
          <w:szCs w:val="22"/>
          <w:color w:val="auto"/>
        </w:rPr>
        <w:t>.</w:t>
      </w:r>
    </w:p>
    <w:p>
      <w:pPr>
        <w:spacing w:after="0" w:line="116" w:lineRule="exact"/>
        <w:rPr>
          <w:sz w:val="20"/>
          <w:szCs w:val="20"/>
          <w:color w:val="auto"/>
        </w:rPr>
      </w:pPr>
    </w:p>
    <w:p>
      <w:pPr>
        <w:ind w:left="660" w:hanging="4"/>
        <w:spacing w:after="0" w:line="257" w:lineRule="auto"/>
        <w:tabs>
          <w:tab w:leader="none" w:pos="95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any liquidation (voluntary or otherwise), dissolution or winding up of the Corporation, no distribution shall be made to the holders of shares of stock ranking junior (either as to dividends or upon liquidation, dissolution or winding up) to the Series A Participating Preferred Stock unless, prior thereto, the holders of shares of Series A Participating Preferred Stock shall have received an amount equal to $1,000 per share of Series A Participating Preferred Stock, plus an amount equal to accrued and unpaid dividends and distributions thereon, whether or not declared, to the date of such payment (the “</w:t>
      </w:r>
      <w:r>
        <w:rPr>
          <w:rFonts w:ascii="Times New Roman" w:cs="Times New Roman" w:eastAsia="Times New Roman" w:hAnsi="Times New Roman"/>
          <w:sz w:val="21"/>
          <w:szCs w:val="21"/>
          <w:b w:val="1"/>
          <w:bCs w:val="1"/>
          <w:color w:val="auto"/>
        </w:rPr>
        <w:t>Series A Liquidation Preference</w:t>
      </w:r>
      <w:r>
        <w:rPr>
          <w:rFonts w:ascii="Times New Roman" w:cs="Times New Roman" w:eastAsia="Times New Roman" w:hAnsi="Times New Roman"/>
          <w:sz w:val="21"/>
          <w:szCs w:val="21"/>
          <w:color w:val="auto"/>
        </w:rPr>
        <w:t>”). Following the payment of the full amount of the Series A Liquidation Preference, no additional distributions shall be made to the holders of shares of Series A Participating Preferred Stock unless, prior thereto, the holders of shares of Common Stock shall have received an amount per share (the “</w:t>
      </w:r>
      <w:r>
        <w:rPr>
          <w:rFonts w:ascii="Times New Roman" w:cs="Times New Roman" w:eastAsia="Times New Roman" w:hAnsi="Times New Roman"/>
          <w:sz w:val="21"/>
          <w:szCs w:val="21"/>
          <w:b w:val="1"/>
          <w:bCs w:val="1"/>
          <w:color w:val="auto"/>
        </w:rPr>
        <w:t>Common Adjustment</w:t>
      </w:r>
      <w:r>
        <w:rPr>
          <w:rFonts w:ascii="Times New Roman" w:cs="Times New Roman" w:eastAsia="Times New Roman" w:hAnsi="Times New Roman"/>
          <w:sz w:val="21"/>
          <w:szCs w:val="21"/>
          <w:color w:val="auto"/>
        </w:rPr>
        <w:t>”) equal to the quotient obtained by dividing (i) the Series A Liquidation Preference by (ii) 1,000 (as appropriately adjusted to reflect events as stock splits, stock dividends and recapitalizations with respect to the Common Stock) (such number in clause (ii), the “</w:t>
      </w:r>
      <w:r>
        <w:rPr>
          <w:rFonts w:ascii="Times New Roman" w:cs="Times New Roman" w:eastAsia="Times New Roman" w:hAnsi="Times New Roman"/>
          <w:sz w:val="21"/>
          <w:szCs w:val="21"/>
          <w:b w:val="1"/>
          <w:bCs w:val="1"/>
          <w:color w:val="auto"/>
        </w:rPr>
        <w:t>Adjustment Number</w:t>
      </w:r>
      <w:r>
        <w:rPr>
          <w:rFonts w:ascii="Times New Roman" w:cs="Times New Roman" w:eastAsia="Times New Roman" w:hAnsi="Times New Roman"/>
          <w:sz w:val="21"/>
          <w:szCs w:val="21"/>
          <w:color w:val="auto"/>
        </w:rPr>
        <w:t>”). Following the payment of the full amount of the Series A Liquidation Preference and the Common Adjustment in respect of all outstanding shares of Series A Participating Preferred Stock and Common Stock, respectively, holders of Series A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spacing w:after="0" w:line="78" w:lineRule="exact"/>
        <w:rPr>
          <w:rFonts w:ascii="Times New Roman" w:cs="Times New Roman" w:eastAsia="Times New Roman" w:hAnsi="Times New Roman"/>
          <w:sz w:val="21"/>
          <w:szCs w:val="21"/>
          <w:color w:val="auto"/>
        </w:rPr>
      </w:pPr>
    </w:p>
    <w:p>
      <w:pPr>
        <w:jc w:val="both"/>
        <w:ind w:left="660" w:right="100" w:hanging="4"/>
        <w:spacing w:after="0" w:line="268" w:lineRule="auto"/>
        <w:tabs>
          <w:tab w:leader="none" w:pos="96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however, that there are not sufficient assets available to permit payment in full of the Series A Liquidation Preference and the liquidation preferences of all other series of Preferred Stock, if any, that rank on a parity with the Series A Participating Preferred Stock, then such remaining assets shall be distributed ratably to the holders of such parity shares in proportion to their respective liquidation preferences. In the event, however, that there are not sufficient assets</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477" w:right="279" w:bottom="1440" w:gutter="0" w:footer="0" w:header="0"/>
        </w:sectPr>
      </w:pPr>
    </w:p>
    <w:bookmarkStart w:id="57" w:name="page58"/>
    <w:bookmarkEnd w:id="57"/>
    <w:p>
      <w:pPr>
        <w:ind w:left="660" w:right="260"/>
        <w:spacing w:after="0" w:line="271" w:lineRule="auto"/>
        <w:rPr>
          <w:sz w:val="20"/>
          <w:szCs w:val="20"/>
          <w:color w:val="auto"/>
        </w:rPr>
      </w:pPr>
      <w:r>
        <w:rPr>
          <w:rFonts w:ascii="Times New Roman" w:cs="Times New Roman" w:eastAsia="Times New Roman" w:hAnsi="Times New Roman"/>
          <w:sz w:val="22"/>
          <w:szCs w:val="22"/>
          <w:color w:val="auto"/>
        </w:rPr>
        <w:t>available to permit payment in full of the Common Adjustment, then such remaining assets shall be distributed ratably to the holders of Common Stock.</w:t>
      </w:r>
    </w:p>
    <w:p>
      <w:pPr>
        <w:spacing w:after="0" w:line="50" w:lineRule="exact"/>
        <w:rPr>
          <w:sz w:val="20"/>
          <w:szCs w:val="20"/>
          <w:color w:val="auto"/>
        </w:rPr>
      </w:pPr>
    </w:p>
    <w:p>
      <w:pPr>
        <w:ind w:left="660" w:right="260" w:hanging="4"/>
        <w:spacing w:after="0" w:line="263" w:lineRule="auto"/>
        <w:tabs>
          <w:tab w:leader="none" w:pos="954"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Corporation shall at any time after the Rights Declaration Date (i) declare any dividend on the Common Stock payable in shares of Common Stock, (ii) subdivide the outstanding Common Stock or (iii) combine the outstanding Common Stock into a smaller number of shares, then in each such case the Corporation shall simultaneously effect a proportional adjustment to the Adjustment Number in effect immediately prior to such event by an amount the numerator of which is the number of shares of Common Stock outstanding immediately after such event and the denominator of which is the number of shares of Common Stock that were outstanding immediately prior to such event.</w:t>
      </w:r>
    </w:p>
    <w:p>
      <w:pPr>
        <w:spacing w:after="0" w:line="56"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i w:val="1"/>
          <w:iCs w:val="1"/>
          <w:color w:val="auto"/>
        </w:rPr>
        <w:t>Consolidation, Merger, etc.</w:t>
      </w:r>
      <w:r>
        <w:rPr>
          <w:rFonts w:ascii="Times New Roman" w:cs="Times New Roman" w:eastAsia="Times New Roman" w:hAnsi="Times New Roman"/>
          <w:sz w:val="22"/>
          <w:szCs w:val="22"/>
          <w:color w:val="auto"/>
        </w:rPr>
        <w:t xml:space="preserve"> In the event that the Corporation shall enter into any consolidation, merger, combination, conversion, share exchange or other transaction in which the shares of Common Stock are exchanged for or changed into other stock, securities, cash and/or any other property (payable in kind), then in any such case the shares of Series A Participating Preferred Stock shall at the same time be similarly exchanged or changed in an amount per share (subject to Section 2) equal to 1,000 times the aggregate amount of stock, securities, cash and/or any other property (payable in kind), as the case may be, into which or for which each share of Common Stock is changed or exchanged.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i w:val="1"/>
          <w:iCs w:val="1"/>
          <w:color w:val="auto"/>
        </w:rPr>
        <w:t>No Redemption</w:t>
      </w:r>
      <w:r>
        <w:rPr>
          <w:rFonts w:ascii="Times New Roman" w:cs="Times New Roman" w:eastAsia="Times New Roman" w:hAnsi="Times New Roman"/>
          <w:sz w:val="22"/>
          <w:szCs w:val="22"/>
          <w:color w:val="auto"/>
        </w:rPr>
        <w:t>. The shares of Series A Participating Preferred Stock shall not be redeemable.</w:t>
      </w:r>
    </w:p>
    <w:p>
      <w:pPr>
        <w:spacing w:after="0" w:line="11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i w:val="1"/>
          <w:iCs w:val="1"/>
          <w:color w:val="auto"/>
        </w:rPr>
        <w:t>Ranking</w:t>
      </w:r>
      <w:r>
        <w:rPr>
          <w:rFonts w:ascii="Times New Roman" w:cs="Times New Roman" w:eastAsia="Times New Roman" w:hAnsi="Times New Roman"/>
          <w:sz w:val="22"/>
          <w:szCs w:val="22"/>
          <w:color w:val="auto"/>
        </w:rPr>
        <w:t>. The Series A Participating Preferred Stock shall rank junior to all other series of the Preferred Stock as to the payment of dividends and the distribution of assets, unless the terms of any such series shall provide otherwise.</w:t>
      </w:r>
    </w:p>
    <w:p>
      <w:pPr>
        <w:spacing w:after="0" w:line="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i w:val="1"/>
          <w:iCs w:val="1"/>
          <w:color w:val="auto"/>
        </w:rPr>
        <w:t>Amendment.</w:t>
      </w:r>
      <w:r>
        <w:rPr>
          <w:rFonts w:ascii="Times New Roman" w:cs="Times New Roman" w:eastAsia="Times New Roman" w:hAnsi="Times New Roman"/>
          <w:sz w:val="21"/>
          <w:szCs w:val="21"/>
          <w:color w:val="auto"/>
        </w:rPr>
        <w:t xml:space="preserve"> At any time when any shares of Series A Participating Preferred Stock are outstanding, neither the Charter nor this Certificate of Designation shall be amended in any manner that would materially alter or change the powers, preferences or special rights of the Series A Participating Preferred Stock so as to affect them adversely without the affirmative vote of the holders of at least two-thirds of the outstanding shares of Series A Participating Preferred Stock, voting separately as a class.</w:t>
      </w:r>
    </w:p>
    <w:p>
      <w:pPr>
        <w:spacing w:after="0" w:line="5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i w:val="1"/>
          <w:iCs w:val="1"/>
          <w:color w:val="auto"/>
        </w:rPr>
        <w:t>Fractional Shares</w:t>
      </w:r>
      <w:r>
        <w:rPr>
          <w:rFonts w:ascii="Times New Roman" w:cs="Times New Roman" w:eastAsia="Times New Roman" w:hAnsi="Times New Roman"/>
          <w:sz w:val="22"/>
          <w:szCs w:val="22"/>
          <w:color w:val="auto"/>
        </w:rPr>
        <w:t>. Series A Participating Preferred Stock may be issued in fractions of a share that shall entitle the holder, in proportion to such holder’s fractional shares, to exercise voting rights, receive dividends, participate in distributions and to have the benefit of all other rights of holders of Series A Participating Preferred Stock.</w:t>
      </w:r>
    </w:p>
    <w:p>
      <w:pPr>
        <w:spacing w:after="0" w:line="200" w:lineRule="exact"/>
        <w:rPr>
          <w:sz w:val="20"/>
          <w:szCs w:val="20"/>
          <w:color w:val="auto"/>
        </w:rPr>
      </w:pPr>
    </w:p>
    <w:p>
      <w:pPr>
        <w:spacing w:after="0" w:line="227"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7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2"/>
          <w:szCs w:val="22"/>
          <w:color w:val="auto"/>
        </w:rPr>
        <w:t>[ Signature page follows]</w:t>
      </w: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77" w:right="2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IN WITNESS WHEREOF, the undersigned has executed this Certificate as of the 7th day of September,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20"/>
        <w:spacing w:after="0"/>
        <w:tabs>
          <w:tab w:leader="none" w:pos="5160" w:val="left"/>
        </w:tabs>
        <w:rPr>
          <w:sz w:val="20"/>
          <w:szCs w:val="20"/>
          <w:color w:val="auto"/>
        </w:rPr>
      </w:pPr>
      <w:r>
        <w:rPr>
          <w:rFonts w:ascii="Times New Roman" w:cs="Times New Roman" w:eastAsia="Times New Roman" w:hAnsi="Times New Roman"/>
          <w:sz w:val="20"/>
          <w:szCs w:val="20"/>
          <w:color w:val="auto"/>
        </w:rPr>
        <w:t>By:</w:t>
        <w:tab/>
        <w:t>/s/ 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31115</wp:posOffset>
            </wp:positionV>
            <wp:extent cx="37649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47" w:lineRule="exact"/>
        <w:rPr>
          <w:sz w:val="20"/>
          <w:szCs w:val="20"/>
          <w:color w:val="auto"/>
        </w:rPr>
      </w:pPr>
    </w:p>
    <w:p>
      <w:pPr>
        <w:ind w:left="5180"/>
        <w:spacing w:after="0"/>
        <w:tabs>
          <w:tab w:leader="none" w:pos="5960" w:val="left"/>
        </w:tabs>
        <w:rPr>
          <w:sz w:val="20"/>
          <w:szCs w:val="20"/>
          <w:color w:val="auto"/>
        </w:rPr>
      </w:pPr>
      <w:r>
        <w:rPr>
          <w:rFonts w:ascii="Times New Roman" w:cs="Times New Roman" w:eastAsia="Times New Roman" w:hAnsi="Times New Roman"/>
          <w:sz w:val="20"/>
          <w:szCs w:val="20"/>
          <w:color w:val="auto"/>
        </w:rPr>
        <w:t>Name:</w:t>
        <w:tab/>
        <w:t>Ralph S. Marimon</w:t>
      </w:r>
    </w:p>
    <w:p>
      <w:pPr>
        <w:spacing w:after="0" w:line="54" w:lineRule="exact"/>
        <w:rPr>
          <w:sz w:val="20"/>
          <w:szCs w:val="20"/>
          <w:color w:val="auto"/>
        </w:rPr>
      </w:pPr>
    </w:p>
    <w:p>
      <w:pPr>
        <w:jc w:val="both"/>
        <w:ind w:left="5180"/>
        <w:spacing w:after="0"/>
        <w:tabs>
          <w:tab w:leader="none" w:pos="59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20"/>
          </w:cols>
          <w:pgMar w:left="580" w:top="1206" w:right="13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THE</w:t>
      </w: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jc w:val="center"/>
        <w:spacing w:after="0"/>
        <w:rPr>
          <w:sz w:val="20"/>
          <w:szCs w:val="20"/>
          <w:color w:val="auto"/>
        </w:rPr>
      </w:pPr>
      <w:r>
        <w:rPr>
          <w:rFonts w:ascii="Times New Roman" w:cs="Times New Roman" w:eastAsia="Times New Roman" w:hAnsi="Times New Roman"/>
          <w:sz w:val="20"/>
          <w:szCs w:val="20"/>
          <w:b w:val="1"/>
          <w:bCs w:val="1"/>
          <w:color w:val="auto"/>
        </w:rPr>
        <w:t>AVIAT NETWORKS, INC.</w:t>
      </w:r>
    </w:p>
    <w:p>
      <w:pPr>
        <w:spacing w:after="0" w:line="20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Aviat Networks, Inc., a corporation organized and existing under and by virtue of the Delaware General Corporation Law (the “Corporation”) DOES HEREBY CERTIFY THAT:</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FIRST: </w:t>
      </w:r>
      <w:r>
        <w:rPr>
          <w:rFonts w:ascii="Times New Roman" w:cs="Times New Roman" w:eastAsia="Times New Roman" w:hAnsi="Times New Roman"/>
          <w:sz w:val="20"/>
          <w:szCs w:val="20"/>
          <w:color w:val="auto"/>
        </w:rPr>
        <w:t>This Amendment to the Amended and Restated Certificate of Incorporation, as amended (the “Certificate of Incorporation”),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Corporation has been duly adopted in accordance with the provisions of Section 242 of the General Corporation Law of the State of Delaware.</w:t>
      </w:r>
    </w:p>
    <w:p>
      <w:pPr>
        <w:spacing w:after="0" w:line="18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SECOND: </w:t>
      </w:r>
      <w:r>
        <w:rPr>
          <w:rFonts w:ascii="Times New Roman" w:cs="Times New Roman" w:eastAsia="Times New Roman" w:hAnsi="Times New Roman"/>
          <w:sz w:val="20"/>
          <w:szCs w:val="20"/>
          <w:color w:val="auto"/>
        </w:rPr>
        <w:t>The Certificate of Incorporation of the Corporation is hereby amended by adding the following “Article IX”, which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read in its entirety as follows: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Part 1. Definitions. </w:t>
      </w:r>
      <w:r>
        <w:rPr>
          <w:rFonts w:ascii="Times New Roman" w:cs="Times New Roman" w:eastAsia="Times New Roman" w:hAnsi="Times New Roman"/>
          <w:sz w:val="20"/>
          <w:szCs w:val="20"/>
          <w:color w:val="auto"/>
        </w:rPr>
        <w:t>As used in this Article IX, the following capitalized terms have the following meanings when used herein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initial capital letters (and any references to any portions of Treasury Regulation § 1.382-2T shall include any successor provisions):</w:t>
      </w:r>
    </w:p>
    <w:p>
      <w:pPr>
        <w:spacing w:after="0" w:line="166" w:lineRule="exact"/>
        <w:rPr>
          <w:sz w:val="20"/>
          <w:szCs w:val="20"/>
          <w:color w:val="auto"/>
        </w:rPr>
      </w:pPr>
    </w:p>
    <w:p>
      <w:pPr>
        <w:ind w:left="900" w:hanging="244"/>
        <w:spacing w:after="0"/>
        <w:tabs>
          <w:tab w:leader="none" w:pos="9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4.9-percent Transaction</w:t>
      </w:r>
      <w:r>
        <w:rPr>
          <w:rFonts w:ascii="Times New Roman" w:cs="Times New Roman" w:eastAsia="Times New Roman" w:hAnsi="Times New Roman"/>
          <w:sz w:val="20"/>
          <w:szCs w:val="20"/>
          <w:color w:val="auto"/>
        </w:rPr>
        <w:t>” means any Transfer described in clause (a) or (b) of Part 2 of this Article IX.</w:t>
      </w:r>
    </w:p>
    <w:p>
      <w:pPr>
        <w:spacing w:after="0" w:line="229" w:lineRule="exact"/>
        <w:rPr>
          <w:rFonts w:ascii="Times New Roman" w:cs="Times New Roman" w:eastAsia="Times New Roman" w:hAnsi="Times New Roman"/>
          <w:sz w:val="20"/>
          <w:szCs w:val="20"/>
          <w:color w:val="auto"/>
        </w:rPr>
      </w:pPr>
    </w:p>
    <w:p>
      <w:pPr>
        <w:jc w:val="both"/>
        <w:ind w:firstLine="656"/>
        <w:spacing w:after="0" w:line="250" w:lineRule="auto"/>
        <w:tabs>
          <w:tab w:leader="none" w:pos="9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4.9-percent Stockholder</w:t>
      </w:r>
      <w:r>
        <w:rPr>
          <w:rFonts w:ascii="Times New Roman" w:cs="Times New Roman" w:eastAsia="Times New Roman" w:hAnsi="Times New Roman"/>
          <w:sz w:val="20"/>
          <w:szCs w:val="20"/>
          <w:color w:val="auto"/>
        </w:rPr>
        <w:t>” a Person who owns a Percentage Stock Ownership equal to or exceeding 4.9% of the Corporation’s then-outstanding Stock, whether directly or indirectly, and including Stock such Person would be deemed to constructively own or which otherwise would be aggregated with shares owned by such Person pursuant to Section 382 of the Code, or any successor provision or replacement provision and the applicable Treasury Regulations and Internal Revenue Service guidance thereunder.</w:t>
      </w:r>
    </w:p>
    <w:p>
      <w:pPr>
        <w:spacing w:after="0" w:line="189"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Agent</w:t>
      </w:r>
      <w:r>
        <w:rPr>
          <w:rFonts w:ascii="Times New Roman" w:cs="Times New Roman" w:eastAsia="Times New Roman" w:hAnsi="Times New Roman"/>
          <w:sz w:val="20"/>
          <w:szCs w:val="20"/>
          <w:color w:val="auto"/>
        </w:rPr>
        <w:t>” has the meaning set forth in Part 5 of this Article IX.</w:t>
      </w:r>
    </w:p>
    <w:p>
      <w:pPr>
        <w:spacing w:after="0" w:line="229"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Board of Directors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“Board”</w:t>
      </w:r>
      <w:r>
        <w:rPr>
          <w:rFonts w:ascii="Times New Roman" w:cs="Times New Roman" w:eastAsia="Times New Roman" w:hAnsi="Times New Roman"/>
          <w:sz w:val="20"/>
          <w:szCs w:val="20"/>
          <w:color w:val="auto"/>
        </w:rPr>
        <w:t xml:space="preserve"> means the board of directors of the Corporation.</w:t>
      </w:r>
    </w:p>
    <w:p>
      <w:pPr>
        <w:spacing w:after="0" w:line="22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means the United States Internal Revenue Code of 1986, as amended from time to time.</w:t>
      </w:r>
    </w:p>
    <w:p>
      <w:pPr>
        <w:spacing w:after="0" w:line="229" w:lineRule="exact"/>
        <w:rPr>
          <w:rFonts w:ascii="Times New Roman" w:cs="Times New Roman" w:eastAsia="Times New Roman" w:hAnsi="Times New Roman"/>
          <w:sz w:val="20"/>
          <w:szCs w:val="20"/>
          <w:color w:val="auto"/>
        </w:rPr>
      </w:pPr>
    </w:p>
    <w:p>
      <w:pPr>
        <w:jc w:val="both"/>
        <w:ind w:firstLine="656"/>
        <w:spacing w:after="0" w:line="256" w:lineRule="auto"/>
        <w:tabs>
          <w:tab w:leader="none" w:pos="98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Corporation Security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Corporation Securities</w:t>
      </w:r>
      <w:r>
        <w:rPr>
          <w:rFonts w:ascii="Times New Roman" w:cs="Times New Roman" w:eastAsia="Times New Roman" w:hAnsi="Times New Roman"/>
          <w:sz w:val="20"/>
          <w:szCs w:val="20"/>
          <w:color w:val="auto"/>
        </w:rPr>
        <w:t>” means (i) any Stock; (ii) shares of Preferred Stock issued by the Corporation (other than Preferred Stock described in Section 1504(a)(4) of the Code); and (iii) warrants, rights, or options (including options within the meaning of Treasury Regulation § 1.382-2T(h)(4)(v)) to purchase Securities of the Corporation.</w:t>
      </w:r>
    </w:p>
    <w:p>
      <w:pPr>
        <w:spacing w:after="0" w:line="182" w:lineRule="exact"/>
        <w:rPr>
          <w:rFonts w:ascii="Times New Roman" w:cs="Times New Roman" w:eastAsia="Times New Roman" w:hAnsi="Times New Roman"/>
          <w:sz w:val="20"/>
          <w:szCs w:val="20"/>
          <w:color w:val="auto"/>
        </w:rPr>
      </w:pPr>
    </w:p>
    <w:p>
      <w:pPr>
        <w:ind w:firstLine="656"/>
        <w:spacing w:after="0" w:line="273" w:lineRule="auto"/>
        <w:tabs>
          <w:tab w:leader="none" w:pos="103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Effective Date</w:t>
      </w:r>
      <w:r>
        <w:rPr>
          <w:rFonts w:ascii="Times New Roman" w:cs="Times New Roman" w:eastAsia="Times New Roman" w:hAnsi="Times New Roman"/>
          <w:sz w:val="20"/>
          <w:szCs w:val="20"/>
          <w:color w:val="auto"/>
        </w:rPr>
        <w:t>” means the date of filing of this Certificate of Amendment of the Certificate of Incorporation of the Corporation with the Secretary of State.</w:t>
      </w:r>
    </w:p>
    <w:p>
      <w:pPr>
        <w:spacing w:after="0" w:line="165"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Excess Securities</w:t>
      </w:r>
      <w:r>
        <w:rPr>
          <w:rFonts w:ascii="Times New Roman" w:cs="Times New Roman" w:eastAsia="Times New Roman" w:hAnsi="Times New Roman"/>
          <w:sz w:val="20"/>
          <w:szCs w:val="20"/>
          <w:color w:val="auto"/>
        </w:rPr>
        <w:t>” has the meaning given such term in Part 4 of this Article IX.</w:t>
      </w:r>
    </w:p>
    <w:p>
      <w:pPr>
        <w:spacing w:after="0" w:line="229" w:lineRule="exact"/>
        <w:rPr>
          <w:rFonts w:ascii="Times New Roman" w:cs="Times New Roman" w:eastAsia="Times New Roman" w:hAnsi="Times New Roman"/>
          <w:sz w:val="20"/>
          <w:szCs w:val="20"/>
          <w:color w:val="auto"/>
        </w:rPr>
      </w:pPr>
    </w:p>
    <w:p>
      <w:pPr>
        <w:jc w:val="both"/>
        <w:ind w:firstLine="656"/>
        <w:spacing w:after="0" w:line="246" w:lineRule="auto"/>
        <w:tabs>
          <w:tab w:leader="none" w:pos="98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Expiration Date</w:t>
      </w:r>
      <w:r>
        <w:rPr>
          <w:rFonts w:ascii="Times New Roman" w:cs="Times New Roman" w:eastAsia="Times New Roman" w:hAnsi="Times New Roman"/>
          <w:sz w:val="20"/>
          <w:szCs w:val="20"/>
          <w:color w:val="auto"/>
        </w:rPr>
        <w:t>” means the earlier of (i) the close of business on the date that is the third anniversary of the Effective Date; (ii) the repeal of Section 382 of the Code or any successor statute if the Board of Directors determines that this Article IX is no longer necessary or desirable for the preservation of Tax Benefits; (iii) the close of business on the first day of a taxable year of the Corporation as to which the Board of Directors determines that no Tax Benefits may be carried forward; (iv) such date as the Board of Directors shall fix in accordance with Part 12 of this Article IX; or (v) the final adjournment of the 2016 Annual Meeting of Stockholders if approval by a majority of the stockholders voting at such meeting has not been received.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56" w:right="239" w:bottom="1440" w:gutter="0" w:footer="0" w:header="0"/>
        </w:sectPr>
      </w:pPr>
    </w:p>
    <w:bookmarkStart w:id="60" w:name="page61"/>
    <w:bookmarkEnd w:id="60"/>
    <w:p>
      <w:pPr>
        <w:jc w:val="both"/>
        <w:ind w:firstLine="656"/>
        <w:spacing w:after="0" w:line="256" w:lineRule="auto"/>
        <w:tabs>
          <w:tab w:leader="none" w:pos="92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Percentage Stock Ownership</w:t>
      </w:r>
      <w:r>
        <w:rPr>
          <w:rFonts w:ascii="Times New Roman" w:cs="Times New Roman" w:eastAsia="Times New Roman" w:hAnsi="Times New Roman"/>
          <w:sz w:val="20"/>
          <w:szCs w:val="20"/>
          <w:color w:val="auto"/>
        </w:rPr>
        <w:t>” means the percentage Stock Ownership interest of any Person or group (as the context may require) for purposes of Section 382 of the Code as determined in accordance with the Treasury Regulation § 1.382-2T(g), (h), (j) and (k) or any successor provision and other pertinent Internal Revenue Service guidance.</w:t>
      </w:r>
    </w:p>
    <w:p>
      <w:pPr>
        <w:spacing w:after="0" w:line="182" w:lineRule="exact"/>
        <w:rPr>
          <w:rFonts w:ascii="Times New Roman" w:cs="Times New Roman" w:eastAsia="Times New Roman" w:hAnsi="Times New Roman"/>
          <w:sz w:val="20"/>
          <w:szCs w:val="20"/>
          <w:color w:val="auto"/>
        </w:rPr>
      </w:pPr>
    </w:p>
    <w:p>
      <w:pPr>
        <w:ind w:right="20" w:firstLine="656"/>
        <w:spacing w:after="0" w:line="273" w:lineRule="auto"/>
        <w:tabs>
          <w:tab w:leader="none" w:pos="9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Person</w:t>
      </w:r>
      <w:r>
        <w:rPr>
          <w:rFonts w:ascii="Times New Roman" w:cs="Times New Roman" w:eastAsia="Times New Roman" w:hAnsi="Times New Roman"/>
          <w:sz w:val="20"/>
          <w:szCs w:val="20"/>
          <w:color w:val="auto"/>
        </w:rPr>
        <w:t>” means any individual, firm, corporation or other legal entity, including persons treated as an entity pursuant to Treasury Regulation § 1.382-3(a)(1)(i); and includes any successor (by merger or otherwise) of such entity.</w:t>
      </w:r>
    </w:p>
    <w:p>
      <w:pPr>
        <w:spacing w:after="0" w:line="165" w:lineRule="exact"/>
        <w:rPr>
          <w:rFonts w:ascii="Times New Roman" w:cs="Times New Roman" w:eastAsia="Times New Roman" w:hAnsi="Times New Roman"/>
          <w:sz w:val="20"/>
          <w:szCs w:val="20"/>
          <w:color w:val="auto"/>
        </w:rPr>
      </w:pPr>
    </w:p>
    <w:p>
      <w:pPr>
        <w:ind w:firstLine="656"/>
        <w:spacing w:after="0" w:line="273" w:lineRule="auto"/>
        <w:tabs>
          <w:tab w:leader="none" w:pos="103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Prohibited Distributions</w:t>
      </w:r>
      <w:r>
        <w:rPr>
          <w:rFonts w:ascii="Times New Roman" w:cs="Times New Roman" w:eastAsia="Times New Roman" w:hAnsi="Times New Roman"/>
          <w:sz w:val="20"/>
          <w:szCs w:val="20"/>
          <w:color w:val="auto"/>
        </w:rPr>
        <w:t>” means any and all dividends or other distributions paid by the Corporation with respect to any Excess Securities received by a Purported Transferee.</w:t>
      </w:r>
    </w:p>
    <w:p>
      <w:pPr>
        <w:spacing w:after="0" w:line="165" w:lineRule="exact"/>
        <w:rPr>
          <w:rFonts w:ascii="Times New Roman" w:cs="Times New Roman" w:eastAsia="Times New Roman" w:hAnsi="Times New Roman"/>
          <w:sz w:val="20"/>
          <w:szCs w:val="20"/>
          <w:color w:val="auto"/>
        </w:rPr>
      </w:pPr>
    </w:p>
    <w:p>
      <w:pPr>
        <w:ind w:firstLine="656"/>
        <w:spacing w:after="0" w:line="273" w:lineRule="auto"/>
        <w:tabs>
          <w:tab w:leader="none" w:pos="112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Prohibited Transfer</w:t>
      </w:r>
      <w:r>
        <w:rPr>
          <w:rFonts w:ascii="Times New Roman" w:cs="Times New Roman" w:eastAsia="Times New Roman" w:hAnsi="Times New Roman"/>
          <w:sz w:val="20"/>
          <w:szCs w:val="20"/>
          <w:color w:val="auto"/>
        </w:rPr>
        <w:t>” means any Transfer or purported Transfer of Corporation Securities to the extent that such Transfer is prohibited and/or void under this Article IX.</w:t>
      </w:r>
    </w:p>
    <w:p>
      <w:pPr>
        <w:spacing w:after="0" w:line="165"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Public Group</w:t>
      </w:r>
      <w:r>
        <w:rPr>
          <w:rFonts w:ascii="Times New Roman" w:cs="Times New Roman" w:eastAsia="Times New Roman" w:hAnsi="Times New Roman"/>
          <w:sz w:val="20"/>
          <w:szCs w:val="20"/>
          <w:color w:val="auto"/>
        </w:rPr>
        <w:t>” has the meaning set forth in Treasury Regulation § 1.382-2T(f)(13).</w:t>
      </w:r>
    </w:p>
    <w:p>
      <w:pPr>
        <w:spacing w:after="0" w:line="229"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Purported Transferee</w:t>
      </w:r>
      <w:r>
        <w:rPr>
          <w:rFonts w:ascii="Times New Roman" w:cs="Times New Roman" w:eastAsia="Times New Roman" w:hAnsi="Times New Roman"/>
          <w:sz w:val="20"/>
          <w:szCs w:val="20"/>
          <w:color w:val="auto"/>
        </w:rPr>
        <w:t>” has the meaning set forth in Part 4 of this Article IX.</w:t>
      </w:r>
    </w:p>
    <w:p>
      <w:pPr>
        <w:spacing w:after="0" w:line="229"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Securities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Security</w:t>
      </w:r>
      <w:r>
        <w:rPr>
          <w:rFonts w:ascii="Times New Roman" w:cs="Times New Roman" w:eastAsia="Times New Roman" w:hAnsi="Times New Roman"/>
          <w:sz w:val="20"/>
          <w:szCs w:val="20"/>
          <w:color w:val="auto"/>
        </w:rPr>
        <w:t>” each has the meaning set forth in Part 7 of this Article IX.</w:t>
      </w:r>
    </w:p>
    <w:p>
      <w:pPr>
        <w:spacing w:after="0" w:line="229" w:lineRule="exact"/>
        <w:rPr>
          <w:rFonts w:ascii="Times New Roman" w:cs="Times New Roman" w:eastAsia="Times New Roman" w:hAnsi="Times New Roman"/>
          <w:sz w:val="20"/>
          <w:szCs w:val="20"/>
          <w:color w:val="auto"/>
        </w:rPr>
      </w:pPr>
    </w:p>
    <w:p>
      <w:pPr>
        <w:ind w:left="1160" w:hanging="504"/>
        <w:spacing w:after="0"/>
        <w:tabs>
          <w:tab w:leader="none" w:pos="11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Stock</w:t>
      </w:r>
      <w:r>
        <w:rPr>
          <w:rFonts w:ascii="Times New Roman" w:cs="Times New Roman" w:eastAsia="Times New Roman" w:hAnsi="Times New Roman"/>
          <w:sz w:val="20"/>
          <w:szCs w:val="20"/>
          <w:color w:val="auto"/>
        </w:rPr>
        <w:t>” means any interest that would be treated as “stock” of the Corporation pursuant to Treasury Regulation § 1.382-2T(f)</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w:t>
      </w:r>
    </w:p>
    <w:p>
      <w:pPr>
        <w:spacing w:after="0" w:line="203" w:lineRule="exact"/>
        <w:rPr>
          <w:rFonts w:ascii="Times New Roman" w:cs="Times New Roman" w:eastAsia="Times New Roman" w:hAnsi="Times New Roman"/>
          <w:sz w:val="20"/>
          <w:szCs w:val="20"/>
          <w:color w:val="auto"/>
        </w:rPr>
      </w:pPr>
    </w:p>
    <w:p>
      <w:pPr>
        <w:jc w:val="both"/>
        <w:ind w:firstLine="656"/>
        <w:spacing w:after="0" w:line="256" w:lineRule="auto"/>
        <w:tabs>
          <w:tab w:leader="none" w:pos="12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Stock Ownership</w:t>
      </w:r>
      <w:r>
        <w:rPr>
          <w:rFonts w:ascii="Times New Roman" w:cs="Times New Roman" w:eastAsia="Times New Roman" w:hAnsi="Times New Roman"/>
          <w:sz w:val="20"/>
          <w:szCs w:val="20"/>
          <w:color w:val="auto"/>
        </w:rPr>
        <w:t>” means any direct or indirect ownership of Stock, including any ownership by virtue of application of constructive ownership rules, with such direct, indirect, and constructive ownership determined under the provisions of Section 382 of the Code and the regulations thereunder.</w:t>
      </w:r>
    </w:p>
    <w:p>
      <w:pPr>
        <w:spacing w:after="0" w:line="182" w:lineRule="exact"/>
        <w:rPr>
          <w:rFonts w:ascii="Times New Roman" w:cs="Times New Roman" w:eastAsia="Times New Roman" w:hAnsi="Times New Roman"/>
          <w:sz w:val="20"/>
          <w:szCs w:val="20"/>
          <w:color w:val="auto"/>
        </w:rPr>
      </w:pPr>
    </w:p>
    <w:p>
      <w:pPr>
        <w:jc w:val="both"/>
        <w:ind w:firstLine="656"/>
        <w:spacing w:after="0" w:line="256" w:lineRule="auto"/>
        <w:tabs>
          <w:tab w:leader="none" w:pos="111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Tax Benefits</w:t>
      </w:r>
      <w:r>
        <w:rPr>
          <w:rFonts w:ascii="Times New Roman" w:cs="Times New Roman" w:eastAsia="Times New Roman" w:hAnsi="Times New Roman"/>
          <w:sz w:val="20"/>
          <w:szCs w:val="20"/>
          <w:color w:val="auto"/>
        </w:rPr>
        <w:t>” means the net operating loss carryforwards, capital loss carryforwards, general business credit carryforwards, alternative minimum tax credit carryforwards and foreign tax credit carryforwards, as well as any loss or deduction attributable to a “net unrealized built-in loss” of the Corporation or any direct or indirect subsidiary thereof, within the meaning of Section 382 of the Code.</w:t>
      </w:r>
    </w:p>
    <w:p>
      <w:pPr>
        <w:spacing w:after="0" w:line="182" w:lineRule="exact"/>
        <w:rPr>
          <w:rFonts w:ascii="Times New Roman" w:cs="Times New Roman" w:eastAsia="Times New Roman" w:hAnsi="Times New Roman"/>
          <w:sz w:val="20"/>
          <w:szCs w:val="20"/>
          <w:color w:val="auto"/>
        </w:rPr>
      </w:pPr>
    </w:p>
    <w:p>
      <w:pPr>
        <w:jc w:val="both"/>
        <w:ind w:firstLine="656"/>
        <w:spacing w:after="0" w:line="248" w:lineRule="auto"/>
        <w:tabs>
          <w:tab w:leader="none" w:pos="102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Transfer</w:t>
      </w:r>
      <w:r>
        <w:rPr>
          <w:rFonts w:ascii="Times New Roman" w:cs="Times New Roman" w:eastAsia="Times New Roman" w:hAnsi="Times New Roman"/>
          <w:sz w:val="20"/>
          <w:szCs w:val="20"/>
          <w:color w:val="auto"/>
        </w:rPr>
        <w:t>” means, any direct or indirect sale, transfer, assignment, conveyance, pledge or other disposition or other action taken by a Person, other than the Corporation, that alters the Percentage Stock Ownership of any Person or group. A Transfer also shall include the creation or grant of an option (including an option within the meaning of Treasury Regulation § 1.382-4(d). For the avoidance of doubt, a Transfer shall not include the creation or grant of an option by the Corporation, nor shall a Transfer include the issuance of Stock by the Corporation.</w:t>
      </w:r>
    </w:p>
    <w:p>
      <w:pPr>
        <w:spacing w:after="0" w:line="189"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Transferee</w:t>
      </w:r>
      <w:r>
        <w:rPr>
          <w:rFonts w:ascii="Times New Roman" w:cs="Times New Roman" w:eastAsia="Times New Roman" w:hAnsi="Times New Roman"/>
          <w:sz w:val="20"/>
          <w:szCs w:val="20"/>
          <w:color w:val="auto"/>
        </w:rPr>
        <w:t>” means any Person to whom Corporation Securities are Transferred.</w:t>
      </w:r>
    </w:p>
    <w:p>
      <w:pPr>
        <w:spacing w:after="0" w:line="229" w:lineRule="exact"/>
        <w:rPr>
          <w:rFonts w:ascii="Times New Roman" w:cs="Times New Roman" w:eastAsia="Times New Roman" w:hAnsi="Times New Roman"/>
          <w:sz w:val="20"/>
          <w:szCs w:val="20"/>
          <w:color w:val="auto"/>
        </w:rPr>
      </w:pPr>
    </w:p>
    <w:p>
      <w:pPr>
        <w:ind w:firstLine="656"/>
        <w:spacing w:after="0" w:line="273" w:lineRule="auto"/>
        <w:tabs>
          <w:tab w:leader="none" w:pos="113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Treasury Regulations</w:t>
      </w:r>
      <w:r>
        <w:rPr>
          <w:rFonts w:ascii="Times New Roman" w:cs="Times New Roman" w:eastAsia="Times New Roman" w:hAnsi="Times New Roman"/>
          <w:sz w:val="20"/>
          <w:szCs w:val="20"/>
          <w:color w:val="auto"/>
        </w:rPr>
        <w:t>” means the regulations, including temporary regulations or any successor regulations promulgated under the Code, as amended from time to time.</w:t>
      </w:r>
    </w:p>
    <w:p>
      <w:pPr>
        <w:spacing w:after="0" w:line="16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Part 2. Transfer and Ownership Restrictions. </w:t>
      </w:r>
      <w:r>
        <w:rPr>
          <w:rFonts w:ascii="Times New Roman" w:cs="Times New Roman" w:eastAsia="Times New Roman" w:hAnsi="Times New Roman"/>
          <w:sz w:val="20"/>
          <w:szCs w:val="20"/>
          <w:color w:val="auto"/>
        </w:rPr>
        <w:t>In order to preserve the Tax Benefits, from and after the Effective Date of this Article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IX any attempted Transfer of Corporation Securities prior to the Expiration Date and any attempted Transfer of Corporation Securities pursuant to an agreement entered into prior to the Expiration Date, shall be prohibited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xml:space="preserve"> to the extent that, as a result of such Transfer (or any series of Transfers of which such Transfer is a part), either (a) any Person or Persons would become a 4.9-percent Stockholder or (b) the Percentage Stock Ownership in the Corporation of any 4.9-percent Stockholder would be increased.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85" w:right="2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20"/>
          <w:szCs w:val="20"/>
          <w:b w:val="1"/>
          <w:bCs w:val="1"/>
          <w:color w:val="auto"/>
        </w:rPr>
        <w:t>Part 3. Exceptions.</w:t>
      </w:r>
    </w:p>
    <w:p>
      <w:pPr>
        <w:spacing w:after="0" w:line="233" w:lineRule="exact"/>
        <w:rPr>
          <w:sz w:val="20"/>
          <w:szCs w:val="20"/>
          <w:color w:val="auto"/>
        </w:rPr>
      </w:pPr>
    </w:p>
    <w:p>
      <w:pPr>
        <w:ind w:firstLine="656"/>
        <w:spacing w:after="0" w:line="269" w:lineRule="auto"/>
        <w:tabs>
          <w:tab w:leader="none" w:pos="88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Transfers to a Public Group (including a new Public Group created under Treasury Regulation § 1.382-2T(j)(3)(i)) shall be permitted.</w:t>
      </w:r>
    </w:p>
    <w:p>
      <w:pPr>
        <w:spacing w:after="0" w:line="173" w:lineRule="exact"/>
        <w:rPr>
          <w:rFonts w:ascii="Times New Roman" w:cs="Times New Roman" w:eastAsia="Times New Roman" w:hAnsi="Times New Roman"/>
          <w:sz w:val="20"/>
          <w:szCs w:val="20"/>
          <w:color w:val="auto"/>
        </w:rPr>
      </w:pPr>
    </w:p>
    <w:p>
      <w:pPr>
        <w:jc w:val="both"/>
        <w:ind w:firstLine="656"/>
        <w:spacing w:after="0" w:line="242" w:lineRule="auto"/>
        <w:tabs>
          <w:tab w:leader="none" w:pos="94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restrictions set forth in Part 2 of this Article IX shall not apply to an attempted Transfer that is a 4.9-percent Transaction if the transferor or the Transferee obtains the written approval of the Board of Directors or a duly authorized committee thereof. As a condition to granting its approval pursuant to this Part 3 of Article IX, the Board of Directors, may, in its discretion, require (at the expense of the transferor and/or transferee) an opinion of counsel selected by the Board of Directors that the Transfer shall not result in a limitation on the use of the Tax Benefits as a result of the application of Section 382 of the Code;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Board may grant such approval notwithstanding the effect of such approval on the Tax Benefits if it determines that the approval is in the best interests of the Corporation. The Board of Directors may grant its approval in whole or in part with respect to such Transfer and may impose any conditions that it deems reasonable and appropriate in connection with such approval, including, without limitation, restrictions on the ability of any Transferee to Transfer Stock acquired through a Transfer. Approvals of the Board of Directors hereunder may be given prospectively or retroactively. The Board of Directors, to the fullest extent permitted by law, may exercise the authority granted by this Article IX through duly authorized officers or agents of the Corporation. Nothing in this Part 3 of this Article IX shall be construed to limit or restrict the Board of Directors in the exercise of its fiduciary duties under applicable law.</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Part 4. Excess Securities.</w:t>
      </w:r>
    </w:p>
    <w:p>
      <w:pPr>
        <w:spacing w:after="0" w:line="233" w:lineRule="exact"/>
        <w:rPr>
          <w:sz w:val="20"/>
          <w:szCs w:val="20"/>
          <w:color w:val="auto"/>
        </w:rPr>
      </w:pPr>
    </w:p>
    <w:p>
      <w:pPr>
        <w:jc w:val="both"/>
        <w:ind w:firstLine="656"/>
        <w:spacing w:after="0" w:line="242" w:lineRule="auto"/>
        <w:tabs>
          <w:tab w:leader="none" w:pos="90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employee or agent of the Corporation shall record any Prohibited Transfer, and the purported transferee of such a Prohibited Transfer (the “</w:t>
      </w:r>
      <w:r>
        <w:rPr>
          <w:rFonts w:ascii="Times New Roman" w:cs="Times New Roman" w:eastAsia="Times New Roman" w:hAnsi="Times New Roman"/>
          <w:sz w:val="20"/>
          <w:szCs w:val="20"/>
          <w:i w:val="1"/>
          <w:iCs w:val="1"/>
          <w:color w:val="auto"/>
        </w:rPr>
        <w:t>Purported Transferee</w:t>
      </w:r>
      <w:r>
        <w:rPr>
          <w:rFonts w:ascii="Times New Roman" w:cs="Times New Roman" w:eastAsia="Times New Roman" w:hAnsi="Times New Roman"/>
          <w:sz w:val="20"/>
          <w:szCs w:val="20"/>
          <w:color w:val="auto"/>
        </w:rPr>
        <w:t>”) shall not be recognized as a stockholder of the Corporation for any purpose whatsoever in respect of the Corporation Securities which are the subject of the Prohibited Transfer (the “</w:t>
      </w:r>
      <w:r>
        <w:rPr>
          <w:rFonts w:ascii="Times New Roman" w:cs="Times New Roman" w:eastAsia="Times New Roman" w:hAnsi="Times New Roman"/>
          <w:sz w:val="20"/>
          <w:szCs w:val="20"/>
          <w:i w:val="1"/>
          <w:iCs w:val="1"/>
          <w:color w:val="auto"/>
        </w:rPr>
        <w:t>Excess Securities</w:t>
      </w:r>
      <w:r>
        <w:rPr>
          <w:rFonts w:ascii="Times New Roman" w:cs="Times New Roman" w:eastAsia="Times New Roman" w:hAnsi="Times New Roman"/>
          <w:sz w:val="20"/>
          <w:szCs w:val="20"/>
          <w:color w:val="auto"/>
        </w:rPr>
        <w:t>”). Until the Excess Securities are acquired by another person in a Transfer that is not a Prohibited Transfer,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if any, and the Excess Securities shall be deemed to remain with the transferor unless and until the Excess Securities are transferred to the Agent pursuant to Part 5 of this Article IX or until an approval is obtained under Part 3 of this Article IX. After the Excess Securities have been acquired in a Transfer that is not a Prohibited Transfer, the Corporation Securities shall cease to be Excess Securities. For this purpose, any Transfer of Excess Securities not in accordance with the provisions of Parts 4 or 5 of this Article IX shall also be a Prohibited Transfer.</w:t>
      </w:r>
    </w:p>
    <w:p>
      <w:pPr>
        <w:spacing w:after="0" w:line="206" w:lineRule="exact"/>
        <w:rPr>
          <w:rFonts w:ascii="Times New Roman" w:cs="Times New Roman" w:eastAsia="Times New Roman" w:hAnsi="Times New Roman"/>
          <w:sz w:val="20"/>
          <w:szCs w:val="20"/>
          <w:color w:val="auto"/>
        </w:rPr>
      </w:pPr>
    </w:p>
    <w:p>
      <w:pPr>
        <w:jc w:val="both"/>
        <w:ind w:firstLine="656"/>
        <w:spacing w:after="0" w:line="244" w:lineRule="auto"/>
        <w:tabs>
          <w:tab w:leader="none" w:pos="94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may require as a condition to the registration of the Transfer of any Corporation Securities or the payment of any distribution on any Corporation Securities that the proposed Transferee or payee furnish to the Corporation all information reasonably requested by the Corporation with respect to its direct or indirect ownership interests in such Corporation Securities. The Corporation may make such arrangements or issue such instructions to its stock transfer agent as may be determined by the Board of Directors to be necessary or advisable to implement this Article IX, including, without limitation, authorizing such transfer agent to require an affidavit from a Purported Transferee regarding such Person’s actual and constructive ownership of Stock and other evidence that a Transfer will not be prohibited by this Article IX as a condition to registering any transfer.</w:t>
      </w:r>
    </w:p>
    <w:p>
      <w:pPr>
        <w:spacing w:after="0" w:line="19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Part 5. Transfer to Agent. </w:t>
      </w:r>
      <w:r>
        <w:rPr>
          <w:rFonts w:ascii="Times New Roman" w:cs="Times New Roman" w:eastAsia="Times New Roman" w:hAnsi="Times New Roman"/>
          <w:sz w:val="20"/>
          <w:szCs w:val="20"/>
          <w:color w:val="auto"/>
        </w:rPr>
        <w:t>If the Board of Directors determines that a Transfer of Corporation Securities constitutes a Prohibited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 then, upon written demand by the Corporation sent within thirty days of the date on which the Board of Directors determines that the attempted Transfer would result in Excess Securities, the Purported Transferee shall transfer or cause to be transferred any certificate or other evidence of ownership of the Excess Securities within the Purported Transferee’s possession or control, together with any Prohibited Distributions, to an agent designated by the Board of Directors (the “</w:t>
      </w:r>
      <w:r>
        <w:rPr>
          <w:rFonts w:ascii="Times New Roman" w:cs="Times New Roman" w:eastAsia="Times New Roman" w:hAnsi="Times New Roman"/>
          <w:sz w:val="20"/>
          <w:szCs w:val="20"/>
          <w:i w:val="1"/>
          <w:iCs w:val="1"/>
          <w:color w:val="auto"/>
        </w:rPr>
        <w:t>Agent</w:t>
      </w:r>
      <w:r>
        <w:rPr>
          <w:rFonts w:ascii="Times New Roman" w:cs="Times New Roman" w:eastAsia="Times New Roman" w:hAnsi="Times New Roman"/>
          <w:sz w:val="20"/>
          <w:szCs w:val="20"/>
          <w:color w:val="auto"/>
        </w:rPr>
        <w:t xml:space="preserve">”). The Agent shall thereupon sell to a buyer or buyers, which may include the Corporation, the Excess Securities transferred to it in one or more arm’s-length transactions (on the public securities market on which such Excess Securities are traded, if possible, or otherwise privately);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such sale must not constitute a Prohibited Transfer and provided, further, that the Agent shall effect such sale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56" w:right="239" w:bottom="1440" w:gutter="0" w:footer="0" w:header="0"/>
        </w:sectPr>
      </w:pPr>
    </w:p>
    <w:bookmarkStart w:id="62" w:name="page63"/>
    <w:bookmarkEnd w:id="62"/>
    <w:p>
      <w:pPr>
        <w:jc w:val="both"/>
        <w:spacing w:after="0" w:line="259" w:lineRule="auto"/>
        <w:rPr>
          <w:sz w:val="20"/>
          <w:szCs w:val="20"/>
          <w:color w:val="auto"/>
        </w:rPr>
      </w:pPr>
      <w:r>
        <w:rPr>
          <w:rFonts w:ascii="Times New Roman" w:cs="Times New Roman" w:eastAsia="Times New Roman" w:hAnsi="Times New Roman"/>
          <w:sz w:val="19"/>
          <w:szCs w:val="19"/>
          <w:color w:val="auto"/>
        </w:rPr>
        <w:t>or sales in an orderly fashion and shall not be required to effect any such sale within any specific time frame if, in the Agent’s discretion, such sale or sales would disrupt the market for the Corporation Securities or otherwise would adversely affect the value of the Corporation Securities. If the Purported Transferee has resold the Excess Securities before receiving the Corporation’s demand to surrender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Part 6 of this Article IX if the Agent rather than the Purported Transferee had resold the Excess Securities.</w:t>
      </w:r>
    </w:p>
    <w:p>
      <w:pPr>
        <w:spacing w:after="0" w:line="18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Part 6. Application of Proceeds and Prohibited Distributions. </w:t>
      </w:r>
      <w:r>
        <w:rPr>
          <w:rFonts w:ascii="Times New Roman" w:cs="Times New Roman" w:eastAsia="Times New Roman" w:hAnsi="Times New Roman"/>
          <w:sz w:val="20"/>
          <w:szCs w:val="20"/>
          <w:color w:val="auto"/>
        </w:rPr>
        <w:t>The Agent shall apply any proceeds of a sale by it of Excess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and, if the Purported Transferee has previously resold the Excess Securities, any amounts received by it from a Purported Transferee, together, in either case, with any Prohibited Distributions, as follows: (a) first, such amounts shall be paid to the Agent to the extent necessary to cover its costs and expenses incurred in connection with its duties hereunder; (b) second, any remaining amounts shall be paid to the Purported Transferee, up to the amount paid by the Purported Transferee for the Excess Securities (or the fair market value at the time of the Transfer, in the event the purported Transfer of the Excess Securities was, in whole or in part, a gift, inheritance or similar Transfer) which amount shall be determined at the discretion of the Board of Directors; and (c) third, any remaining amounts shall be paid to one or more organizations qualifying under section 501(c)(3) of the Code (or any comparable successor provision) selected by the Board of Directors. The Purported Transferee of Excess Securities shall have no claim, cause of action or any other recourse whatsoever against any transferor of Excess Securities. The Purported Transferee’s sole right with respect to such shares shall be limited to the amount payable to the Purported Transferee pursuant to this Part 6 of Article IX. In no event shall the proceeds of any sale of Excess Securities pursuant to this Part 6 of Article IX inure to the benefit of the Corporation or the Agent, except to the extent used to cover costs and expenses incurred by Agent in performing its duties hereunder.</w:t>
      </w:r>
    </w:p>
    <w:p>
      <w:pPr>
        <w:spacing w:after="0" w:line="20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Part 7. Modification Of Remedies For Certain Indirect Transfers. </w:t>
      </w:r>
      <w:r>
        <w:rPr>
          <w:rFonts w:ascii="Times New Roman" w:cs="Times New Roman" w:eastAsia="Times New Roman" w:hAnsi="Times New Roman"/>
          <w:sz w:val="20"/>
          <w:szCs w:val="20"/>
          <w:color w:val="auto"/>
        </w:rPr>
        <w:t>In the event of any Transfer which does not involve a transfer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of the Corporation within the meaning of Delaware law (“</w:t>
      </w:r>
      <w:r>
        <w:rPr>
          <w:rFonts w:ascii="Times New Roman" w:cs="Times New Roman" w:eastAsia="Times New Roman" w:hAnsi="Times New Roman"/>
          <w:sz w:val="20"/>
          <w:szCs w:val="20"/>
          <w:i w:val="1"/>
          <w:iCs w:val="1"/>
          <w:color w:val="auto"/>
        </w:rPr>
        <w:t>Securities</w:t>
      </w:r>
      <w:r>
        <w:rPr>
          <w:rFonts w:ascii="Times New Roman" w:cs="Times New Roman" w:eastAsia="Times New Roman" w:hAnsi="Times New Roman"/>
          <w:sz w:val="20"/>
          <w:szCs w:val="20"/>
          <w:color w:val="auto"/>
        </w:rPr>
        <w:t>,” and individually, a “</w:t>
      </w:r>
      <w:r>
        <w:rPr>
          <w:rFonts w:ascii="Times New Roman" w:cs="Times New Roman" w:eastAsia="Times New Roman" w:hAnsi="Times New Roman"/>
          <w:sz w:val="20"/>
          <w:szCs w:val="20"/>
          <w:i w:val="1"/>
          <w:iCs w:val="1"/>
          <w:color w:val="auto"/>
        </w:rPr>
        <w:t>Security</w:t>
      </w:r>
      <w:r>
        <w:rPr>
          <w:rFonts w:ascii="Times New Roman" w:cs="Times New Roman" w:eastAsia="Times New Roman" w:hAnsi="Times New Roman"/>
          <w:sz w:val="20"/>
          <w:szCs w:val="20"/>
          <w:color w:val="auto"/>
        </w:rPr>
        <w:t>”) but which would cause a 4.9-percent Stockholder to violate a restriction on Transfers provided for in this Article IX, the application of Parts 5 and 6 of this Article IX shall be modified as described in this Part 7 of this Article IX. In such case, no such 4.9-percent Stockholder shall be required to dispose of any interest that is not a Security, but such 4.9-percent Stockholder and/or any Person whose ownership of Securities is attributed to such 4.9-percent Stockholder shall be deemed to have disposed of and shall be required to dispose of sufficient Securities (which Securities shall be disposed of in the inverse order in which they were acquired) to cause such 4.9-percent Stockholder, following such disposition, not to be in violation of this Article IX. Such disposition shall be deemed to occur simultaneously with the Transfer giving rise to the application of this provision, and such number of Securities that are deemed to be disposed of shall be considered Excess Securities and shall be disposed of through the Agent as provided in Parts 5 and 6 of this Article IX, except that the maximum aggregate amount payable either to such 4.9-percent Stockholder, or to such other Person that was the direct holder of such Excess Securities, in connection with such sale shall be the fair market value of such Excess Securities at the time of the purported Transfer. All expenses incurred by the Agent in disposing of such Excess Stock shall be paid out of any amounts due such 4.9-percent Stockholder or such other Person. The purpose of this Part 7 of Article IX is to extend the restrictions in Part 2 and 5 of this Article IX to situations in which there is a 4.9-percent Transaction without a direct Transfer of Securities, and this Part 7 of Article IX, along with the other provisions of this Article IX, shall be interpreted to produce the same results, with differences as the context requires, as a direct Transfer of Corporation Securities.</w:t>
      </w:r>
    </w:p>
    <w:p>
      <w:pPr>
        <w:spacing w:after="0" w:line="20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Part 8. Legal Proceedings; Prompt Enforcement. </w:t>
      </w:r>
      <w:r>
        <w:rPr>
          <w:rFonts w:ascii="Times New Roman" w:cs="Times New Roman" w:eastAsia="Times New Roman" w:hAnsi="Times New Roman"/>
          <w:sz w:val="20"/>
          <w:szCs w:val="20"/>
          <w:color w:val="auto"/>
        </w:rPr>
        <w:t>If the Purported Transferee fails to surrender the Excess Securities or the proceeds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 sale thereof to the Agent within thirty days from the date on which the Corporation makes a written demand pursuant to Part 5 of this Article IX (whether or not made within the time specified in Part 5 of this Article IX), then the Corporation may take such actions as it deems appropriate to enforce the provisions hereof, including the institution of legal proceedings to compel the surrender. Nothing in this Part 8 of Article IX shall (1) be deemed inconsistent with any Transfer of the Excess Securities provided in this Article IX being void ab initio, (2) preclude the Corporation in its discretion from immediately bringing legal proceedings without a prior demand or (3)</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20"/>
          <w:szCs w:val="20"/>
          <w:color w:val="auto"/>
        </w:rPr>
        <w:t>cause any failure of the Corporation to act within the time periods set forth in Part 5 of this Article IX to constitute a waiver or loss of any right of the Corporation under this Article IX. The Board of Directors may authorize such additional actions as it deems advisable to give effect to the provisions of this Article IX.</w:t>
      </w:r>
    </w:p>
    <w:p>
      <w:pPr>
        <w:spacing w:after="0" w:line="18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Part 9. Liability. </w:t>
      </w:r>
      <w:r>
        <w:rPr>
          <w:rFonts w:ascii="Times New Roman" w:cs="Times New Roman" w:eastAsia="Times New Roman" w:hAnsi="Times New Roman"/>
          <w:sz w:val="20"/>
          <w:szCs w:val="20"/>
          <w:color w:val="auto"/>
        </w:rPr>
        <w:t>To the fullest extent permitted by law, any stockholder subject to the provisions of this Article IX who knowingly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violates the provisions of this Article IX and any Persons controlling, controlled by or under common control with such stockholder shall be jointly and severally liable to the Corporation for, and shall indemnify and hold the Corporation harmless against, any and all damages suffered as a result of such violation, including but not limited to damages resulting from a reduction in, or elimination of, the Corporation’s ability to utilize its Tax Benefits, and attorneys’ and auditors’ fees incurred in connection with such violation.</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Part 10. Obligation to Provide Information. </w:t>
      </w:r>
      <w:r>
        <w:rPr>
          <w:rFonts w:ascii="Times New Roman" w:cs="Times New Roman" w:eastAsia="Times New Roman" w:hAnsi="Times New Roman"/>
          <w:sz w:val="20"/>
          <w:szCs w:val="20"/>
          <w:color w:val="auto"/>
        </w:rPr>
        <w:t>As a condition to the registration of the Transfer of any Stock, any Person who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beneficial, legal or record holder of Stock, and any proposed Transferee and any Person controlling, controlled by or under common control with the proposed Transferee, shall provide such information as the Corporation may request from time to time in order to determine compliance with this Article IX or the status of the Tax Benefits of the Corporation.</w:t>
      </w:r>
    </w:p>
    <w:p>
      <w:pPr>
        <w:spacing w:after="0" w:line="19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Part 11. Legends. </w:t>
      </w:r>
      <w:r>
        <w:rPr>
          <w:rFonts w:ascii="Times New Roman" w:cs="Times New Roman" w:eastAsia="Times New Roman" w:hAnsi="Times New Roman"/>
          <w:sz w:val="20"/>
          <w:szCs w:val="20"/>
          <w:color w:val="auto"/>
        </w:rPr>
        <w:t>The Board of Directors may require that any certificates issued by the Corporation evidencing ownership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Stock that are subject to the restrictions on transfer and ownership contained in this Article IX bear the following legend:</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 CERTIFICATE OF INCORPORATION (THE “CERTIFICATE OF INCORPORATION”) OF THE CORPORATION CONTAINS RESTRICTIONS PROHIBITING THE TRANSFER (AS DEFINED IN THE CERTIFICATE OF INCORPORATION) OF STOCK OF THE CORPORATION (INCLUDING THE CREATION OR GRANT OF CERTAIN OPTIONS, RIGHTS AND WARRANTS) WITHOUT THE PRIOR AUTHORIZATION OF THE BOARD OF DIRECTORS OF THE CORPORATION (THE “BOARD OF DIRECTORS”) IF SUCH TRANSFER AFFECTS THE PERCENTAGE OF STOCK OF THE CORPORATION (WITHIN THE MEANING OF SECTION 382 OF THE INTERNAL REVENUE CODE OF 1986, AS AMENDED (THE “CODE”) AND THE TREASURY REGULATIONS PROMULGATED THEREUNDER), THAT IS TREATED AS OWNED BY A 4.9 PERCENT STOCKHOLDER (AS DEFINED IN THE CERTIFICATE OF INCORPORATION). IF THE TRANSFER RESTRICTIONS ARE VIOLATED, THEN THE TRANSFER WILL BE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xml:space="preserve"> AND THE PURPORTED TRANSFEREE OF THE STOCK WILL BE REQUIRED TO TRANSFER EXCESS SECURITIES (AS DEFINED IN THE CERTIFICATE OF INCORPORATION) TO THE CORPORATION’S AGENT. IN THE EVENT OF A TRANSFER WHICH DOES NOT INVOLVE SECURITIES OF THE CORPORATION WITHIN THE MEANING OF THE GENERAL CORPORATION LAW OF THE STATE OF DELAWARE (“SECURITIES”) BUT WHICH WOULD VIOLATE THE TRANSFER RESTRICTIONS, THE PURPORTED TRANSFEREE (OR THE RECORD OWNER) OF THE SECURITIES WILL BE REQUIRED TO TRANSFER SUFFICIENT SECURITIES PURSUANT TO THE TERMS PROVIDED FOR IN THE CORPORATION’S CERTIFICATE OF INCORPORATION TO CAUSE THE 4.9 PERCENT STOCKHOLDER TO NO LONGER BE IN VIOLATION OF THE TRANSFER RESTRICTIONS. THE CORPORATION WILL FURNISH WITHOUT CHARGE TO THE HOLDER OF RECORD OF THIS CERTIFICATE A COPY OF THE CERTIFICATE OF INCORPORATION, CONTAINING THE ABOVE-REFERENCED TRANSFER RESTRICTIONS, UPON WRITTEN REQUEST TO THE CORPORATION AT ITS PRINCIPAL PLACE OF BUSINESS.”</w:t>
      </w:r>
    </w:p>
    <w:p>
      <w:pPr>
        <w:spacing w:after="0" w:line="205" w:lineRule="exact"/>
        <w:rPr>
          <w:sz w:val="20"/>
          <w:szCs w:val="20"/>
          <w:color w:val="auto"/>
        </w:rPr>
      </w:pPr>
    </w:p>
    <w:p>
      <w:pPr>
        <w:ind w:right="260" w:firstLine="648"/>
        <w:spacing w:after="0" w:line="254" w:lineRule="auto"/>
        <w:rPr>
          <w:sz w:val="20"/>
          <w:szCs w:val="20"/>
          <w:color w:val="auto"/>
        </w:rPr>
      </w:pPr>
      <w:r>
        <w:rPr>
          <w:rFonts w:ascii="Times New Roman" w:cs="Times New Roman" w:eastAsia="Times New Roman" w:hAnsi="Times New Roman"/>
          <w:sz w:val="20"/>
          <w:szCs w:val="20"/>
          <w:color w:val="auto"/>
        </w:rPr>
        <w:t>The Board of Directors may also require that any certificates issued by the Corporation evidencing ownership of shares of Stock that are subject to conditions imposed by the Board of Directors under Part 3 of this Article IX also bear a conspicuous legend referencing the applicable restrictions.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Part 12. Authority of the Board of Directors.</w:t>
      </w:r>
    </w:p>
    <w:p>
      <w:pPr>
        <w:spacing w:after="0" w:line="233" w:lineRule="exact"/>
        <w:rPr>
          <w:sz w:val="20"/>
          <w:szCs w:val="20"/>
          <w:color w:val="auto"/>
        </w:rPr>
      </w:pPr>
    </w:p>
    <w:p>
      <w:pPr>
        <w:jc w:val="both"/>
        <w:ind w:firstLine="656"/>
        <w:spacing w:after="0" w:line="254" w:lineRule="auto"/>
        <w:tabs>
          <w:tab w:leader="none" w:pos="94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shall have the power to determine all matters necessary for assessing compliance with this Article IX, including, without limitation, (1) the identification of 4.9-percent Stockholders; (2) whether a Transfer is a 4.9-percent Transaction or a Prohibited Transfer; (3) the Percentage Stock Ownership in the Corporation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64" w:name="page65"/>
    <w:bookmarkEnd w:id="64"/>
    <w:p>
      <w:pPr>
        <w:jc w:val="both"/>
        <w:spacing w:after="0" w:line="244" w:lineRule="auto"/>
        <w:rPr>
          <w:sz w:val="20"/>
          <w:szCs w:val="20"/>
          <w:color w:val="auto"/>
        </w:rPr>
      </w:pPr>
      <w:r>
        <w:rPr>
          <w:rFonts w:ascii="Times New Roman" w:cs="Times New Roman" w:eastAsia="Times New Roman" w:hAnsi="Times New Roman"/>
          <w:sz w:val="20"/>
          <w:szCs w:val="20"/>
          <w:color w:val="auto"/>
        </w:rPr>
        <w:t>of any 4.9-percent Stockholder; (4) whether an instrument constitutes a Corporation Security; (5) the amount (or fair market value) due to a Purported Transferee pursuant to Part 6 of this Article IX; and (6) any other matters that the Board of Directors determines to be relevant. The good faith determination of the Board of Directors on such matters shall be conclusive and binding for all the purposes of this Article IX. In addition, the Board of Directors may, to the extent permitted by law, from time to time establish, modify, amend or rescind Bylaws, regulations and procedures of the Corporation not inconsistent with the provisions of this Article IX for purposes of determining whether any Transfer of Corporation Securities would jeopardize or endanger the Corporation’s ability to preserve and use the Tax Benefits and for the orderly application, administration and implementation of this Article IX.</w:t>
      </w:r>
    </w:p>
    <w:p>
      <w:pPr>
        <w:spacing w:after="0" w:line="200" w:lineRule="exact"/>
        <w:rPr>
          <w:sz w:val="20"/>
          <w:szCs w:val="20"/>
          <w:color w:val="auto"/>
        </w:rPr>
      </w:pPr>
    </w:p>
    <w:p>
      <w:pPr>
        <w:jc w:val="both"/>
        <w:ind w:firstLine="656"/>
        <w:spacing w:after="0" w:line="256" w:lineRule="auto"/>
        <w:tabs>
          <w:tab w:leader="none" w:pos="957"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contained in this Article IX shall limit the authority of the Board of Directors to take such other action to the extent permitted by law as it deems necessary or advisable to protect the Corporation and its stockholders in preserving the Tax Benefits. Without limiting the generality of the foregoing, in the event of a change in law making one or more of the following actions necessary or desirable, the Board of Directors may, by adopting a written resolution, (1) accelerate or extend the Expiration Date; (2) modify the ownership interest percentage in the Corporation or the Persons or groups covered by this Article IX; (3) modify the definitions of any terms set forth in this Article IX; or (4) modify the terms of this Article IX as appropriate, in each case, in order to prevent an ownership change for purposes of Section 382 of the Code as a result of any changes in applicable Treasury Regulations or otherwise; provided, however, that the Board of Directors shall not cause there to be such acceleration, extension or modification unless it determines, by adopting a written resolution, that such action is reasonably necessary or advisable to preserve the Tax Benefits or that the continuation of these restrictions is no longer reasonably necessary for the preservation of the Tax Benefits. Stockholders of the Corporation shall be notified of such determination through a filing with the Securities and Exchange Commission or such other method of notice as the Secretary of the Corporation shall deem appropriate.</w:t>
      </w:r>
    </w:p>
    <w:p>
      <w:pPr>
        <w:spacing w:after="0" w:line="191" w:lineRule="exact"/>
        <w:rPr>
          <w:rFonts w:ascii="Times New Roman" w:cs="Times New Roman" w:eastAsia="Times New Roman" w:hAnsi="Times New Roman"/>
          <w:sz w:val="19"/>
          <w:szCs w:val="19"/>
          <w:color w:val="auto"/>
        </w:rPr>
      </w:pPr>
    </w:p>
    <w:p>
      <w:pPr>
        <w:jc w:val="both"/>
        <w:ind w:firstLine="656"/>
        <w:spacing w:after="0" w:line="242" w:lineRule="auto"/>
        <w:tabs>
          <w:tab w:leader="none" w:pos="92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ambiguity in the application of any of the provisions of this Article IX, including any definition used herein, the Board of Directors shall have the power to determine the application of such provisions with respect to any situation based on its reasonable belief, understanding or knowledge of the circumstances. In the event this Article IX requires an action by the Board of Directors but fails to provide specific guidance with respect to such action, the Board of Directors shall have the power to determine the action to be taken so long as such action is not contrary to the provisions of this Article IX. All such actions, calculations, interpretations and determinations which are done or made by the Board of Directors in good faith shall be conclusive and binding on the Corporation, the Agent, and all other parties for all other purposes of this Article IX. The Board of Directors may delegate all or any portion of its duties and powers under this Article IX to a committee of the Board of Directors as it deems necessary or advisable and, to the fullest extent permitted by law, may exercise the authority granted by this Article IX through duly authorized officers or agents of the Corporation. Nothing in this Article IX shall be construed to limit or restrict the Board of Directors in the exercise of its fiduciary duties under applicable law.</w:t>
      </w:r>
    </w:p>
    <w:p>
      <w:pPr>
        <w:spacing w:after="0" w:line="20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Part 13. Reliance. </w:t>
      </w:r>
      <w:r>
        <w:rPr>
          <w:rFonts w:ascii="Times New Roman" w:cs="Times New Roman" w:eastAsia="Times New Roman" w:hAnsi="Times New Roman"/>
          <w:sz w:val="20"/>
          <w:szCs w:val="20"/>
          <w:color w:val="auto"/>
        </w:rPr>
        <w:t>To the fullest extent permitted by law, the Corporation and the members of the Board of Directors shall be fully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protected in relying in good faith upon the information, opinions, reports or statements of the chief executive officer, the chief financial officer, the chief accounting officer or the corporate controller of the Corporation and the Corporation’s legal counsel, independent auditors, transfer agent, investment bankers or other employees and agents in making the determinations and findings contemplated by this Article IX. The members of the Board of Directors shall not be responsible for any good faith errors made in connection therewith. For purposes of determining the existence and identity of, and the amount of any Corporation Securities owned by any stockholder, the Corporation is entitled to rely on the existence and absence of filings of Schedule 13D or 13G under the Securities and Exchange Act of 1934, as amended (or similar filings), as of any date, subject to its actual knowledge of the ownership of Corporation Securities.</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Part 14. Benefits of This Article IX. </w:t>
      </w:r>
      <w:r>
        <w:rPr>
          <w:rFonts w:ascii="Times New Roman" w:cs="Times New Roman" w:eastAsia="Times New Roman" w:hAnsi="Times New Roman"/>
          <w:sz w:val="20"/>
          <w:szCs w:val="20"/>
          <w:color w:val="auto"/>
        </w:rPr>
        <w:t>Nothing in this Article IX shall be construed to give to any Person other than the Corporation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Agent any legal or equitable right, remedy or claim under this Article IX. This Article IX shall be for the sole and exclusive benefit of the Corporation and the Agent.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sectPr>
      </w:pPr>
    </w:p>
    <w:bookmarkStart w:id="65" w:name="page66"/>
    <w:bookmarkEnd w:id="65"/>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Part 15. Severability. </w:t>
      </w:r>
      <w:r>
        <w:rPr>
          <w:rFonts w:ascii="Times New Roman" w:cs="Times New Roman" w:eastAsia="Times New Roman" w:hAnsi="Times New Roman"/>
          <w:sz w:val="20"/>
          <w:szCs w:val="20"/>
          <w:color w:val="auto"/>
        </w:rPr>
        <w:t>The purpose of this Article IX is to facilitate the Corporation’s ability to maintain or preserve its Tax Benefits.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provision of this Article IX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IX.</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Part 16. Waiver. </w:t>
      </w:r>
      <w:r>
        <w:rPr>
          <w:rFonts w:ascii="Times New Roman" w:cs="Times New Roman" w:eastAsia="Times New Roman" w:hAnsi="Times New Roman"/>
          <w:sz w:val="20"/>
          <w:szCs w:val="20"/>
          <w:color w:val="auto"/>
        </w:rPr>
        <w:t>With regard to any power, remedy or right provided herein or otherwise available to the Corporation or the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Article IX, (i) no waiver will be effective unless expressly contained in a writing signed by the waiving party; and (ii) no alteration, modification or impairment will be implied by reason of any previous waiver, extension of time, delay or omission in exercise, or other indulgence.</w:t>
      </w:r>
    </w:p>
    <w:p>
      <w:pPr>
        <w:spacing w:after="0" w:line="200" w:lineRule="exact"/>
        <w:rPr>
          <w:sz w:val="20"/>
          <w:szCs w:val="20"/>
          <w:color w:val="auto"/>
        </w:rPr>
      </w:pPr>
    </w:p>
    <w:p>
      <w:pPr>
        <w:spacing w:after="0" w:line="21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Corporation has caused this Certificate of Amendment of the Amended and Restated Certificate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Incorporation to be executed on this 17th day of November, 2016.</w:t>
      </w:r>
    </w:p>
    <w:p>
      <w:pPr>
        <w:spacing w:after="0" w:line="3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Aviat Networks,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20"/>
        <w:spacing w:after="0"/>
        <w:tabs>
          <w:tab w:leader="none" w:pos="6060" w:val="left"/>
        </w:tabs>
        <w:rPr>
          <w:sz w:val="20"/>
          <w:szCs w:val="20"/>
          <w:color w:val="auto"/>
        </w:rPr>
      </w:pPr>
      <w:r>
        <w:rPr>
          <w:rFonts w:ascii="Times New Roman" w:cs="Times New Roman" w:eastAsia="Times New Roman" w:hAnsi="Times New Roman"/>
          <w:sz w:val="20"/>
          <w:szCs w:val="20"/>
          <w:color w:val="auto"/>
        </w:rPr>
        <w:t>By:</w:t>
        <w:tab/>
        <w:t>/s/ Michael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31115</wp:posOffset>
            </wp:positionV>
            <wp:extent cx="3395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47" w:lineRule="exact"/>
        <w:rPr>
          <w:sz w:val="20"/>
          <w:szCs w:val="20"/>
          <w:color w:val="auto"/>
        </w:rPr>
      </w:pPr>
    </w:p>
    <w:p>
      <w:pPr>
        <w:ind w:left="6080"/>
        <w:spacing w:after="0"/>
        <w:tabs>
          <w:tab w:leader="none" w:pos="6860" w:val="left"/>
        </w:tabs>
        <w:rPr>
          <w:sz w:val="20"/>
          <w:szCs w:val="20"/>
          <w:color w:val="auto"/>
        </w:rPr>
      </w:pPr>
      <w:r>
        <w:rPr>
          <w:rFonts w:ascii="Times New Roman" w:cs="Times New Roman" w:eastAsia="Times New Roman" w:hAnsi="Times New Roman"/>
          <w:sz w:val="20"/>
          <w:szCs w:val="20"/>
          <w:color w:val="auto"/>
        </w:rPr>
        <w:t>Name:</w:t>
        <w:tab/>
        <w:t>Michael Pangia</w:t>
      </w:r>
    </w:p>
    <w:p>
      <w:pPr>
        <w:spacing w:after="0" w:line="54" w:lineRule="exact"/>
        <w:rPr>
          <w:sz w:val="20"/>
          <w:szCs w:val="20"/>
          <w:color w:val="auto"/>
        </w:rPr>
      </w:pPr>
    </w:p>
    <w:p>
      <w:pPr>
        <w:ind w:left="6080"/>
        <w:spacing w:after="0"/>
        <w:tabs>
          <w:tab w:leader="none" w:pos="68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56"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December 30, 2016, of Aviat Networks,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2017</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576"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Ralph Marimon, certify that:</w:t>
      </w:r>
    </w:p>
    <w:p>
      <w:pPr>
        <w:spacing w:after="0" w:line="171"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December 30, 2016, of Aviat Networks,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2017</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Ralph S. Marimon</w:t>
            </w:r>
          </w:p>
        </w:tc>
      </w:tr>
      <w:tr>
        <w:trPr>
          <w:trHeight w:val="27"/>
        </w:trPr>
        <w:tc>
          <w:tcPr>
            <w:tcW w:w="5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Ralph S. Marimon</w:t>
            </w:r>
          </w:p>
        </w:tc>
      </w:tr>
      <w:tr>
        <w:trPr>
          <w:trHeight w:val="252"/>
        </w:trPr>
        <w:tc>
          <w:tcPr>
            <w:tcW w:w="568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Vice President and Chief Financial Officer, Principal</w:t>
            </w:r>
          </w:p>
        </w:tc>
      </w:tr>
      <w:tr>
        <w:trPr>
          <w:trHeight w:val="234"/>
        </w:trPr>
        <w:tc>
          <w:tcPr>
            <w:tcW w:w="5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Officer</w:t>
            </w:r>
          </w:p>
        </w:tc>
      </w:tr>
    </w:tbl>
    <w:p>
      <w:pPr>
        <w:sectPr>
          <w:pgSz w:w="11900" w:h="16838" w:orient="portrait"/>
          <w:cols w:equalWidth="0" w:num="1">
            <w:col w:w="11420"/>
          </w:cols>
          <w:pgMar w:left="240" w:top="576"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of Aviat Networks, Inc. (“Aviat Networks”) for the fiscal quarter ended December 30, 2016, as filed with the Securities and Exchange Commission on the date hereof (the “Report”), we, Michael A. Pangia, President and Chief Executive Officer of Aviat Networks, and Ralph S. Marimon, Senior Vice President and Chief Financial Officer, Principal Financial Officer of Aviat Networks, hereby certify, pursuant to Section 906 of the Sarbanes-Oxley Act of 2002, 18 U.S.C. §1350, that:</w:t>
      </w:r>
    </w:p>
    <w:p>
      <w:pPr>
        <w:spacing w:after="0" w:line="140" w:lineRule="exact"/>
        <w:rPr>
          <w:sz w:val="20"/>
          <w:szCs w:val="20"/>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right="60" w:firstLine="8"/>
        <w:spacing w:after="0" w:line="282" w:lineRule="auto"/>
        <w:tabs>
          <w:tab w:leader="none" w:pos="38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600" w:val="left"/>
          <w:tab w:leader="none" w:pos="6060" w:val="left"/>
        </w:tabs>
        <w:rPr>
          <w:sz w:val="20"/>
          <w:szCs w:val="20"/>
          <w:color w:val="auto"/>
        </w:rPr>
      </w:pPr>
      <w:r>
        <w:rPr>
          <w:rFonts w:ascii="Times New Roman" w:cs="Times New Roman" w:eastAsia="Times New Roman" w:hAnsi="Times New Roman"/>
          <w:sz w:val="18"/>
          <w:szCs w:val="18"/>
          <w:color w:val="auto"/>
        </w:rPr>
        <w:t>Date:</w:t>
        <w:tab/>
        <w:t>February 10, 2017</w:t>
      </w:r>
      <w:r>
        <w:rPr>
          <w:sz w:val="20"/>
          <w:szCs w:val="20"/>
          <w:color w:val="auto"/>
        </w:rPr>
        <w:tab/>
      </w:r>
      <w:r>
        <w:rPr>
          <w:rFonts w:ascii="Times New Roman" w:cs="Times New Roman" w:eastAsia="Times New Roman" w:hAnsi="Times New Roman"/>
          <w:sz w:val="17"/>
          <w:szCs w:val="17"/>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146050</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Michael A. Pangia</w:t>
      </w:r>
    </w:p>
    <w:p>
      <w:pPr>
        <w:spacing w:after="0" w:line="23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10, 2017</w:t>
      </w:r>
    </w:p>
    <w:p>
      <w:pPr>
        <w:ind w:left="6080"/>
        <w:spacing w:after="0"/>
        <w:rPr>
          <w:sz w:val="20"/>
          <w:szCs w:val="20"/>
          <w:color w:val="auto"/>
        </w:rPr>
      </w:pPr>
      <w:r>
        <w:rPr>
          <w:rFonts w:ascii="Times New Roman" w:cs="Times New Roman" w:eastAsia="Times New Roman" w:hAnsi="Times New Roman"/>
          <w:sz w:val="18"/>
          <w:szCs w:val="18"/>
          <w:color w:val="auto"/>
        </w:rPr>
        <w:t>/s/ 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Ralph S. Marimon</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 Principal</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3"/>
    </w:lvl>
  </w:abstractNum>
  <w:abstractNum w:abstractNumId="7">
    <w:nsid w:val="2D1D5AE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
    <w:nsid w:val="6763845E"/>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9">
    <w:nsid w:val="75A2A8D4"/>
    <w:multiLevelType w:val="hybridMultilevel"/>
    <w:lvl w:ilvl="0">
      <w:lvlJc w:val="left"/>
      <w:lvlText w:val="(%1)"/>
      <w:numFmt w:val="lowerRoman"/>
      <w:start w:val="8"/>
    </w:lvl>
  </w:abstractNum>
  <w:abstractNum w:abstractNumId="10">
    <w:nsid w:val="8EDBDAB"/>
    <w:multiLevelType w:val="hybridMultilevel"/>
    <w:lvl w:ilvl="0">
      <w:lvlJc w:val="left"/>
      <w:lvlText w:val="(%1)"/>
      <w:numFmt w:val="lowerLetter"/>
      <w:start w:val="2"/>
    </w:lvl>
  </w:abstractNum>
  <w:abstractNum w:abstractNumId="11">
    <w:nsid w:val="79838CB2"/>
    <w:multiLevelType w:val="hybridMultilevel"/>
    <w:lvl w:ilvl="0">
      <w:lvlJc w:val="left"/>
      <w:lvlText w:val="(%1)"/>
      <w:numFmt w:val="lowerRoman"/>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upperLetter"/>
      <w:start w:val="1"/>
    </w:lvl>
  </w:abstractNum>
  <w:abstractNum w:abstractNumId="14">
    <w:nsid w:val="189A769B"/>
    <w:multiLevelType w:val="hybridMultilevel"/>
    <w:lvl w:ilvl="0">
      <w:lvlJc w:val="left"/>
      <w:lvlText w:val="%1."/>
      <w:numFmt w:val="upperLetter"/>
      <w:start w:val="4"/>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3"/>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2"/>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3"/>
    </w:lvl>
  </w:abstractNum>
  <w:abstractNum w:abstractNumId="21">
    <w:nsid w:val="8138641"/>
    <w:multiLevelType w:val="hybridMultilevel"/>
    <w:lvl w:ilvl="0">
      <w:lvlJc w:val="left"/>
      <w:lvlText w:val="(%1)"/>
      <w:numFmt w:val="lowerRoman"/>
      <w:start w:val="2"/>
    </w:lvl>
  </w:abstractNum>
  <w:abstractNum w:abstractNumId="22">
    <w:nsid w:val="1E7FF521"/>
    <w:multiLevelType w:val="hybridMultilevel"/>
    <w:lvl w:ilvl="0">
      <w:lvlJc w:val="left"/>
      <w:lvlText w:val="%1"/>
      <w:numFmt w:val="upperLetter"/>
      <w:start w:val="1"/>
    </w:lvl>
    <w:lvl w:ilvl="1">
      <w:lvlJc w:val="left"/>
      <w:lvlText w:val="(%2)"/>
      <w:numFmt w:val="lowerRoman"/>
      <w:start w:val="4"/>
    </w:lvl>
  </w:abstractNum>
  <w:abstractNum w:abstractNumId="23">
    <w:nsid w:val="7C3DBD3D"/>
    <w:multiLevelType w:val="hybridMultilevel"/>
    <w:lvl w:ilvl="0">
      <w:lvlJc w:val="left"/>
      <w:lvlText w:val="(%1)"/>
      <w:numFmt w:val="upperLetter"/>
      <w:start w:val="3"/>
    </w:lvl>
    <w:lvl w:ilvl="1">
      <w:lvlJc w:val="left"/>
      <w:lvlText w:val="%2"/>
      <w:numFmt w:val="lowerRoman"/>
      <w:start w:val="1"/>
    </w:lvl>
  </w:abstractNum>
  <w:abstractNum w:abstractNumId="24">
    <w:nsid w:val="737B8DDC"/>
    <w:multiLevelType w:val="hybridMultilevel"/>
    <w:lvl w:ilvl="0">
      <w:lvlJc w:val="left"/>
      <w:lvlText w:val="(%1)"/>
      <w:numFmt w:val="lowerLetter"/>
      <w:start w:val="1"/>
    </w:lvl>
    <w:lvl w:ilvl="1">
      <w:lvlJc w:val="left"/>
      <w:lvlText w:val="(%2)"/>
      <w:numFmt w:val="lowerRoman"/>
      <w:start w:val="1"/>
    </w:lvl>
  </w:abstractNum>
  <w:abstractNum w:abstractNumId="25">
    <w:nsid w:val="6CEAF087"/>
    <w:multiLevelType w:val="hybridMultilevel"/>
    <w:lvl w:ilvl="0">
      <w:lvlJc w:val="left"/>
      <w:lvlText w:val="%1"/>
      <w:numFmt w:val="lowerLetter"/>
      <w:start w:val="1"/>
    </w:lvl>
    <w:lvl w:ilvl="1">
      <w:lvlJc w:val="left"/>
      <w:lvlText w:val="(%2)"/>
      <w:numFmt w:val="lowerRoman"/>
      <w:start w:val="4"/>
    </w:lvl>
  </w:abstractNum>
  <w:abstractNum w:abstractNumId="26">
    <w:nsid w:val="22221A70"/>
    <w:multiLevelType w:val="hybridMultilevel"/>
    <w:lvl w:ilvl="0">
      <w:lvlJc w:val="left"/>
      <w:lvlText w:val="(%1)"/>
      <w:numFmt w:val="lowerLetter"/>
      <w:start w:val="3"/>
    </w:lvl>
    <w:lvl w:ilvl="1">
      <w:lvlJc w:val="left"/>
      <w:lvlText w:val="%2"/>
      <w:numFmt w:val="lowerRoman"/>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3"/>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lowerRoman"/>
      <w:start w:val="10"/>
    </w:lvl>
  </w:abstractNum>
  <w:abstractNum w:abstractNumId="31">
    <w:nsid w:val="5577F8E1"/>
    <w:multiLevelType w:val="hybridMultilevel"/>
    <w:lvl w:ilvl="0">
      <w:lvlJc w:val="left"/>
      <w:lvlText w:val="(%1)"/>
      <w:numFmt w:val="lowerRoman"/>
      <w:start w:val="1"/>
    </w:lvl>
  </w:abstractNum>
  <w:abstractNum w:abstractNumId="32">
    <w:nsid w:val="440BADFC"/>
    <w:multiLevelType w:val="hybridMultilevel"/>
    <w:lvl w:ilvl="0">
      <w:lvlJc w:val="left"/>
      <w:lvlText w:val="(%1)"/>
      <w:numFmt w:val="lowerRoman"/>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2"/>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2019-12-29T08:20:23Z</dcterms:created>
  <dcterms:modified xsi:type="dcterms:W3CDTF">2019-12-29T08:20:23Z</dcterms:modified>
</cp:coreProperties>
</file>