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1"/>
          <w:szCs w:val="11"/>
          <w:b w:val="1"/>
          <w:bCs w:val="1"/>
          <w:u w:val="single" w:color="auto"/>
          <w:color w:val="0000EE"/>
        </w:rPr>
      </w:pP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164465</wp:posOffset>
            </wp:positionV>
            <wp:extent cx="6772275" cy="674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674370"/>
                    </a:xfrm>
                    <a:prstGeom prst="rect">
                      <a:avLst/>
                    </a:prstGeom>
                    <a:noFill/>
                  </pic:spPr>
                </pic:pic>
              </a:graphicData>
            </a:graphic>
          </wp:anchor>
        </w:drawing>
      </w:r>
    </w:p>
    <w:p>
      <w:pPr>
        <w:sectPr>
          <w:pgSz w:w="11900" w:h="16838" w:orient="portrait"/>
          <w:cols w:equalWidth="0" w:num="1">
            <w:col w:w="11000"/>
          </w:cols>
          <w:pgMar w:left="220" w:top="12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940" w:hanging="967"/>
        <w:spacing w:after="0"/>
        <w:tabs>
          <w:tab w:leader="none" w:pos="19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For the fiscal year ended July 2, 2010</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940" w:hanging="937"/>
        <w:spacing w:after="0"/>
        <w:tabs>
          <w:tab w:leader="none" w:pos="19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1"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Commission File Number 001-33278</w:t>
      </w:r>
    </w:p>
    <w:p>
      <w:pPr>
        <w:spacing w:after="0" w:line="39"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AVIAT NETWORKS, INC.</w:t>
      </w:r>
    </w:p>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157"/>
        </w:trPr>
        <w:tc>
          <w:tcPr>
            <w:tcW w:w="6640" w:type="dxa"/>
            <w:vAlign w:val="bottom"/>
            <w:gridSpan w:val="3"/>
          </w:tcPr>
          <w:p>
            <w:pPr>
              <w:jc w:val="center"/>
              <w:ind w:right="1940"/>
              <w:spacing w:after="0"/>
              <w:rPr>
                <w:sz w:val="20"/>
                <w:szCs w:val="20"/>
                <w:color w:val="auto"/>
              </w:rPr>
            </w:pPr>
            <w:r>
              <w:rPr>
                <w:rFonts w:ascii="Arial" w:cs="Arial" w:eastAsia="Arial" w:hAnsi="Arial"/>
                <w:sz w:val="13"/>
                <w:szCs w:val="13"/>
                <w:b w:val="1"/>
                <w:bCs w:val="1"/>
                <w:color w:val="auto"/>
                <w:w w:val="94"/>
              </w:rPr>
              <w:t>Delaware</w:t>
            </w:r>
          </w:p>
        </w:tc>
        <w:tc>
          <w:tcPr>
            <w:tcW w:w="3180" w:type="dxa"/>
            <w:vAlign w:val="bottom"/>
          </w:tcPr>
          <w:p>
            <w:pPr>
              <w:jc w:val="right"/>
              <w:ind w:right="1660"/>
              <w:spacing w:after="0"/>
              <w:rPr>
                <w:sz w:val="20"/>
                <w:szCs w:val="20"/>
                <w:color w:val="auto"/>
              </w:rPr>
            </w:pPr>
            <w:r>
              <w:rPr>
                <w:rFonts w:ascii="Arial" w:cs="Arial" w:eastAsia="Arial" w:hAnsi="Arial"/>
                <w:sz w:val="13"/>
                <w:szCs w:val="13"/>
                <w:b w:val="1"/>
                <w:bCs w:val="1"/>
                <w:color w:val="auto"/>
              </w:rPr>
              <w:t>20-5961564</w:t>
            </w:r>
          </w:p>
        </w:tc>
      </w:tr>
      <w:tr>
        <w:trPr>
          <w:trHeight w:val="108"/>
        </w:trPr>
        <w:tc>
          <w:tcPr>
            <w:tcW w:w="6640" w:type="dxa"/>
            <w:vAlign w:val="bottom"/>
            <w:gridSpan w:val="3"/>
          </w:tcPr>
          <w:p>
            <w:pPr>
              <w:jc w:val="center"/>
              <w:ind w:right="194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180" w:type="dxa"/>
            <w:vAlign w:val="bottom"/>
          </w:tcPr>
          <w:p>
            <w:pPr>
              <w:jc w:val="center"/>
              <w:ind w:right="82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6640" w:type="dxa"/>
            <w:vAlign w:val="bottom"/>
            <w:gridSpan w:val="3"/>
          </w:tcPr>
          <w:p>
            <w:pPr>
              <w:jc w:val="center"/>
              <w:ind w:right="1940"/>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3180" w:type="dxa"/>
            <w:vAlign w:val="bottom"/>
          </w:tcPr>
          <w:p>
            <w:pPr>
              <w:jc w:val="center"/>
              <w:ind w:right="820"/>
              <w:spacing w:after="0" w:line="108" w:lineRule="exact"/>
              <w:rPr>
                <w:sz w:val="20"/>
                <w:szCs w:val="20"/>
                <w:color w:val="auto"/>
              </w:rPr>
            </w:pPr>
            <w:r>
              <w:rPr>
                <w:rFonts w:ascii="Arial" w:cs="Arial" w:eastAsia="Arial" w:hAnsi="Arial"/>
                <w:sz w:val="10"/>
                <w:szCs w:val="10"/>
                <w:i w:val="1"/>
                <w:iCs w:val="1"/>
                <w:color w:val="auto"/>
              </w:rPr>
              <w:t>Identification No.)</w:t>
            </w:r>
          </w:p>
        </w:tc>
      </w:tr>
      <w:tr>
        <w:trPr>
          <w:trHeight w:val="157"/>
        </w:trPr>
        <w:tc>
          <w:tcPr>
            <w:tcW w:w="6640" w:type="dxa"/>
            <w:vAlign w:val="bottom"/>
            <w:gridSpan w:val="3"/>
          </w:tcPr>
          <w:p>
            <w:pPr>
              <w:jc w:val="center"/>
              <w:ind w:right="1940"/>
              <w:spacing w:after="0"/>
              <w:rPr>
                <w:sz w:val="20"/>
                <w:szCs w:val="20"/>
                <w:color w:val="auto"/>
              </w:rPr>
            </w:pPr>
            <w:r>
              <w:rPr>
                <w:rFonts w:ascii="Arial" w:cs="Arial" w:eastAsia="Arial" w:hAnsi="Arial"/>
                <w:sz w:val="13"/>
                <w:szCs w:val="13"/>
                <w:b w:val="1"/>
                <w:bCs w:val="1"/>
                <w:color w:val="auto"/>
                <w:w w:val="93"/>
              </w:rPr>
              <w:t>5200 Great American Parkway</w:t>
            </w:r>
          </w:p>
        </w:tc>
        <w:tc>
          <w:tcPr>
            <w:tcW w:w="3180" w:type="dxa"/>
            <w:vAlign w:val="bottom"/>
          </w:tcPr>
          <w:p>
            <w:pPr>
              <w:jc w:val="right"/>
              <w:ind w:right="1800"/>
              <w:spacing w:after="0"/>
              <w:rPr>
                <w:sz w:val="20"/>
                <w:szCs w:val="20"/>
                <w:color w:val="auto"/>
              </w:rPr>
            </w:pPr>
            <w:r>
              <w:rPr>
                <w:rFonts w:ascii="Arial" w:cs="Arial" w:eastAsia="Arial" w:hAnsi="Arial"/>
                <w:sz w:val="13"/>
                <w:szCs w:val="13"/>
                <w:b w:val="1"/>
                <w:bCs w:val="1"/>
                <w:color w:val="auto"/>
              </w:rPr>
              <w:t>95054</w:t>
            </w:r>
          </w:p>
        </w:tc>
      </w:tr>
      <w:tr>
        <w:trPr>
          <w:trHeight w:val="157"/>
        </w:trPr>
        <w:tc>
          <w:tcPr>
            <w:tcW w:w="6640" w:type="dxa"/>
            <w:vAlign w:val="bottom"/>
            <w:gridSpan w:val="3"/>
          </w:tcPr>
          <w:p>
            <w:pPr>
              <w:jc w:val="center"/>
              <w:ind w:right="1940"/>
              <w:spacing w:after="0"/>
              <w:rPr>
                <w:sz w:val="20"/>
                <w:szCs w:val="20"/>
                <w:color w:val="auto"/>
              </w:rPr>
            </w:pPr>
            <w:r>
              <w:rPr>
                <w:rFonts w:ascii="Arial" w:cs="Arial" w:eastAsia="Arial" w:hAnsi="Arial"/>
                <w:sz w:val="13"/>
                <w:szCs w:val="13"/>
                <w:b w:val="1"/>
                <w:bCs w:val="1"/>
                <w:color w:val="auto"/>
                <w:w w:val="94"/>
              </w:rPr>
              <w:t>Santa Clara, CA 95054</w:t>
            </w:r>
          </w:p>
        </w:tc>
        <w:tc>
          <w:tcPr>
            <w:tcW w:w="3180" w:type="dxa"/>
            <w:vAlign w:val="bottom"/>
          </w:tcPr>
          <w:p>
            <w:pPr>
              <w:jc w:val="center"/>
              <w:ind w:right="820"/>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6640" w:type="dxa"/>
            <w:vAlign w:val="bottom"/>
            <w:gridSpan w:val="3"/>
          </w:tcPr>
          <w:p>
            <w:pPr>
              <w:jc w:val="center"/>
              <w:ind w:right="192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80" w:type="dxa"/>
            <w:vAlign w:val="bottom"/>
          </w:tcPr>
          <w:p>
            <w:pPr>
              <w:spacing w:after="0"/>
              <w:rPr>
                <w:sz w:val="11"/>
                <w:szCs w:val="11"/>
                <w:color w:val="auto"/>
              </w:rPr>
            </w:pPr>
          </w:p>
        </w:tc>
      </w:tr>
      <w:tr>
        <w:trPr>
          <w:trHeight w:val="234"/>
        </w:trPr>
        <w:tc>
          <w:tcPr>
            <w:tcW w:w="9820" w:type="dxa"/>
            <w:vAlign w:val="bottom"/>
            <w:gridSpan w:val="4"/>
          </w:tcPr>
          <w:p>
            <w:pPr>
              <w:jc w:val="center"/>
              <w:ind w:left="159"/>
              <w:spacing w:after="0"/>
              <w:rPr>
                <w:sz w:val="20"/>
                <w:szCs w:val="20"/>
                <w:color w:val="auto"/>
              </w:rPr>
            </w:pPr>
            <w:r>
              <w:rPr>
                <w:rFonts w:ascii="Arial" w:cs="Arial" w:eastAsia="Arial" w:hAnsi="Arial"/>
                <w:sz w:val="13"/>
                <w:szCs w:val="13"/>
                <w:b w:val="1"/>
                <w:bCs w:val="1"/>
                <w:color w:val="auto"/>
                <w:w w:val="90"/>
              </w:rPr>
              <w:t>Registrant’s telephone number, including area code: (408) 567-7000</w:t>
            </w:r>
          </w:p>
        </w:tc>
      </w:tr>
      <w:tr>
        <w:trPr>
          <w:trHeight w:val="234"/>
        </w:trPr>
        <w:tc>
          <w:tcPr>
            <w:tcW w:w="6640" w:type="dxa"/>
            <w:vAlign w:val="bottom"/>
            <w:gridSpan w:val="3"/>
          </w:tcPr>
          <w:p>
            <w:pPr>
              <w:jc w:val="center"/>
              <w:ind w:left="3319"/>
              <w:spacing w:after="0"/>
              <w:rPr>
                <w:sz w:val="20"/>
                <w:szCs w:val="20"/>
                <w:color w:val="auto"/>
              </w:rPr>
            </w:pPr>
            <w:r>
              <w:rPr>
                <w:rFonts w:ascii="Arial" w:cs="Arial" w:eastAsia="Arial" w:hAnsi="Arial"/>
                <w:sz w:val="13"/>
                <w:szCs w:val="13"/>
                <w:b w:val="1"/>
                <w:bCs w:val="1"/>
                <w:color w:val="auto"/>
              </w:rPr>
              <w:t>HARRIS STRATEX NETWORKS, INC.</w:t>
            </w:r>
          </w:p>
        </w:tc>
        <w:tc>
          <w:tcPr>
            <w:tcW w:w="3180" w:type="dxa"/>
            <w:vAlign w:val="bottom"/>
          </w:tcPr>
          <w:p>
            <w:pPr>
              <w:spacing w:after="0"/>
              <w:rPr>
                <w:sz w:val="20"/>
                <w:szCs w:val="20"/>
                <w:color w:val="auto"/>
              </w:rPr>
            </w:pPr>
          </w:p>
        </w:tc>
      </w:tr>
      <w:tr>
        <w:trPr>
          <w:trHeight w:val="157"/>
        </w:trPr>
        <w:tc>
          <w:tcPr>
            <w:tcW w:w="4060" w:type="dxa"/>
            <w:vAlign w:val="bottom"/>
          </w:tcPr>
          <w:p>
            <w:pPr>
              <w:spacing w:after="0"/>
              <w:rPr>
                <w:sz w:val="13"/>
                <w:szCs w:val="13"/>
                <w:color w:val="auto"/>
              </w:rPr>
            </w:pPr>
          </w:p>
        </w:tc>
        <w:tc>
          <w:tcPr>
            <w:tcW w:w="258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1"/>
              </w:rPr>
              <w:t>637 Davis Drive</w:t>
            </w:r>
          </w:p>
        </w:tc>
        <w:tc>
          <w:tcPr>
            <w:tcW w:w="3180" w:type="dxa"/>
            <w:vAlign w:val="bottom"/>
          </w:tcPr>
          <w:p>
            <w:pPr>
              <w:spacing w:after="0"/>
              <w:rPr>
                <w:sz w:val="13"/>
                <w:szCs w:val="13"/>
                <w:color w:val="auto"/>
              </w:rPr>
            </w:pPr>
          </w:p>
        </w:tc>
      </w:tr>
      <w:tr>
        <w:trPr>
          <w:trHeight w:val="141"/>
        </w:trPr>
        <w:tc>
          <w:tcPr>
            <w:tcW w:w="4060" w:type="dxa"/>
            <w:vAlign w:val="bottom"/>
          </w:tcPr>
          <w:p>
            <w:pPr>
              <w:spacing w:after="0"/>
              <w:rPr>
                <w:sz w:val="12"/>
                <w:szCs w:val="12"/>
                <w:color w:val="auto"/>
              </w:rPr>
            </w:pPr>
          </w:p>
        </w:tc>
        <w:tc>
          <w:tcPr>
            <w:tcW w:w="19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4"/>
              </w:rPr>
              <w:t>Morrisville, North Carolina 27560</w:t>
            </w:r>
          </w:p>
        </w:tc>
        <w:tc>
          <w:tcPr>
            <w:tcW w:w="6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28"/>
        </w:trPr>
        <w:tc>
          <w:tcPr>
            <w:tcW w:w="9820" w:type="dxa"/>
            <w:vAlign w:val="bottom"/>
            <w:gridSpan w:val="4"/>
          </w:tcPr>
          <w:p>
            <w:pPr>
              <w:jc w:val="center"/>
              <w:ind w:left="159"/>
              <w:spacing w:after="0"/>
              <w:rPr>
                <w:sz w:val="20"/>
                <w:szCs w:val="20"/>
                <w:color w:val="auto"/>
              </w:rPr>
            </w:pPr>
            <w:r>
              <w:rPr>
                <w:rFonts w:ascii="Arial" w:cs="Arial" w:eastAsia="Arial" w:hAnsi="Arial"/>
                <w:sz w:val="10"/>
                <w:szCs w:val="10"/>
                <w:i w:val="1"/>
                <w:iCs w:val="1"/>
                <w:color w:val="auto"/>
                <w:w w:val="95"/>
              </w:rPr>
              <w:t>(Former name, former address and former fiscal year, if changed since last report)</w:t>
            </w:r>
          </w:p>
        </w:tc>
      </w:tr>
      <w:tr>
        <w:trPr>
          <w:trHeight w:val="234"/>
        </w:trPr>
        <w:tc>
          <w:tcPr>
            <w:tcW w:w="6640" w:type="dxa"/>
            <w:vAlign w:val="bottom"/>
            <w:gridSpan w:val="3"/>
          </w:tcPr>
          <w:p>
            <w:pPr>
              <w:jc w:val="center"/>
              <w:ind w:left="3339"/>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180" w:type="dxa"/>
            <w:vAlign w:val="bottom"/>
          </w:tcPr>
          <w:p>
            <w:pPr>
              <w:spacing w:after="0"/>
              <w:rPr>
                <w:sz w:val="20"/>
                <w:szCs w:val="20"/>
                <w:color w:val="auto"/>
              </w:rPr>
            </w:pPr>
          </w:p>
        </w:tc>
      </w:tr>
      <w:tr>
        <w:trPr>
          <w:trHeight w:val="218"/>
        </w:trPr>
        <w:tc>
          <w:tcPr>
            <w:tcW w:w="6640" w:type="dxa"/>
            <w:vAlign w:val="bottom"/>
            <w:gridSpan w:val="3"/>
          </w:tcPr>
          <w:p>
            <w:pPr>
              <w:ind w:left="232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80" w:type="dxa"/>
            <w:vAlign w:val="bottom"/>
          </w:tcPr>
          <w:p>
            <w:pPr>
              <w:ind w:left="1120"/>
              <w:spacing w:after="0"/>
              <w:rPr>
                <w:sz w:val="20"/>
                <w:szCs w:val="20"/>
                <w:color w:val="auto"/>
              </w:rPr>
            </w:pPr>
            <w:r>
              <w:rPr>
                <w:rFonts w:ascii="Arial" w:cs="Arial" w:eastAsia="Arial" w:hAnsi="Arial"/>
                <w:sz w:val="10"/>
                <w:szCs w:val="10"/>
                <w:b w:val="1"/>
                <w:bCs w:val="1"/>
                <w:u w:val="single" w:color="auto"/>
                <w:color w:val="auto"/>
                <w:w w:val="93"/>
              </w:rPr>
              <w:t>N</w:t>
            </w:r>
            <w:r>
              <w:rPr>
                <w:rFonts w:ascii="Arial" w:cs="Arial" w:eastAsia="Arial" w:hAnsi="Arial"/>
                <w:sz w:val="10"/>
                <w:szCs w:val="10"/>
                <w:b w:val="1"/>
                <w:bCs w:val="1"/>
                <w:color w:val="auto"/>
                <w:w w:val="93"/>
              </w:rPr>
              <w:t>ame of Each Exchange on Which Registered</w:t>
            </w:r>
          </w:p>
        </w:tc>
      </w:tr>
      <w:tr>
        <w:trPr>
          <w:trHeight w:val="205"/>
        </w:trPr>
        <w:tc>
          <w:tcPr>
            <w:tcW w:w="6640" w:type="dxa"/>
            <w:vAlign w:val="bottom"/>
            <w:gridSpan w:val="3"/>
          </w:tcPr>
          <w:p>
            <w:pPr>
              <w:jc w:val="center"/>
              <w:ind w:right="1920"/>
              <w:spacing w:after="0"/>
              <w:rPr>
                <w:sz w:val="20"/>
                <w:szCs w:val="20"/>
                <w:color w:val="auto"/>
              </w:rPr>
            </w:pPr>
            <w:r>
              <w:rPr>
                <w:rFonts w:ascii="Arial" w:cs="Arial" w:eastAsia="Arial" w:hAnsi="Arial"/>
                <w:sz w:val="13"/>
                <w:szCs w:val="13"/>
                <w:color w:val="auto"/>
                <w:w w:val="90"/>
              </w:rPr>
              <w:t>Common Stock, par value $0.01 per share</w:t>
            </w:r>
          </w:p>
        </w:tc>
        <w:tc>
          <w:tcPr>
            <w:tcW w:w="3180" w:type="dxa"/>
            <w:vAlign w:val="bottom"/>
          </w:tcPr>
          <w:p>
            <w:pPr>
              <w:jc w:val="center"/>
              <w:ind w:right="820"/>
              <w:spacing w:after="0"/>
              <w:rPr>
                <w:sz w:val="20"/>
                <w:szCs w:val="20"/>
                <w:color w:val="auto"/>
              </w:rPr>
            </w:pPr>
            <w:r>
              <w:rPr>
                <w:rFonts w:ascii="Arial" w:cs="Arial" w:eastAsia="Arial" w:hAnsi="Arial"/>
                <w:sz w:val="13"/>
                <w:szCs w:val="13"/>
                <w:color w:val="auto"/>
                <w:w w:val="95"/>
              </w:rPr>
              <w:t>The NASDAQ Global Market</w:t>
            </w:r>
          </w:p>
        </w:tc>
      </w:tr>
      <w:tr>
        <w:trPr>
          <w:trHeight w:val="246"/>
        </w:trPr>
        <w:tc>
          <w:tcPr>
            <w:tcW w:w="9820" w:type="dxa"/>
            <w:vAlign w:val="bottom"/>
            <w:gridSpan w:val="4"/>
          </w:tcPr>
          <w:p>
            <w:pPr>
              <w:jc w:val="center"/>
              <w:ind w:left="159"/>
              <w:spacing w:after="0"/>
              <w:rPr>
                <w:sz w:val="20"/>
                <w:szCs w:val="20"/>
                <w:color w:val="auto"/>
              </w:rPr>
            </w:pPr>
            <w:r>
              <w:rPr>
                <w:rFonts w:ascii="Arial" w:cs="Arial" w:eastAsia="Arial" w:hAnsi="Arial"/>
                <w:sz w:val="13"/>
                <w:szCs w:val="13"/>
                <w:b w:val="1"/>
                <w:bCs w:val="1"/>
                <w:color w:val="auto"/>
                <w:w w:val="89"/>
              </w:rPr>
              <w:t>Securities registered pursuant to Section 12(g) of the Act: None</w:t>
            </w:r>
          </w:p>
        </w:tc>
      </w:tr>
      <w:tr>
        <w:trPr>
          <w:trHeight w:val="262"/>
        </w:trPr>
        <w:tc>
          <w:tcPr>
            <w:tcW w:w="6640" w:type="dxa"/>
            <w:vAlign w:val="bottom"/>
            <w:gridSpan w:val="3"/>
          </w:tcPr>
          <w:p>
            <w:pPr>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318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46"/>
        </w:trPr>
        <w:tc>
          <w:tcPr>
            <w:tcW w:w="6640" w:type="dxa"/>
            <w:vAlign w:val="bottom"/>
            <w:gridSpan w:val="3"/>
          </w:tcPr>
          <w:p>
            <w:pPr>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318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340" w:right="60" w:firstLine="320"/>
        <w:spacing w:after="0" w:line="169" w:lineRule="exact"/>
        <w:rPr>
          <w:sz w:val="20"/>
          <w:szCs w:val="20"/>
          <w:color w:val="auto"/>
        </w:rPr>
      </w:pPr>
      <w:r>
        <w:rPr>
          <w:rFonts w:ascii="Arial" w:cs="Arial" w:eastAsia="Arial" w:hAnsi="Arial"/>
          <w:sz w:val="13"/>
          <w:szCs w:val="13"/>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160" w:firstLine="320"/>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59" w:lineRule="exact"/>
        <w:rPr>
          <w:sz w:val="20"/>
          <w:szCs w:val="20"/>
          <w:color w:val="auto"/>
        </w:rPr>
      </w:pPr>
    </w:p>
    <w:p>
      <w:pPr>
        <w:ind w:left="340" w:firstLine="320"/>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statements incorporated by reference in Part III of this Form 10-K or any amendment to this Form 10-K.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7" w:right="67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340" w:firstLine="320"/>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40"/>
        <w:spacing w:after="0" w:line="150" w:lineRule="exact"/>
        <w:tabs>
          <w:tab w:leader="none" w:pos="3040" w:val="left"/>
          <w:tab w:leader="none" w:pos="6140" w:val="left"/>
          <w:tab w:leader="none" w:pos="85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37" w:lineRule="exact"/>
        <w:rPr>
          <w:sz w:val="20"/>
          <w:szCs w:val="20"/>
          <w:color w:val="auto"/>
        </w:rPr>
      </w:pPr>
    </w:p>
    <w:p>
      <w:pPr>
        <w:ind w:left="5920"/>
        <w:spacing w:after="0"/>
        <w:rPr>
          <w:sz w:val="20"/>
          <w:szCs w:val="20"/>
          <w:color w:val="auto"/>
        </w:rPr>
      </w:pPr>
      <w:r>
        <w:rPr>
          <w:rFonts w:ascii="Arial" w:cs="Arial" w:eastAsia="Arial" w:hAnsi="Arial"/>
          <w:sz w:val="10"/>
          <w:szCs w:val="10"/>
          <w:color w:val="auto"/>
        </w:rPr>
        <w:t>(Do not check if a smaller reporting company)</w:t>
      </w:r>
    </w:p>
    <w:p>
      <w:pPr>
        <w:spacing w:after="0" w:line="102" w:lineRule="exact"/>
        <w:rPr>
          <w:sz w:val="20"/>
          <w:szCs w:val="20"/>
          <w:color w:val="auto"/>
        </w:rPr>
      </w:pPr>
    </w:p>
    <w:p>
      <w:pPr>
        <w:ind w:left="660"/>
        <w:spacing w:after="0" w:line="138" w:lineRule="exact"/>
        <w:tabs>
          <w:tab w:leader="none" w:pos="71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260" w:firstLine="320"/>
        <w:spacing w:after="0" w:line="264" w:lineRule="auto"/>
        <w:rPr>
          <w:sz w:val="20"/>
          <w:szCs w:val="20"/>
          <w:color w:val="auto"/>
        </w:rPr>
      </w:pPr>
      <w:r>
        <w:rPr>
          <w:rFonts w:ascii="Arial" w:cs="Arial" w:eastAsia="Arial" w:hAnsi="Arial"/>
          <w:sz w:val="13"/>
          <w:szCs w:val="13"/>
          <w:color w:val="auto"/>
        </w:rPr>
        <w:t>As of December 31, 2009 (the last business day of the registrant’s most recently completed second fiscal quarter), the aggregate market value of the registrant’s Common Stock held by non-affiliates was approximately $403,167,000 based upon the closing price per share on The NASDAQ Global Market. For purposes of this calculation, the registrant has assumed that its directors and executive officers as of December 31, 2009 are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outstanding of the registrant’s Common Stock as of August 27, 2010 was 59,400,021 shares.</w:t>
      </w:r>
    </w:p>
    <w:p>
      <w:pPr>
        <w:spacing w:after="0" w:line="92"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280" w:firstLine="320"/>
        <w:spacing w:after="0" w:line="320" w:lineRule="auto"/>
        <w:rPr>
          <w:sz w:val="20"/>
          <w:szCs w:val="20"/>
          <w:color w:val="auto"/>
        </w:rPr>
      </w:pPr>
      <w:r>
        <w:rPr>
          <w:rFonts w:ascii="Arial" w:cs="Arial" w:eastAsia="Arial" w:hAnsi="Arial"/>
          <w:sz w:val="12"/>
          <w:szCs w:val="12"/>
          <w:color w:val="auto"/>
        </w:rPr>
        <w:t>Portions of the registrant’s definitive Proxy Statement for the Annual Meeting of Shareholders scheduled to be held on or about November 9, 2010, which will be filed with the Securities and Exchange Commission within 120 days after the end of the registrant’s fiscal year ended July 2, 2010,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46355</wp:posOffset>
            </wp:positionV>
            <wp:extent cx="677227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168275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20"/>
          </w:cols>
          <w:pgMar w:left="220" w:top="343"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gridSpan w:val="8"/>
          </w:tcPr>
          <w:p>
            <w:pPr>
              <w:jc w:val="center"/>
              <w:ind w:right="2440"/>
              <w:spacing w:after="0"/>
              <w:rPr>
                <w:sz w:val="20"/>
                <w:szCs w:val="20"/>
                <w:color w:val="auto"/>
              </w:rPr>
            </w:pPr>
            <w:r>
              <w:rPr>
                <w:rFonts w:ascii="Arial" w:cs="Arial" w:eastAsia="Arial" w:hAnsi="Arial"/>
                <w:sz w:val="13"/>
                <w:szCs w:val="13"/>
                <w:b w:val="1"/>
                <w:bCs w:val="1"/>
                <w:color w:val="auto"/>
              </w:rPr>
              <w:t>AVIAT NETWORKS, INC.</w:t>
            </w:r>
          </w:p>
        </w:tc>
        <w:tc>
          <w:tcPr>
            <w:tcW w:w="140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8"/>
          </w:tcPr>
          <w:p>
            <w:pPr>
              <w:jc w:val="center"/>
              <w:ind w:right="2440"/>
              <w:spacing w:after="0"/>
              <w:rPr>
                <w:sz w:val="20"/>
                <w:szCs w:val="20"/>
                <w:color w:val="auto"/>
              </w:rPr>
            </w:pPr>
            <w:r>
              <w:rPr>
                <w:rFonts w:ascii="Arial" w:cs="Arial" w:eastAsia="Arial" w:hAnsi="Arial"/>
                <w:sz w:val="13"/>
                <w:szCs w:val="13"/>
                <w:b w:val="1"/>
                <w:bCs w:val="1"/>
                <w:color w:val="auto"/>
              </w:rPr>
              <w:t>ANNUAL REPORT ON FORM 10-K</w:t>
            </w:r>
          </w:p>
        </w:tc>
        <w:tc>
          <w:tcPr>
            <w:tcW w:w="140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8"/>
          </w:tcPr>
          <w:p>
            <w:pPr>
              <w:jc w:val="center"/>
              <w:ind w:right="2420"/>
              <w:spacing w:after="0"/>
              <w:rPr>
                <w:sz w:val="20"/>
                <w:szCs w:val="20"/>
                <w:color w:val="auto"/>
              </w:rPr>
            </w:pPr>
            <w:r>
              <w:rPr>
                <w:rFonts w:ascii="Arial" w:cs="Arial" w:eastAsia="Arial" w:hAnsi="Arial"/>
                <w:sz w:val="13"/>
                <w:szCs w:val="13"/>
                <w:b w:val="1"/>
                <w:bCs w:val="1"/>
                <w:color w:val="auto"/>
                <w:w w:val="91"/>
              </w:rPr>
              <w:t>For the Fiscal Year Ended July 2, 2010</w:t>
            </w:r>
          </w:p>
        </w:tc>
        <w:tc>
          <w:tcPr>
            <w:tcW w:w="140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00" w:type="dxa"/>
            <w:vAlign w:val="bottom"/>
            <w:gridSpan w:val="7"/>
          </w:tcPr>
          <w:p>
            <w:pPr>
              <w:jc w:val="center"/>
              <w:ind w:right="3000"/>
              <w:spacing w:after="0"/>
              <w:rPr>
                <w:sz w:val="20"/>
                <w:szCs w:val="20"/>
                <w:color w:val="auto"/>
              </w:rPr>
            </w:pPr>
            <w:r>
              <w:rPr>
                <w:rFonts w:ascii="Arial" w:cs="Arial" w:eastAsia="Arial" w:hAnsi="Arial"/>
                <w:sz w:val="13"/>
                <w:szCs w:val="13"/>
                <w:b w:val="1"/>
                <w:bCs w:val="1"/>
                <w:color w:val="auto"/>
                <w:w w:val="89"/>
              </w:rPr>
              <w:t>Table of Contents</w:t>
            </w:r>
          </w:p>
        </w:tc>
        <w:tc>
          <w:tcPr>
            <w:tcW w:w="1400" w:type="dxa"/>
            <w:vAlign w:val="bottom"/>
          </w:tcPr>
          <w:p>
            <w:pPr>
              <w:spacing w:after="0"/>
              <w:rPr>
                <w:sz w:val="21"/>
                <w:szCs w:val="21"/>
                <w:color w:val="auto"/>
              </w:rPr>
            </w:pPr>
          </w:p>
        </w:tc>
      </w:tr>
      <w:tr>
        <w:trPr>
          <w:trHeight w:val="306"/>
        </w:trPr>
        <w:tc>
          <w:tcPr>
            <w:tcW w:w="440" w:type="dxa"/>
            <w:vAlign w:val="bottom"/>
            <w:tcBorders>
              <w:bottom w:val="single" w:sz="8" w:color="0000EE"/>
            </w:tcBorders>
            <w:gridSpan w:val="4"/>
          </w:tcPr>
          <w:p>
            <w:pPr>
              <w:spacing w:after="0"/>
              <w:rPr>
                <w:rFonts w:ascii="Arial" w:cs="Arial" w:eastAsia="Arial" w:hAnsi="Arial"/>
                <w:sz w:val="13"/>
                <w:szCs w:val="13"/>
                <w:b w:val="1"/>
                <w:bCs w:val="1"/>
                <w:color w:val="0000EE"/>
                <w:w w:val="98"/>
              </w:rPr>
            </w:pPr>
            <w:hyperlink w:anchor="page7">
              <w:r>
                <w:rPr>
                  <w:rFonts w:ascii="Arial" w:cs="Arial" w:eastAsia="Arial" w:hAnsi="Arial"/>
                  <w:sz w:val="13"/>
                  <w:szCs w:val="13"/>
                  <w:b w:val="1"/>
                  <w:bCs w:val="1"/>
                  <w:color w:val="0000EE"/>
                  <w:w w:val="98"/>
                </w:rPr>
                <w:t>PART I</w:t>
              </w:r>
            </w:hyperlink>
          </w:p>
        </w:tc>
        <w:tc>
          <w:tcPr>
            <w:tcW w:w="10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3"/>
          </w:tcPr>
          <w:p>
            <w:pPr>
              <w:spacing w:after="0" w:line="138" w:lineRule="exact"/>
              <w:rPr>
                <w:rFonts w:ascii="Arial" w:cs="Arial" w:eastAsia="Arial" w:hAnsi="Arial"/>
                <w:sz w:val="13"/>
                <w:szCs w:val="13"/>
                <w:color w:val="0000EE"/>
                <w:w w:val="80"/>
              </w:rPr>
            </w:pPr>
            <w:hyperlink w:anchor="page7">
              <w:r>
                <w:rPr>
                  <w:rFonts w:ascii="Arial" w:cs="Arial" w:eastAsia="Arial" w:hAnsi="Arial"/>
                  <w:sz w:val="13"/>
                  <w:szCs w:val="13"/>
                  <w:color w:val="0000EE"/>
                  <w:w w:val="80"/>
                </w:rPr>
                <w:t>Item 1.</w:t>
              </w:r>
            </w:hyperlink>
          </w:p>
        </w:tc>
        <w:tc>
          <w:tcPr>
            <w:tcW w:w="960" w:type="dxa"/>
            <w:vAlign w:val="bottom"/>
            <w:gridSpan w:val="6"/>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Business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9"/>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Item 1A.</w:t>
              </w:r>
            </w:hyperlink>
          </w:p>
        </w:tc>
        <w:tc>
          <w:tcPr>
            <w:tcW w:w="7080" w:type="dxa"/>
            <w:vAlign w:val="bottom"/>
            <w:gridSpan w:val="21"/>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0000EE"/>
            </w:tcBorders>
            <w:gridSpan w:val="6"/>
          </w:tcPr>
          <w:p>
            <w:pPr>
              <w:spacing w:after="0" w:line="138" w:lineRule="exact"/>
              <w:rPr>
                <w:rFonts w:ascii="Arial" w:cs="Arial" w:eastAsia="Arial" w:hAnsi="Arial"/>
                <w:sz w:val="13"/>
                <w:szCs w:val="13"/>
                <w:color w:val="0000EE"/>
                <w:w w:val="86"/>
              </w:rPr>
            </w:pPr>
            <w:hyperlink w:anchor="page27">
              <w:r>
                <w:rPr>
                  <w:rFonts w:ascii="Arial" w:cs="Arial" w:eastAsia="Arial" w:hAnsi="Arial"/>
                  <w:sz w:val="13"/>
                  <w:szCs w:val="13"/>
                  <w:color w:val="0000EE"/>
                  <w:w w:val="86"/>
                </w:rPr>
                <w:t>Item 1B.</w:t>
              </w:r>
            </w:hyperlink>
          </w:p>
        </w:tc>
        <w:tc>
          <w:tcPr>
            <w:tcW w:w="860" w:type="dxa"/>
            <w:vAlign w:val="bottom"/>
            <w:gridSpan w:val="3"/>
          </w:tcPr>
          <w:p>
            <w:pPr>
              <w:spacing w:after="0"/>
              <w:rPr>
                <w:sz w:val="11"/>
                <w:szCs w:val="11"/>
                <w:color w:val="auto"/>
              </w:rPr>
            </w:pPr>
          </w:p>
        </w:tc>
        <w:tc>
          <w:tcPr>
            <w:tcW w:w="150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27">
              <w:r>
                <w:rPr>
                  <w:rFonts w:ascii="Arial" w:cs="Arial" w:eastAsia="Arial" w:hAnsi="Arial"/>
                  <w:sz w:val="13"/>
                  <w:szCs w:val="13"/>
                  <w:color w:val="0000EE"/>
                  <w:w w:val="91"/>
                </w:rPr>
                <w:t>Unresolved Staff Comments</w:t>
              </w:r>
            </w:hyperlink>
          </w:p>
        </w:tc>
        <w:tc>
          <w:tcPr>
            <w:tcW w:w="5580" w:type="dxa"/>
            <w:vAlign w:val="bottom"/>
            <w:gridSpan w:val="11"/>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0000EE"/>
            </w:tcBorders>
            <w:gridSpan w:val="3"/>
          </w:tcPr>
          <w:p>
            <w:pPr>
              <w:spacing w:after="0" w:line="138" w:lineRule="exact"/>
              <w:rPr>
                <w:rFonts w:ascii="Arial" w:cs="Arial" w:eastAsia="Arial" w:hAnsi="Arial"/>
                <w:sz w:val="13"/>
                <w:szCs w:val="13"/>
                <w:color w:val="0000EE"/>
                <w:w w:val="80"/>
              </w:rPr>
            </w:pPr>
            <w:hyperlink w:anchor="page27">
              <w:r>
                <w:rPr>
                  <w:rFonts w:ascii="Arial" w:cs="Arial" w:eastAsia="Arial" w:hAnsi="Arial"/>
                  <w:sz w:val="13"/>
                  <w:szCs w:val="13"/>
                  <w:color w:val="0000EE"/>
                  <w:w w:val="80"/>
                </w:rPr>
                <w:t>Item 2.</w:t>
              </w:r>
            </w:hyperlink>
          </w:p>
        </w:tc>
        <w:tc>
          <w:tcPr>
            <w:tcW w:w="960" w:type="dxa"/>
            <w:vAlign w:val="bottom"/>
            <w:gridSpan w:val="6"/>
          </w:tcPr>
          <w:p>
            <w:pPr>
              <w:spacing w:after="0"/>
              <w:rPr>
                <w:sz w:val="11"/>
                <w:szCs w:val="11"/>
                <w:color w:val="auto"/>
              </w:rPr>
            </w:pPr>
          </w:p>
        </w:tc>
        <w:tc>
          <w:tcPr>
            <w:tcW w:w="540" w:type="dxa"/>
            <w:vAlign w:val="bottom"/>
            <w:tcBorders>
              <w:bottom w:val="single" w:sz="8" w:color="0000EE"/>
            </w:tcBorders>
            <w:gridSpan w:val="2"/>
          </w:tcPr>
          <w:p>
            <w:pPr>
              <w:spacing w:after="0" w:line="138" w:lineRule="exact"/>
              <w:rPr>
                <w:rFonts w:ascii="Arial" w:cs="Arial" w:eastAsia="Arial" w:hAnsi="Arial"/>
                <w:sz w:val="13"/>
                <w:szCs w:val="13"/>
                <w:color w:val="0000EE"/>
                <w:w w:val="87"/>
              </w:rPr>
            </w:pPr>
            <w:hyperlink w:anchor="page27">
              <w:r>
                <w:rPr>
                  <w:rFonts w:ascii="Arial" w:cs="Arial" w:eastAsia="Arial" w:hAnsi="Arial"/>
                  <w:sz w:val="13"/>
                  <w:szCs w:val="13"/>
                  <w:color w:val="0000EE"/>
                  <w:w w:val="87"/>
                </w:rPr>
                <w:t>Properties</w:t>
              </w:r>
            </w:hyperlink>
          </w:p>
        </w:tc>
        <w:tc>
          <w:tcPr>
            <w:tcW w:w="6540" w:type="dxa"/>
            <w:vAlign w:val="bottom"/>
            <w:gridSpan w:val="19"/>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0000EE"/>
            </w:tcBorders>
            <w:gridSpan w:val="3"/>
          </w:tcPr>
          <w:p>
            <w:pPr>
              <w:spacing w:after="0" w:line="138" w:lineRule="exact"/>
              <w:rPr>
                <w:rFonts w:ascii="Arial" w:cs="Arial" w:eastAsia="Arial" w:hAnsi="Arial"/>
                <w:sz w:val="13"/>
                <w:szCs w:val="13"/>
                <w:color w:val="0000EE"/>
                <w:w w:val="80"/>
              </w:rPr>
            </w:pPr>
            <w:hyperlink w:anchor="page28">
              <w:r>
                <w:rPr>
                  <w:rFonts w:ascii="Arial" w:cs="Arial" w:eastAsia="Arial" w:hAnsi="Arial"/>
                  <w:sz w:val="13"/>
                  <w:szCs w:val="13"/>
                  <w:color w:val="0000EE"/>
                  <w:w w:val="80"/>
                </w:rPr>
                <w:t>Item 3.</w:t>
              </w:r>
            </w:hyperlink>
          </w:p>
        </w:tc>
        <w:tc>
          <w:tcPr>
            <w:tcW w:w="960" w:type="dxa"/>
            <w:vAlign w:val="bottom"/>
            <w:gridSpan w:val="6"/>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28">
              <w:r>
                <w:rPr>
                  <w:rFonts w:ascii="Arial" w:cs="Arial" w:eastAsia="Arial" w:hAnsi="Arial"/>
                  <w:sz w:val="13"/>
                  <w:szCs w:val="13"/>
                  <w:color w:val="0000EE"/>
                  <w:w w:val="89"/>
                </w:rPr>
                <w:t>Legal Proceedings</w:t>
              </w:r>
            </w:hyperlink>
          </w:p>
        </w:tc>
        <w:tc>
          <w:tcPr>
            <w:tcW w:w="6100" w:type="dxa"/>
            <w:vAlign w:val="bottom"/>
            <w:gridSpan w:val="16"/>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0000EE"/>
            </w:tcBorders>
            <w:gridSpan w:val="3"/>
          </w:tcPr>
          <w:p>
            <w:pPr>
              <w:spacing w:after="0" w:line="138" w:lineRule="exact"/>
              <w:rPr>
                <w:rFonts w:ascii="Arial" w:cs="Arial" w:eastAsia="Arial" w:hAnsi="Arial"/>
                <w:sz w:val="13"/>
                <w:szCs w:val="13"/>
                <w:color w:val="0000EE"/>
                <w:w w:val="80"/>
              </w:rPr>
            </w:pPr>
            <w:hyperlink w:anchor="page30">
              <w:r>
                <w:rPr>
                  <w:rFonts w:ascii="Arial" w:cs="Arial" w:eastAsia="Arial" w:hAnsi="Arial"/>
                  <w:sz w:val="13"/>
                  <w:szCs w:val="13"/>
                  <w:color w:val="0000EE"/>
                  <w:w w:val="80"/>
                </w:rPr>
                <w:t>Item 4.</w:t>
              </w:r>
            </w:hyperlink>
          </w:p>
        </w:tc>
        <w:tc>
          <w:tcPr>
            <w:tcW w:w="960" w:type="dxa"/>
            <w:vAlign w:val="bottom"/>
            <w:gridSpan w:val="6"/>
          </w:tcPr>
          <w:p>
            <w:pPr>
              <w:spacing w:after="0"/>
              <w:rPr>
                <w:sz w:val="11"/>
                <w:szCs w:val="11"/>
                <w:color w:val="auto"/>
              </w:rPr>
            </w:pPr>
          </w:p>
        </w:tc>
        <w:tc>
          <w:tcPr>
            <w:tcW w:w="1260" w:type="dxa"/>
            <w:vAlign w:val="bottom"/>
            <w:tcBorders>
              <w:bottom w:val="single" w:sz="8" w:color="0000EE"/>
            </w:tcBorders>
            <w:gridSpan w:val="7"/>
          </w:tcPr>
          <w:p>
            <w:pPr>
              <w:spacing w:after="0" w:line="138" w:lineRule="exact"/>
              <w:rPr>
                <w:rFonts w:ascii="Arial" w:cs="Arial" w:eastAsia="Arial" w:hAnsi="Arial"/>
                <w:sz w:val="13"/>
                <w:szCs w:val="13"/>
                <w:color w:val="0000EE"/>
                <w:w w:val="88"/>
              </w:rPr>
            </w:pPr>
            <w:hyperlink w:anchor="page30">
              <w:r>
                <w:rPr>
                  <w:rFonts w:ascii="Arial" w:cs="Arial" w:eastAsia="Arial" w:hAnsi="Arial"/>
                  <w:sz w:val="13"/>
                  <w:szCs w:val="13"/>
                  <w:color w:val="0000EE"/>
                  <w:w w:val="88"/>
                </w:rPr>
                <w:t>Removed and Reserved</w:t>
              </w:r>
            </w:hyperlink>
          </w:p>
        </w:tc>
        <w:tc>
          <w:tcPr>
            <w:tcW w:w="5820" w:type="dxa"/>
            <w:vAlign w:val="bottom"/>
            <w:gridSpan w:val="14"/>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255"/>
        </w:trPr>
        <w:tc>
          <w:tcPr>
            <w:tcW w:w="500" w:type="dxa"/>
            <w:vAlign w:val="bottom"/>
            <w:tcBorders>
              <w:bottom w:val="single" w:sz="8" w:color="0000EE"/>
            </w:tcBorders>
            <w:gridSpan w:val="5"/>
          </w:tcPr>
          <w:p>
            <w:pPr>
              <w:spacing w:after="0"/>
              <w:rPr>
                <w:rFonts w:ascii="Arial" w:cs="Arial" w:eastAsia="Arial" w:hAnsi="Arial"/>
                <w:sz w:val="13"/>
                <w:szCs w:val="13"/>
                <w:b w:val="1"/>
                <w:bCs w:val="1"/>
                <w:color w:val="0000EE"/>
                <w:w w:val="99"/>
              </w:rPr>
            </w:pPr>
            <w:hyperlink w:anchor="page30">
              <w:r>
                <w:rPr>
                  <w:rFonts w:ascii="Arial" w:cs="Arial" w:eastAsia="Arial" w:hAnsi="Arial"/>
                  <w:sz w:val="13"/>
                  <w:szCs w:val="13"/>
                  <w:b w:val="1"/>
                  <w:bCs w:val="1"/>
                  <w:color w:val="0000EE"/>
                  <w:w w:val="99"/>
                </w:rPr>
                <w:t>PART II</w:t>
              </w:r>
            </w:hyperlink>
          </w:p>
        </w:tc>
        <w:tc>
          <w:tcPr>
            <w:tcW w:w="960" w:type="dxa"/>
            <w:vAlign w:val="bottom"/>
            <w:gridSpan w:val="6"/>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3"/>
          </w:tcPr>
          <w:p>
            <w:pPr>
              <w:spacing w:after="0" w:line="138" w:lineRule="exact"/>
              <w:rPr>
                <w:rFonts w:ascii="Arial" w:cs="Arial" w:eastAsia="Arial" w:hAnsi="Arial"/>
                <w:sz w:val="13"/>
                <w:szCs w:val="13"/>
                <w:color w:val="0000EE"/>
                <w:w w:val="80"/>
              </w:rPr>
            </w:pPr>
            <w:hyperlink w:anchor="page30">
              <w:r>
                <w:rPr>
                  <w:rFonts w:ascii="Arial" w:cs="Arial" w:eastAsia="Arial" w:hAnsi="Arial"/>
                  <w:sz w:val="13"/>
                  <w:szCs w:val="13"/>
                  <w:color w:val="0000EE"/>
                  <w:w w:val="80"/>
                </w:rPr>
                <w:t>Item 5.</w:t>
              </w:r>
            </w:hyperlink>
          </w:p>
        </w:tc>
        <w:tc>
          <w:tcPr>
            <w:tcW w:w="960" w:type="dxa"/>
            <w:vAlign w:val="bottom"/>
            <w:gridSpan w:val="6"/>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Market for Registrant’s Common Equity, Related Stockholder Matters and Issuer Purchases of Equity Securities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gridSpan w:val="3"/>
          </w:tcPr>
          <w:p>
            <w:pPr>
              <w:spacing w:after="0" w:line="138" w:lineRule="exact"/>
              <w:rPr>
                <w:rFonts w:ascii="Arial" w:cs="Arial" w:eastAsia="Arial" w:hAnsi="Arial"/>
                <w:sz w:val="13"/>
                <w:szCs w:val="13"/>
                <w:color w:val="0000EE"/>
                <w:w w:val="80"/>
              </w:rPr>
            </w:pPr>
            <w:hyperlink w:anchor="page32">
              <w:r>
                <w:rPr>
                  <w:rFonts w:ascii="Arial" w:cs="Arial" w:eastAsia="Arial" w:hAnsi="Arial"/>
                  <w:sz w:val="13"/>
                  <w:szCs w:val="13"/>
                  <w:color w:val="0000EE"/>
                  <w:w w:val="80"/>
                </w:rPr>
                <w:t>Item 6.</w:t>
              </w:r>
            </w:hyperlink>
          </w:p>
        </w:tc>
        <w:tc>
          <w:tcPr>
            <w:tcW w:w="960" w:type="dxa"/>
            <w:vAlign w:val="bottom"/>
            <w:gridSpan w:val="6"/>
          </w:tcPr>
          <w:p>
            <w:pPr>
              <w:spacing w:after="0"/>
              <w:rPr>
                <w:sz w:val="11"/>
                <w:szCs w:val="11"/>
                <w:color w:val="auto"/>
              </w:rPr>
            </w:pPr>
          </w:p>
        </w:tc>
        <w:tc>
          <w:tcPr>
            <w:tcW w:w="588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Selected Financial Data</w:t>
              </w:r>
            </w:hyperlink>
          </w:p>
        </w:tc>
        <w:tc>
          <w:tcPr>
            <w:tcW w:w="1200" w:type="dxa"/>
            <w:vAlign w:val="bottom"/>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3"/>
          </w:tcPr>
          <w:p>
            <w:pPr>
              <w:spacing w:after="0" w:line="138" w:lineRule="exact"/>
              <w:rPr>
                <w:rFonts w:ascii="Arial" w:cs="Arial" w:eastAsia="Arial" w:hAnsi="Arial"/>
                <w:sz w:val="13"/>
                <w:szCs w:val="13"/>
                <w:color w:val="0000EE"/>
                <w:w w:val="80"/>
              </w:rPr>
            </w:pPr>
            <w:hyperlink w:anchor="page33">
              <w:r>
                <w:rPr>
                  <w:rFonts w:ascii="Arial" w:cs="Arial" w:eastAsia="Arial" w:hAnsi="Arial"/>
                  <w:sz w:val="13"/>
                  <w:szCs w:val="13"/>
                  <w:color w:val="0000EE"/>
                  <w:w w:val="80"/>
                </w:rPr>
                <w:t>Item 7.</w:t>
              </w:r>
            </w:hyperlink>
          </w:p>
        </w:tc>
        <w:tc>
          <w:tcPr>
            <w:tcW w:w="960" w:type="dxa"/>
            <w:vAlign w:val="bottom"/>
            <w:gridSpan w:val="6"/>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Management’s Discussion and Analysis of Financial Condition and Results of Operations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9"/>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Item 7A.</w:t>
              </w:r>
            </w:hyperlink>
          </w:p>
        </w:tc>
        <w:tc>
          <w:tcPr>
            <w:tcW w:w="7080" w:type="dxa"/>
            <w:vAlign w:val="bottom"/>
            <w:gridSpan w:val="21"/>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Quantitative and Qualitative Disclosures About Market Risk</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0000EE"/>
            </w:tcBorders>
            <w:gridSpan w:val="3"/>
          </w:tcPr>
          <w:p>
            <w:pPr>
              <w:spacing w:after="0" w:line="138" w:lineRule="exact"/>
              <w:rPr>
                <w:rFonts w:ascii="Arial" w:cs="Arial" w:eastAsia="Arial" w:hAnsi="Arial"/>
                <w:sz w:val="13"/>
                <w:szCs w:val="13"/>
                <w:color w:val="0000EE"/>
                <w:w w:val="80"/>
              </w:rPr>
            </w:pPr>
            <w:hyperlink w:anchor="page55">
              <w:r>
                <w:rPr>
                  <w:rFonts w:ascii="Arial" w:cs="Arial" w:eastAsia="Arial" w:hAnsi="Arial"/>
                  <w:sz w:val="13"/>
                  <w:szCs w:val="13"/>
                  <w:color w:val="0000EE"/>
                  <w:w w:val="80"/>
                </w:rPr>
                <w:t>Item 8.</w:t>
              </w:r>
            </w:hyperlink>
          </w:p>
        </w:tc>
        <w:tc>
          <w:tcPr>
            <w:tcW w:w="100" w:type="dxa"/>
            <w:vAlign w:val="bottom"/>
            <w:tcBorders>
              <w:top w:val="single" w:sz="8" w:color="0000EE"/>
            </w:tcBorders>
            <w:gridSpan w:val="3"/>
          </w:tcPr>
          <w:p>
            <w:pPr>
              <w:spacing w:after="0"/>
              <w:rPr>
                <w:sz w:val="11"/>
                <w:szCs w:val="11"/>
                <w:color w:val="auto"/>
              </w:rPr>
            </w:pPr>
          </w:p>
        </w:tc>
        <w:tc>
          <w:tcPr>
            <w:tcW w:w="860" w:type="dxa"/>
            <w:vAlign w:val="bottom"/>
            <w:gridSpan w:val="3"/>
          </w:tcPr>
          <w:p>
            <w:pPr>
              <w:spacing w:after="0"/>
              <w:rPr>
                <w:sz w:val="11"/>
                <w:szCs w:val="11"/>
                <w:color w:val="auto"/>
              </w:rPr>
            </w:pPr>
          </w:p>
        </w:tc>
        <w:tc>
          <w:tcPr>
            <w:tcW w:w="31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55">
              <w:r>
                <w:rPr>
                  <w:rFonts w:ascii="Arial" w:cs="Arial" w:eastAsia="Arial" w:hAnsi="Arial"/>
                  <w:sz w:val="13"/>
                  <w:szCs w:val="13"/>
                  <w:color w:val="0000EE"/>
                </w:rPr>
                <w:t>Financial Statements and Supplementary Data</w:t>
              </w:r>
            </w:hyperlink>
          </w:p>
        </w:tc>
        <w:tc>
          <w:tcPr>
            <w:tcW w:w="3900" w:type="dxa"/>
            <w:vAlign w:val="bottom"/>
            <w:gridSpan w:val="6"/>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53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0000EE"/>
            </w:tcBorders>
            <w:gridSpan w:val="3"/>
          </w:tcPr>
          <w:p>
            <w:pPr>
              <w:spacing w:after="0" w:line="138" w:lineRule="exact"/>
              <w:rPr>
                <w:rFonts w:ascii="Arial" w:cs="Arial" w:eastAsia="Arial" w:hAnsi="Arial"/>
                <w:sz w:val="13"/>
                <w:szCs w:val="13"/>
                <w:color w:val="0000EE"/>
                <w:w w:val="80"/>
              </w:rPr>
            </w:pPr>
            <w:hyperlink w:anchor="page104">
              <w:r>
                <w:rPr>
                  <w:rFonts w:ascii="Arial" w:cs="Arial" w:eastAsia="Arial" w:hAnsi="Arial"/>
                  <w:sz w:val="13"/>
                  <w:szCs w:val="13"/>
                  <w:color w:val="0000EE"/>
                  <w:w w:val="80"/>
                </w:rPr>
                <w:t>Item 9.</w:t>
              </w:r>
            </w:hyperlink>
          </w:p>
        </w:tc>
        <w:tc>
          <w:tcPr>
            <w:tcW w:w="960" w:type="dxa"/>
            <w:vAlign w:val="bottom"/>
            <w:gridSpan w:val="6"/>
          </w:tcPr>
          <w:p>
            <w:pPr>
              <w:spacing w:after="0"/>
              <w:rPr>
                <w:sz w:val="11"/>
                <w:szCs w:val="11"/>
                <w:color w:val="auto"/>
              </w:rPr>
            </w:pPr>
          </w:p>
        </w:tc>
        <w:tc>
          <w:tcPr>
            <w:tcW w:w="4720" w:type="dxa"/>
            <w:vAlign w:val="bottom"/>
            <w:tcBorders>
              <w:bottom w:val="single" w:sz="8" w:color="0000EE"/>
            </w:tcBorders>
            <w:gridSpan w:val="18"/>
          </w:tcPr>
          <w:p>
            <w:pPr>
              <w:spacing w:after="0" w:line="138" w:lineRule="exact"/>
              <w:rPr>
                <w:rFonts w:ascii="Arial" w:cs="Arial" w:eastAsia="Arial" w:hAnsi="Arial"/>
                <w:sz w:val="13"/>
                <w:szCs w:val="13"/>
                <w:color w:val="0000EE"/>
                <w:w w:val="91"/>
              </w:rPr>
            </w:pPr>
            <w:hyperlink w:anchor="page104">
              <w:r>
                <w:rPr>
                  <w:rFonts w:ascii="Arial" w:cs="Arial" w:eastAsia="Arial" w:hAnsi="Arial"/>
                  <w:sz w:val="13"/>
                  <w:szCs w:val="13"/>
                  <w:color w:val="0000EE"/>
                  <w:w w:val="91"/>
                </w:rPr>
                <w:t>Changes in and Disagreements with Accountants on Accounting and Financial Disclosure</w:t>
              </w:r>
            </w:hyperlink>
          </w:p>
        </w:tc>
        <w:tc>
          <w:tcPr>
            <w:tcW w:w="2360" w:type="dxa"/>
            <w:vAlign w:val="bottom"/>
            <w:gridSpan w:val="3"/>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9"/>
          </w:tcPr>
          <w:p>
            <w:pPr>
              <w:spacing w:after="0" w:line="138" w:lineRule="exact"/>
              <w:rPr>
                <w:rFonts w:ascii="Arial" w:cs="Arial" w:eastAsia="Arial" w:hAnsi="Arial"/>
                <w:sz w:val="13"/>
                <w:szCs w:val="13"/>
                <w:color w:val="0000EE"/>
              </w:rPr>
            </w:pPr>
            <w:hyperlink w:anchor="page104">
              <w:r>
                <w:rPr>
                  <w:rFonts w:ascii="Arial" w:cs="Arial" w:eastAsia="Arial" w:hAnsi="Arial"/>
                  <w:sz w:val="13"/>
                  <w:szCs w:val="13"/>
                  <w:color w:val="0000EE"/>
                </w:rPr>
                <w:t>Item 9A.</w:t>
              </w:r>
            </w:hyperlink>
          </w:p>
        </w:tc>
        <w:tc>
          <w:tcPr>
            <w:tcW w:w="7080" w:type="dxa"/>
            <w:vAlign w:val="bottom"/>
            <w:gridSpan w:val="21"/>
          </w:tcPr>
          <w:p>
            <w:pPr>
              <w:spacing w:after="0" w:line="138" w:lineRule="exact"/>
              <w:rPr>
                <w:rFonts w:ascii="Arial" w:cs="Arial" w:eastAsia="Arial" w:hAnsi="Arial"/>
                <w:sz w:val="13"/>
                <w:szCs w:val="13"/>
                <w:color w:val="0000EE"/>
              </w:rPr>
            </w:pPr>
            <w:hyperlink w:anchor="page104">
              <w:r>
                <w:rPr>
                  <w:rFonts w:ascii="Arial" w:cs="Arial" w:eastAsia="Arial" w:hAnsi="Arial"/>
                  <w:sz w:val="13"/>
                  <w:szCs w:val="13"/>
                  <w:color w:val="0000EE"/>
                </w:rPr>
                <w:t>Controls and Procedures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0000EE"/>
              <w:bottom w:val="single" w:sz="8" w:color="0000EE"/>
            </w:tcBorders>
            <w:gridSpan w:val="6"/>
          </w:tcPr>
          <w:p>
            <w:pPr>
              <w:spacing w:after="0" w:line="138" w:lineRule="exact"/>
              <w:rPr>
                <w:rFonts w:ascii="Arial" w:cs="Arial" w:eastAsia="Arial" w:hAnsi="Arial"/>
                <w:sz w:val="13"/>
                <w:szCs w:val="13"/>
                <w:color w:val="0000EE"/>
                <w:w w:val="86"/>
              </w:rPr>
            </w:pPr>
            <w:hyperlink w:anchor="page104">
              <w:r>
                <w:rPr>
                  <w:rFonts w:ascii="Arial" w:cs="Arial" w:eastAsia="Arial" w:hAnsi="Arial"/>
                  <w:sz w:val="13"/>
                  <w:szCs w:val="13"/>
                  <w:color w:val="0000EE"/>
                  <w:w w:val="86"/>
                </w:rPr>
                <w:t>Item 9B.</w:t>
              </w:r>
            </w:hyperlink>
          </w:p>
        </w:tc>
        <w:tc>
          <w:tcPr>
            <w:tcW w:w="860" w:type="dxa"/>
            <w:vAlign w:val="bottom"/>
            <w:gridSpan w:val="3"/>
          </w:tcPr>
          <w:p>
            <w:pPr>
              <w:spacing w:after="0"/>
              <w:rPr>
                <w:sz w:val="11"/>
                <w:szCs w:val="11"/>
                <w:color w:val="auto"/>
              </w:rPr>
            </w:pPr>
          </w:p>
        </w:tc>
        <w:tc>
          <w:tcPr>
            <w:tcW w:w="96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2"/>
              </w:rPr>
            </w:pPr>
            <w:hyperlink w:anchor="page104">
              <w:r>
                <w:rPr>
                  <w:rFonts w:ascii="Arial" w:cs="Arial" w:eastAsia="Arial" w:hAnsi="Arial"/>
                  <w:sz w:val="13"/>
                  <w:szCs w:val="13"/>
                  <w:color w:val="0000EE"/>
                  <w:w w:val="92"/>
                </w:rPr>
                <w:t>Other Information</w:t>
              </w:r>
            </w:hyperlink>
          </w:p>
        </w:tc>
        <w:tc>
          <w:tcPr>
            <w:tcW w:w="340" w:type="dxa"/>
            <w:vAlign w:val="bottom"/>
            <w:tcBorders>
              <w:top w:val="single" w:sz="8" w:color="0000EE"/>
            </w:tcBorders>
            <w:gridSpan w:val="4"/>
          </w:tcPr>
          <w:p>
            <w:pPr>
              <w:spacing w:after="0"/>
              <w:rPr>
                <w:sz w:val="11"/>
                <w:szCs w:val="11"/>
                <w:color w:val="auto"/>
              </w:rPr>
            </w:pPr>
          </w:p>
        </w:tc>
        <w:tc>
          <w:tcPr>
            <w:tcW w:w="5780" w:type="dxa"/>
            <w:vAlign w:val="bottom"/>
            <w:gridSpan w:val="13"/>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255"/>
        </w:trPr>
        <w:tc>
          <w:tcPr>
            <w:tcW w:w="540" w:type="dxa"/>
            <w:vAlign w:val="bottom"/>
            <w:tcBorders>
              <w:bottom w:val="single" w:sz="8" w:color="0000EE"/>
            </w:tcBorders>
            <w:gridSpan w:val="6"/>
          </w:tcPr>
          <w:p>
            <w:pPr>
              <w:spacing w:after="0"/>
              <w:rPr>
                <w:rFonts w:ascii="Arial" w:cs="Arial" w:eastAsia="Arial" w:hAnsi="Arial"/>
                <w:sz w:val="13"/>
                <w:szCs w:val="13"/>
                <w:b w:val="1"/>
                <w:bCs w:val="1"/>
                <w:color w:val="0000EE"/>
              </w:rPr>
            </w:pPr>
            <w:hyperlink w:anchor="page104">
              <w:r>
                <w:rPr>
                  <w:rFonts w:ascii="Arial" w:cs="Arial" w:eastAsia="Arial" w:hAnsi="Arial"/>
                  <w:sz w:val="13"/>
                  <w:szCs w:val="13"/>
                  <w:b w:val="1"/>
                  <w:bCs w:val="1"/>
                  <w:color w:val="0000EE"/>
                </w:rPr>
                <w:t>PART III</w:t>
              </w:r>
            </w:hyperlink>
          </w:p>
        </w:tc>
        <w:tc>
          <w:tcPr>
            <w:tcW w:w="9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5"/>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Item 10.</w:t>
              </w:r>
            </w:hyperlink>
          </w:p>
        </w:tc>
        <w:tc>
          <w:tcPr>
            <w:tcW w:w="880" w:type="dxa"/>
            <w:vAlign w:val="bottom"/>
            <w:gridSpan w:val="4"/>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105">
              <w:r>
                <w:rPr>
                  <w:rFonts w:ascii="Arial" w:cs="Arial" w:eastAsia="Arial" w:hAnsi="Arial"/>
                  <w:sz w:val="13"/>
                  <w:szCs w:val="13"/>
                  <w:color w:val="0000EE"/>
                </w:rPr>
                <w:t>Directors, Executive Officers and Corporate Governance</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Item 11.</w:t>
              </w:r>
            </w:hyperlink>
          </w:p>
        </w:tc>
        <w:tc>
          <w:tcPr>
            <w:tcW w:w="880" w:type="dxa"/>
            <w:vAlign w:val="bottom"/>
            <w:gridSpan w:val="4"/>
          </w:tcPr>
          <w:p>
            <w:pPr>
              <w:spacing w:after="0"/>
              <w:rPr>
                <w:sz w:val="11"/>
                <w:szCs w:val="11"/>
                <w:color w:val="auto"/>
              </w:rPr>
            </w:pPr>
          </w:p>
        </w:tc>
        <w:tc>
          <w:tcPr>
            <w:tcW w:w="132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0"/>
              </w:rPr>
            </w:pPr>
            <w:hyperlink w:anchor="page105">
              <w:r>
                <w:rPr>
                  <w:rFonts w:ascii="Arial" w:cs="Arial" w:eastAsia="Arial" w:hAnsi="Arial"/>
                  <w:sz w:val="13"/>
                  <w:szCs w:val="13"/>
                  <w:color w:val="0000EE"/>
                  <w:w w:val="90"/>
                </w:rPr>
                <w:t>Executive Compensation</w:t>
              </w:r>
            </w:hyperlink>
          </w:p>
        </w:tc>
        <w:tc>
          <w:tcPr>
            <w:tcW w:w="1660" w:type="dxa"/>
            <w:vAlign w:val="bottom"/>
            <w:tcBorders>
              <w:top w:val="single" w:sz="8" w:color="0000EE"/>
            </w:tcBorders>
            <w:gridSpan w:val="5"/>
          </w:tcPr>
          <w:p>
            <w:pPr>
              <w:spacing w:after="0"/>
              <w:rPr>
                <w:sz w:val="11"/>
                <w:szCs w:val="11"/>
                <w:color w:val="auto"/>
              </w:rPr>
            </w:pPr>
          </w:p>
        </w:tc>
        <w:tc>
          <w:tcPr>
            <w:tcW w:w="4100" w:type="dxa"/>
            <w:vAlign w:val="bottom"/>
            <w:gridSpan w:val="7"/>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Item 12.</w:t>
              </w:r>
            </w:hyperlink>
          </w:p>
        </w:tc>
        <w:tc>
          <w:tcPr>
            <w:tcW w:w="860" w:type="dxa"/>
            <w:vAlign w:val="bottom"/>
            <w:gridSpan w:val="3"/>
          </w:tcPr>
          <w:p>
            <w:pPr>
              <w:spacing w:after="0"/>
              <w:rPr>
                <w:sz w:val="11"/>
                <w:szCs w:val="11"/>
                <w:color w:val="auto"/>
              </w:rPr>
            </w:pPr>
          </w:p>
        </w:tc>
        <w:tc>
          <w:tcPr>
            <w:tcW w:w="532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105">
              <w:r>
                <w:rPr>
                  <w:rFonts w:ascii="Arial" w:cs="Arial" w:eastAsia="Arial" w:hAnsi="Arial"/>
                  <w:sz w:val="13"/>
                  <w:szCs w:val="13"/>
                  <w:color w:val="0000EE"/>
                  <w:w w:val="91"/>
                </w:rPr>
                <w:t>Security Ownership of Certain Beneficial Owners and Management and Related Stockholder Matters</w:t>
              </w:r>
            </w:hyperlink>
          </w:p>
        </w:tc>
        <w:tc>
          <w:tcPr>
            <w:tcW w:w="1760" w:type="dxa"/>
            <w:vAlign w:val="bottom"/>
            <w:gridSpan w:val="2"/>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Item 13.</w:t>
              </w:r>
            </w:hyperlink>
          </w:p>
        </w:tc>
        <w:tc>
          <w:tcPr>
            <w:tcW w:w="860" w:type="dxa"/>
            <w:vAlign w:val="bottom"/>
            <w:gridSpan w:val="3"/>
          </w:tcPr>
          <w:p>
            <w:pPr>
              <w:spacing w:after="0"/>
              <w:rPr>
                <w:sz w:val="11"/>
                <w:szCs w:val="11"/>
                <w:color w:val="auto"/>
              </w:rPr>
            </w:pPr>
          </w:p>
        </w:tc>
        <w:tc>
          <w:tcPr>
            <w:tcW w:w="398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105">
              <w:r>
                <w:rPr>
                  <w:rFonts w:ascii="Arial" w:cs="Arial" w:eastAsia="Arial" w:hAnsi="Arial"/>
                  <w:sz w:val="13"/>
                  <w:szCs w:val="13"/>
                  <w:color w:val="0000EE"/>
                  <w:w w:val="90"/>
                </w:rPr>
                <w:t>Certain Relationships and Related Transactions, and Director Independence</w:t>
              </w:r>
            </w:hyperlink>
          </w:p>
        </w:tc>
        <w:tc>
          <w:tcPr>
            <w:tcW w:w="3100" w:type="dxa"/>
            <w:vAlign w:val="bottom"/>
            <w:gridSpan w:val="5"/>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5"/>
          </w:tcPr>
          <w:p>
            <w:pPr>
              <w:spacing w:after="0" w:line="138" w:lineRule="exact"/>
              <w:rPr>
                <w:rFonts w:ascii="Arial" w:cs="Arial" w:eastAsia="Arial" w:hAnsi="Arial"/>
                <w:sz w:val="13"/>
                <w:szCs w:val="13"/>
                <w:color w:val="0000EE"/>
                <w:w w:val="89"/>
              </w:rPr>
            </w:pPr>
            <w:hyperlink w:anchor="page106">
              <w:r>
                <w:rPr>
                  <w:rFonts w:ascii="Arial" w:cs="Arial" w:eastAsia="Arial" w:hAnsi="Arial"/>
                  <w:sz w:val="13"/>
                  <w:szCs w:val="13"/>
                  <w:color w:val="0000EE"/>
                  <w:w w:val="89"/>
                </w:rPr>
                <w:t>Item 14.</w:t>
              </w:r>
            </w:hyperlink>
          </w:p>
        </w:tc>
        <w:tc>
          <w:tcPr>
            <w:tcW w:w="880" w:type="dxa"/>
            <w:vAlign w:val="bottom"/>
            <w:gridSpan w:val="4"/>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Principal Accountant Fees and Services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5"/>
        </w:trPr>
        <w:tc>
          <w:tcPr>
            <w:tcW w:w="1460" w:type="dxa"/>
            <w:vAlign w:val="bottom"/>
            <w:gridSpan w:val="11"/>
          </w:tcPr>
          <w:p>
            <w:pPr>
              <w:spacing w:after="0"/>
              <w:rPr>
                <w:rFonts w:ascii="Arial" w:cs="Arial" w:eastAsia="Arial" w:hAnsi="Arial"/>
                <w:sz w:val="13"/>
                <w:szCs w:val="13"/>
                <w:b w:val="1"/>
                <w:bCs w:val="1"/>
                <w:color w:val="0000EE"/>
              </w:rPr>
            </w:pPr>
            <w:hyperlink w:anchor="page106">
              <w:r>
                <w:rPr>
                  <w:rFonts w:ascii="Arial" w:cs="Arial" w:eastAsia="Arial" w:hAnsi="Arial"/>
                  <w:sz w:val="13"/>
                  <w:szCs w:val="13"/>
                  <w:b w:val="1"/>
                  <w:bCs w:val="1"/>
                  <w:color w:val="0000EE"/>
                </w:rPr>
                <w:t>PART IV</w:t>
              </w:r>
            </w:hyperlink>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20"/>
        </w:trPr>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6"/>
          </w:tcPr>
          <w:p>
            <w:pPr>
              <w:spacing w:after="0" w:line="138" w:lineRule="exact"/>
              <w:rPr>
                <w:rFonts w:ascii="Arial" w:cs="Arial" w:eastAsia="Arial" w:hAnsi="Arial"/>
                <w:sz w:val="13"/>
                <w:szCs w:val="13"/>
                <w:color w:val="0000EE"/>
                <w:w w:val="89"/>
              </w:rPr>
            </w:pPr>
            <w:hyperlink w:anchor="page106">
              <w:r>
                <w:rPr>
                  <w:rFonts w:ascii="Arial" w:cs="Arial" w:eastAsia="Arial" w:hAnsi="Arial"/>
                  <w:sz w:val="13"/>
                  <w:szCs w:val="13"/>
                  <w:color w:val="0000EE"/>
                  <w:w w:val="89"/>
                </w:rPr>
                <w:t>Item 15.</w:t>
              </w:r>
            </w:hyperlink>
          </w:p>
        </w:tc>
        <w:tc>
          <w:tcPr>
            <w:tcW w:w="860" w:type="dxa"/>
            <w:vAlign w:val="bottom"/>
            <w:gridSpan w:val="3"/>
          </w:tcPr>
          <w:p>
            <w:pPr>
              <w:spacing w:after="0"/>
              <w:rPr>
                <w:sz w:val="11"/>
                <w:szCs w:val="11"/>
                <w:color w:val="auto"/>
              </w:rPr>
            </w:pPr>
          </w:p>
        </w:tc>
        <w:tc>
          <w:tcPr>
            <w:tcW w:w="7080" w:type="dxa"/>
            <w:vAlign w:val="bottom"/>
            <w:gridSpan w:val="21"/>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Exhibits and Financial Statement Schedules</w:t>
              </w:r>
            </w:hyperlink>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000EE"/>
            </w:tcBorders>
            <w:gridSpan w:val="8"/>
          </w:tcPr>
          <w:p>
            <w:pPr>
              <w:spacing w:after="0" w:line="138" w:lineRule="exact"/>
              <w:rPr>
                <w:rFonts w:ascii="Arial" w:cs="Arial" w:eastAsia="Arial" w:hAnsi="Arial"/>
                <w:sz w:val="13"/>
                <w:szCs w:val="13"/>
                <w:color w:val="0000EE"/>
                <w:w w:val="92"/>
              </w:rPr>
            </w:pPr>
            <w:hyperlink w:anchor="page110">
              <w:r>
                <w:rPr>
                  <w:rFonts w:ascii="Arial" w:cs="Arial" w:eastAsia="Arial" w:hAnsi="Arial"/>
                  <w:sz w:val="13"/>
                  <w:szCs w:val="13"/>
                  <w:color w:val="0000EE"/>
                  <w:w w:val="92"/>
                </w:rPr>
                <w:t>SIGNATURES</w:t>
              </w:r>
            </w:hyperlink>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108</w:t>
            </w:r>
          </w:p>
        </w:tc>
      </w:tr>
      <w:tr>
        <w:trPr>
          <w:trHeight w:val="137"/>
        </w:trPr>
        <w:tc>
          <w:tcPr>
            <w:tcW w:w="40" w:type="dxa"/>
            <w:vAlign w:val="bottom"/>
          </w:tcPr>
          <w:p>
            <w:pPr>
              <w:spacing w:after="0"/>
              <w:rPr>
                <w:sz w:val="11"/>
                <w:szCs w:val="11"/>
                <w:color w:val="auto"/>
              </w:rPr>
            </w:pPr>
          </w:p>
        </w:tc>
        <w:tc>
          <w:tcPr>
            <w:tcW w:w="1420" w:type="dxa"/>
            <w:vAlign w:val="bottom"/>
            <w:gridSpan w:val="10"/>
          </w:tcPr>
          <w:p>
            <w:pPr>
              <w:spacing w:after="0" w:line="138" w:lineRule="exact"/>
              <w:rPr>
                <w:sz w:val="20"/>
                <w:szCs w:val="20"/>
                <w:color w:val="auto"/>
              </w:rPr>
            </w:pPr>
            <w:r>
              <w:rPr>
                <w:rFonts w:ascii="Arial" w:cs="Arial" w:eastAsia="Arial" w:hAnsi="Arial"/>
                <w:sz w:val="13"/>
                <w:szCs w:val="13"/>
                <w:color w:val="0000EE"/>
              </w:rPr>
              <w:t>EX-4.1.1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600" w:type="dxa"/>
            <w:vAlign w:val="bottom"/>
            <w:tcBorders>
              <w:bottom w:val="single" w:sz="8" w:color="0000EE"/>
            </w:tcBorders>
            <w:gridSpan w:val="8"/>
          </w:tcPr>
          <w:p>
            <w:pPr>
              <w:spacing w:after="0" w:line="138" w:lineRule="exact"/>
              <w:rPr>
                <w:sz w:val="20"/>
                <w:szCs w:val="20"/>
                <w:color w:val="auto"/>
              </w:rPr>
            </w:pPr>
            <w:r>
              <w:rPr>
                <w:rFonts w:ascii="Arial" w:cs="Arial" w:eastAsia="Arial" w:hAnsi="Arial"/>
                <w:sz w:val="13"/>
                <w:szCs w:val="13"/>
                <w:color w:val="0000EE"/>
                <w:w w:val="89"/>
              </w:rPr>
              <w:t>EX-10.19.1</w:t>
            </w:r>
          </w:p>
        </w:tc>
        <w:tc>
          <w:tcPr>
            <w:tcW w:w="82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1420" w:type="dxa"/>
            <w:vAlign w:val="bottom"/>
            <w:gridSpan w:val="10"/>
          </w:tcPr>
          <w:p>
            <w:pPr>
              <w:spacing w:after="0" w:line="138" w:lineRule="exact"/>
              <w:rPr>
                <w:sz w:val="20"/>
                <w:szCs w:val="20"/>
                <w:color w:val="auto"/>
              </w:rPr>
            </w:pPr>
            <w:r>
              <w:rPr>
                <w:rFonts w:ascii="Arial" w:cs="Arial" w:eastAsia="Arial" w:hAnsi="Arial"/>
                <w:sz w:val="13"/>
                <w:szCs w:val="13"/>
                <w:color w:val="0000EE"/>
              </w:rPr>
              <w:t>EX-21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420" w:type="dxa"/>
            <w:vAlign w:val="bottom"/>
            <w:gridSpan w:val="10"/>
          </w:tcPr>
          <w:p>
            <w:pPr>
              <w:spacing w:after="0" w:line="138" w:lineRule="exact"/>
              <w:rPr>
                <w:sz w:val="20"/>
                <w:szCs w:val="20"/>
                <w:color w:val="auto"/>
              </w:rPr>
            </w:pPr>
            <w:r>
              <w:rPr>
                <w:rFonts w:ascii="Arial" w:cs="Arial" w:eastAsia="Arial" w:hAnsi="Arial"/>
                <w:sz w:val="13"/>
                <w:szCs w:val="13"/>
                <w:color w:val="0000EE"/>
              </w:rPr>
              <w:t>EX-23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46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EX-31.1</w:t>
            </w:r>
          </w:p>
        </w:tc>
        <w:tc>
          <w:tcPr>
            <w:tcW w:w="960" w:type="dxa"/>
            <w:vAlign w:val="bottom"/>
            <w:gridSpan w:val="6"/>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6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EX-31.2</w:t>
            </w:r>
          </w:p>
        </w:tc>
        <w:tc>
          <w:tcPr>
            <w:tcW w:w="960" w:type="dxa"/>
            <w:vAlign w:val="bottom"/>
            <w:gridSpan w:val="6"/>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0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“anticipates,” “projects,” “targets,” “goals,” “seeing,” “delivering,” “continues,” “forecasts,” “future,” “predict,” “might,” “could,” “potential,” or the negative of these terms, and similar words or expressions.</w:t>
      </w:r>
    </w:p>
    <w:p>
      <w:pPr>
        <w:spacing w:after="0" w:line="6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70"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continued weakness in the global economy affecting customer spending;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continued price erosion as a result of increased competition in the microwave transmission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impact of the volume, timing and customer, product and geographic mix of our product orders may have an impact on our operating results;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our ability to maintain projected product rollouts, product functionality, anticipated cost reductions or market acceptance of planned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retention of our key personnel</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our ability to achieve business plans for Aviat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our ability to manage and maintain key customer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uncertain economic conditions in the telecommunications sector combined with operator and supplier consolidation;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our future litigation costs and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ability of our subcontractors to perform or our key suppliers to manufacture or deliver material;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timing of our receipt of payment for products or services from our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our failure to protect our intellectual property rights or defend against intellectual property infringement claims by others;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effects of currency and interest rate risks;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the impact of political, economic and geographic risks on international sales.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Annual Report on Form 10-K or, in the case of any document incorporated by reference, the date of that document.</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Aviat Networks, Inc., together with its subsidiaries, is a leading global supplier of turnkey wireless network solutions and comprehensive network management software, backed by an extensive suite of professional services and support. Aviat Networks, Inc. may be referred to as the “Company,” “AVNW,” “Aviat Networks,” “we,” “us” and “our” in this Annual Report on Form 10-K.</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were incorporated in Delaware in 2006 to combine the businesses of Harris Corporation’s Microwave Communications Division (“MCD”) and Stratex Networks, Inc. (“Stratex”).</w:t>
      </w:r>
    </w:p>
    <w:p>
      <w:pPr>
        <w:spacing w:after="0" w:line="108"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Our principal executive offices are located at 5200 Great America Parkway, Santa Clara, CA 95054, and our telephone number is (408) 567-7000. Our common stock is listed on the NASDAQ Global Market under the symbol AVNW. As of July 2, 2010, we employed approximately 1,380 people.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Developments</w:t>
      </w:r>
    </w:p>
    <w:p>
      <w:pPr>
        <w:spacing w:after="0" w:line="100"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We relocated our corporate headquarters in June 2010 from Morrisville, North Carolina to a 129,000-square foot environmentally sustainable facility in Santa Clara, California. The relocation follows our global re-branding effort as Aviat Networks, formerly Harris Stratex Networks, which we announced on January 28, 2010. We selected this particular facility because it fulfills our Green Initiative, a corporate commitment to minimizing the impact on the environment in all aspects of their business. The facility was completely renovated to adhere to green building standards and is in the process of qualifying for a Gold LEED (Leadership in Energy and Environmental Design) certification from the U.S. Green Building Council based on design and construction activities in each of the five LEED credit categories.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June 28, we also announced the resignation of Harald J. Braun as president and chief executive officer and the appointment of Chuck Kissner as Chairman and chief executive officer. Mr. Kissner had previously been serving as our Chairman of the Board of Directors and is based at our headquarters in Santa Clara, California. We also appointed Dr. James C. Stoffel as Lead Independent Director as of June 28,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and Description of Business by Segment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design, manufacture and sell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both point-to-point (PTP) and point-to-multipoint (PMP) digital microwave transmission systems designed for first/last mile access, middle mile/backhaul, and long distance trunking applications. Our PMP product portfolio includes base stations and subscriber equipment based upon the IEEE 802.16d-2004 and 16e-2005 standards for fixed and mobile Worldwide Interoperability for Microwave Access (“WiMAX”). We also provide network management software solutions to enable operators to deploy, monitor and manage our systems, third party equipment such as antennas, routers, multiplexers, etc, necessary to build and deploy a wireless transmission network, and a full suite of turnkey support services. We offer a broad range of products and services through two reportable business segments based on geographical markets: North America and International. Revenue and other financial information regarding our business segments are set forth in “Item 7. Management’s Discussion and Analysis of Financial Condition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North America Segment</w:t>
      </w:r>
    </w:p>
    <w:p>
      <w:pPr>
        <w:spacing w:after="0" w:line="96"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North America segment delivers microwave radio products and services to major national carriers and other cellular network operators, public safety and other government agencies, systems integrators, transportation and utility companies and other private network operators within North America. Our North American business is primarily to the cellular backhaul and public safety markets.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North America segment revenue represented approximately 37%, 34% and 34% of our total revenue for fiscal 2010, 2009 and 2008. Although, generally we sell products and services directly to our North American customers, we also use distributors to sell some products and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Segment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International segment delivers microwave radio products and services to regional and national carriers and other cellular network operators, public safety agencies, government and defense agencies, and other private network operators in every region outside of North America. Our wireless systems deliver regional and country-wide backbone in developing nations, where microwave radio installations provide 21st-century communications rapidly and economically. Rural communities, areas with rugged terrain and regions with extreme temperatures benefit from the ability to build an advanced, affordable communications infrastructure despite these challenges. A significant part of our international business consists of supplying wireless segments in small-pocket, remote, rural and metropolitan areas. High-capacity backhaul is one of the fastest growing wireless market segments and is a major opportunity for us. We see the increase in subscriber density and the forecasted growth and introduction of new bandwidth-hungry High Speed Packet Access (“HSPA”)/WiMAX/Long Term Evolution (“LTE”) mobile broadband services as major drivers for growth in this market.</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International segment represented approximately 63%, 66% and 66% of our revenue for fiscal 2010, 2009 and 2008. We sell products and services directly to our international customers and also use agents and distributors.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Wireless transmission networks currently are constructed using microwave radios and other equipment to interconnect cell sites, switching systems, wireline transmission systems and other fixed access facilities. Wireless transmission networks range in size from a single transmission link connecting two buildings to complex networks comprising of thousands of wireless links. The architecture of a network is influenced by several factors, including the available radio frequency spectrum, coordination of frequencies with existing infrastructure, application requirements, environmental factors and local geography.</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recent years, there has been an increase in capital spending in the wireless telecommunications industry. The demand for high-speed wireless transmission products has been growing at a higher rate than the wireless industry as a whole. We believe that this growth is directly related to a growing global subscriber base for mobile wireless communications services, increased demand for fixed wireless transmission solutions and demand for new services delivered from next-generation networks capable of delivering broadband services. Major driving factors for such growth include the following:</w:t>
      </w:r>
    </w:p>
    <w:p>
      <w:pPr>
        <w:spacing w:after="0" w:line="70" w:lineRule="exact"/>
        <w:rPr>
          <w:sz w:val="20"/>
          <w:szCs w:val="20"/>
          <w:color w:val="auto"/>
        </w:rPr>
      </w:pPr>
    </w:p>
    <w:p>
      <w:pPr>
        <w:ind w:left="1280" w:right="20" w:hanging="190"/>
        <w:spacing w:after="0" w:line="255"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Global wireless subscriber growth and introduction of new broadband mobile services. </w:t>
      </w:r>
      <w:r>
        <w:rPr>
          <w:rFonts w:ascii="Arial" w:cs="Arial" w:eastAsia="Arial" w:hAnsi="Arial"/>
          <w:sz w:val="13"/>
          <w:szCs w:val="13"/>
          <w:color w:val="auto"/>
        </w:rPr>
        <w:t>The number of global wireless subscribers and minutes of use per subscriber are expected</w:t>
      </w:r>
      <w:r>
        <w:rPr>
          <w:rFonts w:ascii="Arial" w:cs="Arial" w:eastAsia="Arial" w:hAnsi="Arial"/>
          <w:sz w:val="13"/>
          <w:szCs w:val="13"/>
          <w:i w:val="1"/>
          <w:iCs w:val="1"/>
          <w:color w:val="auto"/>
        </w:rPr>
        <w:t xml:space="preserve"> </w:t>
      </w:r>
      <w:r>
        <w:rPr>
          <w:rFonts w:ascii="Arial" w:cs="Arial" w:eastAsia="Arial" w:hAnsi="Arial"/>
          <w:sz w:val="13"/>
          <w:szCs w:val="13"/>
          <w:color w:val="auto"/>
        </w:rPr>
        <w:t>by industry analysts to continue to increase. The primary drivers include increased subscription and dramatic growth in demand for mobile broadband data services facilitated by the introduction of new data-driven smartphones like the iPhone and the Droid. These third-generation, or “3G,” data applications are now widely available in developed countries, which has fueled an acceleration of data usage. New mobile standards now being deployed, including High Speed Packet Access (HSPA) and mobile WiMAX, will further increase the demand for mobile data. We believe that growth as a result of new data services will continue for the next several years and persist with the introduction of the next generation of radio technologies, referred to as “4G” or LTE for mobile networks starting in 2011. These developments are driving many operators to upgrade their backhaul networks to 100% Internet Protocol, or IP-based, from the current traditional time-division multiplexing (“TDM”) networks in order to provide higher network capacity and increased flexibility at a lower overall operating cost.</w:t>
      </w:r>
    </w:p>
    <w:p>
      <w:pPr>
        <w:spacing w:after="0" w:line="66" w:lineRule="exact"/>
        <w:rPr>
          <w:rFonts w:ascii="Arial" w:cs="Arial" w:eastAsia="Arial" w:hAnsi="Arial"/>
          <w:sz w:val="13"/>
          <w:szCs w:val="13"/>
          <w:color w:val="auto"/>
        </w:rPr>
      </w:pPr>
    </w:p>
    <w:p>
      <w:pPr>
        <w:ind w:left="1280" w:right="280" w:hanging="190"/>
        <w:spacing w:after="0" w:line="334" w:lineRule="auto"/>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Broadband Stimulus. </w:t>
      </w:r>
      <w:r>
        <w:rPr>
          <w:rFonts w:ascii="Arial" w:cs="Arial" w:eastAsia="Arial" w:hAnsi="Arial"/>
          <w:sz w:val="11"/>
          <w:szCs w:val="11"/>
          <w:color w:val="auto"/>
        </w:rPr>
        <w:t>The American Recovery and Reinvestment Act (“ARRA”), widely known as the stimulus bill, allocates $7.2 billion in grant and loan funding for</w:t>
      </w:r>
      <w:r>
        <w:rPr>
          <w:rFonts w:ascii="Arial" w:cs="Arial" w:eastAsia="Arial" w:hAnsi="Arial"/>
          <w:sz w:val="11"/>
          <w:szCs w:val="11"/>
          <w:i w:val="1"/>
          <w:iCs w:val="1"/>
          <w:color w:val="auto"/>
        </w:rPr>
        <w:t xml:space="preserve"> </w:t>
      </w:r>
      <w:r>
        <w:rPr>
          <w:rFonts w:ascii="Arial" w:cs="Arial" w:eastAsia="Arial" w:hAnsi="Arial"/>
          <w:sz w:val="11"/>
          <w:szCs w:val="11"/>
          <w:color w:val="auto"/>
        </w:rPr>
        <w:t>broadband/wireless initiatives for rural unserved and underserved geographies across the country. This funding is available to a wide variety of organizations to purchase and implement network infrastructure and services to improve broadband coverage. Aggressive stimulus timelines, combined with the rural-focus of stimulus projects may drive</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40"/>
        <w:spacing w:after="0" w:line="320" w:lineRule="auto"/>
        <w:rPr>
          <w:sz w:val="20"/>
          <w:szCs w:val="20"/>
          <w:color w:val="auto"/>
        </w:rPr>
      </w:pPr>
      <w:r>
        <w:rPr>
          <w:rFonts w:ascii="Arial" w:cs="Arial" w:eastAsia="Arial" w:hAnsi="Arial"/>
          <w:sz w:val="12"/>
          <w:szCs w:val="12"/>
          <w:color w:val="auto"/>
        </w:rPr>
        <w:t>increasing demand for wireless technologies including point-to-point microwave systems and point-to-multipoint WiMax. Other countries, such as Australia, are also implementing broadband programs with government funding to simultaneously develop rural broadband services and stimulate local economies.</w:t>
      </w:r>
    </w:p>
    <w:p>
      <w:pPr>
        <w:spacing w:after="0" w:line="35"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i w:val="1"/>
          <w:iCs w:val="1"/>
          <w:color w:val="auto"/>
        </w:rPr>
        <w:t xml:space="preserve">Smart Grid. </w:t>
      </w:r>
      <w:r>
        <w:rPr>
          <w:rFonts w:ascii="Arial" w:cs="Arial" w:eastAsia="Arial" w:hAnsi="Arial"/>
          <w:sz w:val="11"/>
          <w:szCs w:val="11"/>
          <w:color w:val="auto"/>
        </w:rPr>
        <w:t>In addition to the broadband initiative, ARRA includes the Smart Grid Investment Grant Program (SGIG) which makes close to $4 billion available to utilities, rural</w:t>
      </w:r>
      <w:r>
        <w:rPr>
          <w:rFonts w:ascii="Arial" w:cs="Arial" w:eastAsia="Arial" w:hAnsi="Arial"/>
          <w:sz w:val="11"/>
          <w:szCs w:val="11"/>
          <w:i w:val="1"/>
          <w:iCs w:val="1"/>
          <w:color w:val="auto"/>
        </w:rPr>
        <w:t xml:space="preserve"> </w:t>
      </w:r>
      <w:r>
        <w:rPr>
          <w:rFonts w:ascii="Arial" w:cs="Arial" w:eastAsia="Arial" w:hAnsi="Arial"/>
          <w:sz w:val="11"/>
          <w:szCs w:val="11"/>
          <w:color w:val="auto"/>
        </w:rPr>
        <w:t>electric cooperatives, distribution companies and system operators, for smart grid technologies, monitoring solutions and infrastructure, and viability analysis. Utility companies across the board are planning heavy investments in new private telecommunications network infrastructure to achieve smart grid objectives. Like broadband stimulus, aggressive smart grid timelines, combined with the rural nature of many utility assets (including substations, distribution lines and power generation facilities), may drive increasing demand for wireless technologies.</w:t>
      </w:r>
    </w:p>
    <w:p>
      <w:pPr>
        <w:spacing w:after="0" w:line="39" w:lineRule="exact"/>
        <w:rPr>
          <w:sz w:val="20"/>
          <w:szCs w:val="20"/>
          <w:color w:val="auto"/>
        </w:rPr>
      </w:pPr>
    </w:p>
    <w:p>
      <w:pPr>
        <w:ind w:left="1280" w:hanging="190"/>
        <w:spacing w:after="0" w:line="255"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Increased establishment of mobile and fixed wireless telecommunications infrastructures in developing countries. </w:t>
      </w:r>
      <w:r>
        <w:rPr>
          <w:rFonts w:ascii="Arial" w:cs="Arial" w:eastAsia="Arial" w:hAnsi="Arial"/>
          <w:sz w:val="13"/>
          <w:szCs w:val="13"/>
          <w:color w:val="auto"/>
        </w:rPr>
        <w:t>In many places, telecommunications services are inadequate or</w:t>
      </w:r>
      <w:r>
        <w:rPr>
          <w:rFonts w:ascii="Arial" w:cs="Arial" w:eastAsia="Arial" w:hAnsi="Arial"/>
          <w:sz w:val="13"/>
          <w:szCs w:val="13"/>
          <w:i w:val="1"/>
          <w:iCs w:val="1"/>
          <w:color w:val="auto"/>
        </w:rPr>
        <w:t xml:space="preserve"> </w:t>
      </w:r>
      <w:r>
        <w:rPr>
          <w:rFonts w:ascii="Arial" w:cs="Arial" w:eastAsia="Arial" w:hAnsi="Arial"/>
          <w:sz w:val="13"/>
          <w:szCs w:val="13"/>
          <w:color w:val="auto"/>
        </w:rPr>
        <w:t>unreliable because of the lack of existing infrastructure. To service providers in developing countries seeking to increase the availability and quality of telecommunications and Internet access services, wireless solutions are an attractive alternative to the construction or leasing of wireline networks, given their relatively low cost and ease of deployment. As a result, there has been an increased establishment of mobile and fixed wireless telecommunications infrastructures in developing countries. Emerging telecommunications markets in Africa, Asia, the Middle East, Latin America and Eastern Europe are characterized by a need to build out basic telecommunications systems. We believe that WiMAX will play a key role in bringing broadband services to these countries which lack sufficient existing telecom infrastructure. Mobile operators are also looking at WiMAX deployments to augment or leverage their existing national networks to add new premium broadband residential and business customers to increase subscriber base and boost their average revenue per user.</w:t>
      </w:r>
    </w:p>
    <w:p>
      <w:pPr>
        <w:spacing w:after="0" w:line="66" w:lineRule="exact"/>
        <w:rPr>
          <w:rFonts w:ascii="Arial" w:cs="Arial" w:eastAsia="Arial" w:hAnsi="Arial"/>
          <w:sz w:val="13"/>
          <w:szCs w:val="13"/>
          <w:color w:val="auto"/>
        </w:rPr>
      </w:pPr>
    </w:p>
    <w:p>
      <w:pPr>
        <w:ind w:left="1280" w:hanging="190"/>
        <w:spacing w:after="0" w:line="282"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Global deregulation of telecommunications market and allocation of radio frequencies for broadband wireless access. </w:t>
      </w:r>
      <w:r>
        <w:rPr>
          <w:rFonts w:ascii="Arial" w:cs="Arial" w:eastAsia="Arial" w:hAnsi="Arial"/>
          <w:sz w:val="12"/>
          <w:szCs w:val="12"/>
          <w:color w:val="auto"/>
        </w:rPr>
        <w:t>Regulatory authorities typically allocate different portions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radio frequency spectrum for various telecommunications services. Many countries have privatized the state-owned telecommunications monopoly and have opened their markets to competitive network service providers. Often these providers choose a wireless transmission service, which causes an increase in the demand for transmission solutions. Such global deregulation of the telecommunications market and the related allocation of radio frequencies for broadband wireless access transmission have led to increased competition to supply wireless-based transmission systems. Many governments and regulatory agencies around the world also are examining or are in the process of introducing new spectrum band licenses for the deployment of broadband services using WiMAX.</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Trends and Developments in the Industry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global trends and developments in the microwave communications markets include:</w:t>
      </w:r>
    </w:p>
    <w:p>
      <w:pPr>
        <w:spacing w:after="0" w:line="96"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continuing fixed-line to mobile-line substitution;</w:t>
      </w:r>
    </w:p>
    <w:p>
      <w:pPr>
        <w:spacing w:after="0" w:line="86" w:lineRule="exact"/>
        <w:rPr>
          <w:rFonts w:ascii="Arial" w:cs="Arial" w:eastAsia="Arial" w:hAnsi="Arial"/>
          <w:sz w:val="13"/>
          <w:szCs w:val="13"/>
          <w:color w:val="auto"/>
        </w:rPr>
      </w:pPr>
    </w:p>
    <w:p>
      <w:pPr>
        <w:ind w:left="1280" w:right="40" w:hanging="190"/>
        <w:spacing w:after="0" w:line="296"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the migration of existing telecommunications network infrastructure from legacy TDM technologies such as Synchronous Digital Hierarchy (“SDH”)/Synchronous Optical Networking (“SONET”) to high speed packet-based networks such as </w:t>
      </w:r>
      <w:r>
        <w:rPr>
          <w:rFonts w:ascii="Arial" w:cs="Arial" w:eastAsia="Arial" w:hAnsi="Arial"/>
          <w:sz w:val="12"/>
          <w:szCs w:val="12"/>
          <w:i w:val="1"/>
          <w:iCs w:val="1"/>
          <w:color w:val="auto"/>
        </w:rPr>
        <w:t>Ethernet</w:t>
      </w:r>
      <w:r>
        <w:rPr>
          <w:rFonts w:ascii="Arial" w:cs="Arial" w:eastAsia="Arial" w:hAnsi="Arial"/>
          <w:sz w:val="12"/>
          <w:szCs w:val="12"/>
          <w:color w:val="auto"/>
        </w:rPr>
        <w:t>/Internet Protocol (“IP”)/Multiprotocol Label Switching “(MPLS”), etc. This migration is moving faster in some sectors, such as mobile networks, than others, but is a clear trend for the future that will drive significant network upgrades over the next three to five years;</w:t>
      </w:r>
    </w:p>
    <w:p>
      <w:pPr>
        <w:spacing w:after="0" w:line="39" w:lineRule="exact"/>
        <w:rPr>
          <w:rFonts w:ascii="Arial" w:cs="Arial" w:eastAsia="Arial" w:hAnsi="Arial"/>
          <w:sz w:val="12"/>
          <w:szCs w:val="12"/>
          <w:color w:val="auto"/>
        </w:rPr>
      </w:pPr>
    </w:p>
    <w:p>
      <w:pPr>
        <w:ind w:left="1280" w:right="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private networks and public telecommunications operators building high-reliability, high-bandwidth networks that are more secure and better protected against natural and man-made disasters;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increase in global wireless subscribers; and</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believe that as broadband access and telecommunications requirements grow, wireless systems will continue to be used as transmission systems to support a variety of existing and expanding communications networks and applications. We believe that wireless systems will be used to address the connection requirements of</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several markets and applications, including the broadband access market, cellular applications and private networks.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Over the past year, we have made significant strides in transforming our business from a pure-play microwave backhaul supplier to a more diverse company that not only strives to be a leader in mobile backhaul but also one that supports a broad range of wireless transmission products and services for many applications. We offer and will continue to improve upon our end-to-end transmission solutions that deliver the network performance needed to support next generation services and enable a smooth transition from legacy networks to all IP.</w:t>
      </w:r>
    </w:p>
    <w:p>
      <w:pPr>
        <w:spacing w:after="0" w:line="5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Newer generation 4G technologies such as packet-based, WiMAX, and LTE require the need for high-speed packet infrastructures. To address their requirements, we intend to enhance our core product offering by continuing to build on the Eclipse platform and its end-to-end value proposition by including new components and technology. This includes adding new features to the Eclipse platform and leveraging technology in third party products to provide a complete IP network solution.</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look to retain our position as a wireless transmission technology leader with Eclipse by ensuring our capabilities anticipate the evolving needs of our customers and the corresponding network technology use. The future roadmap for Eclipse evolves the platform toward a full convergence solution with embedded capabilities enabling a migration path to an all IP network. We believe that the Eclipse solution for evolution to IP is the lowest risk, lowest cost, and most flexible solution available because it builds incrementally on the customer’s existing investment, delivering a smooth “hybrid” to full IP migration path for customers globally. The IP evolution capabilities are specifically enabled by the modular additions. This incremental plug-in approach allows operators to move toward an all IP based system at their own pace without the risk, downtime or expense associated with a complete replacement or the forced migration to another platform.</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strategy includes partnering with companies with technical expertise in areas outside of our core competencies to meet our customers’ demand for an end-to-end solution. Our partner product strategy enables us to go beyond wireless transmission to combat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R&amp;D efforts on core competency wireless innovations. Having a broader portfolio will enable us to further differentiate our offerings from other independent microwave equipment suppliers.</w:t>
      </w:r>
    </w:p>
    <w:p>
      <w:pPr>
        <w:spacing w:after="0" w:line="71"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expect to continue to serve and expand upon our existing customer base. We have sold more than 500,000 microwave radios in over 150 countries and are present in more than 260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customers.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Solutions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offer a comprehensive product and solutions portfolio that addresses the needs of service providers and network operators in every region of the world, addressing a broad range of applications, frequencies, capacities and network topologies. Product categories include point-to-point microwave radios that are licensed (subject to local frequency regulatory requirements) and license-exempt (operating in license-exempt frequencies), element and network management software and 4G/WiMAX (fixed and mobile) broadband access. In addition, we provide end-to-end turnkey broadband telecommunications systems, including complete design, deployment, maintenance, and managed network services, while being an attentive and adaptable partner for our customers — a key competitive differentiator for Aviat Networks.</w:t>
      </w:r>
    </w:p>
    <w:p>
      <w:pPr>
        <w:spacing w:after="0" w:line="55" w:lineRule="exact"/>
        <w:rPr>
          <w:sz w:val="20"/>
          <w:szCs w:val="20"/>
          <w:color w:val="auto"/>
        </w:rPr>
      </w:pPr>
    </w:p>
    <w:p>
      <w:pPr>
        <w:ind w:left="1280" w:right="60" w:hanging="190"/>
        <w:spacing w:after="0" w:line="320"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Broad product and solution portfolio. </w:t>
      </w:r>
      <w:r>
        <w:rPr>
          <w:rFonts w:ascii="Arial" w:cs="Arial" w:eastAsia="Arial" w:hAnsi="Arial"/>
          <w:sz w:val="12"/>
          <w:szCs w:val="12"/>
          <w:color w:val="auto"/>
        </w:rPr>
        <w:t>We offer a comprehensive suite of wireless systems for 4G/WiMAX broadband access and microwave backhaul applications. Our solution</w:t>
      </w:r>
      <w:r>
        <w:rPr>
          <w:rFonts w:ascii="Arial" w:cs="Arial" w:eastAsia="Arial" w:hAnsi="Arial"/>
          <w:sz w:val="12"/>
          <w:szCs w:val="12"/>
          <w:i w:val="1"/>
          <w:iCs w:val="1"/>
          <w:color w:val="auto"/>
        </w:rPr>
        <w:t xml:space="preserve"> </w:t>
      </w:r>
      <w:r>
        <w:rPr>
          <w:rFonts w:ascii="Arial" w:cs="Arial" w:eastAsia="Arial" w:hAnsi="Arial"/>
          <w:sz w:val="12"/>
          <w:szCs w:val="12"/>
          <w:color w:val="auto"/>
        </w:rPr>
        <w:t>consists of tailored offerings of our own wireless products and our own integrated ancillary equipment or that of other manufacturers, element</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40"/>
        <w:spacing w:after="0" w:line="371" w:lineRule="auto"/>
        <w:rPr>
          <w:sz w:val="20"/>
          <w:szCs w:val="20"/>
          <w:color w:val="auto"/>
        </w:rPr>
      </w:pPr>
      <w:r>
        <w:rPr>
          <w:rFonts w:ascii="Arial" w:cs="Arial" w:eastAsia="Arial" w:hAnsi="Arial"/>
          <w:sz w:val="11"/>
          <w:szCs w:val="11"/>
          <w:color w:val="auto"/>
        </w:rPr>
        <w:t>and network management systems and professional services. These solutions address a wide range of transmission frequencies, ranging from 400 MHz to 80 GHz, and a wide range of transmission capacities, ranging up to 2.5 gigabits per second. The major product families included in these solutions are StarMAX, Eclipse Packet Node, and ProVision.</w:t>
      </w:r>
    </w:p>
    <w:p>
      <w:pPr>
        <w:spacing w:after="0" w:line="12" w:lineRule="exact"/>
        <w:rPr>
          <w:sz w:val="20"/>
          <w:szCs w:val="20"/>
          <w:color w:val="auto"/>
        </w:rPr>
      </w:pPr>
    </w:p>
    <w:p>
      <w:pPr>
        <w:ind w:left="1280" w:right="20" w:hanging="190"/>
        <w:spacing w:after="0" w:line="260"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Low total cost of ownership. </w:t>
      </w:r>
      <w:r>
        <w:rPr>
          <w:rFonts w:ascii="Arial" w:cs="Arial" w:eastAsia="Arial" w:hAnsi="Arial"/>
          <w:sz w:val="13"/>
          <w:szCs w:val="13"/>
          <w:color w:val="auto"/>
        </w:rPr>
        <w:t>Wireless-based solutions offer a relatively low total cost of ownership, including savings on the combined costs of initial acquisition, installation and</w:t>
      </w:r>
      <w:r>
        <w:rPr>
          <w:rFonts w:ascii="Arial" w:cs="Arial" w:eastAsia="Arial" w:hAnsi="Arial"/>
          <w:sz w:val="13"/>
          <w:szCs w:val="13"/>
          <w:i w:val="1"/>
          <w:iCs w:val="1"/>
          <w:color w:val="auto"/>
        </w:rPr>
        <w:t xml:space="preserve"> </w:t>
      </w:r>
      <w:r>
        <w:rPr>
          <w:rFonts w:ascii="Arial" w:cs="Arial" w:eastAsia="Arial" w:hAnsi="Arial"/>
          <w:sz w:val="13"/>
          <w:szCs w:val="13"/>
          <w:color w:val="auto"/>
        </w:rPr>
        <w:t>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59" w:lineRule="exact"/>
        <w:rPr>
          <w:rFonts w:ascii="Arial" w:cs="Arial" w:eastAsia="Arial" w:hAnsi="Arial"/>
          <w:sz w:val="13"/>
          <w:szCs w:val="13"/>
          <w:color w:val="auto"/>
        </w:rPr>
      </w:pPr>
    </w:p>
    <w:p>
      <w:pPr>
        <w:ind w:left="1280" w:right="220" w:hanging="190"/>
        <w:spacing w:after="0" w:line="296"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Future-proof network. </w:t>
      </w:r>
      <w:r>
        <w:rPr>
          <w:rFonts w:ascii="Arial" w:cs="Arial" w:eastAsia="Arial" w:hAnsi="Arial"/>
          <w:sz w:val="12"/>
          <w:szCs w:val="12"/>
          <w:color w:val="auto"/>
        </w:rPr>
        <w:t>Our solutions are designed to protect the network operator’s investment by incorporating software-configurable capacity upgrades and plug-in modules</w:t>
      </w:r>
      <w:r>
        <w:rPr>
          <w:rFonts w:ascii="Arial" w:cs="Arial" w:eastAsia="Arial" w:hAnsi="Arial"/>
          <w:sz w:val="12"/>
          <w:szCs w:val="12"/>
          <w:i w:val="1"/>
          <w:iCs w:val="1"/>
          <w:color w:val="auto"/>
        </w:rPr>
        <w:t xml:space="preserve"> </w:t>
      </w:r>
      <w:r>
        <w:rPr>
          <w:rFonts w:ascii="Arial" w:cs="Arial" w:eastAsia="Arial" w:hAnsi="Arial"/>
          <w:sz w:val="12"/>
          <w:szCs w:val="12"/>
          <w:color w:val="auto"/>
        </w:rPr>
        <w:t>that provide a smooth migration path to emerging technologies, such as carrier Ethernet and IP-based networking, without the need for costly equipment substitutions and additions. Our products include key technologies we believe will be needed by operators for their network evolution to support new broadband services.</w:t>
      </w:r>
    </w:p>
    <w:p>
      <w:pPr>
        <w:spacing w:after="0" w:line="39" w:lineRule="exact"/>
        <w:rPr>
          <w:rFonts w:ascii="Arial" w:cs="Arial" w:eastAsia="Arial" w:hAnsi="Arial"/>
          <w:sz w:val="12"/>
          <w:szCs w:val="12"/>
          <w:color w:val="auto"/>
        </w:rPr>
      </w:pPr>
    </w:p>
    <w:p>
      <w:pPr>
        <w:ind w:left="1280" w:right="80" w:hanging="190"/>
        <w:spacing w:after="0" w:line="296"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Flexible, easily configurable products. </w:t>
      </w:r>
      <w:r>
        <w:rPr>
          <w:rFonts w:ascii="Arial" w:cs="Arial" w:eastAsia="Arial" w:hAnsi="Arial"/>
          <w:sz w:val="12"/>
          <w:szCs w:val="12"/>
          <w:color w:val="auto"/>
        </w:rPr>
        <w:t>We use flexible architectures with a high level of software configurable features. This design approach produces high-performance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with the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39"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Comprehensive network management. </w:t>
      </w:r>
      <w:r>
        <w:rPr>
          <w:rFonts w:ascii="Arial" w:cs="Arial" w:eastAsia="Arial" w:hAnsi="Arial"/>
          <w:sz w:val="13"/>
          <w:szCs w:val="13"/>
          <w:color w:val="auto"/>
        </w:rPr>
        <w:t>We offer a range of flexible network management solutions, from element management to enterprise-wide network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assurance that we optimize to work with our wireless systems.</w:t>
      </w:r>
    </w:p>
    <w:p>
      <w:pPr>
        <w:spacing w:after="0" w:line="49" w:lineRule="exact"/>
        <w:rPr>
          <w:rFonts w:ascii="Arial" w:cs="Arial" w:eastAsia="Arial" w:hAnsi="Arial"/>
          <w:sz w:val="13"/>
          <w:szCs w:val="13"/>
          <w:color w:val="auto"/>
        </w:rPr>
      </w:pPr>
    </w:p>
    <w:p>
      <w:pPr>
        <w:jc w:val="both"/>
        <w:ind w:left="1280" w:right="58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Complete professional services. </w:t>
      </w:r>
      <w:r>
        <w:rPr>
          <w:rFonts w:ascii="Arial" w:cs="Arial" w:eastAsia="Arial" w:hAnsi="Arial"/>
          <w:sz w:val="13"/>
          <w:szCs w:val="13"/>
          <w:color w:val="auto"/>
        </w:rPr>
        <w:t>In addition to our product offerings, we provide network planning and design, site surveys and builds, systems integration, installation,</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42" w:lineRule="exact"/>
        <w:rPr>
          <w:sz w:val="20"/>
          <w:szCs w:val="20"/>
          <w:color w:val="auto"/>
        </w:rPr>
      </w:pPr>
    </w:p>
    <w:p>
      <w:pPr>
        <w:jc w:val="right"/>
        <w:ind w:right="8840"/>
        <w:spacing w:after="0"/>
        <w:rPr>
          <w:sz w:val="20"/>
          <w:szCs w:val="20"/>
          <w:color w:val="auto"/>
        </w:rPr>
      </w:pPr>
      <w:r>
        <w:rPr>
          <w:rFonts w:ascii="Arial" w:cs="Arial" w:eastAsia="Arial" w:hAnsi="Arial"/>
          <w:sz w:val="13"/>
          <w:szCs w:val="13"/>
          <w:b w:val="1"/>
          <w:bCs w:val="1"/>
          <w:color w:val="auto"/>
        </w:rPr>
        <w:t>Business Operations</w:t>
      </w:r>
    </w:p>
    <w:p>
      <w:pPr>
        <w:spacing w:after="0" w:line="100" w:lineRule="exact"/>
        <w:rPr>
          <w:sz w:val="20"/>
          <w:szCs w:val="20"/>
          <w:color w:val="auto"/>
        </w:rPr>
      </w:pPr>
    </w:p>
    <w:p>
      <w:pPr>
        <w:jc w:val="right"/>
        <w:ind w:right="8820"/>
        <w:spacing w:after="0"/>
        <w:rPr>
          <w:sz w:val="20"/>
          <w:szCs w:val="20"/>
          <w:color w:val="auto"/>
        </w:rPr>
      </w:pPr>
      <w:r>
        <w:rPr>
          <w:rFonts w:ascii="Arial" w:cs="Arial" w:eastAsia="Arial" w:hAnsi="Arial"/>
          <w:sz w:val="13"/>
          <w:szCs w:val="13"/>
          <w:b w:val="1"/>
          <w:bCs w:val="1"/>
          <w:i w:val="1"/>
          <w:iCs w:val="1"/>
          <w:color w:val="auto"/>
        </w:rPr>
        <w:t>Sales and Service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Brazil and Argentina in Central and South America; Slovenia, France, Germany, Poland, Portugal and the United Kingdom in Europe; Kenya, Nigeria, Ivory Coast and South Africa in Africa; the United Arab Emirates in the Middle East; and Australia, Bangladesh, India, Indonesia, Malaysia, New Zealand, the Philippines, Singapore and Thailand in the Asia-Pacific region. Our local offices provide us with a better understanding of our customers’ needs and enable us to respond to local issues and unique local requirements.</w:t>
      </w:r>
    </w:p>
    <w:p>
      <w:pPr>
        <w:spacing w:after="0" w:line="55" w:lineRule="exact"/>
        <w:rPr>
          <w:sz w:val="20"/>
          <w:szCs w:val="20"/>
          <w:color w:val="auto"/>
        </w:rPr>
      </w:pPr>
    </w:p>
    <w:p>
      <w:pPr>
        <w:jc w:val="both"/>
        <w:ind w:left="680" w:right="260" w:firstLine="399"/>
        <w:spacing w:after="0" w:line="334" w:lineRule="auto"/>
        <w:rPr>
          <w:sz w:val="20"/>
          <w:szCs w:val="20"/>
          <w:color w:val="auto"/>
        </w:rPr>
      </w:pPr>
      <w:r>
        <w:rPr>
          <w:rFonts w:ascii="Arial" w:cs="Arial" w:eastAsia="Arial" w:hAnsi="Arial"/>
          <w:sz w:val="11"/>
          <w:szCs w:val="11"/>
          <w:color w:val="auto"/>
        </w:rPr>
        <w:t>We also have informal, and in some cases formal, relationships with original equipment manufacturers or OEMs and system integrators.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3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have repair and service centers in India, Nigeria, the Philippines, the United Kingdom and the United States. Our international headquarters in Singapore provides sales and customer support for the Asia-Pacific region from this facility. We have customer service and support personnel who provide customers with</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specific terms and conditions of our product warranties vary depending upon the product sold and country in which we do business. On direct sales, warranty periods generally start on the delivery date and continue for two to three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Manufacturing</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Historically, our manufacturing has involved a combination of in-house and outsourced processes. In fiscal 2011, we will be transitioning to an entirely outsourced manufacturing model utilizing multiple locations of our existing contract manufacturing partners both in the United States and internationally.</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Backlog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backlog by business segment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w w:val="96"/>
              </w:rPr>
              <w:t>July 2, 2010</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July 3, 2009</w:t>
            </w:r>
          </w:p>
        </w:tc>
        <w:tc>
          <w:tcPr>
            <w:tcW w:w="100" w:type="dxa"/>
            <w:vAlign w:val="bottom"/>
          </w:tcPr>
          <w:p>
            <w:pPr>
              <w:spacing w:after="0"/>
              <w:rPr>
                <w:sz w:val="10"/>
                <w:szCs w:val="10"/>
                <w:color w:val="auto"/>
              </w:rPr>
            </w:pPr>
          </w:p>
        </w:tc>
      </w:tr>
      <w:tr>
        <w:trPr>
          <w:trHeight w:val="131"/>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International</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126.9</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210.9</w:t>
            </w:r>
          </w:p>
        </w:tc>
      </w:tr>
      <w:tr>
        <w:trPr>
          <w:trHeight w:val="29"/>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expect to substantially fill the entire backlog during fiscal 2011,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 As of July 2, 2010, no customers accounted for 10% or more of our total backlog.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wireless networks.</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During fiscal 2010, 2009 and 2008, we had one International segment customer in Africa (Mobile Telephone Networks or MTN) that accounted for 17%, 17% and 13% of our total revenue. MTN is an affiliated group of separate regional carriers and operators located on the continent of Africa. As of July 2, 2010, MTN as a whole accounted for approximately 7% of our accounts receivable.</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Business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present measures of our revenue in international markets as a percentage of total revenue and international revenue: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25"/>
        </w:trPr>
        <w:tc>
          <w:tcPr>
            <w:tcW w:w="8860" w:type="dxa"/>
            <w:vAlign w:val="bottom"/>
            <w:gridSpan w:val="2"/>
            <w:vMerge w:val="continue"/>
          </w:tcPr>
          <w:p>
            <w:pPr>
              <w:spacing w:after="0"/>
              <w:rPr>
                <w:sz w:val="10"/>
                <w:szCs w:val="10"/>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Total Revenue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U.S. exports or manufactured abroad:</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gridSpan w:val="2"/>
          </w:tcPr>
          <w:p>
            <w:pPr>
              <w:spacing w:after="0"/>
              <w:rPr>
                <w:sz w:val="20"/>
                <w:szCs w:val="20"/>
                <w:color w:val="auto"/>
              </w:rPr>
            </w:pPr>
            <w:r>
              <w:rPr>
                <w:rFonts w:ascii="Arial" w:cs="Arial" w:eastAsia="Arial" w:hAnsi="Arial"/>
                <w:sz w:val="13"/>
                <w:szCs w:val="13"/>
                <w:color w:val="auto"/>
              </w:rPr>
              <w:t>Fiscal 2010</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5"/>
        </w:trPr>
        <w:tc>
          <w:tcPr>
            <w:tcW w:w="8660" w:type="dxa"/>
            <w:vAlign w:val="bottom"/>
            <w:gridSpan w:val="2"/>
          </w:tcPr>
          <w:p>
            <w:pPr>
              <w:spacing w:after="0"/>
              <w:rPr>
                <w:sz w:val="20"/>
                <w:szCs w:val="20"/>
                <w:color w:val="auto"/>
              </w:rPr>
            </w:pPr>
            <w:r>
              <w:rPr>
                <w:rFonts w:ascii="Arial" w:cs="Arial" w:eastAsia="Arial" w:hAnsi="Arial"/>
                <w:sz w:val="13"/>
                <w:szCs w:val="13"/>
                <w:color w:val="auto"/>
              </w:rPr>
              <w:t>Fiscal 2008</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71"/>
        </w:trPr>
        <w:tc>
          <w:tcPr>
            <w:tcW w:w="8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200" w:type="dxa"/>
            <w:vAlign w:val="bottom"/>
          </w:tcPr>
          <w:p>
            <w:pPr>
              <w:spacing w:after="0"/>
              <w:rPr>
                <w:sz w:val="23"/>
                <w:szCs w:val="23"/>
                <w:color w:val="auto"/>
              </w:rPr>
            </w:pPr>
          </w:p>
        </w:tc>
        <w:tc>
          <w:tcPr>
            <w:tcW w:w="1120" w:type="dxa"/>
            <w:vAlign w:val="bottom"/>
          </w:tcPr>
          <w:p>
            <w:pPr>
              <w:jc w:val="right"/>
              <w:ind w:right="308"/>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25"/>
        </w:trPr>
        <w:tc>
          <w:tcPr>
            <w:tcW w:w="8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188"/>
              <w:spacing w:after="0"/>
              <w:rPr>
                <w:sz w:val="20"/>
                <w:szCs w:val="20"/>
                <w:color w:val="auto"/>
              </w:rPr>
            </w:pPr>
            <w:r>
              <w:rPr>
                <w:rFonts w:ascii="Arial" w:cs="Arial" w:eastAsia="Arial" w:hAnsi="Arial"/>
                <w:sz w:val="10"/>
                <w:szCs w:val="10"/>
                <w:b w:val="1"/>
                <w:bCs w:val="1"/>
                <w:color w:val="auto"/>
                <w:w w:val="99"/>
              </w:rPr>
              <w:t>Non U.S. Revenue</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U.S. exports: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gridSpan w:val="2"/>
          </w:tcPr>
          <w:p>
            <w:pPr>
              <w:spacing w:after="0"/>
              <w:rPr>
                <w:sz w:val="20"/>
                <w:szCs w:val="20"/>
                <w:color w:val="auto"/>
              </w:rPr>
            </w:pPr>
            <w:r>
              <w:rPr>
                <w:rFonts w:ascii="Arial" w:cs="Arial" w:eastAsia="Arial" w:hAnsi="Arial"/>
                <w:sz w:val="13"/>
                <w:szCs w:val="13"/>
                <w:color w:val="auto"/>
              </w:rPr>
              <w:t>Fiscal 2010</w:t>
            </w:r>
          </w:p>
        </w:tc>
        <w:tc>
          <w:tcPr>
            <w:tcW w:w="1320" w:type="dxa"/>
            <w:vAlign w:val="bottom"/>
            <w:gridSpan w:val="2"/>
          </w:tcPr>
          <w:p>
            <w:pPr>
              <w:jc w:val="right"/>
              <w:ind w:right="428"/>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w:t>
            </w:r>
          </w:p>
        </w:tc>
        <w:tc>
          <w:tcPr>
            <w:tcW w:w="132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8660" w:type="dxa"/>
            <w:vAlign w:val="bottom"/>
            <w:gridSpan w:val="2"/>
          </w:tcPr>
          <w:p>
            <w:pPr>
              <w:spacing w:after="0"/>
              <w:rPr>
                <w:sz w:val="20"/>
                <w:szCs w:val="20"/>
                <w:color w:val="auto"/>
              </w:rPr>
            </w:pPr>
            <w:r>
              <w:rPr>
                <w:rFonts w:ascii="Arial" w:cs="Arial" w:eastAsia="Arial" w:hAnsi="Arial"/>
                <w:sz w:val="13"/>
                <w:szCs w:val="13"/>
                <w:color w:val="auto"/>
              </w:rPr>
              <w:t>Fiscal 2008</w:t>
            </w:r>
          </w:p>
        </w:tc>
        <w:tc>
          <w:tcPr>
            <w:tcW w:w="1320" w:type="dxa"/>
            <w:vAlign w:val="bottom"/>
            <w:gridSpan w:val="2"/>
          </w:tcPr>
          <w:p>
            <w:pPr>
              <w:jc w:val="right"/>
              <w:ind w:right="4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71"/>
        </w:trPr>
        <w:tc>
          <w:tcPr>
            <w:tcW w:w="8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200" w:type="dxa"/>
            <w:vAlign w:val="bottom"/>
          </w:tcPr>
          <w:p>
            <w:pPr>
              <w:spacing w:after="0"/>
              <w:rPr>
                <w:sz w:val="23"/>
                <w:szCs w:val="23"/>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25"/>
        </w:trPr>
        <w:tc>
          <w:tcPr>
            <w:tcW w:w="8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Total Revenue</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operations conducted in local international currencies: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gridSpan w:val="2"/>
          </w:tcPr>
          <w:p>
            <w:pPr>
              <w:spacing w:after="0"/>
              <w:rPr>
                <w:sz w:val="20"/>
                <w:szCs w:val="20"/>
                <w:color w:val="auto"/>
              </w:rPr>
            </w:pPr>
            <w:r>
              <w:rPr>
                <w:rFonts w:ascii="Arial" w:cs="Arial" w:eastAsia="Arial" w:hAnsi="Arial"/>
                <w:sz w:val="13"/>
                <w:szCs w:val="13"/>
                <w:color w:val="auto"/>
              </w:rPr>
              <w:t>Fiscal 2010</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5"/>
        </w:trPr>
        <w:tc>
          <w:tcPr>
            <w:tcW w:w="8660" w:type="dxa"/>
            <w:vAlign w:val="bottom"/>
            <w:gridSpan w:val="2"/>
          </w:tcPr>
          <w:p>
            <w:pPr>
              <w:spacing w:after="0"/>
              <w:rPr>
                <w:sz w:val="20"/>
                <w:szCs w:val="20"/>
                <w:color w:val="auto"/>
              </w:rPr>
            </w:pPr>
            <w:r>
              <w:rPr>
                <w:rFonts w:ascii="Arial" w:cs="Arial" w:eastAsia="Arial" w:hAnsi="Arial"/>
                <w:sz w:val="13"/>
                <w:szCs w:val="13"/>
                <w:color w:val="auto"/>
              </w:rPr>
              <w:t>Fiscal 2008</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71"/>
        </w:trPr>
        <w:tc>
          <w:tcPr>
            <w:tcW w:w="8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200" w:type="dxa"/>
            <w:vAlign w:val="bottom"/>
          </w:tcPr>
          <w:p>
            <w:pPr>
              <w:spacing w:after="0"/>
              <w:rPr>
                <w:sz w:val="23"/>
                <w:szCs w:val="23"/>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25"/>
        </w:trPr>
        <w:tc>
          <w:tcPr>
            <w:tcW w:w="8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Total Revenue</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foreign countries representing more than 5% of total revenue:</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60" w:type="dxa"/>
            <w:vAlign w:val="bottom"/>
            <w:gridSpan w:val="2"/>
          </w:tcPr>
          <w:p>
            <w:pPr>
              <w:spacing w:after="0"/>
              <w:rPr>
                <w:sz w:val="20"/>
                <w:szCs w:val="20"/>
                <w:color w:val="auto"/>
              </w:rPr>
            </w:pPr>
            <w:r>
              <w:rPr>
                <w:rFonts w:ascii="Arial" w:cs="Arial" w:eastAsia="Arial" w:hAnsi="Arial"/>
                <w:sz w:val="13"/>
                <w:szCs w:val="13"/>
                <w:color w:val="auto"/>
              </w:rPr>
              <w:t>Fiscal 2010 Nigeria</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2010 Saudi Arabia</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660" w:type="dxa"/>
            <w:vAlign w:val="bottom"/>
            <w:gridSpan w:val="2"/>
          </w:tcPr>
          <w:p>
            <w:pPr>
              <w:spacing w:after="0"/>
              <w:rPr>
                <w:sz w:val="20"/>
                <w:szCs w:val="20"/>
                <w:color w:val="auto"/>
              </w:rPr>
            </w:pPr>
            <w:r>
              <w:rPr>
                <w:rFonts w:ascii="Arial" w:cs="Arial" w:eastAsia="Arial" w:hAnsi="Arial"/>
                <w:sz w:val="13"/>
                <w:szCs w:val="13"/>
                <w:color w:val="auto"/>
              </w:rPr>
              <w:t>Fiscal 2009 Nigeria</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8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 Poland</w:t>
            </w:r>
          </w:p>
        </w:tc>
        <w:tc>
          <w:tcPr>
            <w:tcW w:w="13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5"/>
        </w:trPr>
        <w:tc>
          <w:tcPr>
            <w:tcW w:w="8660" w:type="dxa"/>
            <w:vAlign w:val="bottom"/>
            <w:gridSpan w:val="2"/>
          </w:tcPr>
          <w:p>
            <w:pPr>
              <w:spacing w:after="0"/>
              <w:rPr>
                <w:sz w:val="20"/>
                <w:szCs w:val="20"/>
                <w:color w:val="auto"/>
              </w:rPr>
            </w:pPr>
            <w:r>
              <w:rPr>
                <w:rFonts w:ascii="Arial" w:cs="Arial" w:eastAsia="Arial" w:hAnsi="Arial"/>
                <w:sz w:val="13"/>
                <w:szCs w:val="13"/>
                <w:color w:val="auto"/>
              </w:rPr>
              <w:t>Fiscal 2008 Nigeria</w:t>
            </w:r>
          </w:p>
        </w:tc>
        <w:tc>
          <w:tcPr>
            <w:tcW w:w="1320" w:type="dxa"/>
            <w:vAlign w:val="bottom"/>
            <w:gridSpan w:val="2"/>
          </w:tcPr>
          <w:p>
            <w:pPr>
              <w:jc w:val="right"/>
              <w:ind w:right="328"/>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functional currency of our subsidiaries located in the United Kingdom, Singapore, Mexico, Algeria and New Zealand is the U.S. dollar so the effect of foreign currency changes have not had a significant effect on our revenue. Direct export sales, as well as sales from international subsidiaries, are primarily denominated in U.S. dollars. International operations represented 55% and 63% of our long-lived assets as of July 2, 2010 and as of July 3, 2009.</w:t>
      </w:r>
    </w:p>
    <w:p>
      <w:pPr>
        <w:spacing w:after="0" w:line="67" w:lineRule="exact"/>
        <w:rPr>
          <w:sz w:val="20"/>
          <w:szCs w:val="20"/>
          <w:color w:val="auto"/>
        </w:rPr>
      </w:pPr>
    </w:p>
    <w:p>
      <w:pPr>
        <w:ind w:left="680" w:right="700" w:firstLine="399"/>
        <w:spacing w:after="0" w:line="276" w:lineRule="auto"/>
        <w:rPr>
          <w:sz w:val="20"/>
          <w:szCs w:val="20"/>
          <w:color w:val="auto"/>
        </w:rPr>
      </w:pPr>
      <w:r>
        <w:rPr>
          <w:rFonts w:ascii="Arial" w:cs="Arial" w:eastAsia="Arial" w:hAnsi="Arial"/>
          <w:sz w:val="13"/>
          <w:szCs w:val="13"/>
          <w:color w:val="auto"/>
        </w:rPr>
        <w:t>We conduct international marketing activities through subsidiaries operating in Europe, Central and South America, Africa and Asia. We also have established marketing organizations and several regional sales offices in these same geographic areas.</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use indirect sales channels, including dealers, distributors and sales representatives, in the marketing and sale of some lines of products and equipment internationally.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may mark up those prices in setting the final sales prices paid by the customer.</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 significant portion of our exports are paid for by letters of credit, with the balance carried on an open account. In addition, significant international government contracts generally require us to provide performance guarantees.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particular economic, social and political conditions for business conducted outside the U.S. differ from those encountered by domestic businesses. We believe that the overall business risk for our international business as a whole is somewhat greater than that faced by our domestic operations as a whole. For a discussion of the risks we are subject to as a result of our international operations, see “Item 1A. Risk Factors” of this Annual Report on Form 10-K.</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The wireless access, backhaul and interconnection business is a specialized segment of the wireless telecommunications industry that is sensitive to technological advancements and is extremely competitive. Some of our competitors have more extensive engineering, manufacturing and marketing capabilities and greater financial, technical and personnel resources than us. Some of our competitors may have greater name recognition, broader product lines (some including non-wireless telecommunications equipment), a larger installed base of products and longer-standing customer relationships. In addition, some competitors offer seller financing which is a competitive advantage in the current economic environment.</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Although successful product and systems development is not necessarily dependent on substantial financial resources, many of our competitors are significantly larger than us and can maintain higher levels of expenditures for research and development. In addition, a portion of our overall market is addressed by large mobile infrastructure providers who bundle microwave radios with other mobile network equipment, such as cellular base stations or switching systems, and offer a full range of services. This part of the market is generally not open to independent microwave suppliers like us.</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also compete with a number of smaller independent private and public specialist companies, who typically leverage new technologies and low-cost models, but usually are not able to offer a complete solution including turnkey services in all regions of the world.</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principal microwave competitors include large mobile infrastructure manufacturers such as Alcatel-Lucent, Ericsson, NEC, Huawei and Nokia Siemens Networks, as well as a number of other smaller public and private microwave specialists companies such as Ceragon and DragonWave in selected markets. Some of our competitors are OEMs or systems integrators through which we sometimes distribute and sell products and services to end users.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four major areas: Backhaul, Radio Access Networks, Core Networks and Network Management Systems. The majority of such research and development resources will be used for point-to-point digital microwave radio systems for access, backhaul, trunking and license-exempt applications.</w:t>
      </w:r>
    </w:p>
    <w:p>
      <w:pPr>
        <w:spacing w:after="0" w:line="70" w:lineRule="exact"/>
        <w:rPr>
          <w:sz w:val="20"/>
          <w:szCs w:val="20"/>
          <w:color w:val="auto"/>
        </w:rPr>
      </w:pPr>
    </w:p>
    <w:p>
      <w:pPr>
        <w:ind w:left="680" w:right="740" w:firstLine="399"/>
        <w:spacing w:after="0" w:line="276" w:lineRule="auto"/>
        <w:rPr>
          <w:sz w:val="20"/>
          <w:szCs w:val="20"/>
          <w:color w:val="auto"/>
        </w:rPr>
      </w:pPr>
      <w:r>
        <w:rPr>
          <w:rFonts w:ascii="Arial" w:cs="Arial" w:eastAsia="Arial" w:hAnsi="Arial"/>
          <w:sz w:val="13"/>
          <w:szCs w:val="13"/>
          <w:color w:val="auto"/>
        </w:rPr>
        <w:t>Our research, development and engineering expenditures totaled $41.1 million, or 8.6% of revenue, in fiscal 2010, $40.4 million, or 5.9% of revenue, in fiscal 2009, and $46.1 million, or 6.4% of revenue in fiscal 2008.</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Research, development and engineering are primarily directed to the development of new products and to building technological capability. We are, and historically have been, an industry innovator. Consistent with our history and strategy of introducing innovative products, we intend to continue to focus significant resources on product development in an effort to maintain our competitiveness and support our entry into new markets. We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160"/>
        <w:spacing w:after="0" w:line="283" w:lineRule="auto"/>
        <w:rPr>
          <w:sz w:val="20"/>
          <w:szCs w:val="20"/>
          <w:color w:val="auto"/>
        </w:rPr>
      </w:pPr>
      <w:r>
        <w:rPr>
          <w:rFonts w:ascii="Arial" w:cs="Arial" w:eastAsia="Arial" w:hAnsi="Arial"/>
          <w:sz w:val="13"/>
          <w:szCs w:val="13"/>
          <w:color w:val="auto"/>
        </w:rPr>
        <w:t>maintain new product development programs that could result in new products and expansion of the Eclipse Packet Node</w:t>
      </w:r>
      <w:r>
        <w:rPr>
          <w:rFonts w:ascii="Arial" w:cs="Arial" w:eastAsia="Arial" w:hAnsi="Arial"/>
          <w:sz w:val="13"/>
          <w:szCs w:val="13"/>
          <w:b w:val="1"/>
          <w:bCs w:val="1"/>
          <w:color w:val="auto"/>
        </w:rPr>
        <w:t>,</w:t>
      </w:r>
      <w:r>
        <w:rPr>
          <w:rFonts w:ascii="Arial" w:cs="Arial" w:eastAsia="Arial" w:hAnsi="Arial"/>
          <w:sz w:val="13"/>
          <w:szCs w:val="13"/>
          <w:color w:val="auto"/>
        </w:rPr>
        <w:t xml:space="preserve"> and the new StarMAX platform which we acquired February 27, 2009 as a result of our acquisition of Telsima Corporation.</w:t>
      </w:r>
    </w:p>
    <w:p>
      <w:pPr>
        <w:spacing w:after="0" w:line="54"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maintain an engineering and new product development department, with scientific assistance provided by advanced-technology departments. As of July 2, 2010, we employed a total of 272 people in our research and development organizations in Morrisville, North Carolina; Santa Clara, California; Wellington, New Zealand; Singapore; Slovenia and India.</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Raw Materials and Supplies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diversity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7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strategy for procuring raw material and supplies includes dual sourcing on strategic assemblies and components. In general, we believe this reduces our risk with regards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55"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While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 Looking ahead, there is an increasing level of global shortages for some common electronic components used by numerous manufacturers across the industry. During the global economic downturn, many component suppliers reduced their manufacturing capacity commensurate with declining global demand. Recently, global demand has outpaced manufacturing capacity for some electronic components resulting in extended lead times and in some cases allocation to our contract manufacturers.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and Other Intellectual Property</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18, 2010, we held 119 U.S. patents and 93 international patents and had 35 U.S. patent applications pending and 70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While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and Other Regulations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and/or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4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As of July 2, 2010, we employed 1,380 people, compared with 1,521 as of the end of fiscal 2009 and 1,410 as of the end of fiscal 2008. In February 2009, we added 146 employees through the acquisition of Telsima. Approximately 700 of our employees are located in the U.S. We also utilized approximately 100 independent contractors as of July 2, 2010.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Web site Access to Aviat Networks’ Reports; Available Information</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We maintain an Internet Web site at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http://www.aviatnetworks.com.</w:t>
      </w:r>
      <w:r>
        <w:rPr>
          <w:rFonts w:ascii="Arial" w:cs="Arial" w:eastAsia="Arial" w:hAnsi="Arial"/>
          <w:sz w:val="12"/>
          <w:szCs w:val="12"/>
          <w:i w:val="1"/>
          <w:iCs w:val="1"/>
          <w:color w:val="auto"/>
        </w:rPr>
        <w:t xml:space="preserve"> </w:t>
      </w:r>
      <w:r>
        <w:rPr>
          <w:rFonts w:ascii="Arial" w:cs="Arial" w:eastAsia="Arial" w:hAnsi="Arial"/>
          <w:sz w:val="12"/>
          <w:szCs w:val="12"/>
          <w:color w:val="auto"/>
        </w:rPr>
        <w:t>Our annual reports on Form 10-K, proxy statement, quarterly reports on Form 10-Q, current reports on</w:t>
      </w:r>
      <w:r>
        <w:rPr>
          <w:rFonts w:ascii="Arial" w:cs="Arial" w:eastAsia="Arial" w:hAnsi="Arial"/>
          <w:sz w:val="12"/>
          <w:szCs w:val="12"/>
          <w:i w:val="1"/>
          <w:iCs w:val="1"/>
          <w:color w:val="auto"/>
        </w:rPr>
        <w:t xml:space="preserve"> </w:t>
      </w:r>
      <w:r>
        <w:rPr>
          <w:rFonts w:ascii="Arial" w:cs="Arial" w:eastAsia="Arial" w:hAnsi="Arial"/>
          <w:sz w:val="12"/>
          <w:szCs w:val="12"/>
          <w:color w:val="auto"/>
        </w:rPr>
        <w:t>Form 8-K and amendments to such reports, filed or furnished pursuant to Section 13(a) or 15(d) of the Securities Exchange Act of 1934, are available free of charge on our Web site as soon as reasonably practicable after these reports are electronically filed with, or furnished to, the Securities and Exchange Commission (“SEC”). Our website and the information posted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thereon are not incorporated into this Annual Report on Form 10-K or any current or other periodic report that we file or furnish to the SEC.</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5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Additional information relating to our businesses, including our operating segments, is set forth in “Item 7. Management’s Discussion and Analysis of Financial Condition and Results of Operations.”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5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not been profitable and must increase our revenues and reduce costs if we hope to achieve sustainable profitability.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measured under U.S. generally accepted accounting principles (“U.S. GAAP”), we have incurred a net loss in each of the last 8 fiscal quarters. We incurred net losses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$130.2 million in fiscal 2010, $355.0 million in fiscal 2009 and $11.9 million in fiscal 2008 and have been unprofitable since we became a public company in January 2007. We also have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consistently sustained reported losses from operations, although we have generated cash from operations in each of the last three fiscal years.</w:t>
      </w:r>
    </w:p>
    <w:p>
      <w:pPr>
        <w:spacing w:after="0" w:line="8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revenue in fiscal year 2010 was $478.9 million, a decrease of $201.0 million or 29.6%, compared with fiscal year 2009. This decrease in revenue resulted from significant declines in all regions, most acutely in Africa and Europe, Middle East and Russia. Declines resulted primarily from reduced customer demand due to the global economic recession and the effects of the continuing credit crisis on our customers’ ability to finance expansion, as well as increased competition from our competitors. Increased competition has affected product pricing and the ability to combine microwave equipment with other product sales and services. Furthermore, revenue has been negatively affected by anticipated or planned consolidation of our customers and foreign government-based subsidized financing, particularly in Africa.</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revenue in fiscal 2009 was $679.9 million, a decrease of $38.5 million or 5.4%, compared with fiscal 2008. This decrease in revenue resulted from declines in all regions (except Africa) primarily due to the global economic recession and the continuing credit crisis adversely affecting our customers expansion, as well as increased competition from our competitors. Compared with fiscal 2008, revenue in fiscal 2009 in Europe, Middle East and Russia declined by $27.9 million, Latin America and Asia-Pacific declined $16.6 million, and North America was down $10.5 million. These decreases were partially offset by growth in Africa ($16.5 million increase) as customers in this region continued to expand their network infrastructures prior to the slowdown in the third quarter of fiscal 2009.</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recently announced additional restructuring steps and facilities closures with a view to reducing further our annual operating expenses. These steps will result in additional costs that we must recognize in fiscal 2011, and we cannot be certain that these actions or others that we may take in the future will result in operating profitability or net income as determined under U.S. GAAP.</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have announced major restructuring activities which may adversely impact our operations, and we may not realize all of the anticipated benefits of these activities or any future restructurings.</w:t>
      </w:r>
    </w:p>
    <w:p>
      <w:pPr>
        <w:spacing w:after="0" w:line="59"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We continue to restructure and transform our business to realign resources and achieve desired cost savings in an increasingly competitive market. Following approval of our annual operating plan, we began to implement certain cost reduction initiatives in the range of $30 to $35 million for fiscal 2011. These initiatives primarily affect operations in the Americas, Asia and Europe. These actions are intended to bring our operational cost structure in line with the changing dynamics of the microwave radio and telecommunications markets.</w:t>
      </w:r>
    </w:p>
    <w:p>
      <w:pPr>
        <w:spacing w:after="0" w:line="3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expect to record approximately $11 million to $13 million of charges related to severance and employee-related costs and impairment of facilities during the first, second and third quarters of fiscal 2011. The severance and employee-related cash charges are expected to be approximately $9 million to $10 million. Additionally, we expect to record approximately</w:t>
      </w:r>
    </w:p>
    <w:p>
      <w:pPr>
        <w:ind w:left="680" w:right="20"/>
        <w:spacing w:after="0" w:line="264" w:lineRule="auto"/>
        <w:rPr>
          <w:sz w:val="20"/>
          <w:szCs w:val="20"/>
          <w:color w:val="auto"/>
        </w:rPr>
      </w:pPr>
      <w:r>
        <w:rPr>
          <w:rFonts w:ascii="Arial" w:cs="Arial" w:eastAsia="Arial" w:hAnsi="Arial"/>
          <w:sz w:val="13"/>
          <w:szCs w:val="13"/>
          <w:color w:val="auto"/>
        </w:rPr>
        <w:t>$2 million of non-cash asset impairments and $1 million of lease impairment charges requiring cash payments. The impairment charges will consist primarily of costs to close facilities in the Americas (primarily our Morrisville, North Carolina office), Asia and Europe.</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we consolidate additional facilities in the future, we may incur additional restructuring and related expenses, which could have a material adverse effect on our business, financial condition or results of operations.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based our restructuring efforts on assumptions and plans regarding the appropriate cost structure of our businesses based on our product mix and projected sales among other factors.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the restructurings or that we will not further reduce or otherwise adjust our workforce or exit, or dispose of, certain businesses and protect lines. Any decision to further limit investment, exit, or dispose of businesses may result in the recording of additional restructuring charges. As a result, the costs actually incurred in connection with the restructuring efforts may be higher than originally planned and may not lead to the anticipated cost savings and/or improved results.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on new product introductions, product transitioning and customer acceptance.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 As we transition to common product platforms, we may face significant risk that current customers may not accept these new products. To the extent that we fail to introduce new and innovative products that are adopted by customers, we could fail to obtain an adequate return on these investments and could lose market share to our competitors, which could be difficult or impossible to regain. In addition, we could incur significant costs in completing the transition.</w:t>
      </w:r>
    </w:p>
    <w:p>
      <w:pPr>
        <w:spacing w:after="0" w:line="137"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The effects of the recession in the United States and general downturn in the global economy, including financial market disruptions, could have an adverse impact on our business, operating results or financial condition.</w:t>
      </w:r>
    </w:p>
    <w:p>
      <w:pPr>
        <w:spacing w:after="0" w:line="59"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The United States economy is in recession and there has been a general downturn in the global economy. A continuation or worsening of these conditions, including the ongoing credit and capital markets disruptions, could have an adverse impact on our business, operating results or financial condition in a number of ways. For example:</w:t>
      </w:r>
    </w:p>
    <w:p>
      <w:pPr>
        <w:spacing w:after="0" w:line="35" w:lineRule="exact"/>
        <w:rPr>
          <w:sz w:val="20"/>
          <w:szCs w:val="20"/>
          <w:color w:val="auto"/>
        </w:rPr>
      </w:pPr>
    </w:p>
    <w:p>
      <w:pPr>
        <w:ind w:left="1280" w:right="16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experience declines in revenues and cash flows and increased losses as a result of reduced orders, payment delays or other factors caused by the economic problems of our customers and prospective customers.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440"/>
        <w:spacing w:after="0" w:line="276" w:lineRule="auto"/>
        <w:rPr>
          <w:sz w:val="20"/>
          <w:szCs w:val="20"/>
          <w:color w:val="auto"/>
        </w:rPr>
      </w:pPr>
      <w:r>
        <w:rPr>
          <w:rFonts w:ascii="Arial" w:cs="Arial" w:eastAsia="Arial" w:hAnsi="Arial"/>
          <w:sz w:val="13"/>
          <w:szCs w:val="13"/>
          <w:color w:val="auto"/>
        </w:rPr>
        <w:t>During the last quarter, some customers advised us of their intention to slow deployments to conserve cash. Such customer attitudes could continue to affect out business, financial condition and cash flows adversely.</w:t>
      </w:r>
    </w:p>
    <w:p>
      <w:pPr>
        <w:spacing w:after="0" w:line="59"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experience supply chain delays, disruptions or other problems associated with financial constraints faced by our suppliers and subcontractors.</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incur increased costs or experience difficulty either in making future borrowings under our credit facility or otherwise in obtaining financing for our operating activities, investing activities (including the financing of any future acquisitions) or financing activities.</w:t>
      </w:r>
    </w:p>
    <w:p>
      <w:pPr>
        <w:spacing w:after="0" w:line="138"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59" w:lineRule="exact"/>
        <w:rPr>
          <w:sz w:val="20"/>
          <w:szCs w:val="20"/>
          <w:color w:val="auto"/>
        </w:rPr>
      </w:pPr>
    </w:p>
    <w:p>
      <w:pPr>
        <w:jc w:val="center"/>
        <w:ind w:right="-639"/>
        <w:spacing w:after="0"/>
        <w:rPr>
          <w:sz w:val="20"/>
          <w:szCs w:val="20"/>
          <w:color w:val="auto"/>
        </w:rPr>
      </w:pPr>
      <w:r>
        <w:rPr>
          <w:rFonts w:ascii="Arial" w:cs="Arial" w:eastAsia="Arial" w:hAnsi="Arial"/>
          <w:sz w:val="13"/>
          <w:szCs w:val="13"/>
          <w:color w:val="auto"/>
        </w:rPr>
        <w:t>During fiscal 2010, 2009 and 2008, we recorded charges to reduce the carrying value of our inventory to the lower of cost or market totaling $30.9 million, $23.1 million and</w:t>
      </w:r>
    </w:p>
    <w:p>
      <w:pPr>
        <w:spacing w:after="0" w:line="15"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$24.6 million. Such charges equaled 6.5%, 3.4%, and 3.4% of our revenue for fiscal 2010, 2009 and 2008. These charges were primarily due to excess and obsolete inventory resulting from product transitioning and discontinuance.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Inventory of raw materials, work in-process or finished products may accumulate in the future, and we may encounter losses due to a variety of factors, including:</w:t>
      </w:r>
    </w:p>
    <w:p>
      <w:pPr>
        <w:spacing w:after="0" w:line="96"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rapid technological change in the wireless telecommunications industry resulting in frequent product changes;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 reduction initiatives resulting in component changes within the products.</w:t>
      </w:r>
    </w:p>
    <w:p>
      <w:pPr>
        <w:spacing w:after="0" w:line="96"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1"/>
          <w:szCs w:val="11"/>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results of operations could be materially adversely affected .</w:t>
      </w:r>
    </w:p>
    <w:p>
      <w:pPr>
        <w:spacing w:after="0" w:line="126"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may also have other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customers and may not have sufficient capacity to meet all of their customer’s needs, including ours, during periods of excess demand.</w:t>
      </w:r>
    </w:p>
    <w:p>
      <w:pPr>
        <w:spacing w:after="0" w:line="77"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Our sales cycle may be lengthy, and the time for installation and implementation of our products within our customers’ networks may extend over more than one period, which can make our operating results difficult to predict.</w:t>
      </w:r>
    </w:p>
    <w:p>
      <w:pPr>
        <w:ind w:left="680" w:right="40" w:firstLine="399"/>
        <w:spacing w:after="0" w:line="264" w:lineRule="auto"/>
        <w:rPr>
          <w:sz w:val="20"/>
          <w:szCs w:val="20"/>
          <w:color w:val="auto"/>
        </w:rPr>
      </w:pPr>
      <w:r>
        <w:rPr>
          <w:rFonts w:ascii="Arial" w:cs="Arial" w:eastAsia="Arial" w:hAnsi="Arial"/>
          <w:sz w:val="13"/>
          <w:szCs w:val="13"/>
          <w:color w:val="auto"/>
        </w:rPr>
        <w:t>We anticipate difficulty in accurately predicting the timing and amounts of revenue generated from sales of our products.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w:t>
      </w:r>
    </w:p>
    <w:p>
      <w:pPr>
        <w:spacing w:after="0" w:line="1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In anticipation of product orders, we may incur substantial costs before the sales cycle is complete and before we receive any customer payments. As a result, in the event that a sale is not completed or is cancelled or delayed, we may have incurred substantial expenses, making it more difficult for us to become profitable or otherwise negatively impacting our financial results. Furthermore, because of our lengthy sales cycle, our receipt of revenue from our selling efforts may be substantially delayed, our ability to forecast our future revenue may be more limited and our revenue may fluctuate significantly from quarter to quarter.</w:t>
      </w:r>
    </w:p>
    <w:p>
      <w:pPr>
        <w:spacing w:after="0" w:line="22"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Once a purchase agreement has been executed, the timing and amount of revenue, if applicable, may remain difficult to predict. The completion of the installation and testing of the customer’s networks and the completion of all other suppliers network elements are subject to the customer’s timing and efforts, and other factors outside our control which may prevent us from making predictions of revenue with any certainty and could cause us to experience substantial period-to-period fluctuations in our operating results.</w:t>
      </w:r>
    </w:p>
    <w:p>
      <w:pPr>
        <w:spacing w:after="0" w:line="20" w:lineRule="exact"/>
        <w:rPr>
          <w:sz w:val="20"/>
          <w:szCs w:val="20"/>
          <w:color w:val="auto"/>
        </w:rPr>
      </w:pPr>
    </w:p>
    <w:p>
      <w:pPr>
        <w:ind w:left="880" w:right="360"/>
        <w:spacing w:after="0" w:line="307" w:lineRule="auto"/>
        <w:rPr>
          <w:sz w:val="20"/>
          <w:szCs w:val="20"/>
          <w:color w:val="auto"/>
        </w:rPr>
      </w:pPr>
      <w:r>
        <w:rPr>
          <w:rFonts w:ascii="Arial" w:cs="Arial" w:eastAsia="Arial" w:hAnsi="Arial"/>
          <w:sz w:val="12"/>
          <w:szCs w:val="12"/>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outsource a substantial portion of our manufacturing and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become increasingly dependent on contract manufacturers to provide these manufacturing services or that we will be able to replace a contract manufacturer that is not able to meet our demand.</w:t>
      </w:r>
    </w:p>
    <w:p>
      <w:pPr>
        <w:ind w:left="680" w:right="80" w:firstLine="399"/>
        <w:spacing w:after="0" w:line="296" w:lineRule="auto"/>
        <w:rPr>
          <w:sz w:val="20"/>
          <w:szCs w:val="20"/>
          <w:color w:val="auto"/>
        </w:rPr>
      </w:pPr>
      <w:r>
        <w:rPr>
          <w:rFonts w:ascii="Arial" w:cs="Arial" w:eastAsia="Arial" w:hAnsi="Arial"/>
          <w:sz w:val="12"/>
          <w:szCs w:val="12"/>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We depend on sole or limited sources for some key components and failure to receive timely delivery of any of these components could result in deferred or lost sales.</w:t>
      </w:r>
    </w:p>
    <w:p>
      <w:pPr>
        <w:spacing w:after="0" w:line="3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 However, if these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80"/>
        <w:spacing w:after="0" w:line="264" w:lineRule="auto"/>
        <w:rPr>
          <w:sz w:val="20"/>
          <w:szCs w:val="20"/>
          <w:color w:val="auto"/>
        </w:rPr>
      </w:pPr>
      <w:r>
        <w:rPr>
          <w:rFonts w:ascii="Arial" w:cs="Arial" w:eastAsia="Arial" w:hAnsi="Arial"/>
          <w:sz w:val="13"/>
          <w:szCs w:val="13"/>
          <w:color w:val="auto"/>
        </w:rPr>
        <w:t>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adversely affected to a material degree.</w:t>
      </w:r>
    </w:p>
    <w:p>
      <w:pPr>
        <w:spacing w:after="0" w:line="47" w:lineRule="exact"/>
        <w:rPr>
          <w:sz w:val="20"/>
          <w:szCs w:val="20"/>
          <w:color w:val="auto"/>
        </w:rPr>
      </w:pPr>
    </w:p>
    <w:p>
      <w:pPr>
        <w:ind w:left="880" w:right="340"/>
        <w:spacing w:after="0" w:line="276" w:lineRule="auto"/>
        <w:rPr>
          <w:sz w:val="20"/>
          <w:szCs w:val="20"/>
          <w:color w:val="auto"/>
        </w:rPr>
      </w:pPr>
      <w:r>
        <w:rPr>
          <w:rFonts w:ascii="Arial" w:cs="Arial" w:eastAsia="Arial" w:hAnsi="Arial"/>
          <w:sz w:val="13"/>
          <w:szCs w:val="13"/>
          <w:b w:val="1"/>
          <w:bCs w:val="1"/>
          <w:i w:val="1"/>
          <w:iCs w:val="1"/>
          <w:color w:val="auto"/>
        </w:rPr>
        <w:t>We have a history of substantial impairment charges for our goodwill, intangible assets and property, plant and equipment and may continue to experience such charges in the future.</w:t>
      </w:r>
    </w:p>
    <w:p>
      <w:pPr>
        <w:ind w:left="1080"/>
        <w:spacing w:after="0"/>
        <w:rPr>
          <w:sz w:val="20"/>
          <w:szCs w:val="20"/>
          <w:color w:val="auto"/>
        </w:rPr>
      </w:pPr>
      <w:r>
        <w:rPr>
          <w:rFonts w:ascii="Arial" w:cs="Arial" w:eastAsia="Arial" w:hAnsi="Arial"/>
          <w:sz w:val="12"/>
          <w:szCs w:val="12"/>
          <w:color w:val="auto"/>
        </w:rPr>
        <w:t>As of July 2, 2010, the net carrying value of our goodwill, definite-lived intangible assets and property, plant and equipment totaled $6.2 million, $7.5 million and $37.6 million.</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During fiscal 2010, we recorded impairment charges of $63.2 million for identifiable intangible assets and $8.7 million for property, plant and equipment. During fiscal 2009, we recorded impairment charges of $279.0 million for goodwill and $32.6 million for the Stratex trade name. We did not record impairment losses for goodwill or identifiable intangible assets in fiscal 2008.</w:t>
      </w:r>
    </w:p>
    <w:p>
      <w:pPr>
        <w:spacing w:after="0" w:line="1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Additionally, during fiscal 2010 we recorded an impairment charge of $5.5 million on our manufacturing facility and idle equipment in San Antonio, Texas. This charge resulted from our plan to converge our products onto a single platform by the end of fiscal year 2010 and is included in “Charges for product transition” within “Cost of products sales and services” on our Consolidated Statement of Operations.</w:t>
      </w:r>
    </w:p>
    <w:p>
      <w:pPr>
        <w:spacing w:after="0" w:line="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During fiscal 2009, we recorded a $3.2 million charge for the write-down of software developed for internal use and a $7.2 million charge for the write-down of machinery and equipment related to our product transitioning activities. We also recorded a $2.4 million charge for the impairment of a building used in manufacturing.</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2008, we recorded impairment losses on property, plant and equipment totaling $1.3 million.</w:t>
      </w:r>
    </w:p>
    <w:p>
      <w:pPr>
        <w:spacing w:after="0" w:line="4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intangible assets and property, plant and equipment are subject to impairment testing in accordance with Accounting Standard Codification 360 (“ASC 360”), </w:t>
      </w:r>
      <w:r>
        <w:rPr>
          <w:rFonts w:ascii="Arial" w:cs="Arial" w:eastAsia="Arial" w:hAnsi="Arial"/>
          <w:sz w:val="12"/>
          <w:szCs w:val="12"/>
          <w:i w:val="1"/>
          <w:iCs w:val="1"/>
          <w:color w:val="auto"/>
        </w:rPr>
        <w:t>Property, Plant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Equipment </w:t>
      </w:r>
      <w:r>
        <w:rPr>
          <w:rFonts w:ascii="Arial" w:cs="Arial" w:eastAsia="Arial" w:hAnsi="Arial"/>
          <w:sz w:val="12"/>
          <w:szCs w:val="12"/>
          <w:color w:val="auto"/>
        </w:rPr>
        <w:t>and our goodwill is subject to an impairment test in accordance with ASC 350</w:t>
      </w:r>
      <w:r>
        <w:rPr>
          <w:rFonts w:ascii="Arial" w:cs="Arial" w:eastAsia="Arial" w:hAnsi="Arial"/>
          <w:sz w:val="12"/>
          <w:szCs w:val="12"/>
          <w:i w:val="1"/>
          <w:iCs w:val="1"/>
          <w:color w:val="auto"/>
        </w:rPr>
        <w:t xml:space="preserve"> Intangibles, Goodwill and Other</w:t>
      </w:r>
      <w:r>
        <w:rPr>
          <w:rFonts w:ascii="Arial" w:cs="Arial" w:eastAsia="Arial" w:hAnsi="Arial"/>
          <w:sz w:val="12"/>
          <w:szCs w:val="12"/>
          <w:color w:val="auto"/>
        </w:rPr>
        <w:t>. We review the carrying value of our long-lived assets for</w:t>
      </w:r>
      <w:r>
        <w:rPr>
          <w:rFonts w:ascii="Arial" w:cs="Arial" w:eastAsia="Arial" w:hAnsi="Arial"/>
          <w:sz w:val="12"/>
          <w:szCs w:val="12"/>
          <w:i w:val="1"/>
          <w:iCs w:val="1"/>
          <w:color w:val="auto"/>
        </w:rPr>
        <w:t xml:space="preserve"> </w:t>
      </w:r>
      <w:r>
        <w:rPr>
          <w:rFonts w:ascii="Arial" w:cs="Arial" w:eastAsia="Arial" w:hAnsi="Arial"/>
          <w:sz w:val="12"/>
          <w:szCs w:val="12"/>
          <w:color w:val="auto"/>
        </w:rPr>
        <w:t>impairment whenever events or circumstances indicate that their carrying amount may not be recoverable. Significant negative industry or economic trends, including a lack of recovery in the market price of our common stock or the fair value of our debt, disruptions to our business, unexpected significant changes or planned changes in the use of the long-lived assets, and mergers and acquisitions could result in the need to reassess the fair value of our assets and liabilities which could lead to an impairment charge for any of our long-lived assets. An impairment charge related to our long-lived assets could have a significant adverse effect on our financial position and results of operations in the period in which it is incurred.</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and commercial risks and exposures could increase if the financial condition of our customers declines.</w:t>
      </w:r>
    </w:p>
    <w:p>
      <w:pPr>
        <w:spacing w:after="0" w:line="4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As a result of the more challenging economic environment, we saw some increase in the number of our customers experiencing such difficulties in 2009, and we expect that trend to intensify if the global economy deteriorates further in 2010 and 2011. That trend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experience reduced cash flows and losses in excess of reserves, which could materially adversely impact our results of operations and financial position.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customers may not pay for products and services in a timely manner, or at all, which would decrease our cash flows and adversely affect our working capital.</w:t>
      </w:r>
    </w:p>
    <w:p>
      <w:pPr>
        <w:spacing w:after="0" w:line="108"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 xml:space="preserve">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factor below titled </w:t>
      </w:r>
      <w:r>
        <w:rPr>
          <w:rFonts w:ascii="Arial" w:cs="Arial" w:eastAsia="Arial" w:hAnsi="Arial"/>
          <w:sz w:val="13"/>
          <w:szCs w:val="13"/>
          <w:i w:val="1"/>
          <w:iCs w:val="1"/>
          <w:color w:val="auto"/>
        </w:rPr>
        <w:t>“Because a significant amount of our revenue may come from a limited number of customers,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the termination of any of these customer relationships may adversely affect our business.” </w:t>
      </w:r>
      <w:r>
        <w:rPr>
          <w:rFonts w:ascii="Arial" w:cs="Arial" w:eastAsia="Arial" w:hAnsi="Arial"/>
          <w:sz w:val="13"/>
          <w:szCs w:val="13"/>
          <w:color w:val="auto"/>
        </w:rPr>
        <w:t>Our historical accounts receivable balances have been concentrated in a small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average sales prices may decline in the future.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Currently, we and other manufacturers of our telecommunications equipment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effective tax rate could be highly volatile and could adversely affect our operating results.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effective tax rate may be adversely affected by a number of factors, many of which are outside of our control, including:</w:t>
      </w:r>
    </w:p>
    <w:p>
      <w:pPr>
        <w:spacing w:after="0" w:line="96"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jurisdictions in which profits are determined to be earned and taxed;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adjustments to estimated taxes upon finalization of various tax returns;</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increases in expenses not deductible for tax purposes, including write-offs of acquired in-process research and development and impairment of goodwill in connection with acquisitions;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available tax credits;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share-based compensation expense;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the valuation of our deferred tax assets and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domestic or international tax laws or the interpretation of such tax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resolution of issues arising from tax audits with various tax authorities;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tax effects of purchase accounting for acquisitions and restructuring charges that may cause fluctuations between reporting periods.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significant increase in our future effective tax rates could impact our results of operations for future periods adversely.</w:t>
      </w:r>
    </w:p>
    <w:p>
      <w:pPr>
        <w:spacing w:after="0" w:line="136"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Because a significant amount of our revenue may come from a limited number of customers, the termination of any of these customer relationships may adversely affect our business.</w:t>
      </w:r>
    </w:p>
    <w:p>
      <w:pPr>
        <w:spacing w:after="0" w:line="59"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from a single external customer that exceeded 10% of our total revenue during fiscal 2010, 2009 and 2008. Although we have a large customer base, during any given quarter, a small number of customers may account for a significant portion of our revenue.</w:t>
      </w:r>
    </w:p>
    <w:p>
      <w:pPr>
        <w:spacing w:after="0" w:line="10"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It is possible that a significant portion of our future product sales also could be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2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face strong competition for maintaining and improving our position in the market, which could adversely affect our revenue growth and operating results.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wireless interconnection and access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Alcatel-Lucent, Eltek ASA, Ericsson, NEC and Nokia Siemens Networks, as well as a number of other public and private companies such as Ceragon and Huawei Technologies in selected markets.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9" w:lineRule="exact"/>
        <w:rPr>
          <w:sz w:val="20"/>
          <w:szCs w:val="20"/>
          <w:color w:val="auto"/>
        </w:rPr>
      </w:pPr>
    </w:p>
    <w:p>
      <w:pPr>
        <w:ind w:left="680" w:right="400" w:firstLine="399"/>
        <w:spacing w:after="0" w:line="299" w:lineRule="auto"/>
        <w:rPr>
          <w:sz w:val="20"/>
          <w:szCs w:val="20"/>
          <w:color w:val="auto"/>
        </w:rPr>
      </w:pPr>
      <w:r>
        <w:rPr>
          <w:rFonts w:ascii="Arial" w:cs="Arial" w:eastAsia="Arial" w:hAnsi="Arial"/>
          <w:sz w:val="12"/>
          <w:szCs w:val="12"/>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competitions.</w:t>
      </w:r>
    </w:p>
    <w:p>
      <w:pPr>
        <w:ind w:left="680" w:right="200" w:firstLine="399"/>
        <w:spacing w:after="0" w:line="285" w:lineRule="auto"/>
        <w:rPr>
          <w:sz w:val="20"/>
          <w:szCs w:val="20"/>
          <w:color w:val="auto"/>
        </w:rPr>
      </w:pPr>
      <w:r>
        <w:rPr>
          <w:rFonts w:ascii="Arial" w:cs="Arial" w:eastAsia="Arial" w:hAnsi="Arial"/>
          <w:sz w:val="12"/>
          <w:szCs w:val="12"/>
          <w:color w:val="auto"/>
        </w:rPr>
        <w:t>Our ability to compete successfully will depend on a number of factors, including price, quality, availability, customer service and support, breadth of product line,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 within the telecommunications industry could result in a decrease in our revenue.</w:t>
      </w:r>
    </w:p>
    <w:p>
      <w:pPr>
        <w:spacing w:after="0" w:line="37"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 xml:space="preserve">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In addition, see the risks discussed in the factor above titled </w:t>
      </w:r>
      <w:r>
        <w:rPr>
          <w:rFonts w:ascii="Arial" w:cs="Arial" w:eastAsia="Arial" w:hAnsi="Arial"/>
          <w:sz w:val="11"/>
          <w:szCs w:val="11"/>
          <w:i w:val="1"/>
          <w:iCs w:val="1"/>
          <w:color w:val="auto"/>
        </w:rPr>
        <w:t>“Because a significant amount of our revenue may come from a limited number of customers, the termination of any of these customer relationships may adversely affect our business.”</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develop and maintain distribution and licensing relationships, our revenue may decrease.</w:t>
      </w:r>
    </w:p>
    <w:p>
      <w:pPr>
        <w:spacing w:after="0" w:line="3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Although a majority of our sales are made through our direct sales force, we also will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integrated system provider should be able to offer. We may not be able to maintain and develop additional relationships or, if additional relationships are developed, they may not be successful.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46"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sufficient radio frequency spectrum is not allocated for use by our products, and we fail to obtain regulatory approval for our products, our ability to market our products may be restricted.</w:t>
      </w:r>
    </w:p>
    <w:p>
      <w:pPr>
        <w:spacing w:after="0" w:line="59"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addition, we will be affected by the allocation and auction of the radio frequency spectrum by governmental authorities both in the U.S. and internationally. Such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Due to the significant volume of international sales we expect, we may be susceptible to a number of political, economic and geographic risks that could harm our business.</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highly dependent on sales to customers outside the U.S. In fiscal 2010, 2009 and 2008, our sales to international customers accounted for 67%, 69% and 73% of total revenue. Also,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that adversely affects our business could result in a significant decline in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and challenges of doing business internationally include:</w:t>
      </w:r>
    </w:p>
    <w:p>
      <w:pPr>
        <w:spacing w:after="0" w:line="96"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unexpected changes in regulatory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fluctuations in international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imposition of tariffs and other barriers and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management and operation of an enterprise spread over various countries;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burden of complying with a variety of laws and regulations in various countries;</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general economic and geopolitical conditions, including inflation and trade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war and acts of terrorism;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kidnapping and high crime 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natural disasters;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currency exchange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export regulations.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While these factors and the impacts of these factors are difficult to predict, any one or more of them could adversely affect our business, financial condition and results of operations in the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are used in critical communications networks which may subject us to significant liability claims.</w:t>
      </w:r>
    </w:p>
    <w:p>
      <w:pPr>
        <w:spacing w:after="0" w:line="4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Because our products are used in critical communications networks, we may be subject to significant liability claims if our products do not work properly. The provisions in our agreements with customers that are intended to limit our exposure to liability claims may not preclude all potential claims. In addition, any insurance policies we have may not adequately limit our exposure with respect to such claims. We warrant to our current customers that our products will operate in accordance with our product specifications. If our products fail to conform to these specifications, our customers could require us to remedy the failure or could assert claims for damages.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are unable to adequately protect our intellectual property rights, we may be deprived of legal recourse against those who misappropriate our intellectual property.</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29"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1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be volatile, which may lead to losses by investors.</w:t>
      </w:r>
    </w:p>
    <w:p>
      <w:pPr>
        <w:spacing w:after="0" w:line="47"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Announcements of developments related to our business, announcements by competitors, quarterly fluctuations in our financial results and general conditions in the telecommunications industry in which we compete, or the economies of the countries in which we do business and other factors could cause the price of our common stock to fluctuate, perhaps substantially. In addition, in recent years the stock market has experienced extreme price fluctuations, which have often been unrelated to the operating performance of affected companies. These factors and fluctuations could lower the market price of our common stock. Our stock is currently listed on the NASDAQ Global Market.</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quarterly results may be volatile, which can adversely affect the trading price of our common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quarterly operating results may vary significantly for a variety of reasons, many of which are outside our control. These factors could harm our business and include, among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others:</w:t>
      </w:r>
    </w:p>
    <w:p>
      <w:pPr>
        <w:spacing w:after="0" w:line="89"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volume and timing of our product orders received and delivered during the quarter;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and the ability of our key suppliers to respond to changes on demand as needed;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suppliers’ inability to perform and deliver on time as a result of their financial condition, component shortages or other supply chain constraints;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retention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sales cycles can be lengthy;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litigation costs and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continued timely rollout of new product functionality and features;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increased competition resulting in downward pressures on the price of our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unexpected delays in the schedule for shipments of existing products and new generations of the existing platforms;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failure to realize expected cost improvement throughout our supply chain;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order cancellations or postponements in product deliveries resulting in delayed 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seasonality in the purchasing habits of our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restructuring and organization of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war and acts of terrorism;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natural disasters;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ability of our customers to obtain financing to enable their purchase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international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regulatory developments including denial of export and import licenses;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general economic conditions worldwide that affect demand and financing for microwave telecommunications networks.</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Our quarterly results are expected to be difficult to predict and delays in product delivery or closing a sale can cause revenue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increases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4"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Anti-takeover provisions of Delaware law and provisions in our amended and restated certificate of incorporation, amended and restated bylaws could make a third-party acquisition of us difficult.</w:t>
      </w:r>
    </w:p>
    <w:p>
      <w:pPr>
        <w:spacing w:after="0" w:line="5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face risks related to pending litigation over the restatement of our financial statements.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connection with our identification of the material weaknesses in internal control described in our fiscal 2008 Annual Report on Form 10-K filed with the Securities and Exchange Commission on September 25, 2008, we have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had to restate our interim consolidated financial statements for the first three fiscal quarters of fiscal 2008 (the quarters ended March 28, 2008, December 28, 2007 and September 28,</w:t>
      </w:r>
    </w:p>
    <w:p>
      <w:pPr>
        <w:spacing w:after="0" w:line="15" w:lineRule="exact"/>
        <w:rPr>
          <w:sz w:val="20"/>
          <w:szCs w:val="20"/>
          <w:color w:val="auto"/>
        </w:rPr>
      </w:pPr>
    </w:p>
    <w:p>
      <w:pPr>
        <w:ind w:left="680" w:right="840"/>
        <w:spacing w:after="0" w:line="264" w:lineRule="auto"/>
        <w:rPr>
          <w:sz w:val="20"/>
          <w:szCs w:val="20"/>
          <w:color w:val="auto"/>
        </w:rPr>
      </w:pPr>
      <w:r>
        <w:rPr>
          <w:rFonts w:ascii="Arial" w:cs="Arial" w:eastAsia="Arial" w:hAnsi="Arial"/>
          <w:sz w:val="13"/>
          <w:szCs w:val="13"/>
          <w:color w:val="auto"/>
        </w:rPr>
        <w:t>2007) and our consolidated financial statements for the fiscal years ended June 29, 2007, June 30, 2006 and July 1, 2005 in order to correct errors contained in those financial statements. We also announced on July 30, 2008 that investors should no longer rely on our previously issued financial statements for those periods.</w:t>
      </w:r>
    </w:p>
    <w:p>
      <w:pPr>
        <w:spacing w:after="0" w:line="67" w:lineRule="exact"/>
        <w:rPr>
          <w:sz w:val="20"/>
          <w:szCs w:val="20"/>
          <w:color w:val="auto"/>
        </w:rPr>
      </w:pPr>
    </w:p>
    <w:p>
      <w:pPr>
        <w:ind w:left="680" w:right="900" w:firstLine="399"/>
        <w:spacing w:after="0" w:line="255" w:lineRule="auto"/>
        <w:rPr>
          <w:sz w:val="20"/>
          <w:szCs w:val="20"/>
          <w:color w:val="auto"/>
        </w:rPr>
      </w:pPr>
      <w:r>
        <w:rPr>
          <w:rFonts w:ascii="Arial" w:cs="Arial" w:eastAsia="Arial" w:hAnsi="Arial"/>
          <w:sz w:val="13"/>
          <w:szCs w:val="13"/>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14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1180" w:firstLine="399"/>
        <w:spacing w:after="0" w:line="320" w:lineRule="auto"/>
        <w:rPr>
          <w:sz w:val="20"/>
          <w:szCs w:val="20"/>
          <w:color w:val="auto"/>
        </w:rPr>
      </w:pPr>
      <w:r>
        <w:rPr>
          <w:rFonts w:ascii="Arial" w:cs="Arial" w:eastAsia="Arial" w:hAnsi="Arial"/>
          <w:sz w:val="12"/>
          <w:szCs w:val="12"/>
          <w:color w:val="auto"/>
        </w:rPr>
        <w:t>As of July 2, 2010, we conducted operations using facilities in the U.S., Canada, Europe, Central America, South America, Africa and Asia. Our principal executive offices are located at leased facilities in Santa Clara, California. There are no material encumbrances on any of our facilities. Remaining initial lease periods extend up to 2020.</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2, 2010, the locations and approximate floor space of our principal offices and facilities in productive use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140" w:type="dxa"/>
            <w:vAlign w:val="bottom"/>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4180" w:type="dxa"/>
            <w:vAlign w:val="bottom"/>
          </w:tcPr>
          <w:p>
            <w:pPr>
              <w:ind w:left="2620"/>
              <w:spacing w:after="0"/>
              <w:rPr>
                <w:sz w:val="20"/>
                <w:szCs w:val="20"/>
                <w:color w:val="auto"/>
              </w:rPr>
            </w:pPr>
            <w:r>
              <w:rPr>
                <w:rFonts w:ascii="Arial" w:cs="Arial" w:eastAsia="Arial" w:hAnsi="Arial"/>
                <w:sz w:val="10"/>
                <w:szCs w:val="10"/>
                <w:b w:val="1"/>
                <w:bCs w:val="1"/>
                <w:color w:val="auto"/>
              </w:rPr>
              <w:t>Major Activities</w:t>
            </w: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Leased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(Square feet)</w:t>
            </w:r>
          </w:p>
        </w:tc>
        <w:tc>
          <w:tcPr>
            <w:tcW w:w="280" w:type="dxa"/>
            <w:vAlign w:val="bottom"/>
          </w:tcPr>
          <w:p>
            <w:pPr>
              <w:spacing w:after="0"/>
              <w:rPr>
                <w:sz w:val="11"/>
                <w:szCs w:val="11"/>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(Square feet)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Wellington, New Zealand</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 R&amp;D center</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58,000</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Lanarkshire, Scotland</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 repair center</w:t>
            </w:r>
          </w:p>
        </w:tc>
        <w:tc>
          <w:tcPr>
            <w:tcW w:w="1180" w:type="dxa"/>
            <w:vAlign w:val="bottom"/>
            <w:gridSpan w:val="3"/>
          </w:tcPr>
          <w:p>
            <w:pPr>
              <w:jc w:val="right"/>
              <w:ind w:right="380"/>
              <w:spacing w:after="0"/>
              <w:rPr>
                <w:sz w:val="20"/>
                <w:szCs w:val="20"/>
                <w:color w:val="auto"/>
              </w:rPr>
            </w:pPr>
            <w:r>
              <w:rPr>
                <w:rFonts w:ascii="Arial" w:cs="Arial" w:eastAsia="Arial" w:hAnsi="Arial"/>
                <w:sz w:val="13"/>
                <w:szCs w:val="13"/>
                <w:color w:val="auto"/>
              </w:rPr>
              <w:t>52,000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San Antonio, Texas</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 manufacturing</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130,000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Santa Clara, California</w:t>
            </w:r>
          </w:p>
        </w:tc>
        <w:tc>
          <w:tcPr>
            <w:tcW w:w="4180" w:type="dxa"/>
            <w:vAlign w:val="bottom"/>
          </w:tcPr>
          <w:p>
            <w:pPr>
              <w:ind w:left="1380"/>
              <w:spacing w:after="0"/>
              <w:rPr>
                <w:sz w:val="20"/>
                <w:szCs w:val="20"/>
                <w:color w:val="auto"/>
              </w:rPr>
            </w:pPr>
            <w:r>
              <w:rPr>
                <w:rFonts w:ascii="Arial" w:cs="Arial" w:eastAsia="Arial" w:hAnsi="Arial"/>
                <w:sz w:val="13"/>
                <w:szCs w:val="13"/>
                <w:color w:val="auto"/>
              </w:rPr>
              <w:t>Headquarters, R&amp;D center</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129,000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Morrisville, North Carolina</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 R&amp;D center</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India (three facilities)</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 R&amp;D center</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50,000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Slovenia</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 R&amp;D center</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20,000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Philippine Islands (two facilities)</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17,000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Republic of Singapore</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Republic of South Africa</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People’s Republic of China</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Mexico City, Mexico</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Lagos, Nigeria</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Ivory Coast</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6,000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Warsaw, Poland</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Paris, France</w:t>
            </w:r>
          </w:p>
        </w:tc>
        <w:tc>
          <w:tcPr>
            <w:tcW w:w="4180" w:type="dxa"/>
            <w:vAlign w:val="bottom"/>
          </w:tcPr>
          <w:p>
            <w:pPr>
              <w:ind w:left="1380"/>
              <w:spacing w:after="0"/>
              <w:rPr>
                <w:sz w:val="20"/>
                <w:szCs w:val="20"/>
                <w:color w:val="auto"/>
              </w:rPr>
            </w:pPr>
            <w:r>
              <w:rPr>
                <w:rFonts w:ascii="Arial" w:cs="Arial" w:eastAsia="Arial" w:hAnsi="Arial"/>
                <w:sz w:val="13"/>
                <w:szCs w:val="13"/>
                <w:color w:val="auto"/>
              </w:rPr>
              <w:t>Office</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Other facilities</w:t>
            </w:r>
          </w:p>
        </w:tc>
        <w:tc>
          <w:tcPr>
            <w:tcW w:w="4180" w:type="dxa"/>
            <w:vAlign w:val="bottom"/>
            <w:shd w:val="clear" w:color="auto" w:fill="CCEEFF"/>
          </w:tcPr>
          <w:p>
            <w:pPr>
              <w:ind w:left="1380"/>
              <w:spacing w:after="0"/>
              <w:rPr>
                <w:sz w:val="20"/>
                <w:szCs w:val="20"/>
                <w:color w:val="auto"/>
              </w:rPr>
            </w:pPr>
            <w:r>
              <w:rPr>
                <w:rFonts w:ascii="Arial" w:cs="Arial" w:eastAsia="Arial" w:hAnsi="Arial"/>
                <w:sz w:val="13"/>
                <w:szCs w:val="13"/>
                <w:color w:val="auto"/>
              </w:rPr>
              <w:t>Offices</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24,000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3"/>
                <w:szCs w:val="13"/>
                <w:color w:val="auto"/>
              </w:rPr>
              <w:t>Totals</w:t>
            </w:r>
          </w:p>
        </w:tc>
        <w:tc>
          <w:tcPr>
            <w:tcW w:w="4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110,000</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488,000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180" w:type="dxa"/>
            <w:vAlign w:val="bottom"/>
          </w:tcPr>
          <w:p>
            <w:pPr>
              <w:ind w:left="1800"/>
              <w:spacing w:after="0"/>
              <w:rPr>
                <w:sz w:val="20"/>
                <w:szCs w:val="20"/>
                <w:color w:val="auto"/>
              </w:rPr>
            </w:pPr>
            <w:r>
              <w:rPr>
                <w:rFonts w:ascii="Arial" w:cs="Arial" w:eastAsia="Arial" w:hAnsi="Arial"/>
                <w:sz w:val="13"/>
                <w:szCs w:val="13"/>
                <w:color w:val="auto"/>
              </w:rPr>
              <w:t>25</w:t>
            </w:r>
          </w:p>
        </w:tc>
        <w:tc>
          <w:tcPr>
            <w:tcW w:w="3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-2336800</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part of the fiscal 2007 acquisition of Stratex, we acquired vacated leased facilities in Seattle, Washington, and San Jose and Milpitas, California. These three facilities consist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139,000 square feet, of which approximately 90,000 square feet have been subleased to third parties. Additionally, we vacated two leased 60,000 square foot facilities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San Jose, California during the fiscal 2010 move of our headquarters to Santa Clara, California from Morrisville, North Carolina. As the lessee, we have ongoing lease commitments for five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these six facilities ending in fiscal 2011. The lease commitment for the sixth location will end in fiscal 2012.</w:t>
      </w:r>
    </w:p>
    <w:p>
      <w:pPr>
        <w:spacing w:after="0" w:line="8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the fourth quarter of fiscal 2010, we sold our 130,000 square foot office and manufacturing location in San Antonio, Texas. Subsequent to the sale, we leased back the entire office and manufacturing complex which we will occupy for a portion of fiscal 2011.</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For more information about our lease obligations, see “Note P — Operating Lease Commitments” and “Note K — Restructuring Activities” of Notes to Consolidated Financial Statements, which are included in Part II, Item 8 of this Annual Report on Form 10-K.</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On July 27, 2010, the Court denied the motions to dismiss that we and the officer and director defendants had filed. We believe that we have meritorious defenses and intend to defend ourselves vigorously.</w:t>
      </w:r>
    </w:p>
    <w:p>
      <w:pPr>
        <w:spacing w:after="0" w:line="6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32"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From time to time, as a normal incident of the nature and kind of businesses in which we are engaged, various claims or charges are asserted and litigation commenced against us arising from or related to: personal injury, patents, trademarks, trade secrets or other intellectual property; labor and employee disputes; commercial or contractual disputes; breach of warranty; the sale or use of products containing restricted or hazardous materials; or other environmental matters. Claimed amounts may be substantial but may not bear any reasonable relationship to the merits of the claim or the extent of any real risk of court or arbitral awards. Any of such claims and litigation could entail significant expenses and losses, which could adversely affect our operating results, cash flows and financial condition.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name, age, position held with us, and principal occupation and employment during at least the past 5 years for each of our executive officers as of September 9, 2010,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40" w:type="dxa"/>
            <w:vAlign w:val="bottom"/>
          </w:tcPr>
          <w:p>
            <w:pPr>
              <w:ind w:left="680"/>
              <w:spacing w:after="0"/>
              <w:rPr>
                <w:sz w:val="20"/>
                <w:szCs w:val="20"/>
                <w:color w:val="auto"/>
              </w:rPr>
            </w:pPr>
            <w:r>
              <w:rPr>
                <w:rFonts w:ascii="Arial" w:cs="Arial" w:eastAsia="Arial" w:hAnsi="Arial"/>
                <w:sz w:val="10"/>
                <w:szCs w:val="10"/>
                <w:b w:val="1"/>
                <w:bCs w:val="1"/>
                <w:color w:val="auto"/>
              </w:rPr>
              <w:t>Name and Age</w:t>
            </w:r>
          </w:p>
        </w:tc>
        <w:tc>
          <w:tcPr>
            <w:tcW w:w="4420" w:type="dxa"/>
            <w:vAlign w:val="bottom"/>
          </w:tcPr>
          <w:p>
            <w:pPr>
              <w:spacing w:after="0"/>
              <w:rPr>
                <w:sz w:val="11"/>
                <w:szCs w:val="11"/>
                <w:color w:val="auto"/>
              </w:rPr>
            </w:pPr>
          </w:p>
        </w:tc>
        <w:tc>
          <w:tcPr>
            <w:tcW w:w="4000" w:type="dxa"/>
            <w:vAlign w:val="bottom"/>
          </w:tcPr>
          <w:p>
            <w:pPr>
              <w:spacing w:after="0"/>
              <w:rPr>
                <w:sz w:val="20"/>
                <w:szCs w:val="20"/>
                <w:color w:val="auto"/>
              </w:rPr>
            </w:pPr>
            <w:r>
              <w:rPr>
                <w:rFonts w:ascii="Arial" w:cs="Arial" w:eastAsia="Arial" w:hAnsi="Arial"/>
                <w:sz w:val="10"/>
                <w:szCs w:val="10"/>
                <w:b w:val="1"/>
                <w:bCs w:val="1"/>
                <w:color w:val="auto"/>
              </w:rPr>
              <w:t>Position Currently Held and Past Business Experience</w:t>
            </w:r>
          </w:p>
        </w:tc>
      </w:tr>
      <w:tr>
        <w:trPr>
          <w:trHeight w:val="20"/>
        </w:trPr>
        <w:tc>
          <w:tcPr>
            <w:tcW w:w="3040" w:type="dxa"/>
            <w:vAlign w:val="bottom"/>
          </w:tcPr>
          <w:p>
            <w:pPr>
              <w:spacing w:after="0" w:line="20" w:lineRule="exact"/>
              <w:rPr>
                <w:sz w:val="1"/>
                <w:szCs w:val="1"/>
                <w:color w:val="auto"/>
              </w:rPr>
            </w:pPr>
          </w:p>
        </w:tc>
        <w:tc>
          <w:tcPr>
            <w:tcW w:w="4420" w:type="dxa"/>
            <w:vAlign w:val="bottom"/>
            <w:tcBorders>
              <w:right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70"/>
        </w:trPr>
        <w:tc>
          <w:tcPr>
            <w:tcW w:w="3040" w:type="dxa"/>
            <w:vAlign w:val="bottom"/>
          </w:tcPr>
          <w:p>
            <w:pPr>
              <w:ind w:left="680"/>
              <w:spacing w:after="0"/>
              <w:rPr>
                <w:sz w:val="20"/>
                <w:szCs w:val="20"/>
                <w:color w:val="auto"/>
              </w:rPr>
            </w:pPr>
            <w:r>
              <w:rPr>
                <w:rFonts w:ascii="Arial" w:cs="Arial" w:eastAsia="Arial" w:hAnsi="Arial"/>
                <w:sz w:val="12"/>
                <w:szCs w:val="12"/>
                <w:color w:val="auto"/>
              </w:rPr>
              <w:t>Charles D. Kissner, 63</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Charles D. Kissner, was appointed chief executive officer on June 28, 2010. He is also Chairman of the Board, a position held since</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January 2007. Mr. Kissner served as chief executive officer of Stratex Networks, Inc. from July 1995 through May 2000 and again from</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October 2001 to May 2006. He was elected a director of Stratex Networks in July 1995, and Chairman in August 1996, a position which</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he held through January 2007.</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Thomas L. Cronan III, 50</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Cronan joined our company as senior vice president and chief financial officer in May 2009. From 2008 to just prior to joining</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Harris Stratex, he served as the chief financial officer at AeroScout, Inc. From 2007 to 2008, he served as the chief financial officer of</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Ooma, Inc. In 2003, Mr. Cronan became the senior vice president of finance and chief financial officer at Redback Networks, Inc.</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Paul A. Kennard, 59</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Kennard joined our company as chief technology officer in January 2007 when Harris MCD and Stratex Networks merged. In 1996</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he joined Stratex Networks as vice president, engineering.</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Meena L. Elliott, 47</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Ms. Elliott was appointed vice president, general counsel and secretary of the company in July 2009. She joined our company as</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associate general counsel and assistant secretary in January 2007 when Harris MCD and Stratex Networks merged. Ms. Elliott joined</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Harris Corporation’s Microwave Communications Division as division counsel in March 2006. Prior to joining MCD, she was chief</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counsel at the Department of Commerce from 2002-2006.</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Heinz H. Stumpe, 55</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Stumpe was appointed chief operating officer and senior vice president global operations on June 30, 2008. Previously, he was vice</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president operations. He joined Stratex Networks as director, marketing in 1996. He was promoted to vice president, global accounts in</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1999, vice president, strategic accounts in 2002 and vice president, global operations in April 2006.</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Shaun McFall, 50</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McFall was named chief marketing officer in July 2008. Previously, from 2000-2008, he served as vice president, marketing for</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Stratex Networks, Inc. He has been with the company since 1989.</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J. Russell Mincey, 49</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Mincey joined our company in July 2008 as global corporate controller. From mid-February through mid-May 2009, he served as</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interim principal financial officer and interim principal accounting officer. In September 2009, he was appointed vice president,</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corporate controller and principal accounting officer. From October 2005 to April 2008, Mr. Mincey was chief financial officer at the</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Industrial Components Division of Carlisle Companies. He served as vice president and chief financial officer of Draka Comteq</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(previously known as Alcatel Fiber Optic Cable Division) from July 2004 through October 2005.</w:t>
            </w:r>
          </w:p>
        </w:tc>
      </w:tr>
      <w:tr>
        <w:trPr>
          <w:trHeight w:val="147"/>
        </w:trPr>
        <w:tc>
          <w:tcPr>
            <w:tcW w:w="3040" w:type="dxa"/>
            <w:vAlign w:val="bottom"/>
          </w:tcPr>
          <w:p>
            <w:pPr>
              <w:ind w:left="680"/>
              <w:spacing w:after="0"/>
              <w:rPr>
                <w:sz w:val="20"/>
                <w:szCs w:val="20"/>
                <w:color w:val="auto"/>
              </w:rPr>
            </w:pPr>
            <w:r>
              <w:rPr>
                <w:rFonts w:ascii="Arial" w:cs="Arial" w:eastAsia="Arial" w:hAnsi="Arial"/>
                <w:sz w:val="12"/>
                <w:szCs w:val="12"/>
                <w:color w:val="auto"/>
              </w:rPr>
              <w:t>Michael Pangia, 49</w:t>
            </w: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Mr. Pangia was named senior vice president and chief sales officer in March 2009. Previously, Mr. Pangia served as senior vice</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president, Global Sales Operations and Strategy at Nortel. From 2006 through 2008, he was president of Nortel’s Asia region,</w:t>
            </w:r>
          </w:p>
        </w:tc>
      </w:tr>
      <w:tr>
        <w:trPr>
          <w:trHeight w:val="147"/>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responsible for sales and overall business management for all countries where Nortel did business in that region and he was the chief</w:t>
            </w:r>
          </w:p>
        </w:tc>
      </w:tr>
      <w:tr>
        <w:trPr>
          <w:trHeight w:val="149"/>
        </w:trPr>
        <w:tc>
          <w:tcPr>
            <w:tcW w:w="3040" w:type="dxa"/>
            <w:vAlign w:val="bottom"/>
          </w:tcPr>
          <w:p>
            <w:pPr>
              <w:spacing w:after="0"/>
              <w:rPr>
                <w:sz w:val="12"/>
                <w:szCs w:val="12"/>
                <w:color w:val="auto"/>
              </w:rPr>
            </w:pPr>
          </w:p>
        </w:tc>
        <w:tc>
          <w:tcPr>
            <w:tcW w:w="8420" w:type="dxa"/>
            <w:vAlign w:val="bottom"/>
            <w:gridSpan w:val="2"/>
          </w:tcPr>
          <w:p>
            <w:pPr>
              <w:ind w:left="1140"/>
              <w:spacing w:after="0"/>
              <w:rPr>
                <w:sz w:val="20"/>
                <w:szCs w:val="20"/>
                <w:color w:val="auto"/>
              </w:rPr>
            </w:pPr>
            <w:r>
              <w:rPr>
                <w:rFonts w:ascii="Arial" w:cs="Arial" w:eastAsia="Arial" w:hAnsi="Arial"/>
                <w:sz w:val="12"/>
                <w:szCs w:val="12"/>
                <w:color w:val="auto"/>
              </w:rPr>
              <w:t>operating officer of Nortel’s Asia region from 2005 to 2006.</w:t>
            </w:r>
          </w:p>
        </w:tc>
      </w:tr>
      <w:tr>
        <w:trPr>
          <w:trHeight w:val="456"/>
        </w:trPr>
        <w:tc>
          <w:tcPr>
            <w:tcW w:w="3040" w:type="dxa"/>
            <w:vAlign w:val="bottom"/>
          </w:tcPr>
          <w:p>
            <w:pPr>
              <w:spacing w:after="0"/>
              <w:rPr>
                <w:sz w:val="24"/>
                <w:szCs w:val="24"/>
                <w:color w:val="auto"/>
              </w:rPr>
            </w:pPr>
          </w:p>
        </w:tc>
        <w:tc>
          <w:tcPr>
            <w:tcW w:w="4420" w:type="dxa"/>
            <w:vAlign w:val="bottom"/>
          </w:tcPr>
          <w:p>
            <w:pPr>
              <w:ind w:left="2580"/>
              <w:spacing w:after="0"/>
              <w:rPr>
                <w:sz w:val="20"/>
                <w:szCs w:val="20"/>
                <w:color w:val="auto"/>
              </w:rPr>
            </w:pPr>
            <w:r>
              <w:rPr>
                <w:rFonts w:ascii="Arial" w:cs="Arial" w:eastAsia="Arial" w:hAnsi="Arial"/>
                <w:sz w:val="13"/>
                <w:szCs w:val="13"/>
                <w:color w:val="auto"/>
              </w:rPr>
              <w:t>27</w:t>
            </w:r>
          </w:p>
        </w:tc>
        <w:tc>
          <w:tcPr>
            <w:tcW w:w="4000" w:type="dxa"/>
            <w:vAlign w:val="bottom"/>
          </w:tcPr>
          <w:p>
            <w:pPr>
              <w:spacing w:after="0"/>
              <w:rPr>
                <w:sz w:val="24"/>
                <w:szCs w:val="24"/>
                <w:color w:val="auto"/>
              </w:rPr>
            </w:pPr>
          </w:p>
        </w:tc>
      </w:tr>
      <w:tr>
        <w:trPr>
          <w:trHeight w:val="163"/>
        </w:trPr>
        <w:tc>
          <w:tcPr>
            <w:tcW w:w="304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-2961005</wp:posOffset>
            </wp:positionV>
            <wp:extent cx="2476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1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0"/>
          <w:szCs w:val="10"/>
          <w:b w:val="1"/>
          <w:bCs w:val="1"/>
          <w:i w:val="1"/>
          <w:iCs w:val="1"/>
          <w:color w:val="auto"/>
        </w:rPr>
        <w:t>Removed and Reserved</w:t>
      </w:r>
    </w:p>
    <w:p>
      <w:pPr>
        <w:spacing w:after="0" w:line="254"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 and Price Range of Common Stock</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January 28, 2010, we changed our corporate name to Aviat Networks, Inc. from Harris Stratex Networks, Inc. to more effectively reflect our business and communicate our brand identity to customers and to comply with the termination of the Harris trademark licensing agreement resulting from the spin-off by Harris of its interest in our stock to its shareholders in May 2009.</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As a result, our Common Stock, with a par value of $0.01 per share, is listed and primarily traded on the NASDAQ Global Market (“NASDAQ”), under the ticker symbol AVNW (prior to January 28, 2010 our ticker symbol was HSTX). There was no established trading market for shares of our Common Stock prior to January 29, 2007.</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the time we acquired Stratex on January 26, 2007, Harris owned 32,913,377 shares or 100% of our Class B Common Stock which approximated 56% of the total shares of our common stock. On May 27, 2009, Harris distributed all of those shares to the Harris stockholders as a taxable pro rata stock dividend. Upon the distribution, the Class B Common Stock converted automatically into shares of Class A Common Stock.</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Effective November 19, 2009, under a change to our certificate of incorporation approved by shareholders, all shares of our Class A common stock were reclassified on a one-to-one basis to shares of Common Stock without a class designation; we no longer have Class A or Class B common stock authorized, issued or outstanding.</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According to the records of our transfer agent, as of August 27, 2010, there were approximately 5,600 holders of record of our Common Stock. The following table sets forth the high and low reported sale prices for a share of our Common Stock on NASDAQ Global Market system for the periods indicated during our fiscal years 2010 and 2009:</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60" w:type="dxa"/>
            <w:vAlign w:val="bottom"/>
          </w:tcPr>
          <w:p>
            <w:pPr>
              <w:spacing w:after="0"/>
              <w:rPr>
                <w:sz w:val="10"/>
                <w:szCs w:val="10"/>
                <w:color w:val="auto"/>
              </w:rPr>
            </w:pPr>
          </w:p>
        </w:tc>
        <w:tc>
          <w:tcPr>
            <w:tcW w:w="82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w w:val="86"/>
              </w:rPr>
              <w:t>Fiscal 2010</w:t>
            </w:r>
          </w:p>
        </w:tc>
        <w:tc>
          <w:tcPr>
            <w:tcW w:w="3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Borders>
              <w:bottom w:val="single" w:sz="8" w:color="auto"/>
            </w:tcBorders>
            <w:gridSpan w:val="2"/>
          </w:tcPr>
          <w:p>
            <w:pPr>
              <w:ind w:left="440"/>
              <w:spacing w:after="0"/>
              <w:rPr>
                <w:sz w:val="20"/>
                <w:szCs w:val="20"/>
                <w:color w:val="auto"/>
              </w:rPr>
            </w:pPr>
            <w:r>
              <w:rPr>
                <w:rFonts w:ascii="Arial" w:cs="Arial" w:eastAsia="Arial" w:hAnsi="Arial"/>
                <w:sz w:val="10"/>
                <w:szCs w:val="10"/>
                <w:b w:val="1"/>
                <w:bCs w:val="1"/>
                <w:color w:val="auto"/>
                <w:w w:val="93"/>
              </w:rPr>
              <w:t>Fiscal 2009</w:t>
            </w:r>
          </w:p>
        </w:tc>
        <w:tc>
          <w:tcPr>
            <w:tcW w:w="420" w:type="dxa"/>
            <w:vAlign w:val="bottom"/>
            <w:tcBorders>
              <w:bottom w:val="single" w:sz="8" w:color="auto"/>
            </w:tcBorders>
          </w:tcPr>
          <w:p>
            <w:pPr>
              <w:spacing w:after="0"/>
              <w:rPr>
                <w:sz w:val="10"/>
                <w:szCs w:val="10"/>
                <w:color w:val="auto"/>
              </w:rPr>
            </w:pPr>
          </w:p>
        </w:tc>
      </w:tr>
      <w:tr>
        <w:trPr>
          <w:trHeight w:val="98"/>
        </w:trPr>
        <w:tc>
          <w:tcPr>
            <w:tcW w:w="7160" w:type="dxa"/>
            <w:vAlign w:val="bottom"/>
          </w:tcPr>
          <w:p>
            <w:pPr>
              <w:spacing w:after="0"/>
              <w:rPr>
                <w:sz w:val="8"/>
                <w:szCs w:val="8"/>
                <w:color w:val="auto"/>
              </w:rPr>
            </w:pPr>
          </w:p>
        </w:tc>
        <w:tc>
          <w:tcPr>
            <w:tcW w:w="820" w:type="dxa"/>
            <w:vAlign w:val="bottom"/>
            <w:gridSpan w:val="3"/>
          </w:tcPr>
          <w:p>
            <w:pPr>
              <w:jc w:val="center"/>
              <w:ind w:right="380"/>
              <w:spacing w:after="0" w:line="98" w:lineRule="exact"/>
              <w:rPr>
                <w:sz w:val="20"/>
                <w:szCs w:val="20"/>
                <w:color w:val="auto"/>
              </w:rPr>
            </w:pPr>
            <w:r>
              <w:rPr>
                <w:rFonts w:ascii="Arial" w:cs="Arial" w:eastAsia="Arial" w:hAnsi="Arial"/>
                <w:sz w:val="10"/>
                <w:szCs w:val="10"/>
                <w:b w:val="1"/>
                <w:bCs w:val="1"/>
                <w:color w:val="auto"/>
              </w:rPr>
              <w:t>High</w:t>
            </w:r>
          </w:p>
        </w:tc>
        <w:tc>
          <w:tcPr>
            <w:tcW w:w="34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Low</w:t>
            </w:r>
          </w:p>
        </w:tc>
        <w:tc>
          <w:tcPr>
            <w:tcW w:w="280" w:type="dxa"/>
            <w:vAlign w:val="bottom"/>
          </w:tcPr>
          <w:p>
            <w:pPr>
              <w:spacing w:after="0"/>
              <w:rPr>
                <w:sz w:val="8"/>
                <w:szCs w:val="8"/>
                <w:color w:val="auto"/>
              </w:rPr>
            </w:pPr>
          </w:p>
        </w:tc>
        <w:tc>
          <w:tcPr>
            <w:tcW w:w="960" w:type="dxa"/>
            <w:vAlign w:val="bottom"/>
            <w:gridSpan w:val="2"/>
          </w:tcPr>
          <w:p>
            <w:pPr>
              <w:ind w:left="220"/>
              <w:spacing w:after="0" w:line="98" w:lineRule="exact"/>
              <w:rPr>
                <w:sz w:val="20"/>
                <w:szCs w:val="20"/>
                <w:color w:val="auto"/>
              </w:rPr>
            </w:pPr>
            <w:r>
              <w:rPr>
                <w:rFonts w:ascii="Arial" w:cs="Arial" w:eastAsia="Arial" w:hAnsi="Arial"/>
                <w:sz w:val="10"/>
                <w:szCs w:val="10"/>
                <w:b w:val="1"/>
                <w:bCs w:val="1"/>
                <w:color w:val="auto"/>
              </w:rPr>
              <w:t>High</w:t>
            </w:r>
          </w:p>
        </w:tc>
        <w:tc>
          <w:tcPr>
            <w:tcW w:w="420" w:type="dxa"/>
            <w:vAlign w:val="bottom"/>
          </w:tcPr>
          <w:p>
            <w:pPr>
              <w:ind w:left="100"/>
              <w:spacing w:after="0" w:line="98" w:lineRule="exact"/>
              <w:rPr>
                <w:sz w:val="20"/>
                <w:szCs w:val="20"/>
                <w:color w:val="auto"/>
              </w:rPr>
            </w:pPr>
            <w:r>
              <w:rPr>
                <w:rFonts w:ascii="Arial" w:cs="Arial" w:eastAsia="Arial" w:hAnsi="Arial"/>
                <w:sz w:val="10"/>
                <w:szCs w:val="10"/>
                <w:b w:val="1"/>
                <w:bCs w:val="1"/>
                <w:color w:val="auto"/>
              </w:rPr>
              <w:t>Low</w:t>
            </w:r>
          </w:p>
        </w:tc>
      </w:tr>
      <w:tr>
        <w:trPr>
          <w:trHeight w:val="131"/>
        </w:trPr>
        <w:tc>
          <w:tcPr>
            <w:tcW w:w="7160" w:type="dxa"/>
            <w:vAlign w:val="bottom"/>
          </w:tcPr>
          <w:p>
            <w:pPr>
              <w:spacing w:after="0"/>
              <w:rPr>
                <w:sz w:val="11"/>
                <w:szCs w:val="11"/>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1"/>
                <w:szCs w:val="11"/>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1"/>
                <w:szCs w:val="11"/>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0"/>
                <w:szCs w:val="10"/>
                <w:b w:val="1"/>
                <w:bCs w:val="1"/>
                <w:color w:val="auto"/>
              </w:rPr>
              <w:t>($)</w:t>
            </w:r>
          </w:p>
        </w:tc>
      </w:tr>
      <w:tr>
        <w:trPr>
          <w:trHeight w:val="163"/>
        </w:trPr>
        <w:tc>
          <w:tcPr>
            <w:tcW w:w="716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7.79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5.65</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11.45</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6.85</w:t>
            </w:r>
          </w:p>
        </w:tc>
      </w:tr>
      <w:tr>
        <w:trPr>
          <w:trHeight w:val="157"/>
        </w:trPr>
        <w:tc>
          <w:tcPr>
            <w:tcW w:w="7160" w:type="dxa"/>
            <w:vAlign w:val="bottom"/>
          </w:tcPr>
          <w:p>
            <w:pPr>
              <w:spacing w:after="0"/>
              <w:rPr>
                <w:sz w:val="20"/>
                <w:szCs w:val="20"/>
                <w:color w:val="auto"/>
              </w:rPr>
            </w:pPr>
            <w:r>
              <w:rPr>
                <w:rFonts w:ascii="Arial" w:cs="Arial" w:eastAsia="Arial" w:hAnsi="Arial"/>
                <w:sz w:val="13"/>
                <w:szCs w:val="13"/>
                <w:color w:val="auto"/>
              </w:rPr>
              <w:t>Second Quarter</w:t>
            </w:r>
          </w:p>
        </w:tc>
        <w:tc>
          <w:tcPr>
            <w:tcW w:w="440" w:type="dxa"/>
            <w:vAlign w:val="bottom"/>
          </w:tcPr>
          <w:p>
            <w:pPr>
              <w:jc w:val="center"/>
              <w:spacing w:after="0"/>
              <w:rPr>
                <w:sz w:val="20"/>
                <w:szCs w:val="20"/>
                <w:color w:val="auto"/>
              </w:rPr>
            </w:pPr>
            <w:r>
              <w:rPr>
                <w:rFonts w:ascii="Arial" w:cs="Arial" w:eastAsia="Arial" w:hAnsi="Arial"/>
                <w:sz w:val="13"/>
                <w:szCs w:val="13"/>
                <w:color w:val="auto"/>
                <w:w w:val="94"/>
              </w:rPr>
              <w:t>7.49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5.81</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7.85</w:t>
            </w:r>
          </w:p>
        </w:tc>
        <w:tc>
          <w:tcPr>
            <w:tcW w:w="30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Arial" w:cs="Arial" w:eastAsia="Arial" w:hAnsi="Arial"/>
                <w:sz w:val="13"/>
                <w:szCs w:val="13"/>
                <w:color w:val="auto"/>
              </w:rPr>
              <w:t>3.26</w:t>
            </w:r>
          </w:p>
        </w:tc>
      </w:tr>
      <w:tr>
        <w:trPr>
          <w:trHeight w:val="157"/>
        </w:trPr>
        <w:tc>
          <w:tcPr>
            <w:tcW w:w="716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8.25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5.85</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7.24</w:t>
            </w: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3.00</w:t>
            </w:r>
          </w:p>
        </w:tc>
      </w:tr>
      <w:tr>
        <w:trPr>
          <w:trHeight w:val="165"/>
        </w:trPr>
        <w:tc>
          <w:tcPr>
            <w:tcW w:w="7160" w:type="dxa"/>
            <w:vAlign w:val="bottom"/>
          </w:tcPr>
          <w:p>
            <w:pPr>
              <w:spacing w:after="0"/>
              <w:rPr>
                <w:sz w:val="20"/>
                <w:szCs w:val="20"/>
                <w:color w:val="auto"/>
              </w:rPr>
            </w:pPr>
            <w:r>
              <w:rPr>
                <w:rFonts w:ascii="Arial" w:cs="Arial" w:eastAsia="Arial" w:hAnsi="Arial"/>
                <w:sz w:val="13"/>
                <w:szCs w:val="13"/>
                <w:color w:val="auto"/>
              </w:rPr>
              <w:t>Fourth Quarter</w:t>
            </w:r>
          </w:p>
        </w:tc>
        <w:tc>
          <w:tcPr>
            <w:tcW w:w="440" w:type="dxa"/>
            <w:vAlign w:val="bottom"/>
          </w:tcPr>
          <w:p>
            <w:pPr>
              <w:jc w:val="center"/>
              <w:spacing w:after="0"/>
              <w:rPr>
                <w:sz w:val="20"/>
                <w:szCs w:val="20"/>
                <w:color w:val="auto"/>
              </w:rPr>
            </w:pPr>
            <w:r>
              <w:rPr>
                <w:rFonts w:ascii="Arial" w:cs="Arial" w:eastAsia="Arial" w:hAnsi="Arial"/>
                <w:sz w:val="13"/>
                <w:szCs w:val="13"/>
                <w:color w:val="auto"/>
                <w:w w:val="94"/>
              </w:rPr>
              <w:t>7.42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3"/>
                <w:szCs w:val="13"/>
                <w:color w:val="auto"/>
              </w:rPr>
              <w:t>3.46</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6.75</w:t>
            </w:r>
          </w:p>
        </w:tc>
        <w:tc>
          <w:tcPr>
            <w:tcW w:w="30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3"/>
                <w:szCs w:val="13"/>
                <w:color w:val="auto"/>
              </w:rPr>
              <w:t>3.91</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We have not paid cash dividends on our common stock and do not intend to pay cash dividends in the foreseeable future. We intend to retain any earnings for use in our business. In addition, the covenants of our $70 million credit facility may restrict us from paying dividends or making other distributions to our shareholders under certain circumstances.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fourth quarter of fiscal 2010, we did not issue or sell any unregistered securities.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Repurchases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fourth quarter of fiscal 2010, we did not repurchase any equity securities.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Graph</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following graph and accompanying data compares the cumulative total return on our Common Stock with the cumulative total return of the Total Return Index for The NASDAQ Composite Market (U.S. Companies) and the NASDAQ Telecommunications Index for the three-year, five month period commencing January 29, 2007 and ending July 2, 2010. The stock price performance shown on the graph below is not necessarily indicative of future price performance. Note that this graph and accompanying data is “furnished,” not “filed,” with the Securities and Exchange Commission.</w:t>
      </w:r>
    </w:p>
    <w:p>
      <w:pPr>
        <w:spacing w:after="0" w:line="10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41 MONTH CUMULATIVE TOTAL RETURN*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Among Aviat Networks, Inc., the NASDAQ Composite Index</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62230</wp:posOffset>
            </wp:positionV>
            <wp:extent cx="3158490" cy="1261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58490" cy="126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90" w:type="dxa"/>
        <w:tblCellMar>
          <w:top w:w="0" w:type="dxa"/>
          <w:left w:w="0" w:type="dxa"/>
          <w:bottom w:w="0" w:type="dxa"/>
          <w:right w:w="0" w:type="dxa"/>
        </w:tblCellMar>
      </w:tblPr>
      <w:tr>
        <w:trPr>
          <w:trHeight w:val="118"/>
        </w:trPr>
        <w:tc>
          <w:tcPr>
            <w:tcW w:w="4720" w:type="dxa"/>
            <w:vAlign w:val="bottom"/>
            <w:tcBorders>
              <w:top w:val="single" w:sz="8" w:color="auto"/>
              <w:left w:val="single" w:sz="8" w:color="auto"/>
              <w:bottom w:val="single" w:sz="8" w:color="auto"/>
              <w:right w:val="single" w:sz="8" w:color="auto"/>
            </w:tcBorders>
          </w:tcPr>
          <w:p>
            <w:pPr>
              <w:spacing w:after="0"/>
              <w:rPr>
                <w:sz w:val="10"/>
                <w:szCs w:val="10"/>
                <w:color w:val="auto"/>
              </w:rPr>
            </w:pPr>
          </w:p>
        </w:tc>
        <w:tc>
          <w:tcPr>
            <w:tcW w:w="1100" w:type="dxa"/>
            <w:vAlign w:val="bottom"/>
            <w:tcBorders>
              <w:top w:val="single" w:sz="8" w:color="auto"/>
              <w:bottom w:val="single" w:sz="8" w:color="auto"/>
              <w:right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1/29/2007</w:t>
            </w:r>
          </w:p>
        </w:tc>
        <w:tc>
          <w:tcPr>
            <w:tcW w:w="110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6/29/2007</w:t>
            </w:r>
          </w:p>
        </w:tc>
        <w:tc>
          <w:tcPr>
            <w:tcW w:w="106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6/27/2008</w:t>
            </w:r>
          </w:p>
        </w:tc>
        <w:tc>
          <w:tcPr>
            <w:tcW w:w="104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7/3/2009</w:t>
            </w:r>
          </w:p>
        </w:tc>
        <w:tc>
          <w:tcPr>
            <w:tcW w:w="980" w:type="dxa"/>
            <w:vAlign w:val="bottom"/>
            <w:tcBorders>
              <w:top w:val="single" w:sz="8" w:color="auto"/>
              <w:bottom w:val="single" w:sz="8" w:color="auto"/>
              <w:right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7/2/2010</w:t>
            </w:r>
          </w:p>
        </w:tc>
      </w:tr>
      <w:tr>
        <w:trPr>
          <w:trHeight w:val="147"/>
        </w:trPr>
        <w:tc>
          <w:tcPr>
            <w:tcW w:w="47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Aviat Networks, Inc.</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100.00</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89.90</w:t>
            </w:r>
          </w:p>
        </w:tc>
        <w:tc>
          <w:tcPr>
            <w:tcW w:w="1060" w:type="dxa"/>
            <w:vAlign w:val="bottom"/>
            <w:tcBorders>
              <w:bottom w:val="single" w:sz="8" w:color="auto"/>
              <w:right w:val="single" w:sz="8" w:color="auto"/>
            </w:tcBorders>
          </w:tcPr>
          <w:p>
            <w:pPr>
              <w:jc w:val="right"/>
              <w:ind w:right="518"/>
              <w:spacing w:after="0" w:line="148" w:lineRule="exact"/>
              <w:rPr>
                <w:sz w:val="20"/>
                <w:szCs w:val="20"/>
                <w:color w:val="auto"/>
              </w:rPr>
            </w:pPr>
            <w:r>
              <w:rPr>
                <w:rFonts w:ascii="Arial" w:cs="Arial" w:eastAsia="Arial" w:hAnsi="Arial"/>
                <w:sz w:val="13"/>
                <w:szCs w:val="13"/>
                <w:color w:val="auto"/>
              </w:rPr>
              <w:t>47.90</w:t>
            </w:r>
          </w:p>
        </w:tc>
        <w:tc>
          <w:tcPr>
            <w:tcW w:w="104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30.75</w:t>
            </w:r>
          </w:p>
        </w:tc>
        <w:tc>
          <w:tcPr>
            <w:tcW w:w="980" w:type="dxa"/>
            <w:vAlign w:val="bottom"/>
            <w:tcBorders>
              <w:bottom w:val="single" w:sz="8" w:color="auto"/>
              <w:right w:val="single" w:sz="8" w:color="auto"/>
            </w:tcBorders>
          </w:tcPr>
          <w:p>
            <w:pPr>
              <w:jc w:val="right"/>
              <w:ind w:right="438"/>
              <w:spacing w:after="0" w:line="148" w:lineRule="exact"/>
              <w:rPr>
                <w:sz w:val="20"/>
                <w:szCs w:val="20"/>
                <w:color w:val="auto"/>
              </w:rPr>
            </w:pPr>
            <w:r>
              <w:rPr>
                <w:rFonts w:ascii="Arial" w:cs="Arial" w:eastAsia="Arial" w:hAnsi="Arial"/>
                <w:sz w:val="13"/>
                <w:szCs w:val="13"/>
                <w:color w:val="auto"/>
              </w:rPr>
              <w:t>17.50</w:t>
            </w:r>
          </w:p>
        </w:tc>
      </w:tr>
      <w:tr>
        <w:trPr>
          <w:trHeight w:val="147"/>
        </w:trPr>
        <w:tc>
          <w:tcPr>
            <w:tcW w:w="472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NASDAQ Composite</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100.00</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108.40</w:t>
            </w:r>
          </w:p>
        </w:tc>
        <w:tc>
          <w:tcPr>
            <w:tcW w:w="1060" w:type="dxa"/>
            <w:vAlign w:val="bottom"/>
            <w:tcBorders>
              <w:bottom w:val="single" w:sz="8" w:color="auto"/>
              <w:right w:val="single" w:sz="8" w:color="auto"/>
            </w:tcBorders>
          </w:tcPr>
          <w:p>
            <w:pPr>
              <w:jc w:val="right"/>
              <w:ind w:right="518"/>
              <w:spacing w:after="0" w:line="148" w:lineRule="exact"/>
              <w:rPr>
                <w:sz w:val="20"/>
                <w:szCs w:val="20"/>
                <w:color w:val="auto"/>
              </w:rPr>
            </w:pPr>
            <w:r>
              <w:rPr>
                <w:rFonts w:ascii="Arial" w:cs="Arial" w:eastAsia="Arial" w:hAnsi="Arial"/>
                <w:sz w:val="13"/>
                <w:szCs w:val="13"/>
                <w:color w:val="auto"/>
              </w:rPr>
              <w:t>94.36</w:t>
            </w:r>
          </w:p>
        </w:tc>
        <w:tc>
          <w:tcPr>
            <w:tcW w:w="104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75.13</w:t>
            </w:r>
          </w:p>
        </w:tc>
        <w:tc>
          <w:tcPr>
            <w:tcW w:w="980" w:type="dxa"/>
            <w:vAlign w:val="bottom"/>
            <w:tcBorders>
              <w:bottom w:val="single" w:sz="8" w:color="auto"/>
              <w:right w:val="single" w:sz="8" w:color="auto"/>
            </w:tcBorders>
          </w:tcPr>
          <w:p>
            <w:pPr>
              <w:jc w:val="right"/>
              <w:ind w:right="438"/>
              <w:spacing w:after="0" w:line="148" w:lineRule="exact"/>
              <w:rPr>
                <w:sz w:val="20"/>
                <w:szCs w:val="20"/>
                <w:color w:val="auto"/>
              </w:rPr>
            </w:pPr>
            <w:r>
              <w:rPr>
                <w:rFonts w:ascii="Arial" w:cs="Arial" w:eastAsia="Arial" w:hAnsi="Arial"/>
                <w:sz w:val="13"/>
                <w:szCs w:val="13"/>
                <w:color w:val="auto"/>
              </w:rPr>
              <w:t>87.34</w:t>
            </w:r>
          </w:p>
        </w:tc>
      </w:tr>
      <w:tr>
        <w:trPr>
          <w:trHeight w:val="147"/>
        </w:trPr>
        <w:tc>
          <w:tcPr>
            <w:tcW w:w="472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NASDAQ Telecommunications</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100.00</w:t>
            </w:r>
          </w:p>
        </w:tc>
        <w:tc>
          <w:tcPr>
            <w:tcW w:w="110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113.06</w:t>
            </w:r>
          </w:p>
        </w:tc>
        <w:tc>
          <w:tcPr>
            <w:tcW w:w="1060" w:type="dxa"/>
            <w:vAlign w:val="bottom"/>
            <w:tcBorders>
              <w:bottom w:val="single" w:sz="8" w:color="auto"/>
              <w:right w:val="single" w:sz="8" w:color="auto"/>
            </w:tcBorders>
          </w:tcPr>
          <w:p>
            <w:pPr>
              <w:jc w:val="right"/>
              <w:ind w:right="518"/>
              <w:spacing w:after="0" w:line="148" w:lineRule="exact"/>
              <w:rPr>
                <w:sz w:val="20"/>
                <w:szCs w:val="20"/>
                <w:color w:val="auto"/>
              </w:rPr>
            </w:pPr>
            <w:r>
              <w:rPr>
                <w:rFonts w:ascii="Arial" w:cs="Arial" w:eastAsia="Arial" w:hAnsi="Arial"/>
                <w:sz w:val="13"/>
                <w:szCs w:val="13"/>
                <w:color w:val="auto"/>
              </w:rPr>
              <w:t>98.90</w:t>
            </w:r>
          </w:p>
        </w:tc>
        <w:tc>
          <w:tcPr>
            <w:tcW w:w="1040" w:type="dxa"/>
            <w:vAlign w:val="bottom"/>
            <w:tcBorders>
              <w:bottom w:val="single" w:sz="8" w:color="auto"/>
              <w:right w:val="single" w:sz="8" w:color="auto"/>
            </w:tcBorders>
          </w:tcPr>
          <w:p>
            <w:pPr>
              <w:jc w:val="right"/>
              <w:ind w:right="498"/>
              <w:spacing w:after="0" w:line="148" w:lineRule="exact"/>
              <w:rPr>
                <w:sz w:val="20"/>
                <w:szCs w:val="20"/>
                <w:color w:val="auto"/>
              </w:rPr>
            </w:pPr>
            <w:r>
              <w:rPr>
                <w:rFonts w:ascii="Arial" w:cs="Arial" w:eastAsia="Arial" w:hAnsi="Arial"/>
                <w:sz w:val="13"/>
                <w:szCs w:val="13"/>
                <w:color w:val="auto"/>
              </w:rPr>
              <w:t>77.29</w:t>
            </w:r>
          </w:p>
        </w:tc>
        <w:tc>
          <w:tcPr>
            <w:tcW w:w="980" w:type="dxa"/>
            <w:vAlign w:val="bottom"/>
            <w:tcBorders>
              <w:bottom w:val="single" w:sz="8" w:color="auto"/>
              <w:right w:val="single" w:sz="8" w:color="auto"/>
            </w:tcBorders>
          </w:tcPr>
          <w:p>
            <w:pPr>
              <w:jc w:val="right"/>
              <w:ind w:right="438"/>
              <w:spacing w:after="0" w:line="148" w:lineRule="exact"/>
              <w:rPr>
                <w:sz w:val="20"/>
                <w:szCs w:val="20"/>
                <w:color w:val="auto"/>
              </w:rPr>
            </w:pPr>
            <w:r>
              <w:rPr>
                <w:rFonts w:ascii="Arial" w:cs="Arial" w:eastAsia="Arial" w:hAnsi="Arial"/>
                <w:sz w:val="13"/>
                <w:szCs w:val="13"/>
                <w:color w:val="auto"/>
              </w:rPr>
              <w:t>80.50</w:t>
            </w:r>
          </w:p>
        </w:tc>
      </w:tr>
    </w:tbl>
    <w:p>
      <w:pPr>
        <w:spacing w:after="0" w:line="50" w:lineRule="exact"/>
        <w:rPr>
          <w:sz w:val="20"/>
          <w:szCs w:val="20"/>
          <w:color w:val="auto"/>
        </w:rPr>
      </w:pPr>
    </w:p>
    <w:p>
      <w:pPr>
        <w:ind w:left="900" w:right="560" w:hanging="213"/>
        <w:spacing w:after="0" w:line="276"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Assumes (i) $100 invested on January 29, 2007 in Aviat Networks, Inc. Common Stock, the Total Return Index for The NASDAQ Composite Market (U.S. companies) and the NASDAQ Telecommunications Index; and (ii) immediate reinvestment of all dividends.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940" w:firstLine="399"/>
        <w:spacing w:after="0" w:line="258" w:lineRule="auto"/>
        <w:rPr>
          <w:sz w:val="20"/>
          <w:szCs w:val="20"/>
          <w:color w:val="auto"/>
        </w:rPr>
      </w:pPr>
      <w:r>
        <w:rPr>
          <w:rFonts w:ascii="Arial" w:cs="Arial" w:eastAsia="Arial" w:hAnsi="Arial"/>
          <w:sz w:val="13"/>
          <w:szCs w:val="13"/>
          <w:color w:val="auto"/>
        </w:rPr>
        <w:t>The following table summarizes our selected historical financial information for each of the last five fiscal years. The selected financial information as of and for the fiscal years ended July 2, 2010, July 3, 2009, June 27, 2008, June 29, 2007 and June 30, 2006 has been derived from our audited consolidated financial statements, for which data presented for fiscal years 2010, 2009 and 2008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r>
        <w:trPr>
          <w:trHeight w:val="98"/>
        </w:trPr>
        <w:tc>
          <w:tcPr>
            <w:tcW w:w="3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July 2, 2010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208"/>
              <w:spacing w:after="0" w:line="98" w:lineRule="exact"/>
              <w:rPr>
                <w:sz w:val="20"/>
                <w:szCs w:val="20"/>
                <w:color w:val="auto"/>
              </w:rPr>
            </w:pPr>
            <w:r>
              <w:rPr>
                <w:rFonts w:ascii="Arial" w:cs="Arial" w:eastAsia="Arial" w:hAnsi="Arial"/>
                <w:sz w:val="10"/>
                <w:szCs w:val="10"/>
                <w:b w:val="1"/>
                <w:bCs w:val="1"/>
                <w:color w:val="auto"/>
              </w:rPr>
              <w:t>July 3, 2009</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June 27, 2008</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June 29, 2007</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183"/>
              <w:spacing w:after="0" w:line="98" w:lineRule="exact"/>
              <w:rPr>
                <w:sz w:val="20"/>
                <w:szCs w:val="20"/>
                <w:color w:val="auto"/>
              </w:rPr>
            </w:pPr>
            <w:r>
              <w:rPr>
                <w:rFonts w:ascii="Arial" w:cs="Arial" w:eastAsia="Arial" w:hAnsi="Arial"/>
                <w:sz w:val="10"/>
                <w:szCs w:val="10"/>
                <w:b w:val="1"/>
                <w:bCs w:val="1"/>
                <w:color w:val="auto"/>
              </w:rPr>
              <w:t>June 30, 2006</w:t>
            </w:r>
          </w:p>
        </w:tc>
      </w:tr>
      <w:tr>
        <w:trPr>
          <w:trHeight w:val="131"/>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9"/>
              </w:rPr>
              <w:t>(In millions)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3"/>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Revenue from product sales and services</w:t>
            </w:r>
          </w:p>
        </w:tc>
        <w:tc>
          <w:tcPr>
            <w:tcW w:w="10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$ 478.9</w:t>
            </w:r>
          </w:p>
        </w:tc>
        <w:tc>
          <w:tcPr>
            <w:tcW w:w="1220" w:type="dxa"/>
            <w:vAlign w:val="bottom"/>
            <w:gridSpan w:val="4"/>
            <w:shd w:val="clear" w:color="auto" w:fill="CCEEFF"/>
          </w:tcPr>
          <w:p>
            <w:pPr>
              <w:jc w:val="right"/>
              <w:ind w:right="308"/>
              <w:spacing w:after="0"/>
              <w:rPr>
                <w:sz w:val="20"/>
                <w:szCs w:val="20"/>
                <w:color w:val="auto"/>
              </w:rPr>
            </w:pPr>
            <w:r>
              <w:rPr>
                <w:rFonts w:ascii="Arial" w:cs="Arial" w:eastAsia="Arial" w:hAnsi="Arial"/>
                <w:sz w:val="13"/>
                <w:szCs w:val="13"/>
                <w:color w:val="auto"/>
              </w:rPr>
              <w:t>$ 679.9</w:t>
            </w:r>
          </w:p>
        </w:tc>
        <w:tc>
          <w:tcPr>
            <w:tcW w:w="124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$ 718.4</w:t>
            </w:r>
          </w:p>
        </w:tc>
        <w:tc>
          <w:tcPr>
            <w:tcW w:w="2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$ 507.9</w:t>
            </w:r>
          </w:p>
        </w:tc>
        <w:tc>
          <w:tcPr>
            <w:tcW w:w="1260" w:type="dxa"/>
            <w:vAlign w:val="bottom"/>
            <w:gridSpan w:val="4"/>
            <w:shd w:val="clear" w:color="auto" w:fill="CCEEFF"/>
          </w:tcPr>
          <w:p>
            <w:pPr>
              <w:jc w:val="right"/>
              <w:ind w:right="303"/>
              <w:spacing w:after="0"/>
              <w:rPr>
                <w:sz w:val="20"/>
                <w:szCs w:val="20"/>
                <w:color w:val="auto"/>
              </w:rPr>
            </w:pPr>
            <w:r>
              <w:rPr>
                <w:rFonts w:ascii="Arial" w:cs="Arial" w:eastAsia="Arial" w:hAnsi="Arial"/>
                <w:sz w:val="13"/>
                <w:szCs w:val="13"/>
                <w:color w:val="auto"/>
              </w:rPr>
              <w:t>$ 357.5</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Cost of product sales and services</w:t>
            </w:r>
          </w:p>
        </w:tc>
        <w:tc>
          <w:tcPr>
            <w:tcW w:w="1080" w:type="dxa"/>
            <w:vAlign w:val="bottom"/>
            <w:gridSpan w:val="2"/>
          </w:tcPr>
          <w:p>
            <w:pPr>
              <w:jc w:val="right"/>
              <w:ind w:right="268"/>
              <w:spacing w:after="0"/>
              <w:rPr>
                <w:sz w:val="20"/>
                <w:szCs w:val="20"/>
                <w:color w:val="auto"/>
              </w:rPr>
            </w:pPr>
            <w:r>
              <w:rPr>
                <w:rFonts w:ascii="Arial" w:cs="Arial" w:eastAsia="Arial" w:hAnsi="Arial"/>
                <w:sz w:val="13"/>
                <w:szCs w:val="13"/>
                <w:color w:val="auto"/>
              </w:rPr>
              <w:t>(345.5)</w:t>
            </w:r>
          </w:p>
        </w:tc>
        <w:tc>
          <w:tcPr>
            <w:tcW w:w="1220" w:type="dxa"/>
            <w:vAlign w:val="bottom"/>
            <w:gridSpan w:val="4"/>
          </w:tcPr>
          <w:p>
            <w:pPr>
              <w:jc w:val="right"/>
              <w:ind w:right="248"/>
              <w:spacing w:after="0"/>
              <w:rPr>
                <w:sz w:val="20"/>
                <w:szCs w:val="20"/>
                <w:color w:val="auto"/>
              </w:rPr>
            </w:pPr>
            <w:r>
              <w:rPr>
                <w:rFonts w:ascii="Arial" w:cs="Arial" w:eastAsia="Arial" w:hAnsi="Arial"/>
                <w:sz w:val="13"/>
                <w:szCs w:val="13"/>
                <w:color w:val="auto"/>
              </w:rPr>
              <w:t>(505.5)</w:t>
            </w:r>
          </w:p>
        </w:tc>
        <w:tc>
          <w:tcPr>
            <w:tcW w:w="1240" w:type="dxa"/>
            <w:vAlign w:val="bottom"/>
            <w:gridSpan w:val="4"/>
          </w:tcPr>
          <w:p>
            <w:pPr>
              <w:jc w:val="right"/>
              <w:ind w:right="248"/>
              <w:spacing w:after="0"/>
              <w:rPr>
                <w:sz w:val="20"/>
                <w:szCs w:val="20"/>
                <w:color w:val="auto"/>
              </w:rPr>
            </w:pPr>
            <w:r>
              <w:rPr>
                <w:rFonts w:ascii="Arial" w:cs="Arial" w:eastAsia="Arial" w:hAnsi="Arial"/>
                <w:sz w:val="13"/>
                <w:szCs w:val="13"/>
                <w:color w:val="auto"/>
              </w:rPr>
              <w:t>(528.2)</w:t>
            </w:r>
          </w:p>
        </w:tc>
        <w:tc>
          <w:tcPr>
            <w:tcW w:w="20" w:type="dxa"/>
            <w:vAlign w:val="bottom"/>
          </w:tcPr>
          <w:p>
            <w:pPr>
              <w:spacing w:after="0"/>
              <w:rPr>
                <w:sz w:val="13"/>
                <w:szCs w:val="13"/>
                <w:color w:val="auto"/>
              </w:rPr>
            </w:pPr>
          </w:p>
        </w:tc>
        <w:tc>
          <w:tcPr>
            <w:tcW w:w="1260" w:type="dxa"/>
            <w:vAlign w:val="bottom"/>
            <w:gridSpan w:val="3"/>
          </w:tcPr>
          <w:p>
            <w:pPr>
              <w:jc w:val="right"/>
              <w:ind w:right="268"/>
              <w:spacing w:after="0"/>
              <w:rPr>
                <w:sz w:val="20"/>
                <w:szCs w:val="20"/>
                <w:color w:val="auto"/>
              </w:rPr>
            </w:pPr>
            <w:r>
              <w:rPr>
                <w:rFonts w:ascii="Arial" w:cs="Arial" w:eastAsia="Arial" w:hAnsi="Arial"/>
                <w:sz w:val="13"/>
                <w:szCs w:val="13"/>
                <w:color w:val="auto"/>
              </w:rPr>
              <w:t>(361.2)</w:t>
            </w:r>
          </w:p>
        </w:tc>
        <w:tc>
          <w:tcPr>
            <w:tcW w:w="1260" w:type="dxa"/>
            <w:vAlign w:val="bottom"/>
            <w:gridSpan w:val="4"/>
          </w:tcPr>
          <w:p>
            <w:pPr>
              <w:jc w:val="right"/>
              <w:ind w:right="263"/>
              <w:spacing w:after="0"/>
              <w:rPr>
                <w:sz w:val="20"/>
                <w:szCs w:val="20"/>
                <w:color w:val="auto"/>
              </w:rPr>
            </w:pPr>
            <w:r>
              <w:rPr>
                <w:rFonts w:ascii="Arial" w:cs="Arial" w:eastAsia="Arial" w:hAnsi="Arial"/>
                <w:sz w:val="13"/>
                <w:szCs w:val="13"/>
                <w:color w:val="auto"/>
              </w:rPr>
              <w:t>(275.2)</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(130.2)</w:t>
            </w:r>
          </w:p>
        </w:tc>
        <w:tc>
          <w:tcPr>
            <w:tcW w:w="122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(355.0)</w:t>
            </w:r>
          </w:p>
        </w:tc>
        <w:tc>
          <w:tcPr>
            <w:tcW w:w="1240" w:type="dxa"/>
            <w:vAlign w:val="bottom"/>
            <w:gridSpan w:val="4"/>
            <w:shd w:val="clear" w:color="auto" w:fill="CCEEFF"/>
          </w:tcPr>
          <w:p>
            <w:pPr>
              <w:jc w:val="right"/>
              <w:ind w:right="248"/>
              <w:spacing w:after="0"/>
              <w:rPr>
                <w:sz w:val="20"/>
                <w:szCs w:val="20"/>
                <w:color w:val="auto"/>
              </w:rPr>
            </w:pPr>
            <w:r>
              <w:rPr>
                <w:rFonts w:ascii="Arial" w:cs="Arial" w:eastAsia="Arial" w:hAnsi="Arial"/>
                <w:sz w:val="13"/>
                <w:szCs w:val="13"/>
                <w:color w:val="auto"/>
              </w:rPr>
              <w:t>(11.9)</w:t>
            </w:r>
          </w:p>
        </w:tc>
        <w:tc>
          <w:tcPr>
            <w:tcW w:w="2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268"/>
              <w:spacing w:after="0"/>
              <w:rPr>
                <w:sz w:val="20"/>
                <w:szCs w:val="20"/>
                <w:color w:val="auto"/>
              </w:rPr>
            </w:pPr>
            <w:r>
              <w:rPr>
                <w:rFonts w:ascii="Arial" w:cs="Arial" w:eastAsia="Arial" w:hAnsi="Arial"/>
                <w:sz w:val="13"/>
                <w:szCs w:val="13"/>
                <w:color w:val="auto"/>
              </w:rPr>
              <w:t>(21.8)</w:t>
            </w:r>
          </w:p>
        </w:tc>
        <w:tc>
          <w:tcPr>
            <w:tcW w:w="1260" w:type="dxa"/>
            <w:vAlign w:val="bottom"/>
            <w:gridSpan w:val="4"/>
            <w:shd w:val="clear" w:color="auto" w:fill="CCEEFF"/>
          </w:tcPr>
          <w:p>
            <w:pPr>
              <w:jc w:val="right"/>
              <w:ind w:right="263"/>
              <w:spacing w:after="0"/>
              <w:rPr>
                <w:sz w:val="20"/>
                <w:szCs w:val="20"/>
                <w:color w:val="auto"/>
              </w:rPr>
            </w:pPr>
            <w:r>
              <w:rPr>
                <w:rFonts w:ascii="Arial" w:cs="Arial" w:eastAsia="Arial" w:hAnsi="Arial"/>
                <w:sz w:val="13"/>
                <w:szCs w:val="13"/>
                <w:color w:val="auto"/>
              </w:rPr>
              <w:t>(38.6)</w:t>
            </w: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Basic and diluted net loss per common share</w:t>
            </w:r>
          </w:p>
        </w:tc>
        <w:tc>
          <w:tcPr>
            <w:tcW w:w="1080" w:type="dxa"/>
            <w:vAlign w:val="bottom"/>
            <w:gridSpan w:val="2"/>
          </w:tcPr>
          <w:p>
            <w:pPr>
              <w:jc w:val="right"/>
              <w:ind w:right="268"/>
              <w:spacing w:after="0"/>
              <w:rPr>
                <w:sz w:val="20"/>
                <w:szCs w:val="20"/>
                <w:color w:val="auto"/>
              </w:rPr>
            </w:pPr>
            <w:r>
              <w:rPr>
                <w:rFonts w:ascii="Arial" w:cs="Arial" w:eastAsia="Arial" w:hAnsi="Arial"/>
                <w:sz w:val="13"/>
                <w:szCs w:val="13"/>
                <w:color w:val="auto"/>
              </w:rPr>
              <w:t>(2.19)</w:t>
            </w:r>
          </w:p>
        </w:tc>
        <w:tc>
          <w:tcPr>
            <w:tcW w:w="1220" w:type="dxa"/>
            <w:vAlign w:val="bottom"/>
            <w:gridSpan w:val="4"/>
          </w:tcPr>
          <w:p>
            <w:pPr>
              <w:jc w:val="right"/>
              <w:ind w:right="248"/>
              <w:spacing w:after="0"/>
              <w:rPr>
                <w:sz w:val="20"/>
                <w:szCs w:val="20"/>
                <w:color w:val="auto"/>
              </w:rPr>
            </w:pPr>
            <w:r>
              <w:rPr>
                <w:rFonts w:ascii="Arial" w:cs="Arial" w:eastAsia="Arial" w:hAnsi="Arial"/>
                <w:sz w:val="13"/>
                <w:szCs w:val="13"/>
                <w:color w:val="auto"/>
              </w:rPr>
              <w:t>(6.05)</w:t>
            </w:r>
          </w:p>
        </w:tc>
        <w:tc>
          <w:tcPr>
            <w:tcW w:w="1240" w:type="dxa"/>
            <w:vAlign w:val="bottom"/>
            <w:gridSpan w:val="4"/>
          </w:tcPr>
          <w:p>
            <w:pPr>
              <w:jc w:val="right"/>
              <w:ind w:right="248"/>
              <w:spacing w:after="0"/>
              <w:rPr>
                <w:sz w:val="20"/>
                <w:szCs w:val="20"/>
                <w:color w:val="auto"/>
              </w:rPr>
            </w:pPr>
            <w:r>
              <w:rPr>
                <w:rFonts w:ascii="Arial" w:cs="Arial" w:eastAsia="Arial" w:hAnsi="Arial"/>
                <w:sz w:val="13"/>
                <w:szCs w:val="13"/>
                <w:color w:val="auto"/>
              </w:rPr>
              <w:t>(0.20)</w:t>
            </w:r>
          </w:p>
        </w:tc>
        <w:tc>
          <w:tcPr>
            <w:tcW w:w="20" w:type="dxa"/>
            <w:vAlign w:val="bottom"/>
          </w:tcPr>
          <w:p>
            <w:pPr>
              <w:spacing w:after="0"/>
              <w:rPr>
                <w:sz w:val="14"/>
                <w:szCs w:val="14"/>
                <w:color w:val="auto"/>
              </w:rPr>
            </w:pPr>
          </w:p>
        </w:tc>
        <w:tc>
          <w:tcPr>
            <w:tcW w:w="1260" w:type="dxa"/>
            <w:vAlign w:val="bottom"/>
            <w:gridSpan w:val="3"/>
          </w:tcPr>
          <w:p>
            <w:pPr>
              <w:jc w:val="right"/>
              <w:ind w:right="268"/>
              <w:spacing w:after="0"/>
              <w:rPr>
                <w:sz w:val="20"/>
                <w:szCs w:val="20"/>
                <w:color w:val="auto"/>
              </w:rPr>
            </w:pPr>
            <w:r>
              <w:rPr>
                <w:rFonts w:ascii="Arial" w:cs="Arial" w:eastAsia="Arial" w:hAnsi="Arial"/>
                <w:sz w:val="13"/>
                <w:szCs w:val="13"/>
                <w:color w:val="auto"/>
              </w:rPr>
              <w:t>(0.88)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right"/>
              <w:ind w:right="303"/>
              <w:spacing w:after="0"/>
              <w:rPr>
                <w:sz w:val="20"/>
                <w:szCs w:val="20"/>
                <w:color w:val="auto"/>
              </w:rPr>
            </w:pPr>
            <w:r>
              <w:rPr>
                <w:rFonts w:ascii="Arial" w:cs="Arial" w:eastAsia="Arial" w:hAnsi="Arial"/>
                <w:sz w:val="13"/>
                <w:szCs w:val="13"/>
                <w:color w:val="auto"/>
              </w:rPr>
              <w:t>N/A</w:t>
            </w:r>
          </w:p>
        </w:tc>
      </w:tr>
      <w:tr>
        <w:trPr>
          <w:trHeight w:val="199"/>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80"/>
              <w:spacing w:after="0"/>
              <w:rPr>
                <w:sz w:val="20"/>
                <w:szCs w:val="20"/>
                <w:color w:val="auto"/>
              </w:rPr>
            </w:pPr>
            <w:r>
              <w:rPr>
                <w:rFonts w:ascii="Arial" w:cs="Arial" w:eastAsia="Arial" w:hAnsi="Arial"/>
                <w:sz w:val="10"/>
                <w:szCs w:val="10"/>
                <w:b w:val="1"/>
                <w:bCs w:val="1"/>
                <w:color w:val="auto"/>
              </w:rPr>
              <w:t>As of</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98"/>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jc w:val="right"/>
              <w:ind w:right="128"/>
              <w:spacing w:after="0" w:line="98" w:lineRule="exact"/>
              <w:rPr>
                <w:sz w:val="20"/>
                <w:szCs w:val="20"/>
                <w:color w:val="auto"/>
              </w:rPr>
            </w:pPr>
            <w:r>
              <w:rPr>
                <w:rFonts w:ascii="Arial" w:cs="Arial" w:eastAsia="Arial" w:hAnsi="Arial"/>
                <w:sz w:val="10"/>
                <w:szCs w:val="10"/>
                <w:b w:val="1"/>
                <w:bCs w:val="1"/>
                <w:color w:val="auto"/>
              </w:rPr>
              <w:t>July 2, 2010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jc w:val="right"/>
              <w:ind w:right="168"/>
              <w:spacing w:after="0" w:line="98" w:lineRule="exact"/>
              <w:rPr>
                <w:sz w:val="20"/>
                <w:szCs w:val="20"/>
                <w:color w:val="auto"/>
              </w:rPr>
            </w:pPr>
            <w:r>
              <w:rPr>
                <w:rFonts w:ascii="Arial" w:cs="Arial" w:eastAsia="Arial" w:hAnsi="Arial"/>
                <w:sz w:val="10"/>
                <w:szCs w:val="10"/>
                <w:b w:val="1"/>
                <w:bCs w:val="1"/>
                <w:color w:val="auto"/>
              </w:rPr>
              <w:t>July 3, 2009</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tcPr>
          <w:p>
            <w:pPr>
              <w:jc w:val="center"/>
              <w:spacing w:after="0" w:line="98" w:lineRule="exact"/>
              <w:rPr>
                <w:sz w:val="20"/>
                <w:szCs w:val="20"/>
                <w:color w:val="auto"/>
              </w:rPr>
            </w:pPr>
            <w:r>
              <w:rPr>
                <w:rFonts w:ascii="Arial" w:cs="Arial" w:eastAsia="Arial" w:hAnsi="Arial"/>
                <w:sz w:val="10"/>
                <w:szCs w:val="10"/>
                <w:b w:val="1"/>
                <w:bCs w:val="1"/>
                <w:color w:val="auto"/>
                <w:w w:val="95"/>
              </w:rPr>
              <w:t>June 27, 2008</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jc w:val="right"/>
              <w:ind w:right="168"/>
              <w:spacing w:after="0" w:line="98" w:lineRule="exact"/>
              <w:rPr>
                <w:sz w:val="20"/>
                <w:szCs w:val="20"/>
                <w:color w:val="auto"/>
              </w:rPr>
            </w:pPr>
            <w:r>
              <w:rPr>
                <w:rFonts w:ascii="Arial" w:cs="Arial" w:eastAsia="Arial" w:hAnsi="Arial"/>
                <w:sz w:val="10"/>
                <w:szCs w:val="10"/>
                <w:b w:val="1"/>
                <w:bCs w:val="1"/>
                <w:color w:val="auto"/>
              </w:rPr>
              <w:t>June 29, 2007</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jc w:val="right"/>
              <w:ind w:right="163"/>
              <w:spacing w:after="0" w:line="98" w:lineRule="exact"/>
              <w:rPr>
                <w:sz w:val="20"/>
                <w:szCs w:val="20"/>
                <w:color w:val="auto"/>
              </w:rPr>
            </w:pPr>
            <w:r>
              <w:rPr>
                <w:rFonts w:ascii="Arial" w:cs="Arial" w:eastAsia="Arial" w:hAnsi="Arial"/>
                <w:sz w:val="10"/>
                <w:szCs w:val="10"/>
                <w:b w:val="1"/>
                <w:bCs w:val="1"/>
                <w:color w:val="auto"/>
              </w:rPr>
              <w:t>June 30, 2006</w:t>
            </w:r>
          </w:p>
        </w:tc>
      </w:tr>
      <w:tr>
        <w:trPr>
          <w:trHeight w:val="131"/>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(In millions)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63"/>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$447.0</w:t>
            </w:r>
          </w:p>
        </w:tc>
        <w:tc>
          <w:tcPr>
            <w:tcW w:w="122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$600.2</w:t>
            </w: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3"/>
                <w:szCs w:val="13"/>
                <w:color w:val="auto"/>
              </w:rPr>
              <w:t>$977.3</w:t>
            </w:r>
          </w:p>
        </w:tc>
        <w:tc>
          <w:tcPr>
            <w:tcW w:w="2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68"/>
              <w:spacing w:after="0"/>
              <w:rPr>
                <w:sz w:val="20"/>
                <w:szCs w:val="20"/>
                <w:color w:val="auto"/>
              </w:rPr>
            </w:pPr>
            <w:r>
              <w:rPr>
                <w:rFonts w:ascii="Arial" w:cs="Arial" w:eastAsia="Arial" w:hAnsi="Arial"/>
                <w:sz w:val="13"/>
                <w:szCs w:val="13"/>
                <w:color w:val="auto"/>
              </w:rPr>
              <w:t>$1,025.5</w:t>
            </w:r>
          </w:p>
        </w:tc>
        <w:tc>
          <w:tcPr>
            <w:tcW w:w="1260" w:type="dxa"/>
            <w:vAlign w:val="bottom"/>
            <w:gridSpan w:val="4"/>
            <w:shd w:val="clear" w:color="auto" w:fill="CCEEFF"/>
          </w:tcPr>
          <w:p>
            <w:pPr>
              <w:jc w:val="right"/>
              <w:ind w:right="303"/>
              <w:spacing w:after="0"/>
              <w:rPr>
                <w:sz w:val="20"/>
                <w:szCs w:val="20"/>
                <w:color w:val="auto"/>
              </w:rPr>
            </w:pPr>
            <w:r>
              <w:rPr>
                <w:rFonts w:ascii="Arial" w:cs="Arial" w:eastAsia="Arial" w:hAnsi="Arial"/>
                <w:sz w:val="13"/>
                <w:szCs w:val="13"/>
                <w:color w:val="auto"/>
              </w:rPr>
              <w:t>$344.9</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Long-term liabilities</w:t>
            </w:r>
          </w:p>
        </w:tc>
        <w:tc>
          <w:tcPr>
            <w:tcW w:w="1080" w:type="dxa"/>
            <w:vAlign w:val="bottom"/>
            <w:gridSpan w:val="2"/>
          </w:tcPr>
          <w:p>
            <w:pPr>
              <w:jc w:val="right"/>
              <w:ind w:right="248"/>
              <w:spacing w:after="0"/>
              <w:rPr>
                <w:sz w:val="20"/>
                <w:szCs w:val="20"/>
                <w:color w:val="auto"/>
              </w:rPr>
            </w:pPr>
            <w:r>
              <w:rPr>
                <w:rFonts w:ascii="Arial" w:cs="Arial" w:eastAsia="Arial" w:hAnsi="Arial"/>
                <w:sz w:val="13"/>
                <w:szCs w:val="13"/>
                <w:color w:val="auto"/>
              </w:rPr>
              <w:t>17.2</w:t>
            </w:r>
          </w:p>
        </w:tc>
        <w:tc>
          <w:tcPr>
            <w:tcW w:w="1220" w:type="dxa"/>
            <w:vAlign w:val="bottom"/>
            <w:gridSpan w:val="4"/>
          </w:tcPr>
          <w:p>
            <w:pPr>
              <w:jc w:val="right"/>
              <w:ind w:right="288"/>
              <w:spacing w:after="0"/>
              <w:rPr>
                <w:sz w:val="20"/>
                <w:szCs w:val="20"/>
                <w:color w:val="auto"/>
              </w:rPr>
            </w:pPr>
            <w:r>
              <w:rPr>
                <w:rFonts w:ascii="Arial" w:cs="Arial" w:eastAsia="Arial" w:hAnsi="Arial"/>
                <w:sz w:val="13"/>
                <w:szCs w:val="13"/>
                <w:color w:val="auto"/>
              </w:rPr>
              <w:t>17.9</w:t>
            </w:r>
          </w:p>
        </w:tc>
        <w:tc>
          <w:tcPr>
            <w:tcW w:w="1240" w:type="dxa"/>
            <w:vAlign w:val="bottom"/>
            <w:gridSpan w:val="4"/>
          </w:tcPr>
          <w:p>
            <w:pPr>
              <w:jc w:val="right"/>
              <w:ind w:right="308"/>
              <w:spacing w:after="0"/>
              <w:rPr>
                <w:sz w:val="20"/>
                <w:szCs w:val="20"/>
                <w:color w:val="auto"/>
              </w:rPr>
            </w:pPr>
            <w:r>
              <w:rPr>
                <w:rFonts w:ascii="Arial" w:cs="Arial" w:eastAsia="Arial" w:hAnsi="Arial"/>
                <w:sz w:val="13"/>
                <w:szCs w:val="13"/>
                <w:color w:val="auto"/>
              </w:rPr>
              <w:t>28.1</w:t>
            </w:r>
          </w:p>
        </w:tc>
        <w:tc>
          <w:tcPr>
            <w:tcW w:w="20" w:type="dxa"/>
            <w:vAlign w:val="bottom"/>
          </w:tcPr>
          <w:p>
            <w:pPr>
              <w:spacing w:after="0"/>
              <w:rPr>
                <w:sz w:val="13"/>
                <w:szCs w:val="13"/>
                <w:color w:val="auto"/>
              </w:rPr>
            </w:pPr>
          </w:p>
        </w:tc>
        <w:tc>
          <w:tcPr>
            <w:tcW w:w="1260" w:type="dxa"/>
            <w:vAlign w:val="bottom"/>
            <w:gridSpan w:val="3"/>
          </w:tcPr>
          <w:p>
            <w:pPr>
              <w:jc w:val="right"/>
              <w:ind w:right="268"/>
              <w:spacing w:after="0"/>
              <w:rPr>
                <w:sz w:val="20"/>
                <w:szCs w:val="20"/>
                <w:color w:val="auto"/>
              </w:rPr>
            </w:pPr>
            <w:r>
              <w:rPr>
                <w:rFonts w:ascii="Arial" w:cs="Arial" w:eastAsia="Arial" w:hAnsi="Arial"/>
                <w:sz w:val="13"/>
                <w:szCs w:val="13"/>
                <w:color w:val="auto"/>
              </w:rPr>
              <w:t>65.0</w:t>
            </w:r>
          </w:p>
        </w:tc>
        <w:tc>
          <w:tcPr>
            <w:tcW w:w="1260" w:type="dxa"/>
            <w:vAlign w:val="bottom"/>
            <w:gridSpan w:val="4"/>
          </w:tcPr>
          <w:p>
            <w:pPr>
              <w:jc w:val="right"/>
              <w:ind w:right="303"/>
              <w:spacing w:after="0"/>
              <w:rPr>
                <w:sz w:val="20"/>
                <w:szCs w:val="20"/>
                <w:color w:val="auto"/>
              </w:rPr>
            </w:pPr>
            <w:r>
              <w:rPr>
                <w:rFonts w:ascii="Arial" w:cs="Arial" w:eastAsia="Arial" w:hAnsi="Arial"/>
                <w:sz w:val="13"/>
                <w:szCs w:val="13"/>
                <w:color w:val="auto"/>
              </w:rPr>
              <w:t>12.6</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Total net assets</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263.2</w:t>
            </w:r>
          </w:p>
        </w:tc>
        <w:tc>
          <w:tcPr>
            <w:tcW w:w="1220" w:type="dxa"/>
            <w:vAlign w:val="bottom"/>
            <w:gridSpan w:val="4"/>
            <w:shd w:val="clear" w:color="auto" w:fill="CCEEFF"/>
          </w:tcPr>
          <w:p>
            <w:pPr>
              <w:jc w:val="right"/>
              <w:ind w:right="288"/>
              <w:spacing w:after="0"/>
              <w:rPr>
                <w:sz w:val="20"/>
                <w:szCs w:val="20"/>
                <w:color w:val="auto"/>
              </w:rPr>
            </w:pPr>
            <w:r>
              <w:rPr>
                <w:rFonts w:ascii="Arial" w:cs="Arial" w:eastAsia="Arial" w:hAnsi="Arial"/>
                <w:sz w:val="13"/>
                <w:szCs w:val="13"/>
                <w:color w:val="auto"/>
              </w:rPr>
              <w:t>387.9</w:t>
            </w: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3"/>
                <w:szCs w:val="13"/>
                <w:color w:val="auto"/>
              </w:rPr>
              <w:t>748.2</w:t>
            </w:r>
          </w:p>
        </w:tc>
        <w:tc>
          <w:tcPr>
            <w:tcW w:w="2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268"/>
              <w:spacing w:after="0"/>
              <w:rPr>
                <w:sz w:val="20"/>
                <w:szCs w:val="20"/>
                <w:color w:val="auto"/>
              </w:rPr>
            </w:pPr>
            <w:r>
              <w:rPr>
                <w:rFonts w:ascii="Arial" w:cs="Arial" w:eastAsia="Arial" w:hAnsi="Arial"/>
                <w:sz w:val="13"/>
                <w:szCs w:val="13"/>
                <w:color w:val="auto"/>
              </w:rPr>
              <w:t>746.4</w:t>
            </w:r>
          </w:p>
        </w:tc>
        <w:tc>
          <w:tcPr>
            <w:tcW w:w="1260" w:type="dxa"/>
            <w:vAlign w:val="bottom"/>
            <w:gridSpan w:val="4"/>
            <w:shd w:val="clear" w:color="auto" w:fill="CCEEFF"/>
          </w:tcPr>
          <w:p>
            <w:pPr>
              <w:jc w:val="right"/>
              <w:ind w:right="303"/>
              <w:spacing w:after="0"/>
              <w:rPr>
                <w:sz w:val="20"/>
                <w:szCs w:val="20"/>
                <w:color w:val="auto"/>
              </w:rPr>
            </w:pPr>
            <w:r>
              <w:rPr>
                <w:rFonts w:ascii="Arial" w:cs="Arial" w:eastAsia="Arial" w:hAnsi="Arial"/>
                <w:sz w:val="13"/>
                <w:szCs w:val="13"/>
                <w:color w:val="auto"/>
              </w:rPr>
              <w:t>244.3</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certain charges, expenses and gains included in our net losses for each of the fiscal years in the five year period ended July 2, 2010.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440"/>
              <w:spacing w:after="0" w:line="98" w:lineRule="exact"/>
              <w:rPr>
                <w:sz w:val="20"/>
                <w:szCs w:val="20"/>
                <w:color w:val="auto"/>
              </w:rPr>
            </w:pPr>
            <w:r>
              <w:rPr>
                <w:rFonts w:ascii="Arial" w:cs="Arial" w:eastAsia="Arial" w:hAnsi="Arial"/>
                <w:sz w:val="10"/>
                <w:szCs w:val="10"/>
                <w:b w:val="1"/>
                <w:bCs w:val="1"/>
                <w:color w:val="auto"/>
                <w:w w:val="96"/>
              </w:rPr>
              <w:t>July 2, 2010</w:t>
            </w:r>
          </w:p>
        </w:tc>
        <w:tc>
          <w:tcPr>
            <w:tcW w:w="100" w:type="dxa"/>
            <w:vAlign w:val="bottom"/>
          </w:tcPr>
          <w:p>
            <w:pPr>
              <w:spacing w:after="0"/>
              <w:rPr>
                <w:sz w:val="8"/>
                <w:szCs w:val="8"/>
                <w:color w:val="auto"/>
              </w:rPr>
            </w:pPr>
          </w:p>
        </w:tc>
        <w:tc>
          <w:tcPr>
            <w:tcW w:w="100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July 3, 2009</w:t>
            </w:r>
          </w:p>
        </w:tc>
        <w:tc>
          <w:tcPr>
            <w:tcW w:w="80" w:type="dxa"/>
            <w:vAlign w:val="bottom"/>
          </w:tcPr>
          <w:p>
            <w:pPr>
              <w:spacing w:after="0"/>
              <w:rPr>
                <w:sz w:val="8"/>
                <w:szCs w:val="8"/>
                <w:color w:val="auto"/>
              </w:rPr>
            </w:pPr>
          </w:p>
        </w:tc>
        <w:tc>
          <w:tcPr>
            <w:tcW w:w="1100" w:type="dxa"/>
            <w:vAlign w:val="bottom"/>
            <w:gridSpan w:val="2"/>
          </w:tcPr>
          <w:p>
            <w:pPr>
              <w:jc w:val="right"/>
              <w:ind w:right="440"/>
              <w:spacing w:after="0" w:line="98" w:lineRule="exact"/>
              <w:rPr>
                <w:sz w:val="20"/>
                <w:szCs w:val="20"/>
                <w:color w:val="auto"/>
              </w:rPr>
            </w:pPr>
            <w:r>
              <w:rPr>
                <w:rFonts w:ascii="Arial" w:cs="Arial" w:eastAsia="Arial" w:hAnsi="Arial"/>
                <w:sz w:val="10"/>
                <w:szCs w:val="10"/>
                <w:b w:val="1"/>
                <w:bCs w:val="1"/>
                <w:color w:val="auto"/>
                <w:w w:val="98"/>
              </w:rPr>
              <w:t>June 27, 2008</w:t>
            </w:r>
          </w:p>
        </w:tc>
        <w:tc>
          <w:tcPr>
            <w:tcW w:w="100" w:type="dxa"/>
            <w:vAlign w:val="bottom"/>
          </w:tcPr>
          <w:p>
            <w:pPr>
              <w:spacing w:after="0"/>
              <w:rPr>
                <w:sz w:val="8"/>
                <w:szCs w:val="8"/>
                <w:color w:val="auto"/>
              </w:rPr>
            </w:pPr>
          </w:p>
        </w:tc>
        <w:tc>
          <w:tcPr>
            <w:tcW w:w="110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June 29, 2007</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June 30, 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Intangible impairment charges</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32.6</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Other impairment charges and rebranding expenses</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Charges for product transition, product discontinuances and inventory mark-</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680" w:type="dxa"/>
            <w:vAlign w:val="bottom"/>
          </w:tcPr>
          <w:p>
            <w:pPr>
              <w:spacing w:after="0"/>
              <w:rPr>
                <w:sz w:val="14"/>
                <w:szCs w:val="14"/>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downs</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3"/>
                <w:szCs w:val="13"/>
                <w:color w:val="auto"/>
              </w:rPr>
              <w:t>Amortization of trade names, customer relationships, non-competition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agreements and contract backlog</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Executive severance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w w:val="97"/>
              </w:rPr>
              <w:t>Amortization of the fair value adjustments related to fixed assets and inventory</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w w:val="98"/>
              </w:rPr>
              <w:t>Cost of integration activities undertaken in connection with the Stratex merger</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w w:val="98"/>
              </w:rPr>
              <w:t>Gains from sale of building and Telsima acquisition purchase price settlement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30</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254"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Overview of Business; Operating Environment and Key Factors Impacting Fiscal 2010 and 2011 Results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Management’s Discussion and Analysis (“MD&amp;A”) is intended to help the reader understand our results of operations and financial condition. MD&amp;A is provided as a supplement to, and should be read in conjunction with, our financial statements and the accompanying notes.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both point-to-point (PTP) and point-to-multipoint (PMP) digital microwave transmission systems designed for first/last mile access, middle mile/backhaul, and long distance trunking applications. Our PMP product portfolio includes base stations and subscriber equipment based upon the IEEE 802.16d-2004 and 16e-2005 standards for fixed and mobile Worldwide Interoperability for Microwave Access (“WiMAX”). We also provide network management software solutions to enable operators to deploy, monitor and manage our systems, third party equipment such as antennas, routers, multiplexers, etc, necessary to build and deploy a wireless transmission network, and a full suite of turnkey support services.</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segment operating profits, earnings per share, and return on average total capital are the key measures of financial performance for our business.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Fiscal Year 2010 was a challenging year. Over the past two years, we focused on creating a business model that provided end-to-end solutions for our customers’ networks including IP mobile backhaul, WiMAX, energy and security solutions and managed services. This helped us expand our reach into new markets, but also required a large investment in resources. As we were in the midst of this expansion, the world fell into economic turmoil. Around the globe, access to capital, the growing demand for mobile broadband and the need to reduce costs and improve efficiency affected our customers’ decisions regarding their network investments. To address this situation, the Board of Directors and management team decided to restructure our organization and refocus the strategic direction of the business. These changes will help us to scale our operations to meet the changing needs of our customers, markets and industry with increased flexibility and speed.</w:t>
      </w:r>
    </w:p>
    <w:p>
      <w:pPr>
        <w:spacing w:after="0" w:line="72"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While we faced a difficult business environment, we continued to strengthen our balance sheet, reaching record cash levels. We are now entering a period of restructuring and turnaround that will require a strong balance sheet in order to successfully execute. In fiscal 2011, we are taking aggressive steps to restore profitability and accelerate innovation to maintain our position as a leading independent wireless transmission provider. Our strategic focus and the way we view our business has changed in the face of an altered global landscape.</w:t>
      </w:r>
    </w:p>
    <w:p>
      <w:pPr>
        <w:spacing w:after="0" w:line="3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August 12, 2010, we announced a new restructuring plan as a first step in a comprehensive strategic plan to enable a return to profitability, and continue building out a stable platform to drive sustainable revenue growth. We expect to complete all key actions associated with this restructuring in fiscal 2011 in order to emerge in a stronger financial position going forward.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Strategic Focus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With fiscal 2010 behind us, we are focused on restructuring our business to restore profitability and streamlining our operations. We have a number of strategic and operational goals to execute:</w:t>
      </w:r>
    </w:p>
    <w:p>
      <w:pPr>
        <w:spacing w:after="0" w:line="59"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Align cost base with revenue generation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Optimize product portfolio,</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Fixing business processes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Growing top line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Create a sustainable, profitable business model</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To do this, we have examined our products, markets, facilities, development programs, and operational flows to ensure we’re focused on what we do well and what will differentiate us in the future. We are working aggressively to streamline established management processes to run with the speed required by the markets in which we do business.</w:t>
      </w:r>
    </w:p>
    <w:p>
      <w:pPr>
        <w:spacing w:after="0" w:line="3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While we have been aggressive about our cost reduction plans, we have sought to balance that with a renewed focus on innovation to expand our position as a leading provider of wireless solutions. We have examined each of the products and markets where Aviat Networks does business and made strategic decisions to refocus or adjust resources to the product, service or geographic areas of the business that have the most promise.</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to taking steps to restructure the way we run the business today, we have also crafted a strategic plan that outlines our goals for the future. This strategic plan is designed to establish a firm foundation on which we can resume long-term profitable growth.</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first and most important step in this process is our emphasis on the microwave backhaul area, where we have a long history of leadership. We are seeing exciting opportunities in our core microwave backhaul business as service providers invest in IP technologies to meet the growing demand for broadband access around the world. Second, we are realigning the WiMAX business to be viewed as a technology, rather than as a market. We will use that technology to focus our attention on the wireless transmission business in a way that is complementary to our microwave backhaul business.</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Third, we will increase focus on our services business as a strong differentiator. Our network operations and management services deliver peace of mind for customers, while allowing us to build a closer relationship to better understand their business needs while our network design and installation services enable us to provide customers with the expertise they require.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 Review</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the discussion below, our fiscal year ended July 2, 2010 is referred to as “fiscal 2010” or “2010”; fiscal year ended July 3, 2009 as “fiscal 2009” or “2009” and; fiscal year ended June 27, 2008 as “fiscal 2008” or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and Net Loss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jc w:val="center"/>
              <w:ind w:left="203"/>
              <w:spacing w:after="0"/>
              <w:rPr>
                <w:sz w:val="20"/>
                <w:szCs w:val="20"/>
                <w:color w:val="auto"/>
              </w:rPr>
            </w:pPr>
            <w:r>
              <w:rPr>
                <w:rFonts w:ascii="Arial" w:cs="Arial" w:eastAsia="Arial" w:hAnsi="Arial"/>
                <w:sz w:val="10"/>
                <w:szCs w:val="10"/>
                <w:b w:val="1"/>
                <w:bCs w:val="1"/>
                <w:color w:val="auto"/>
                <w:w w:val="92"/>
              </w:rPr>
              <w:t>2010/2009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2"/>
          </w:tcPr>
          <w:p>
            <w:pPr>
              <w:jc w:val="center"/>
              <w:ind w:left="201"/>
              <w:spacing w:after="0"/>
              <w:rPr>
                <w:sz w:val="20"/>
                <w:szCs w:val="20"/>
                <w:color w:val="auto"/>
              </w:rPr>
            </w:pPr>
            <w:r>
              <w:rPr>
                <w:rFonts w:ascii="Arial" w:cs="Arial" w:eastAsia="Arial" w:hAnsi="Arial"/>
                <w:sz w:val="10"/>
                <w:szCs w:val="10"/>
                <w:b w:val="1"/>
                <w:bCs w:val="1"/>
                <w:color w:val="auto"/>
                <w:w w:val="92"/>
              </w:rPr>
              <w:t>2009/2008</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72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2010</w:t>
            </w:r>
          </w:p>
        </w:tc>
        <w:tc>
          <w:tcPr>
            <w:tcW w:w="260" w:type="dxa"/>
            <w:vAlign w:val="bottom"/>
            <w:vMerge w:val="restart"/>
          </w:tcPr>
          <w:p>
            <w:pPr>
              <w:spacing w:after="0"/>
              <w:rPr>
                <w:sz w:val="9"/>
                <w:szCs w:val="9"/>
                <w:color w:val="auto"/>
              </w:rPr>
            </w:pPr>
          </w:p>
        </w:tc>
        <w:tc>
          <w:tcPr>
            <w:tcW w:w="70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1400" w:type="dxa"/>
            <w:vAlign w:val="bottom"/>
            <w:gridSpan w:val="3"/>
          </w:tcPr>
          <w:p>
            <w:pPr>
              <w:jc w:val="center"/>
              <w:ind w:right="340"/>
              <w:spacing w:after="0" w:line="108" w:lineRule="exact"/>
              <w:rPr>
                <w:sz w:val="20"/>
                <w:szCs w:val="20"/>
                <w:color w:val="auto"/>
              </w:rPr>
            </w:pPr>
            <w:r>
              <w:rPr>
                <w:rFonts w:ascii="Arial" w:cs="Arial" w:eastAsia="Arial" w:hAnsi="Arial"/>
                <w:sz w:val="10"/>
                <w:szCs w:val="10"/>
                <w:b w:val="1"/>
                <w:bCs w:val="1"/>
                <w:color w:val="auto"/>
                <w:w w:val="98"/>
              </w:rPr>
              <w:t>% Increase/</w:t>
            </w:r>
          </w:p>
        </w:tc>
        <w:tc>
          <w:tcPr>
            <w:tcW w:w="58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0"/>
              <w:spacing w:after="0"/>
              <w:rPr>
                <w:sz w:val="20"/>
                <w:szCs w:val="20"/>
                <w:color w:val="auto"/>
              </w:rPr>
            </w:pPr>
            <w:r>
              <w:rPr>
                <w:rFonts w:ascii="Arial" w:cs="Arial" w:eastAsia="Arial" w:hAnsi="Arial"/>
                <w:sz w:val="10"/>
                <w:szCs w:val="10"/>
                <w:b w:val="1"/>
                <w:bCs w:val="1"/>
                <w:color w:val="auto"/>
                <w:w w:val="92"/>
              </w:rPr>
              <w:t>(In millions, except percentages)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$ 478.9</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$ 679.9</w:t>
            </w:r>
          </w:p>
        </w:tc>
        <w:tc>
          <w:tcPr>
            <w:tcW w:w="130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(29.6)%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w w:val="90"/>
              </w:rPr>
              <w:t>$718.4</w:t>
            </w: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720" w:type="dxa"/>
            <w:vAlign w:val="bottom"/>
          </w:tcPr>
          <w:p>
            <w:pPr>
              <w:ind w:left="120"/>
              <w:spacing w:after="0"/>
              <w:rPr>
                <w:sz w:val="20"/>
                <w:szCs w:val="20"/>
                <w:color w:val="auto"/>
              </w:rPr>
            </w:pPr>
            <w:r>
              <w:rPr>
                <w:rFonts w:ascii="Arial" w:cs="Arial" w:eastAsia="Arial" w:hAnsi="Arial"/>
                <w:sz w:val="13"/>
                <w:szCs w:val="13"/>
                <w:color w:val="auto"/>
              </w:rPr>
              <w:t>$(130.2)</w:t>
            </w:r>
          </w:p>
        </w:tc>
        <w:tc>
          <w:tcPr>
            <w:tcW w:w="960" w:type="dxa"/>
            <w:vAlign w:val="bottom"/>
            <w:gridSpan w:val="2"/>
          </w:tcPr>
          <w:p>
            <w:pPr>
              <w:ind w:left="380"/>
              <w:spacing w:after="0"/>
              <w:rPr>
                <w:sz w:val="20"/>
                <w:szCs w:val="20"/>
                <w:color w:val="auto"/>
              </w:rPr>
            </w:pPr>
            <w:r>
              <w:rPr>
                <w:rFonts w:ascii="Arial" w:cs="Arial" w:eastAsia="Arial" w:hAnsi="Arial"/>
                <w:sz w:val="13"/>
                <w:szCs w:val="13"/>
                <w:color w:val="auto"/>
              </w:rPr>
              <w:t>$(355.0)</w:t>
            </w:r>
          </w:p>
        </w:tc>
        <w:tc>
          <w:tcPr>
            <w:tcW w:w="260" w:type="dxa"/>
            <w:vAlign w:val="bottom"/>
          </w:tcPr>
          <w:p>
            <w:pPr>
              <w:spacing w:after="0"/>
              <w:rPr>
                <w:sz w:val="13"/>
                <w:szCs w:val="13"/>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3"/>
                <w:szCs w:val="13"/>
                <w:color w:val="auto"/>
              </w:rPr>
              <w:t>N/M</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w w:val="89"/>
              </w:rPr>
              <w:t>$ (11.9)</w:t>
            </w: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of revenue</w:t>
            </w:r>
          </w:p>
        </w:tc>
        <w:tc>
          <w:tcPr>
            <w:tcW w:w="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N/M</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rPr>
              <w:t>N/M</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N/M = Not meaningful, as used in tables throughout this MD&amp;A.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 Fiscal 2010 Compared with 2009</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revenue in fiscal year 2010 was $478.9 million, a decrease of $201.0 million or 29.6%, compared with fiscal year 2009. This decrease in revenue resulted from significant declines in all regions, most acutely in Africa and Europe, Middle East and Russia. Declines resulted primarily from reduced customer demand due to the global economic recession and the effects of the continuing credit crisis on our customers’ ability to finance expansion, as well as increased competition from our competitors. Increased competition has affected product pricing and the ability to combine microwave equipment with other product sales and services. Furthermore, revenue has been negatively affected by anticipated or planned consolidation of our customers and foreign government-based subsidized financing, particularly in Africa.</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Revenue in fiscal 2010 benefited from our adoption during the year of new revenue recognition accounting rules which resulted in the recognition of $7.9 million of revenue that otherwise would have been delayed under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prior revenue recognition rules. For additional information refer to the discussion under “ — </w:t>
      </w:r>
      <w:r>
        <w:rPr>
          <w:rFonts w:ascii="Arial" w:cs="Arial" w:eastAsia="Arial" w:hAnsi="Arial"/>
          <w:sz w:val="13"/>
          <w:szCs w:val="13"/>
          <w:i w:val="1"/>
          <w:iCs w:val="1"/>
          <w:color w:val="auto"/>
        </w:rPr>
        <w:t>Critical Accounting Estimates — Revenue Recognition,</w:t>
      </w:r>
      <w:r>
        <w:rPr>
          <w:rFonts w:ascii="Arial" w:cs="Arial" w:eastAsia="Arial" w:hAnsi="Arial"/>
          <w:sz w:val="13"/>
          <w:szCs w:val="13"/>
          <w:color w:val="auto"/>
        </w:rPr>
        <w:t>”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 Fiscal 2009 Compared with 2008</w:t>
      </w:r>
    </w:p>
    <w:p>
      <w:pPr>
        <w:spacing w:after="0" w:line="96"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Our revenue in fiscal 2009 was $679.9 million, a decrease of $38.5 million or 5.4%, compared with fiscal 2008. This decrease in revenue resulted from declines in all regions (except Africa) primarily due to the global economic recession and the continuing credit crisis adversely affecting our customers expansion, as well as increased competition from our competitors. Compared with fiscal 2008, revenue in fiscal 2009 in Europe, Middle East and Russia declined by $27.9 million, Latin America and Asia-Pacific declined $16.6 million, and North America was down $10.5 million. These decreases were partially offset by growth in Africa ($16.5 million increase) as customers in this region continued to expand their network infrastructures prior to the slowdown in the third quarter of fiscal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Major Customer in Fiscal 2010, 2009 and 2008</w:t>
      </w:r>
    </w:p>
    <w:p>
      <w:pPr>
        <w:spacing w:after="0" w:line="96"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During fiscal 2010, the MTN group in Africa accounted for 17% of our total revenue compared with 17% in fiscal 2009 and 13% in fiscal 2008.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Revenue by Region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region comparing fiscal 2010 with 2009 and 2008 with the related changes are shown in the tables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Fiscal Year</w:t>
            </w: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Amount</w:t>
            </w:r>
          </w:p>
        </w:tc>
        <w:tc>
          <w:tcPr>
            <w:tcW w:w="1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Percentage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gridSpan w:val="2"/>
          </w:tcPr>
          <w:p>
            <w:pPr>
              <w:jc w:val="center"/>
              <w:ind w:right="460"/>
              <w:spacing w:after="0" w:line="98" w:lineRule="exact"/>
              <w:rPr>
                <w:sz w:val="20"/>
                <w:szCs w:val="20"/>
                <w:color w:val="auto"/>
              </w:rPr>
            </w:pPr>
            <w:r>
              <w:rPr>
                <w:rFonts w:ascii="Arial" w:cs="Arial" w:eastAsia="Arial" w:hAnsi="Arial"/>
                <w:sz w:val="10"/>
                <w:szCs w:val="10"/>
                <w:b w:val="1"/>
                <w:bCs w:val="1"/>
                <w:color w:val="auto"/>
                <w:w w:val="93"/>
              </w:rPr>
              <w:t>Increase/(Decrease)</w:t>
            </w:r>
          </w:p>
        </w:tc>
        <w:tc>
          <w:tcPr>
            <w:tcW w:w="164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3"/>
              </w:rPr>
              <w:t>Increase/(Decrease)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88"/>
              </w:rPr>
              <w:t>(In millions, except percentages)</w:t>
            </w:r>
          </w:p>
        </w:tc>
        <w:tc>
          <w:tcPr>
            <w:tcW w:w="4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b w:val="1"/>
                <w:bCs w:val="1"/>
                <w:color w:val="auto"/>
              </w:rPr>
              <w:t>International:</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Africa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213.8</w:t>
            </w:r>
          </w:p>
        </w:tc>
        <w:tc>
          <w:tcPr>
            <w:tcW w:w="8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ind w:left="140"/>
              <w:spacing w:after="0"/>
              <w:rPr>
                <w:sz w:val="20"/>
                <w:szCs w:val="20"/>
                <w:color w:val="auto"/>
              </w:rPr>
            </w:pPr>
            <w:r>
              <w:rPr>
                <w:rFonts w:ascii="Arial" w:cs="Arial" w:eastAsia="Arial" w:hAnsi="Arial"/>
                <w:sz w:val="13"/>
                <w:szCs w:val="13"/>
                <w:color w:val="auto"/>
              </w:rPr>
              <w:t>Europe, Middle East, and Russia</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139.7</w:t>
            </w:r>
          </w:p>
        </w:tc>
        <w:tc>
          <w:tcPr>
            <w:tcW w:w="80" w:type="dxa"/>
            <w:vAlign w:val="bottom"/>
          </w:tcPr>
          <w:p>
            <w:pPr>
              <w:spacing w:after="0"/>
              <w:rPr>
                <w:sz w:val="13"/>
                <w:szCs w:val="13"/>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3"/>
                <w:szCs w:val="13"/>
                <w:color w:val="auto"/>
              </w:rPr>
              <w:t>(51.3)</w:t>
            </w: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(36.7)%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Latin America and AsiaPac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94.4</w:t>
            </w:r>
          </w:p>
        </w:tc>
        <w:tc>
          <w:tcPr>
            <w:tcW w:w="8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3"/>
                <w:szCs w:val="13"/>
                <w:b w:val="1"/>
                <w:bCs w:val="1"/>
                <w:color w:val="auto"/>
              </w:rPr>
              <w:t>Total International</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303.8</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447.9</w:t>
            </w:r>
          </w:p>
        </w:tc>
        <w:tc>
          <w:tcPr>
            <w:tcW w:w="80" w:type="dxa"/>
            <w:vAlign w:val="bottom"/>
          </w:tcPr>
          <w:p>
            <w:pPr>
              <w:spacing w:after="0"/>
              <w:rPr>
                <w:sz w:val="13"/>
                <w:szCs w:val="13"/>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3"/>
                <w:szCs w:val="13"/>
                <w:color w:val="auto"/>
              </w:rPr>
              <w:t>(144.1)</w:t>
            </w: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(32.2)%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679.9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Fiscal Year</w:t>
            </w:r>
          </w:p>
        </w:tc>
        <w:tc>
          <w:tcPr>
            <w:tcW w:w="4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Amount</w:t>
            </w:r>
          </w:p>
        </w:tc>
        <w:tc>
          <w:tcPr>
            <w:tcW w:w="1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Percentage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gridSpan w:val="2"/>
          </w:tcPr>
          <w:p>
            <w:pPr>
              <w:jc w:val="center"/>
              <w:ind w:right="460"/>
              <w:spacing w:after="0" w:line="98" w:lineRule="exact"/>
              <w:rPr>
                <w:sz w:val="20"/>
                <w:szCs w:val="20"/>
                <w:color w:val="auto"/>
              </w:rPr>
            </w:pPr>
            <w:r>
              <w:rPr>
                <w:rFonts w:ascii="Arial" w:cs="Arial" w:eastAsia="Arial" w:hAnsi="Arial"/>
                <w:sz w:val="10"/>
                <w:szCs w:val="10"/>
                <w:b w:val="1"/>
                <w:bCs w:val="1"/>
                <w:color w:val="auto"/>
                <w:w w:val="93"/>
              </w:rPr>
              <w:t>Increase/(Decrease)</w:t>
            </w:r>
          </w:p>
        </w:tc>
        <w:tc>
          <w:tcPr>
            <w:tcW w:w="164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3"/>
              </w:rPr>
              <w:t>Increase/(Decrease)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88"/>
              </w:rPr>
              <w:t>(In millions, except percentages)</w:t>
            </w:r>
          </w:p>
        </w:tc>
        <w:tc>
          <w:tcPr>
            <w:tcW w:w="4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242.5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b w:val="1"/>
                <w:bCs w:val="1"/>
                <w:color w:val="auto"/>
              </w:rPr>
              <w:t>International:</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Africa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197.3</w:t>
            </w:r>
          </w:p>
        </w:tc>
        <w:tc>
          <w:tcPr>
            <w:tcW w:w="8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ind w:left="140"/>
              <w:spacing w:after="0"/>
              <w:rPr>
                <w:sz w:val="20"/>
                <w:szCs w:val="20"/>
                <w:color w:val="auto"/>
              </w:rPr>
            </w:pPr>
            <w:r>
              <w:rPr>
                <w:rFonts w:ascii="Arial" w:cs="Arial" w:eastAsia="Arial" w:hAnsi="Arial"/>
                <w:sz w:val="13"/>
                <w:szCs w:val="13"/>
                <w:color w:val="auto"/>
              </w:rPr>
              <w:t>Europe, Middle East, and Russia</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167.6</w:t>
            </w:r>
          </w:p>
        </w:tc>
        <w:tc>
          <w:tcPr>
            <w:tcW w:w="80" w:type="dxa"/>
            <w:vAlign w:val="bottom"/>
          </w:tcPr>
          <w:p>
            <w:pPr>
              <w:spacing w:after="0"/>
              <w:rPr>
                <w:sz w:val="13"/>
                <w:szCs w:val="13"/>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3"/>
                <w:szCs w:val="13"/>
                <w:color w:val="auto"/>
              </w:rPr>
              <w:t>(27.9)</w:t>
            </w: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Latin America and AsiaPac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111.0</w:t>
            </w:r>
          </w:p>
        </w:tc>
        <w:tc>
          <w:tcPr>
            <w:tcW w:w="8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3"/>
                <w:szCs w:val="13"/>
                <w:b w:val="1"/>
                <w:bCs w:val="1"/>
                <w:color w:val="auto"/>
              </w:rPr>
              <w:t>Total International</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447.9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475.9</w:t>
            </w:r>
          </w:p>
        </w:tc>
        <w:tc>
          <w:tcPr>
            <w:tcW w:w="80" w:type="dxa"/>
            <w:vAlign w:val="bottom"/>
          </w:tcPr>
          <w:p>
            <w:pPr>
              <w:spacing w:after="0"/>
              <w:rPr>
                <w:sz w:val="13"/>
                <w:szCs w:val="13"/>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3"/>
                <w:szCs w:val="13"/>
                <w:color w:val="auto"/>
              </w:rPr>
              <w:t>(28.0)</w:t>
            </w: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718.4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Net Loss — Fiscal 2010 Compared with 2009</w:t>
      </w:r>
    </w:p>
    <w:p>
      <w:pPr>
        <w:spacing w:after="0" w:line="96"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Our net loss in fiscal 2010 was $130.2 million compared with a net loss of $355.0 million in fiscal 2009. The net loss in fiscal 2010 included product transition charges to converge our products onto a single platform by the end of fiscal year 2010 and impairments for intangible assets, property, plant and equipment and certain other assets. Additionally, we incurred other charges and expenses including restructuring costs, amortization of purchased intangibles, executive severance and share compensation expense. Finally, we recognized a $1.0 million gain on sale of our San Antonio, Texas property and a $1.2 million gain from settlement of a dispute related to the Telsima acquisition that resulted in a reduction of the purchase price.</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charges, expenses and gains are set forth on a comparative basis in the table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7"/>
              </w:rPr>
              <w:t>Fiscal 2010</w:t>
            </w:r>
          </w:p>
        </w:tc>
        <w:tc>
          <w:tcPr>
            <w:tcW w:w="10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Fiscal 2009</w:t>
            </w:r>
          </w:p>
        </w:tc>
        <w:tc>
          <w:tcPr>
            <w:tcW w:w="1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7"/>
              </w:rPr>
              <w:t>Fiscal 2008</w:t>
            </w:r>
          </w:p>
        </w:tc>
      </w:tr>
      <w:tr>
        <w:trPr>
          <w:trHeight w:val="131"/>
        </w:trPr>
        <w:tc>
          <w:tcPr>
            <w:tcW w:w="6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6"/>
              </w:rPr>
              <w:t>(In millions)</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Intangible assets impairment charges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Other impairment charges and rebranding expenses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 product discontinuances and inventory mark-downs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trade names, customer relationships, non-competition agreements</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Executive severance</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the fair value adjustments related to fixed assets and inventory</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Stratex merger</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Gains from sale of building and Telsima acquisition purchase price settlement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7.8</w:t>
            </w: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r>
      <w:tr>
        <w:trPr>
          <w:trHeight w:val="29"/>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Net Loss — Fiscal 2009 Compared with 2008</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net loss of $355.0 million in fiscal 2009 compared with $11.9 million in fiscal 2009. The net loss in fiscal 2009 primarily resulted from impairment charges for goodwill and the trade name “Stratex,” charges to accelerate our product transition towards a common IP-based platform and increasing the valuation allowance on certain deferred tax assets, as well as purchase accounting adjustments and other expenses related to the acquisitions of Stratex and Telsima.</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Restructuring Charges in Fiscal 2010, 2009 and 2008</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During fiscal 2010, we completed restructuring activities that commenced during fiscal 2009 to reduce our workforce in the U.S., France, Canada and other locations throughout the world. During fiscal 2010, our restructuring charges totaled $7.1 million consisting of:</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Severance, retention and related charges totaling $4.6 million associated with reduction in force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Charges totaling $0.5 million related to the relocation of U.S. employees to North Carolina from Florida.</w:t>
      </w:r>
    </w:p>
    <w:p>
      <w:pPr>
        <w:spacing w:after="0" w:line="86" w:lineRule="exact"/>
        <w:rPr>
          <w:rFonts w:ascii="Arial" w:cs="Arial" w:eastAsia="Arial" w:hAnsi="Arial"/>
          <w:sz w:val="13"/>
          <w:szCs w:val="13"/>
          <w:color w:val="auto"/>
        </w:rPr>
      </w:pPr>
    </w:p>
    <w:p>
      <w:pPr>
        <w:ind w:left="1280" w:right="6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Charges totaling $2.0 million in facility lease obligation impairments primarily for facilities occupied in San Jose, California prior the relocation to our new corporate headquarters in Santa Clara, California.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During the first quarter of fiscal 2009, we announced a new restructuring plan (the “Fiscal 2009 Plan”) to reduce our worldwide workforce. During fiscal 2008, we completed our restructuring activities implemented within the merger restructuring plans (the “Fiscal 2007 Plans”) approved in connection with the January 26, 2007 merger between the Microwave Communications Division of Harris Corporation and Stratex. These restructuring plans included the consolidation of facilities and operations of the predecessor entities in Canada, France, the U.S., China, Brazil and, to a lesser extent, Mexico, New Zealand and the United Kingdom.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our net restructuring charges totaled $8.2 million consisted of:</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$8.0 million (Fiscal 2009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Impairment of fixed assets (non-cash charges) totaling $0.4 million and facility restoration costs of $0.3 million at our Canadian location (Fiscal 2009 Plan).</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Adjustments to the restructuring liability under the 2007 Restructuring Plans for changes in estimates related to sub-tenant activity at our U.S.($0.1 million increase) and Canadian locations ($0.3 million decrease).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Adjustments to the restructuring liability under the 2007 Restructuring Plans for changes in estimates to reduce the severance liability in Canada ($0.3 million decrease).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2008, we recorded $9.3 million of restructuring charges in connection with completion of the Fiscal 2007 Plans. These fiscal 2008 restructuring charges consisted of:</w:t>
      </w:r>
    </w:p>
    <w:p>
      <w:pPr>
        <w:spacing w:after="0" w:line="108" w:lineRule="exact"/>
        <w:rPr>
          <w:sz w:val="20"/>
          <w:szCs w:val="20"/>
          <w:color w:val="auto"/>
        </w:rPr>
      </w:pPr>
    </w:p>
    <w:p>
      <w:pPr>
        <w:ind w:left="1280" w:right="3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$3.4 million ($4.0 in fiscal 2008 charges, less $0.6 million for a reduction in the restructuring liability recorded for Canada and France).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Lease impairment charges totaling $1.8 from implementation of fiscal 2007 plans and changes in estimates related to sub-tenant activity at our U.S. and Canadian locations.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Impairment of fixed assets and leasehold improvements totaling $1.9 million at our Canadian location.</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Impairment of a recoverable value-added type tax in Brazil totaling $2.2 million resulting from our scaled down operations and reduced activity which negatively affected the fair value of this recoverable asset (included in “Other current assets” on our Consolidated Balance Sheets).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Margin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2"/>
          </w:tcPr>
          <w:p>
            <w:pPr>
              <w:jc w:val="center"/>
              <w:ind w:left="200"/>
              <w:spacing w:after="0"/>
              <w:rPr>
                <w:sz w:val="20"/>
                <w:szCs w:val="20"/>
                <w:color w:val="auto"/>
              </w:rPr>
            </w:pPr>
            <w:r>
              <w:rPr>
                <w:rFonts w:ascii="Arial" w:cs="Arial" w:eastAsia="Arial" w:hAnsi="Arial"/>
                <w:sz w:val="10"/>
                <w:szCs w:val="10"/>
                <w:b w:val="1"/>
                <w:bCs w:val="1"/>
                <w:color w:val="auto"/>
                <w:w w:val="92"/>
              </w:rPr>
              <w:t>2010/2009</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gridSpan w:val="2"/>
          </w:tcPr>
          <w:p>
            <w:pPr>
              <w:jc w:val="center"/>
              <w:ind w:left="218"/>
              <w:spacing w:after="0"/>
              <w:rPr>
                <w:sz w:val="20"/>
                <w:szCs w:val="20"/>
                <w:color w:val="auto"/>
              </w:rPr>
            </w:pPr>
            <w:r>
              <w:rPr>
                <w:rFonts w:ascii="Arial" w:cs="Arial" w:eastAsia="Arial" w:hAnsi="Arial"/>
                <w:sz w:val="10"/>
                <w:szCs w:val="10"/>
                <w:b w:val="1"/>
                <w:bCs w:val="1"/>
                <w:color w:val="auto"/>
                <w:w w:val="92"/>
              </w:rPr>
              <w:t>2009/2008</w:t>
            </w: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68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260" w:type="dxa"/>
            <w:vAlign w:val="bottom"/>
            <w:vMerge w:val="restart"/>
          </w:tcPr>
          <w:p>
            <w:pPr>
              <w:spacing w:after="0"/>
              <w:rPr>
                <w:sz w:val="9"/>
                <w:szCs w:val="9"/>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1420" w:type="dxa"/>
            <w:vAlign w:val="bottom"/>
            <w:gridSpan w:val="3"/>
          </w:tcPr>
          <w:p>
            <w:pPr>
              <w:jc w:val="center"/>
              <w:ind w:right="360"/>
              <w:spacing w:after="0" w:line="108" w:lineRule="exact"/>
              <w:rPr>
                <w:sz w:val="20"/>
                <w:szCs w:val="20"/>
                <w:color w:val="auto"/>
              </w:rPr>
            </w:pPr>
            <w:r>
              <w:rPr>
                <w:rFonts w:ascii="Arial" w:cs="Arial" w:eastAsia="Arial" w:hAnsi="Arial"/>
                <w:sz w:val="10"/>
                <w:szCs w:val="10"/>
                <w:b w:val="1"/>
                <w:bCs w:val="1"/>
                <w:color w:val="auto"/>
                <w:w w:val="98"/>
              </w:rPr>
              <w:t>% Increase/</w:t>
            </w:r>
          </w:p>
        </w:tc>
        <w:tc>
          <w:tcPr>
            <w:tcW w:w="56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48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gridSpan w:val="4"/>
          </w:tcPr>
          <w:p>
            <w:pPr>
              <w:ind w:left="220"/>
              <w:spacing w:after="0"/>
              <w:rPr>
                <w:sz w:val="20"/>
                <w:szCs w:val="20"/>
                <w:color w:val="auto"/>
              </w:rPr>
            </w:pPr>
            <w:r>
              <w:rPr>
                <w:rFonts w:ascii="Arial" w:cs="Arial" w:eastAsia="Arial" w:hAnsi="Arial"/>
                <w:sz w:val="10"/>
                <w:szCs w:val="10"/>
                <w:b w:val="1"/>
                <w:bCs w:val="1"/>
                <w:color w:val="auto"/>
                <w:w w:val="92"/>
              </w:rPr>
              <w:t>(In millions, except percentages)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$478.9</w:t>
            </w: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$679.9</w:t>
            </w:r>
          </w:p>
        </w:tc>
        <w:tc>
          <w:tcPr>
            <w:tcW w:w="130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(29.6)%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5"/>
              </w:rPr>
              <w:t>$718.4</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20"/>
                <w:szCs w:val="20"/>
                <w:color w:val="auto"/>
              </w:rPr>
            </w:pPr>
            <w:r>
              <w:rPr>
                <w:rFonts w:ascii="Arial" w:cs="Arial" w:eastAsia="Arial" w:hAnsi="Arial"/>
                <w:sz w:val="13"/>
                <w:szCs w:val="13"/>
                <w:color w:val="auto"/>
              </w:rPr>
              <w:t>Cost of product sales and services</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$345.5</w:t>
            </w:r>
          </w:p>
        </w:tc>
        <w:tc>
          <w:tcPr>
            <w:tcW w:w="940" w:type="dxa"/>
            <w:vAlign w:val="bottom"/>
            <w:gridSpan w:val="2"/>
          </w:tcPr>
          <w:p>
            <w:pPr>
              <w:jc w:val="right"/>
              <w:ind w:right="148"/>
              <w:spacing w:after="0"/>
              <w:rPr>
                <w:sz w:val="20"/>
                <w:szCs w:val="20"/>
                <w:color w:val="auto"/>
              </w:rPr>
            </w:pPr>
            <w:r>
              <w:rPr>
                <w:rFonts w:ascii="Arial" w:cs="Arial" w:eastAsia="Arial" w:hAnsi="Arial"/>
                <w:sz w:val="13"/>
                <w:szCs w:val="13"/>
                <w:color w:val="auto"/>
              </w:rPr>
              <w:t>$505.5</w:t>
            </w:r>
          </w:p>
        </w:tc>
        <w:tc>
          <w:tcPr>
            <w:tcW w:w="1300" w:type="dxa"/>
            <w:vAlign w:val="bottom"/>
            <w:gridSpan w:val="2"/>
          </w:tcPr>
          <w:p>
            <w:pPr>
              <w:jc w:val="right"/>
              <w:ind w:right="168"/>
              <w:spacing w:after="0"/>
              <w:rPr>
                <w:sz w:val="20"/>
                <w:szCs w:val="20"/>
                <w:color w:val="auto"/>
              </w:rPr>
            </w:pPr>
            <w:r>
              <w:rPr>
                <w:rFonts w:ascii="Arial" w:cs="Arial" w:eastAsia="Arial" w:hAnsi="Arial"/>
                <w:sz w:val="13"/>
                <w:szCs w:val="13"/>
                <w:color w:val="auto"/>
              </w:rPr>
              <w:t>(31.7)%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color w:val="auto"/>
                <w:w w:val="85"/>
              </w:rPr>
              <w:t>$528.2</w:t>
            </w:r>
          </w:p>
        </w:tc>
        <w:tc>
          <w:tcPr>
            <w:tcW w:w="1240" w:type="dxa"/>
            <w:vAlign w:val="bottom"/>
            <w:gridSpan w:val="2"/>
          </w:tcPr>
          <w:p>
            <w:pPr>
              <w:jc w:val="right"/>
              <w:ind w:right="168"/>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$133.4</w:t>
            </w: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$174.4</w:t>
            </w:r>
          </w:p>
        </w:tc>
        <w:tc>
          <w:tcPr>
            <w:tcW w:w="130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(23.5)%</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5"/>
              </w:rPr>
              <w:t>$190.2</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20"/>
                <w:szCs w:val="20"/>
                <w:color w:val="auto"/>
              </w:rPr>
            </w:pPr>
            <w:r>
              <w:rPr>
                <w:rFonts w:ascii="Arial" w:cs="Arial" w:eastAsia="Arial" w:hAnsi="Arial"/>
                <w:sz w:val="13"/>
                <w:szCs w:val="13"/>
                <w:color w:val="auto"/>
              </w:rPr>
              <w:t>% of revenue</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27.9%</w:t>
            </w:r>
          </w:p>
        </w:tc>
        <w:tc>
          <w:tcPr>
            <w:tcW w:w="940" w:type="dxa"/>
            <w:vAlign w:val="bottom"/>
            <w:gridSpan w:val="2"/>
          </w:tcPr>
          <w:p>
            <w:pPr>
              <w:jc w:val="right"/>
              <w:ind w:right="48"/>
              <w:spacing w:after="0"/>
              <w:rPr>
                <w:sz w:val="20"/>
                <w:szCs w:val="20"/>
                <w:color w:val="auto"/>
              </w:rPr>
            </w:pPr>
            <w:r>
              <w:rPr>
                <w:rFonts w:ascii="Arial" w:cs="Arial" w:eastAsia="Arial" w:hAnsi="Arial"/>
                <w:sz w:val="13"/>
                <w:szCs w:val="13"/>
                <w:color w:val="auto"/>
              </w:rPr>
              <w:t>25.7%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26.5%</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2010 Compared with 2009</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Gross margin in fiscal 2010 was $133.4 million, or 27.9% of revenue, compared with $174.4 million, or 25.7% of revenue in fiscal 2009. Gross margin in fiscal 2010 was impacted by $16.9 million of charges to converge our products onto a single platform by the end of fiscal year 2010. These charges included $7.9 million related to provisions for legacy product excess and obsolete inventory, and $5.5 million for impairment of a building and idle equipment. Additionally, $3.5 million in charges were recorded for inventory purchase commitments and $8.2 million for amortization of purchased technology.</w:t>
      </w:r>
    </w:p>
    <w:p>
      <w:pPr>
        <w:spacing w:after="0" w:line="7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Our gross margin percentage improved during fiscal 2010 compared with fiscal 2009 due to the benefit from the pricing and structure of certain customer arrangements, primarily during the first two quarters of fiscal 2010. Gross margin also benefited from lower logistics expenses, lower manufacturing overhead and improved supplier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60"/>
        <w:spacing w:after="0" w:line="371" w:lineRule="auto"/>
        <w:rPr>
          <w:sz w:val="20"/>
          <w:szCs w:val="20"/>
          <w:color w:val="auto"/>
        </w:rPr>
      </w:pPr>
      <w:r>
        <w:rPr>
          <w:rFonts w:ascii="Arial" w:cs="Arial" w:eastAsia="Arial" w:hAnsi="Arial"/>
          <w:sz w:val="11"/>
          <w:szCs w:val="11"/>
          <w:color w:val="auto"/>
        </w:rPr>
        <w:t>pricing on select projects primarily during the first two quarters of fiscal 2010. However, these improvements were partially offset by a reduction in the volume of sales of our legacy products during the second half of fiscal 2010 which, combined with increased start-up production costs of new products and the items discussed above, adversely affected our gross margin.</w:t>
      </w:r>
    </w:p>
    <w:p>
      <w:pPr>
        <w:spacing w:after="0" w:line="12" w:lineRule="exact"/>
        <w:rPr>
          <w:sz w:val="20"/>
          <w:szCs w:val="20"/>
          <w:color w:val="auto"/>
        </w:rPr>
      </w:pPr>
    </w:p>
    <w:p>
      <w:pPr>
        <w:ind w:left="680" w:right="1360" w:firstLine="399"/>
        <w:spacing w:after="0" w:line="276" w:lineRule="auto"/>
        <w:rPr>
          <w:sz w:val="20"/>
          <w:szCs w:val="20"/>
          <w:color w:val="auto"/>
        </w:rPr>
      </w:pPr>
      <w:r>
        <w:rPr>
          <w:rFonts w:ascii="Arial" w:cs="Arial" w:eastAsia="Arial" w:hAnsi="Arial"/>
          <w:sz w:val="13"/>
          <w:szCs w:val="13"/>
          <w:color w:val="auto"/>
        </w:rPr>
        <w:t>By comparison, gross margin in fiscal 2009 was impacted by $37.9 million of write-offs consisting of $29.8 million in charges related to product transition, $7.5 million for amortization of purchased technology and $0.6 million of amortization of the fair value of adjustments for fixed assets acquired from Stratex.</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2009 Compared with 2008</w:t>
      </w:r>
    </w:p>
    <w:p>
      <w:pPr>
        <w:spacing w:after="0" w:line="96"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Gross margin in fiscal 2009 was $174.4 million, or 25.7% of revenue, compared with $190.2 million, or 26.5% of revenue in fiscal 2008. Gross margin in fiscal 2009 was reduced by $29.8 million in charges related to product transition, $7.5 million for amortization of purchased technology and $0.6 million of amortization of the fair value of adjustments for fixed assets acquired from Stratex.</w:t>
      </w:r>
    </w:p>
    <w:p>
      <w:pPr>
        <w:spacing w:after="0" w:line="67" w:lineRule="exact"/>
        <w:rPr>
          <w:sz w:val="20"/>
          <w:szCs w:val="20"/>
          <w:color w:val="auto"/>
        </w:rPr>
      </w:pPr>
    </w:p>
    <w:p>
      <w:pPr>
        <w:ind w:left="680" w:right="880" w:firstLine="399"/>
        <w:spacing w:after="0" w:line="320" w:lineRule="auto"/>
        <w:rPr>
          <w:sz w:val="20"/>
          <w:szCs w:val="20"/>
          <w:color w:val="auto"/>
        </w:rPr>
      </w:pPr>
      <w:r>
        <w:rPr>
          <w:rFonts w:ascii="Arial" w:cs="Arial" w:eastAsia="Arial" w:hAnsi="Arial"/>
          <w:sz w:val="12"/>
          <w:szCs w:val="12"/>
          <w:color w:val="auto"/>
        </w:rPr>
        <w:t>By comparison, gross margin in fiscal 2008 was reduced by $14.7 million for inventory markdowns and impairment relating to product transitioning, $7.1 million of amortization on purchased technology, $0.8 million for amortization of the fair value of adjustments for fixed assets acquired from Stratex, and $1.5 million of merger integration costs.</w:t>
      </w:r>
    </w:p>
    <w:p>
      <w:pPr>
        <w:spacing w:after="0" w:line="35"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Aside from the charges and expenses mentioned above, gross margin and gross margin percentage benefited from a favorable margin impact on some projects, gains on currency translations, decreased warranty expenses, favorable purchase price variance and product mix.</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left="221"/>
              <w:spacing w:after="0"/>
              <w:rPr>
                <w:sz w:val="20"/>
                <w:szCs w:val="20"/>
                <w:color w:val="auto"/>
              </w:rPr>
            </w:pPr>
            <w:r>
              <w:rPr>
                <w:rFonts w:ascii="Arial" w:cs="Arial" w:eastAsia="Arial" w:hAnsi="Arial"/>
                <w:sz w:val="10"/>
                <w:szCs w:val="10"/>
                <w:b w:val="1"/>
                <w:bCs w:val="1"/>
                <w:color w:val="auto"/>
                <w:w w:val="97"/>
              </w:rPr>
              <w:t>2010/2009</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gridSpan w:val="2"/>
          </w:tcPr>
          <w:p>
            <w:pPr>
              <w:jc w:val="center"/>
              <w:ind w:left="221"/>
              <w:spacing w:after="0"/>
              <w:rPr>
                <w:sz w:val="20"/>
                <w:szCs w:val="20"/>
                <w:color w:val="auto"/>
              </w:rPr>
            </w:pPr>
            <w:r>
              <w:rPr>
                <w:rFonts w:ascii="Arial" w:cs="Arial" w:eastAsia="Arial" w:hAnsi="Arial"/>
                <w:sz w:val="10"/>
                <w:szCs w:val="10"/>
                <w:b w:val="1"/>
                <w:bCs w:val="1"/>
                <w:color w:val="auto"/>
                <w:w w:val="92"/>
              </w:rPr>
              <w:t>2009/2008</w:t>
            </w:r>
          </w:p>
        </w:tc>
        <w:tc>
          <w:tcPr>
            <w:tcW w:w="0" w:type="dxa"/>
            <w:vAlign w:val="bottom"/>
          </w:tcPr>
          <w:p>
            <w:pPr>
              <w:spacing w:after="0"/>
              <w:rPr>
                <w:sz w:val="1"/>
                <w:szCs w:val="1"/>
                <w:color w:val="auto"/>
              </w:rPr>
            </w:pPr>
          </w:p>
        </w:tc>
      </w:tr>
      <w:tr>
        <w:trPr>
          <w:trHeight w:val="108"/>
        </w:trPr>
        <w:tc>
          <w:tcPr>
            <w:tcW w:w="5560" w:type="dxa"/>
            <w:vAlign w:val="bottom"/>
          </w:tcPr>
          <w:p>
            <w:pPr>
              <w:spacing w:after="0"/>
              <w:rPr>
                <w:sz w:val="9"/>
                <w:szCs w:val="9"/>
                <w:color w:val="auto"/>
              </w:rPr>
            </w:pPr>
          </w:p>
        </w:tc>
        <w:tc>
          <w:tcPr>
            <w:tcW w:w="440" w:type="dxa"/>
            <w:vAlign w:val="bottom"/>
            <w:vMerge w:val="restart"/>
          </w:tcPr>
          <w:p>
            <w:pPr>
              <w:jc w:val="right"/>
              <w:ind w:right="59"/>
              <w:spacing w:after="0"/>
              <w:rPr>
                <w:sz w:val="20"/>
                <w:szCs w:val="20"/>
                <w:color w:val="auto"/>
              </w:rPr>
            </w:pPr>
            <w:r>
              <w:rPr>
                <w:rFonts w:ascii="Arial" w:cs="Arial" w:eastAsia="Arial" w:hAnsi="Arial"/>
                <w:sz w:val="10"/>
                <w:szCs w:val="10"/>
                <w:b w:val="1"/>
                <w:bCs w:val="1"/>
                <w:color w:val="auto"/>
              </w:rPr>
              <w:t>2010</w:t>
            </w:r>
          </w:p>
        </w:tc>
        <w:tc>
          <w:tcPr>
            <w:tcW w:w="280" w:type="dxa"/>
            <w:vAlign w:val="bottom"/>
            <w:vMerge w:val="restart"/>
          </w:tcPr>
          <w:p>
            <w:pPr>
              <w:spacing w:after="0"/>
              <w:rPr>
                <w:sz w:val="9"/>
                <w:szCs w:val="9"/>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280" w:type="dxa"/>
            <w:vAlign w:val="bottom"/>
            <w:vMerge w:val="restart"/>
          </w:tcPr>
          <w:p>
            <w:pPr>
              <w:spacing w:after="0"/>
              <w:rPr>
                <w:sz w:val="9"/>
                <w:szCs w:val="9"/>
                <w:color w:val="auto"/>
              </w:rPr>
            </w:pPr>
          </w:p>
        </w:tc>
        <w:tc>
          <w:tcPr>
            <w:tcW w:w="44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80" w:type="dxa"/>
            <w:vAlign w:val="bottom"/>
            <w:vMerge w:val="continue"/>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5"/>
              </w:rPr>
              <w:t>(In millions, except</w:t>
            </w:r>
          </w:p>
        </w:tc>
        <w:tc>
          <w:tcPr>
            <w:tcW w:w="720" w:type="dxa"/>
            <w:vAlign w:val="bottom"/>
            <w:gridSpan w:val="2"/>
          </w:tcPr>
          <w:p>
            <w:pPr>
              <w:jc w:val="right"/>
              <w:ind w:right="128"/>
              <w:spacing w:after="0"/>
              <w:rPr>
                <w:sz w:val="20"/>
                <w:szCs w:val="20"/>
                <w:color w:val="auto"/>
              </w:rPr>
            </w:pPr>
            <w:r>
              <w:rPr>
                <w:rFonts w:ascii="Arial" w:cs="Arial" w:eastAsia="Arial" w:hAnsi="Arial"/>
                <w:sz w:val="10"/>
                <w:szCs w:val="10"/>
                <w:b w:val="1"/>
                <w:bCs w:val="1"/>
                <w:color w:val="auto"/>
                <w:w w:val="83"/>
              </w:rPr>
              <w:t>percentages)</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440" w:type="dxa"/>
            <w:vAlign w:val="bottom"/>
          </w:tcPr>
          <w:p>
            <w:pPr>
              <w:jc w:val="right"/>
              <w:ind w:right="59"/>
              <w:spacing w:after="0"/>
              <w:rPr>
                <w:sz w:val="20"/>
                <w:szCs w:val="20"/>
                <w:color w:val="auto"/>
              </w:rPr>
            </w:pPr>
            <w:r>
              <w:rPr>
                <w:rFonts w:ascii="Arial" w:cs="Arial" w:eastAsia="Arial" w:hAnsi="Arial"/>
                <w:sz w:val="13"/>
                <w:szCs w:val="13"/>
                <w:color w:val="auto"/>
                <w:w w:val="92"/>
              </w:rPr>
              <w:t>$41.1</w:t>
            </w:r>
          </w:p>
        </w:tc>
        <w:tc>
          <w:tcPr>
            <w:tcW w:w="720" w:type="dxa"/>
            <w:vAlign w:val="bottom"/>
            <w:gridSpan w:val="2"/>
          </w:tcPr>
          <w:p>
            <w:pPr>
              <w:jc w:val="right"/>
              <w:ind w:right="48"/>
              <w:spacing w:after="0"/>
              <w:rPr>
                <w:sz w:val="20"/>
                <w:szCs w:val="20"/>
                <w:color w:val="auto"/>
              </w:rPr>
            </w:pPr>
            <w:r>
              <w:rPr>
                <w:rFonts w:ascii="Arial" w:cs="Arial" w:eastAsia="Arial" w:hAnsi="Arial"/>
                <w:sz w:val="13"/>
                <w:szCs w:val="13"/>
                <w:color w:val="auto"/>
              </w:rPr>
              <w:t>$40.4</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1.7%</w:t>
            </w:r>
          </w:p>
        </w:tc>
        <w:tc>
          <w:tcPr>
            <w:tcW w:w="720" w:type="dxa"/>
            <w:vAlign w:val="bottom"/>
            <w:gridSpan w:val="2"/>
          </w:tcPr>
          <w:p>
            <w:pPr>
              <w:jc w:val="right"/>
              <w:ind w:right="48"/>
              <w:spacing w:after="0"/>
              <w:rPr>
                <w:sz w:val="20"/>
                <w:szCs w:val="20"/>
                <w:color w:val="auto"/>
              </w:rPr>
            </w:pPr>
            <w:r>
              <w:rPr>
                <w:rFonts w:ascii="Arial" w:cs="Arial" w:eastAsia="Arial" w:hAnsi="Arial"/>
                <w:sz w:val="13"/>
                <w:szCs w:val="13"/>
                <w:color w:val="auto"/>
              </w:rPr>
              <w:t>$46.1</w:t>
            </w:r>
          </w:p>
        </w:tc>
        <w:tc>
          <w:tcPr>
            <w:tcW w:w="1320" w:type="dxa"/>
            <w:vAlign w:val="bottom"/>
            <w:gridSpan w:val="2"/>
          </w:tcPr>
          <w:p>
            <w:pPr>
              <w:jc w:val="right"/>
              <w:ind w:right="168"/>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20"/>
                <w:szCs w:val="20"/>
                <w:color w:val="auto"/>
              </w:rPr>
            </w:pPr>
            <w:r>
              <w:rPr>
                <w:rFonts w:ascii="Arial" w:cs="Arial" w:eastAsia="Arial" w:hAnsi="Arial"/>
                <w:sz w:val="13"/>
                <w:szCs w:val="13"/>
                <w:color w:val="auto"/>
              </w:rPr>
              <w:t>% of revenue</w:t>
            </w:r>
          </w:p>
        </w:tc>
        <w:tc>
          <w:tcPr>
            <w:tcW w:w="440" w:type="dxa"/>
            <w:vAlign w:val="bottom"/>
          </w:tcPr>
          <w:p>
            <w:pPr>
              <w:jc w:val="right"/>
              <w:spacing w:after="0"/>
              <w:rPr>
                <w:sz w:val="20"/>
                <w:szCs w:val="20"/>
                <w:color w:val="auto"/>
              </w:rPr>
            </w:pPr>
            <w:r>
              <w:rPr>
                <w:rFonts w:ascii="Arial" w:cs="Arial" w:eastAsia="Arial" w:hAnsi="Arial"/>
                <w:sz w:val="13"/>
                <w:szCs w:val="13"/>
                <w:color w:val="auto"/>
              </w:rPr>
              <w:t>8.6%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2010 Compared with 2009</w:t>
      </w:r>
    </w:p>
    <w:p>
      <w:pPr>
        <w:spacing w:after="0" w:line="96" w:lineRule="exact"/>
        <w:rPr>
          <w:sz w:val="20"/>
          <w:szCs w:val="20"/>
          <w:color w:val="auto"/>
        </w:rPr>
      </w:pPr>
    </w:p>
    <w:p>
      <w:pPr>
        <w:ind w:left="680" w:right="880" w:firstLine="399"/>
        <w:spacing w:after="0" w:line="334" w:lineRule="auto"/>
        <w:rPr>
          <w:sz w:val="20"/>
          <w:szCs w:val="20"/>
          <w:color w:val="auto"/>
        </w:rPr>
      </w:pPr>
      <w:r>
        <w:rPr>
          <w:rFonts w:ascii="Arial" w:cs="Arial" w:eastAsia="Arial" w:hAnsi="Arial"/>
          <w:sz w:val="11"/>
          <w:szCs w:val="11"/>
          <w:color w:val="auto"/>
        </w:rPr>
        <w:t>R&amp;D expenses were $41.1 million in fiscal 2010 compared with $40.4 million in fiscal 2009. As a percentage of revenue, these expenses increased to 8.6% in fiscal 2010 from 5.9% in fiscal 2009 due to 29.6% lower revenue and a 1.7% increase in spending. The increase in R&amp;D spending, primarily labor costs, in fiscal 2010 compared with fiscal 2009 was primarily attributable to increases in the areas of WiMAX and energy, security and surveillance product development, but partially offset by a reduction in TRuepoint 6000 development efforts.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2009 Compared with 2008</w:t>
      </w:r>
    </w:p>
    <w:p>
      <w:pPr>
        <w:spacing w:after="0" w:line="96" w:lineRule="exact"/>
        <w:rPr>
          <w:sz w:val="20"/>
          <w:szCs w:val="20"/>
          <w:color w:val="auto"/>
        </w:rPr>
      </w:pPr>
    </w:p>
    <w:p>
      <w:pPr>
        <w:jc w:val="both"/>
        <w:ind w:left="680" w:right="860" w:firstLine="399"/>
        <w:spacing w:after="0" w:line="264" w:lineRule="auto"/>
        <w:rPr>
          <w:sz w:val="20"/>
          <w:szCs w:val="20"/>
          <w:color w:val="auto"/>
        </w:rPr>
      </w:pPr>
      <w:r>
        <w:rPr>
          <w:rFonts w:ascii="Arial" w:cs="Arial" w:eastAsia="Arial" w:hAnsi="Arial"/>
          <w:sz w:val="13"/>
          <w:szCs w:val="13"/>
          <w:color w:val="auto"/>
        </w:rPr>
        <w:t>Research and development (“R&amp;D”) expenses were $40.4 million in fiscal 2009 compared with $46.1 million in fiscal 2008. As a percentage of revenue, these expenses decreased to 5.9% in fiscal 2009 from 6.4% in fiscal 2008 due to a decrease in spending. The decrease in spending in fiscal 2009 compared with fiscal 2008 was primarily attributable to the reduction in engineering workforce implemented in our restructuring plans during fiscal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Administrative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jc w:val="center"/>
              <w:ind w:left="223"/>
              <w:spacing w:after="0"/>
              <w:rPr>
                <w:sz w:val="20"/>
                <w:szCs w:val="20"/>
                <w:color w:val="auto"/>
              </w:rPr>
            </w:pPr>
            <w:r>
              <w:rPr>
                <w:rFonts w:ascii="Arial" w:cs="Arial" w:eastAsia="Arial" w:hAnsi="Arial"/>
                <w:sz w:val="10"/>
                <w:szCs w:val="10"/>
                <w:b w:val="1"/>
                <w:bCs w:val="1"/>
                <w:color w:val="auto"/>
                <w:w w:val="92"/>
              </w:rPr>
              <w:t>2010/2009</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jc w:val="center"/>
              <w:ind w:left="221"/>
              <w:spacing w:after="0"/>
              <w:rPr>
                <w:sz w:val="20"/>
                <w:szCs w:val="20"/>
                <w:color w:val="auto"/>
              </w:rPr>
            </w:pPr>
            <w:r>
              <w:rPr>
                <w:rFonts w:ascii="Arial" w:cs="Arial" w:eastAsia="Arial" w:hAnsi="Arial"/>
                <w:sz w:val="10"/>
                <w:szCs w:val="10"/>
                <w:b w:val="1"/>
                <w:bCs w:val="1"/>
                <w:color w:val="auto"/>
                <w:w w:val="97"/>
              </w:rPr>
              <w:t>2009/2008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40" w:type="dxa"/>
            <w:vAlign w:val="bottom"/>
            <w:vMerge w:val="restart"/>
          </w:tcPr>
          <w:p>
            <w:pPr>
              <w:spacing w:after="0"/>
              <w:rPr>
                <w:sz w:val="9"/>
                <w:szCs w:val="9"/>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2010</w:t>
            </w:r>
          </w:p>
        </w:tc>
        <w:tc>
          <w:tcPr>
            <w:tcW w:w="280" w:type="dxa"/>
            <w:vAlign w:val="bottom"/>
            <w:vMerge w:val="restart"/>
          </w:tcPr>
          <w:p>
            <w:pPr>
              <w:spacing w:after="0"/>
              <w:rPr>
                <w:sz w:val="9"/>
                <w:szCs w:val="9"/>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260" w:type="dxa"/>
            <w:vAlign w:val="bottom"/>
            <w:vMerge w:val="restart"/>
          </w:tcPr>
          <w:p>
            <w:pPr>
              <w:spacing w:after="0"/>
              <w:rPr>
                <w:sz w:val="9"/>
                <w:szCs w:val="9"/>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0"/>
                <w:szCs w:val="10"/>
                <w:b w:val="1"/>
                <w:bCs w:val="1"/>
                <w:color w:val="auto"/>
                <w:w w:val="81"/>
              </w:rPr>
              <w:t>(In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6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860" w:type="dxa"/>
            <w:vAlign w:val="bottom"/>
            <w:gridSpan w:val="3"/>
          </w:tcPr>
          <w:p>
            <w:pPr>
              <w:jc w:val="right"/>
              <w:ind w:right="488"/>
              <w:spacing w:after="0"/>
              <w:rPr>
                <w:sz w:val="20"/>
                <w:szCs w:val="20"/>
                <w:color w:val="auto"/>
              </w:rPr>
            </w:pPr>
            <w:r>
              <w:rPr>
                <w:rFonts w:ascii="Arial" w:cs="Arial" w:eastAsia="Arial" w:hAnsi="Arial"/>
                <w:sz w:val="10"/>
                <w:szCs w:val="10"/>
                <w:b w:val="1"/>
                <w:bCs w:val="1"/>
                <w:color w:val="auto"/>
                <w:w w:val="92"/>
              </w:rPr>
              <w:t>millions, except percentages)</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100" w:type="dxa"/>
            <w:vAlign w:val="bottom"/>
          </w:tcPr>
          <w:p>
            <w:pPr>
              <w:ind w:left="680"/>
              <w:spacing w:after="0"/>
              <w:rPr>
                <w:sz w:val="20"/>
                <w:szCs w:val="20"/>
                <w:color w:val="auto"/>
              </w:rPr>
            </w:pPr>
            <w:r>
              <w:rPr>
                <w:rFonts w:ascii="Arial" w:cs="Arial" w:eastAsia="Arial" w:hAnsi="Arial"/>
                <w:sz w:val="13"/>
                <w:szCs w:val="13"/>
                <w:color w:val="auto"/>
              </w:rPr>
              <w:t>Selling and administrative expenses</w:t>
            </w:r>
          </w:p>
        </w:tc>
        <w:tc>
          <w:tcPr>
            <w:tcW w:w="2200" w:type="dxa"/>
            <w:vAlign w:val="bottom"/>
            <w:gridSpan w:val="2"/>
          </w:tcPr>
          <w:p>
            <w:pPr>
              <w:jc w:val="right"/>
              <w:ind w:right="128"/>
              <w:spacing w:after="0"/>
              <w:rPr>
                <w:sz w:val="20"/>
                <w:szCs w:val="20"/>
                <w:color w:val="auto"/>
              </w:rPr>
            </w:pPr>
            <w:r>
              <w:rPr>
                <w:rFonts w:ascii="Arial" w:cs="Arial" w:eastAsia="Arial" w:hAnsi="Arial"/>
                <w:sz w:val="13"/>
                <w:szCs w:val="13"/>
                <w:color w:val="auto"/>
              </w:rPr>
              <w:t>$141.0</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$138.3</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$141.4</w:t>
            </w:r>
          </w:p>
        </w:tc>
        <w:tc>
          <w:tcPr>
            <w:tcW w:w="1260" w:type="dxa"/>
            <w:vAlign w:val="bottom"/>
            <w:gridSpan w:val="2"/>
          </w:tcPr>
          <w:p>
            <w:pPr>
              <w:jc w:val="right"/>
              <w:ind w:right="168"/>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00" w:type="dxa"/>
            <w:vAlign w:val="bottom"/>
          </w:tcPr>
          <w:p>
            <w:pPr>
              <w:ind w:left="680"/>
              <w:spacing w:after="0"/>
              <w:rPr>
                <w:sz w:val="20"/>
                <w:szCs w:val="20"/>
                <w:color w:val="auto"/>
              </w:rPr>
            </w:pPr>
            <w:r>
              <w:rPr>
                <w:rFonts w:ascii="Arial" w:cs="Arial" w:eastAsia="Arial" w:hAnsi="Arial"/>
                <w:sz w:val="13"/>
                <w:szCs w:val="13"/>
                <w:color w:val="auto"/>
              </w:rPr>
              <w:t>% of revenue</w:t>
            </w:r>
          </w:p>
        </w:tc>
        <w:tc>
          <w:tcPr>
            <w:tcW w:w="2200" w:type="dxa"/>
            <w:vAlign w:val="bottom"/>
            <w:gridSpan w:val="2"/>
          </w:tcPr>
          <w:p>
            <w:pPr>
              <w:jc w:val="right"/>
              <w:ind w:right="28"/>
              <w:spacing w:after="0"/>
              <w:rPr>
                <w:sz w:val="20"/>
                <w:szCs w:val="20"/>
                <w:color w:val="auto"/>
              </w:rPr>
            </w:pPr>
            <w:r>
              <w:rPr>
                <w:rFonts w:ascii="Arial" w:cs="Arial" w:eastAsia="Arial" w:hAnsi="Arial"/>
                <w:sz w:val="13"/>
                <w:szCs w:val="13"/>
                <w:color w:val="auto"/>
              </w:rPr>
              <w:t>29.4%</w:t>
            </w:r>
          </w:p>
        </w:tc>
        <w:tc>
          <w:tcPr>
            <w:tcW w:w="960" w:type="dxa"/>
            <w:vAlign w:val="bottom"/>
            <w:gridSpan w:val="2"/>
          </w:tcPr>
          <w:p>
            <w:pPr>
              <w:jc w:val="right"/>
              <w:ind w:right="28"/>
              <w:spacing w:after="0"/>
              <w:rPr>
                <w:sz w:val="20"/>
                <w:szCs w:val="20"/>
                <w:color w:val="auto"/>
              </w:rPr>
            </w:pPr>
            <w:r>
              <w:rPr>
                <w:rFonts w:ascii="Arial" w:cs="Arial" w:eastAsia="Arial" w:hAnsi="Arial"/>
                <w:sz w:val="13"/>
                <w:szCs w:val="13"/>
                <w:color w:val="auto"/>
              </w:rPr>
              <w:t>20.3%</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3"/>
                <w:szCs w:val="13"/>
                <w:color w:val="auto"/>
              </w:rPr>
              <w:t>19.7%</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4100" w:type="dxa"/>
            <w:vAlign w:val="bottom"/>
          </w:tcPr>
          <w:p>
            <w:pPr>
              <w:spacing w:after="0"/>
              <w:rPr>
                <w:sz w:val="24"/>
                <w:szCs w:val="24"/>
                <w:color w:val="auto"/>
              </w:rPr>
            </w:pPr>
          </w:p>
        </w:tc>
        <w:tc>
          <w:tcPr>
            <w:tcW w:w="2200" w:type="dxa"/>
            <w:vAlign w:val="bottom"/>
            <w:gridSpan w:val="2"/>
          </w:tcPr>
          <w:p>
            <w:pPr>
              <w:jc w:val="right"/>
              <w:ind w:right="508"/>
              <w:spacing w:after="0"/>
              <w:rPr>
                <w:sz w:val="20"/>
                <w:szCs w:val="20"/>
                <w:color w:val="auto"/>
              </w:rPr>
            </w:pPr>
            <w:r>
              <w:rPr>
                <w:rFonts w:ascii="Arial" w:cs="Arial" w:eastAsia="Arial" w:hAnsi="Arial"/>
                <w:sz w:val="13"/>
                <w:szCs w:val="13"/>
                <w:color w:val="auto"/>
              </w:rPr>
              <w:t>36</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0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2010 Compared with Fiscal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significant increases and decreases to our selling and administrative expenses comparing fiscal 2010 with fiscal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3"/>
              </w:rPr>
              <w:t>Increase/(Decrease)</w:t>
            </w:r>
          </w:p>
        </w:tc>
      </w:tr>
      <w:tr>
        <w:trPr>
          <w:trHeight w:val="131"/>
        </w:trPr>
        <w:tc>
          <w:tcPr>
            <w:tcW w:w="8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17"/>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Increase in commissions paid to sales agents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center"/>
              <w:ind w:left="1057"/>
              <w:spacing w:after="0"/>
              <w:rPr>
                <w:sz w:val="20"/>
                <w:szCs w:val="20"/>
                <w:color w:val="auto"/>
              </w:rPr>
            </w:pPr>
            <w:r>
              <w:rPr>
                <w:rFonts w:ascii="Arial" w:cs="Arial" w:eastAsia="Arial" w:hAnsi="Arial"/>
                <w:sz w:val="13"/>
                <w:szCs w:val="13"/>
                <w:color w:val="auto"/>
                <w:w w:val="88"/>
              </w:rPr>
              <w:t>4.5</w:t>
            </w:r>
          </w:p>
        </w:tc>
        <w:tc>
          <w:tcPr>
            <w:tcW w:w="80" w:type="dxa"/>
            <w:vAlign w:val="bottom"/>
            <w:shd w:val="clear" w:color="auto" w:fill="CCEEFF"/>
          </w:tcPr>
          <w:p>
            <w:pPr>
              <w:spacing w:after="0"/>
              <w:rPr>
                <w:sz w:val="14"/>
                <w:szCs w:val="14"/>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Increase in software amortization</w:t>
            </w:r>
          </w:p>
        </w:tc>
        <w:tc>
          <w:tcPr>
            <w:tcW w:w="180" w:type="dxa"/>
            <w:vAlign w:val="bottom"/>
          </w:tcPr>
          <w:p>
            <w:pPr>
              <w:spacing w:after="0"/>
              <w:rPr>
                <w:sz w:val="13"/>
                <w:szCs w:val="13"/>
                <w:color w:val="auto"/>
              </w:rPr>
            </w:pPr>
          </w:p>
        </w:tc>
        <w:tc>
          <w:tcPr>
            <w:tcW w:w="1320" w:type="dxa"/>
            <w:vAlign w:val="bottom"/>
            <w:gridSpan w:val="2"/>
          </w:tcPr>
          <w:p>
            <w:pPr>
              <w:jc w:val="center"/>
              <w:ind w:left="1057"/>
              <w:spacing w:after="0"/>
              <w:rPr>
                <w:sz w:val="20"/>
                <w:szCs w:val="20"/>
                <w:color w:val="auto"/>
              </w:rPr>
            </w:pPr>
            <w:r>
              <w:rPr>
                <w:rFonts w:ascii="Arial" w:cs="Arial" w:eastAsia="Arial" w:hAnsi="Arial"/>
                <w:sz w:val="13"/>
                <w:szCs w:val="13"/>
                <w:color w:val="auto"/>
                <w:w w:val="88"/>
              </w:rPr>
              <w:t>2.5</w:t>
            </w:r>
          </w:p>
        </w:tc>
        <w:tc>
          <w:tcPr>
            <w:tcW w:w="80" w:type="dxa"/>
            <w:vAlign w:val="bottom"/>
          </w:tcPr>
          <w:p>
            <w:pPr>
              <w:spacing w:after="0"/>
              <w:rPr>
                <w:sz w:val="13"/>
                <w:szCs w:val="13"/>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Increase in selling expenses for new business initiatives (WiMAX and Network Security)</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left="1057"/>
              <w:spacing w:after="0"/>
              <w:rPr>
                <w:sz w:val="20"/>
                <w:szCs w:val="20"/>
                <w:color w:val="auto"/>
              </w:rPr>
            </w:pPr>
            <w:r>
              <w:rPr>
                <w:rFonts w:ascii="Arial" w:cs="Arial" w:eastAsia="Arial" w:hAnsi="Arial"/>
                <w:sz w:val="13"/>
                <w:szCs w:val="13"/>
                <w:color w:val="auto"/>
                <w:w w:val="88"/>
              </w:rPr>
              <w:t>1.9</w:t>
            </w:r>
          </w:p>
        </w:tc>
        <w:tc>
          <w:tcPr>
            <w:tcW w:w="80" w:type="dxa"/>
            <w:vAlign w:val="bottom"/>
            <w:shd w:val="clear" w:color="auto" w:fill="CCEEFF"/>
          </w:tcPr>
          <w:p>
            <w:pPr>
              <w:spacing w:after="0"/>
              <w:rPr>
                <w:sz w:val="13"/>
                <w:szCs w:val="13"/>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Increase in executive severance for former CEO</w:t>
            </w:r>
          </w:p>
        </w:tc>
        <w:tc>
          <w:tcPr>
            <w:tcW w:w="180" w:type="dxa"/>
            <w:vAlign w:val="bottom"/>
          </w:tcPr>
          <w:p>
            <w:pPr>
              <w:spacing w:after="0"/>
              <w:rPr>
                <w:sz w:val="13"/>
                <w:szCs w:val="13"/>
                <w:color w:val="auto"/>
              </w:rPr>
            </w:pPr>
          </w:p>
        </w:tc>
        <w:tc>
          <w:tcPr>
            <w:tcW w:w="1320" w:type="dxa"/>
            <w:vAlign w:val="bottom"/>
            <w:gridSpan w:val="2"/>
          </w:tcPr>
          <w:p>
            <w:pPr>
              <w:jc w:val="center"/>
              <w:ind w:left="1057"/>
              <w:spacing w:after="0"/>
              <w:rPr>
                <w:sz w:val="20"/>
                <w:szCs w:val="20"/>
                <w:color w:val="auto"/>
              </w:rPr>
            </w:pPr>
            <w:r>
              <w:rPr>
                <w:rFonts w:ascii="Arial" w:cs="Arial" w:eastAsia="Arial" w:hAnsi="Arial"/>
                <w:sz w:val="13"/>
                <w:szCs w:val="13"/>
                <w:color w:val="auto"/>
                <w:w w:val="88"/>
              </w:rPr>
              <w:t>1.8</w:t>
            </w:r>
          </w:p>
        </w:tc>
        <w:tc>
          <w:tcPr>
            <w:tcW w:w="80" w:type="dxa"/>
            <w:vAlign w:val="bottom"/>
          </w:tcPr>
          <w:p>
            <w:pPr>
              <w:spacing w:after="0"/>
              <w:rPr>
                <w:sz w:val="13"/>
                <w:szCs w:val="13"/>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w w:val="99"/>
              </w:rPr>
              <w:t>Increase due to rebranding and transitional costs due to corporate name change and costs to phase-out transitional services agreement with Harris</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left="1057"/>
              <w:spacing w:after="0"/>
              <w:rPr>
                <w:sz w:val="20"/>
                <w:szCs w:val="20"/>
                <w:color w:val="auto"/>
              </w:rPr>
            </w:pPr>
            <w:r>
              <w:rPr>
                <w:rFonts w:ascii="Arial" w:cs="Arial" w:eastAsia="Arial" w:hAnsi="Arial"/>
                <w:sz w:val="13"/>
                <w:szCs w:val="13"/>
                <w:color w:val="auto"/>
                <w:w w:val="88"/>
              </w:rPr>
              <w:t>1.3</w:t>
            </w:r>
          </w:p>
        </w:tc>
        <w:tc>
          <w:tcPr>
            <w:tcW w:w="80" w:type="dxa"/>
            <w:vAlign w:val="bottom"/>
            <w:shd w:val="clear" w:color="auto" w:fill="CCEEFF"/>
          </w:tcPr>
          <w:p>
            <w:pPr>
              <w:spacing w:after="0"/>
              <w:rPr>
                <w:sz w:val="13"/>
                <w:szCs w:val="13"/>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Reduction in bad debt expense</w:t>
            </w:r>
          </w:p>
        </w:tc>
        <w:tc>
          <w:tcPr>
            <w:tcW w:w="180" w:type="dxa"/>
            <w:vAlign w:val="bottom"/>
          </w:tcPr>
          <w:p>
            <w:pPr>
              <w:spacing w:after="0"/>
              <w:rPr>
                <w:sz w:val="13"/>
                <w:szCs w:val="13"/>
                <w:color w:val="auto"/>
              </w:rPr>
            </w:pPr>
          </w:p>
        </w:tc>
        <w:tc>
          <w:tcPr>
            <w:tcW w:w="1400" w:type="dxa"/>
            <w:vAlign w:val="bottom"/>
            <w:gridSpan w:val="3"/>
          </w:tcPr>
          <w:p>
            <w:pPr>
              <w:jc w:val="center"/>
              <w:ind w:left="997"/>
              <w:spacing w:after="0"/>
              <w:rPr>
                <w:sz w:val="20"/>
                <w:szCs w:val="20"/>
                <w:color w:val="auto"/>
              </w:rPr>
            </w:pPr>
            <w:r>
              <w:rPr>
                <w:rFonts w:ascii="Arial" w:cs="Arial" w:eastAsia="Arial" w:hAnsi="Arial"/>
                <w:sz w:val="13"/>
                <w:szCs w:val="13"/>
                <w:color w:val="auto"/>
                <w:w w:val="97"/>
              </w:rPr>
              <w:t>(7.3)</w:t>
            </w: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Reduction in software impairments included in selling and administrative expenses</w:t>
            </w:r>
          </w:p>
        </w:tc>
        <w:tc>
          <w:tcPr>
            <w:tcW w:w="18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center"/>
              <w:ind w:left="997"/>
              <w:spacing w:after="0"/>
              <w:rPr>
                <w:sz w:val="20"/>
                <w:szCs w:val="20"/>
                <w:color w:val="auto"/>
              </w:rPr>
            </w:pPr>
            <w:r>
              <w:rPr>
                <w:rFonts w:ascii="Arial" w:cs="Arial" w:eastAsia="Arial" w:hAnsi="Arial"/>
                <w:sz w:val="13"/>
                <w:szCs w:val="13"/>
                <w:color w:val="auto"/>
                <w:w w:val="97"/>
              </w:rPr>
              <w:t>(2.9)</w:t>
            </w: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Reduction in costs charged by Harris for administrative services</w:t>
            </w:r>
          </w:p>
        </w:tc>
        <w:tc>
          <w:tcPr>
            <w:tcW w:w="180" w:type="dxa"/>
            <w:vAlign w:val="bottom"/>
          </w:tcPr>
          <w:p>
            <w:pPr>
              <w:spacing w:after="0"/>
              <w:rPr>
                <w:sz w:val="13"/>
                <w:szCs w:val="13"/>
                <w:color w:val="auto"/>
              </w:rPr>
            </w:pPr>
          </w:p>
        </w:tc>
        <w:tc>
          <w:tcPr>
            <w:tcW w:w="1400" w:type="dxa"/>
            <w:vAlign w:val="bottom"/>
            <w:gridSpan w:val="3"/>
          </w:tcPr>
          <w:p>
            <w:pPr>
              <w:jc w:val="center"/>
              <w:ind w:left="997"/>
              <w:spacing w:after="0"/>
              <w:rPr>
                <w:sz w:val="20"/>
                <w:szCs w:val="20"/>
                <w:color w:val="auto"/>
              </w:rPr>
            </w:pPr>
            <w:r>
              <w:rPr>
                <w:rFonts w:ascii="Arial" w:cs="Arial" w:eastAsia="Arial" w:hAnsi="Arial"/>
                <w:sz w:val="13"/>
                <w:szCs w:val="13"/>
                <w:color w:val="auto"/>
                <w:w w:val="97"/>
              </w:rPr>
              <w:t>(2.5)</w:t>
            </w: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center"/>
              <w:ind w:left="1077"/>
              <w:spacing w:after="0"/>
              <w:rPr>
                <w:sz w:val="20"/>
                <w:szCs w:val="20"/>
                <w:color w:val="auto"/>
              </w:rPr>
            </w:pPr>
            <w:r>
              <w:rPr>
                <w:rFonts w:ascii="Arial" w:cs="Arial" w:eastAsia="Arial" w:hAnsi="Arial"/>
                <w:sz w:val="13"/>
                <w:szCs w:val="13"/>
                <w:color w:val="auto"/>
                <w:w w:val="88"/>
              </w:rPr>
              <w:t>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8400" w:type="dxa"/>
            <w:vAlign w:val="bottom"/>
          </w:tcPr>
          <w:p>
            <w:pPr>
              <w:spacing w:after="0"/>
              <w:rPr>
                <w:sz w:val="14"/>
                <w:szCs w:val="14"/>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gridSpan w:val="2"/>
          </w:tcPr>
          <w:p>
            <w:pPr>
              <w:jc w:val="center"/>
              <w:ind w:left="1057"/>
              <w:spacing w:after="0"/>
              <w:rPr>
                <w:sz w:val="20"/>
                <w:szCs w:val="20"/>
                <w:color w:val="auto"/>
              </w:rPr>
            </w:pPr>
            <w:r>
              <w:rPr>
                <w:rFonts w:ascii="Arial" w:cs="Arial" w:eastAsia="Arial" w:hAnsi="Arial"/>
                <w:sz w:val="13"/>
                <w:szCs w:val="13"/>
                <w:color w:val="auto"/>
                <w:w w:val="88"/>
              </w:rPr>
              <w:t>2.7</w:t>
            </w: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increase in selling and administrative expenses from commissions paid to sales agents resulted from a large contract with a customer in the Europe, Middle East and Russia region during fiscal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2009 Compared with Fiscal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significant increases and decreases to our selling and administrative expenses comparing fiscal 2009 with fiscal 2008:</w:t>
      </w:r>
    </w:p>
    <w:p>
      <w:pPr>
        <w:spacing w:after="0" w:line="98"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Increase/(Decrease)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6350</wp:posOffset>
            </wp:positionV>
            <wp:extent cx="94869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jc w:val="center"/>
        <w:ind w:left="8180"/>
        <w:spacing w:after="0"/>
        <w:rPr>
          <w:sz w:val="20"/>
          <w:szCs w:val="20"/>
          <w:color w:val="auto"/>
        </w:rPr>
      </w:pPr>
      <w:r>
        <w:rPr>
          <w:rFonts w:ascii="Arial" w:cs="Arial" w:eastAsia="Arial" w:hAnsi="Arial"/>
          <w:sz w:val="10"/>
          <w:szCs w:val="10"/>
          <w:b w:val="1"/>
          <w:bCs w:val="1"/>
          <w:color w:val="auto"/>
        </w:rPr>
        <w:t>(In millions)</w:t>
      </w:r>
    </w:p>
    <w:p>
      <w:pPr>
        <w:sectPr>
          <w:pgSz w:w="11900" w:h="16838" w:orient="portrait"/>
          <w:cols w:equalWidth="0" w:num="1">
            <w:col w:w="10660"/>
          </w:cols>
          <w:pgMar w:left="220" w:top="343" w:right="10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Decrease in selling expenses and sales commissions due to lower order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Decrease in integration costs related to acquisition of Stratex in fiscal 2007</w:t>
      </w:r>
    </w:p>
    <w:p>
      <w:pPr>
        <w:spacing w:after="0" w:line="8" w:lineRule="exact"/>
        <w:rPr>
          <w:sz w:val="20"/>
          <w:szCs w:val="20"/>
          <w:color w:val="auto"/>
        </w:rPr>
      </w:pPr>
    </w:p>
    <w:p>
      <w:pPr>
        <w:ind w:left="680" w:right="2173"/>
        <w:spacing w:after="0" w:line="252" w:lineRule="auto"/>
        <w:rPr>
          <w:sz w:val="20"/>
          <w:szCs w:val="20"/>
          <w:color w:val="auto"/>
        </w:rPr>
      </w:pPr>
      <w:r>
        <w:rPr>
          <w:rFonts w:ascii="Arial" w:cs="Arial" w:eastAsia="Arial" w:hAnsi="Arial"/>
          <w:sz w:val="13"/>
          <w:szCs w:val="13"/>
          <w:color w:val="auto"/>
        </w:rPr>
        <w:t>Decrease in amounts accrued under bonus plans and share-based compensation due to lower profitability Increase due to formation of chief operations officer group during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-198120</wp:posOffset>
            </wp:positionV>
            <wp:extent cx="6335395" cy="99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right="2913"/>
        <w:spacing w:after="0" w:line="252" w:lineRule="auto"/>
        <w:rPr>
          <w:sz w:val="20"/>
          <w:szCs w:val="20"/>
          <w:color w:val="auto"/>
        </w:rPr>
      </w:pPr>
      <w:r>
        <w:rPr>
          <w:rFonts w:ascii="Arial" w:cs="Arial" w:eastAsia="Arial" w:hAnsi="Arial"/>
          <w:sz w:val="13"/>
          <w:szCs w:val="13"/>
          <w:color w:val="auto"/>
        </w:rPr>
        <w:t>Increase in administrative costs due to 4G and product unification and transition initiatives Increase in allowance for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-198120</wp:posOffset>
            </wp:positionV>
            <wp:extent cx="6335395" cy="99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Increase in software costs, external audit, restatement and SOX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Increase in marketing costs for channel marketing and tradeshows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due to 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18415</wp:posOffset>
            </wp:positionV>
            <wp:extent cx="6335395" cy="99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227" w:hanging="1227"/>
        <w:spacing w:after="0"/>
        <w:tabs>
          <w:tab w:leader="none" w:pos="12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(13.0)</w:t>
      </w:r>
    </w:p>
    <w:p>
      <w:pPr>
        <w:spacing w:after="0" w:line="26" w:lineRule="exact"/>
        <w:rPr>
          <w:rFonts w:ascii="Arial" w:cs="Arial" w:eastAsia="Arial" w:hAnsi="Arial"/>
          <w:sz w:val="12"/>
          <w:szCs w:val="12"/>
          <w:color w:val="auto"/>
        </w:rPr>
      </w:pPr>
    </w:p>
    <w:p>
      <w:pPr>
        <w:ind w:left="1227"/>
        <w:spacing w:after="0"/>
        <w:rPr>
          <w:rFonts w:ascii="Arial" w:cs="Arial" w:eastAsia="Arial" w:hAnsi="Arial"/>
          <w:sz w:val="12"/>
          <w:szCs w:val="12"/>
          <w:color w:val="auto"/>
        </w:rPr>
      </w:pPr>
      <w:r>
        <w:rPr>
          <w:rFonts w:ascii="Arial" w:cs="Arial" w:eastAsia="Arial" w:hAnsi="Arial"/>
          <w:sz w:val="12"/>
          <w:szCs w:val="12"/>
          <w:color w:val="auto"/>
        </w:rPr>
        <w:t>(10.2)</w:t>
      </w:r>
    </w:p>
    <w:p>
      <w:pPr>
        <w:spacing w:after="0" w:line="19" w:lineRule="exact"/>
        <w:rPr>
          <w:rFonts w:ascii="Arial" w:cs="Arial" w:eastAsia="Arial" w:hAnsi="Arial"/>
          <w:sz w:val="12"/>
          <w:szCs w:val="12"/>
          <w:color w:val="auto"/>
        </w:rPr>
      </w:pPr>
    </w:p>
    <w:p>
      <w:pPr>
        <w:ind w:left="1287"/>
        <w:spacing w:after="0"/>
        <w:rPr>
          <w:rFonts w:ascii="Arial" w:cs="Arial" w:eastAsia="Arial" w:hAnsi="Arial"/>
          <w:sz w:val="12"/>
          <w:szCs w:val="12"/>
          <w:color w:val="auto"/>
        </w:rPr>
      </w:pPr>
      <w:r>
        <w:rPr>
          <w:rFonts w:ascii="Arial" w:cs="Arial" w:eastAsia="Arial" w:hAnsi="Arial"/>
          <w:sz w:val="12"/>
          <w:szCs w:val="12"/>
          <w:color w:val="auto"/>
        </w:rPr>
        <w:t>(5.1)</w:t>
      </w:r>
    </w:p>
    <w:p>
      <w:pPr>
        <w:spacing w:after="0" w:line="19"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6.3</w:t>
      </w:r>
    </w:p>
    <w:p>
      <w:pPr>
        <w:spacing w:after="0" w:line="7"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5.8</w:t>
      </w:r>
    </w:p>
    <w:p>
      <w:pPr>
        <w:spacing w:after="0" w:line="7"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5.5</w:t>
      </w:r>
    </w:p>
    <w:p>
      <w:pPr>
        <w:spacing w:after="0" w:line="7"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3.3</w:t>
      </w:r>
    </w:p>
    <w:p>
      <w:pPr>
        <w:spacing w:after="0" w:line="7"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1.7</w:t>
      </w:r>
    </w:p>
    <w:p>
      <w:pPr>
        <w:spacing w:after="0" w:line="7" w:lineRule="exact"/>
        <w:rPr>
          <w:rFonts w:ascii="Arial" w:cs="Arial" w:eastAsia="Arial" w:hAnsi="Arial"/>
          <w:sz w:val="12"/>
          <w:szCs w:val="12"/>
          <w:color w:val="auto"/>
        </w:rPr>
      </w:pPr>
    </w:p>
    <w:p>
      <w:pPr>
        <w:ind w:left="1287"/>
        <w:spacing w:after="0"/>
        <w:rPr>
          <w:rFonts w:ascii="Arial" w:cs="Arial" w:eastAsia="Arial" w:hAnsi="Arial"/>
          <w:sz w:val="12"/>
          <w:szCs w:val="12"/>
          <w:color w:val="auto"/>
        </w:rPr>
      </w:pPr>
      <w:r>
        <w:rPr>
          <w:rFonts w:ascii="Arial" w:cs="Arial" w:eastAsia="Arial" w:hAnsi="Arial"/>
          <w:sz w:val="12"/>
          <w:szCs w:val="12"/>
          <w:color w:val="auto"/>
        </w:rPr>
        <w:t>(0.6)</w:t>
      </w:r>
    </w:p>
    <w:p>
      <w:pPr>
        <w:spacing w:after="0" w:line="19" w:lineRule="exact"/>
        <w:rPr>
          <w:rFonts w:ascii="Arial" w:cs="Arial" w:eastAsia="Arial" w:hAnsi="Arial"/>
          <w:sz w:val="12"/>
          <w:szCs w:val="12"/>
          <w:color w:val="auto"/>
        </w:rPr>
      </w:pPr>
    </w:p>
    <w:p>
      <w:pPr>
        <w:ind w:left="1327"/>
        <w:spacing w:after="0"/>
        <w:rPr>
          <w:rFonts w:ascii="Arial" w:cs="Arial" w:eastAsia="Arial" w:hAnsi="Arial"/>
          <w:sz w:val="12"/>
          <w:szCs w:val="12"/>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9486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ind w:left="1287" w:hanging="1287"/>
        <w:spacing w:after="0"/>
        <w:tabs>
          <w:tab w:leader="none" w:pos="1287" w:val="left"/>
        </w:tabs>
        <w:numPr>
          <w:ilvl w:val="0"/>
          <w:numId w:val="22"/>
        </w:numPr>
        <w:rPr>
          <w:rFonts w:ascii="Arial" w:cs="Arial" w:eastAsia="Arial" w:hAnsi="Arial"/>
          <w:sz w:val="12"/>
          <w:szCs w:val="12"/>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94869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8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wp:posOffset>
            </wp:positionV>
            <wp:extent cx="94869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8353" w:space="720"/>
            <w:col w:w="1587"/>
          </w:cols>
          <w:pgMar w:left="220" w:top="343" w:right="1019" w:bottom="1440" w:gutter="0" w:footer="0" w:header="0"/>
          <w:type w:val="continuous"/>
        </w:sectPr>
      </w:pPr>
    </w:p>
    <w:p>
      <w:pPr>
        <w:ind w:left="680" w:right="240" w:firstLine="399"/>
        <w:spacing w:after="0" w:line="264" w:lineRule="auto"/>
        <w:rPr>
          <w:sz w:val="20"/>
          <w:szCs w:val="20"/>
          <w:color w:val="auto"/>
        </w:rPr>
      </w:pPr>
      <w:r>
        <w:rPr>
          <w:rFonts w:ascii="Arial" w:cs="Arial" w:eastAsia="Arial" w:hAnsi="Arial"/>
          <w:sz w:val="13"/>
          <w:szCs w:val="13"/>
          <w:color w:val="auto"/>
        </w:rPr>
        <w:t>The chief operations officer group was formed in fiscal 2009 to centrally manage activities that provide support to all functions of our company. The costs related to this group include the development of a program manager group that drives our internal project execution and the business process engineering team that enhances system integration and facilitates process improvements throughout the company.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gridSpan w:val="2"/>
          </w:tcPr>
          <w:p>
            <w:pPr>
              <w:jc w:val="center"/>
              <w:ind w:left="208"/>
              <w:spacing w:after="0"/>
              <w:rPr>
                <w:sz w:val="20"/>
                <w:szCs w:val="20"/>
                <w:color w:val="auto"/>
              </w:rPr>
            </w:pPr>
            <w:r>
              <w:rPr>
                <w:rFonts w:ascii="Arial" w:cs="Arial" w:eastAsia="Arial" w:hAnsi="Arial"/>
                <w:sz w:val="10"/>
                <w:szCs w:val="10"/>
                <w:b w:val="1"/>
                <w:bCs w:val="1"/>
                <w:color w:val="auto"/>
                <w:w w:val="92"/>
              </w:rPr>
              <w:t>2010/2009</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2"/>
          </w:tcPr>
          <w:p>
            <w:pPr>
              <w:jc w:val="center"/>
              <w:ind w:left="208"/>
              <w:spacing w:after="0"/>
              <w:rPr>
                <w:sz w:val="20"/>
                <w:szCs w:val="20"/>
                <w:color w:val="auto"/>
              </w:rPr>
            </w:pPr>
            <w:r>
              <w:rPr>
                <w:rFonts w:ascii="Arial" w:cs="Arial" w:eastAsia="Arial" w:hAnsi="Arial"/>
                <w:sz w:val="10"/>
                <w:szCs w:val="10"/>
                <w:b w:val="1"/>
                <w:bCs w:val="1"/>
                <w:color w:val="auto"/>
                <w:w w:val="92"/>
              </w:rPr>
              <w:t>2009/2008</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126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4"/>
              </w:rPr>
              <w:t>% Increase/</w:t>
            </w:r>
          </w:p>
        </w:tc>
        <w:tc>
          <w:tcPr>
            <w:tcW w:w="200" w:type="dxa"/>
            <w:vAlign w:val="bottom"/>
          </w:tcPr>
          <w:p>
            <w:pPr>
              <w:spacing w:after="0"/>
              <w:rPr>
                <w:sz w:val="9"/>
                <w:szCs w:val="9"/>
                <w:color w:val="auto"/>
              </w:rPr>
            </w:pPr>
          </w:p>
        </w:tc>
        <w:tc>
          <w:tcPr>
            <w:tcW w:w="460" w:type="dxa"/>
            <w:vAlign w:val="bottom"/>
            <w:vMerge w:val="restart"/>
          </w:tcPr>
          <w:p>
            <w:pPr>
              <w:jc w:val="right"/>
              <w:ind w:right="158"/>
              <w:spacing w:after="0"/>
              <w:rPr>
                <w:sz w:val="20"/>
                <w:szCs w:val="20"/>
                <w:color w:val="auto"/>
              </w:rPr>
            </w:pPr>
            <w:r>
              <w:rPr>
                <w:rFonts w:ascii="Arial" w:cs="Arial" w:eastAsia="Arial" w:hAnsi="Arial"/>
                <w:sz w:val="10"/>
                <w:szCs w:val="10"/>
                <w:b w:val="1"/>
                <w:bCs w:val="1"/>
                <w:color w:val="auto"/>
                <w:w w:val="98"/>
              </w:rPr>
              <w:t>2008</w:t>
            </w:r>
          </w:p>
        </w:tc>
        <w:tc>
          <w:tcPr>
            <w:tcW w:w="2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3"/>
          </w:tcPr>
          <w:p>
            <w:pPr>
              <w:spacing w:after="0"/>
              <w:rPr>
                <w:sz w:val="20"/>
                <w:szCs w:val="20"/>
                <w:color w:val="auto"/>
              </w:rPr>
            </w:pPr>
            <w:r>
              <w:rPr>
                <w:rFonts w:ascii="Arial" w:cs="Arial" w:eastAsia="Arial" w:hAnsi="Arial"/>
                <w:sz w:val="10"/>
                <w:szCs w:val="10"/>
                <w:b w:val="1"/>
                <w:bCs w:val="1"/>
                <w:color w:val="auto"/>
                <w:w w:val="96"/>
              </w:rPr>
              <w:t>(In millions, except percentages)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w w:val="87"/>
              </w:rPr>
              <w:t>(134.0)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w w:val="87"/>
              </w:rPr>
              <w:t>(337.2)</w:t>
            </w:r>
          </w:p>
        </w:tc>
        <w:tc>
          <w:tcPr>
            <w:tcW w:w="2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88"/>
              </w:rPr>
              <w:t>(13.9)</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38"/>
              <w:spacing w:after="0"/>
              <w:rPr>
                <w:sz w:val="20"/>
                <w:szCs w:val="20"/>
                <w:color w:val="auto"/>
              </w:rPr>
            </w:pPr>
            <w:r>
              <w:rPr>
                <w:rFonts w:ascii="Arial" w:cs="Arial" w:eastAsia="Arial" w:hAnsi="Arial"/>
                <w:sz w:val="13"/>
                <w:szCs w:val="13"/>
                <w:color w:val="auto"/>
              </w:rPr>
              <w:t>3.8</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8"/>
              <w:spacing w:after="0"/>
              <w:rPr>
                <w:sz w:val="20"/>
                <w:szCs w:val="20"/>
                <w:color w:val="auto"/>
              </w:rPr>
            </w:pPr>
            <w:r>
              <w:rPr>
                <w:rFonts w:ascii="Arial" w:cs="Arial" w:eastAsia="Arial" w:hAnsi="Arial"/>
                <w:sz w:val="13"/>
                <w:szCs w:val="13"/>
                <w:color w:val="auto"/>
              </w:rPr>
              <w:t>(17.8)</w:t>
            </w:r>
          </w:p>
        </w:tc>
        <w:tc>
          <w:tcPr>
            <w:tcW w:w="2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rPr>
              <w:t>N/M</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18"/>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 of loss before income taxes</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97"/>
              </w:rPr>
              <w:t>14.4%</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income tax benefit for fiscal 2010 was $3.8 million. The variation between our income tax benefit and income tax benefit at the statutory rate of 35% on our pre-tax loss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$134.0 million was primarily due to a $4.4 million one-time benefit recognized for U.S. federal income tax loss carryback under the Worker, Homeownership and Business Assistance Act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2009. This benefit was partially offset by a full valuation allowance on all domestic deferred tax assets created in fiscal 2010. The effective tax rate for fiscal 2010 primarily reflected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benefits of earnings and losses of foreign subsidiaries taxed at lower rates and a dividend from a foreign subsidiary.</w:t>
      </w:r>
    </w:p>
    <w:p>
      <w:pPr>
        <w:spacing w:after="0" w:line="89"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The income tax expense for fiscal 2009 was $17.8 million. The variation between our income tax expense of $17.8 million and income tax benefit at the statutory rate of 35% on our pre-tax loss of $337.2 million was primarily due to our evaluation of the ability to realize certain deferred tax assets in future periods. We increased our valuation allowance on these deferred tax assets resulting from our assessment of positive and negative evidence. We concluded that additional valuation allowance was required, resulting in income tax expense of $25.1 million. The effective tax rate for fiscal 2009 otherwise reflects the benefits of lower taxed foreign earnings and losses.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fiscal 2008 tax benefit was the result of a pre-tax loss primarily due to the consolidation of our foreign operations, which are subject to income taxes at lower statutory rates.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Business Segments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North America Segment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center"/>
              <w:ind w:left="203"/>
              <w:spacing w:after="0"/>
              <w:rPr>
                <w:sz w:val="20"/>
                <w:szCs w:val="20"/>
                <w:color w:val="auto"/>
              </w:rPr>
            </w:pPr>
            <w:r>
              <w:rPr>
                <w:rFonts w:ascii="Arial" w:cs="Arial" w:eastAsia="Arial" w:hAnsi="Arial"/>
                <w:sz w:val="10"/>
                <w:szCs w:val="10"/>
                <w:b w:val="1"/>
                <w:bCs w:val="1"/>
                <w:color w:val="auto"/>
                <w:w w:val="97"/>
              </w:rPr>
              <w:t>2010/2009</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gridSpan w:val="2"/>
          </w:tcPr>
          <w:p>
            <w:pPr>
              <w:jc w:val="center"/>
              <w:ind w:left="201"/>
              <w:spacing w:after="0"/>
              <w:rPr>
                <w:sz w:val="20"/>
                <w:szCs w:val="20"/>
                <w:color w:val="auto"/>
              </w:rPr>
            </w:pPr>
            <w:r>
              <w:rPr>
                <w:rFonts w:ascii="Arial" w:cs="Arial" w:eastAsia="Arial" w:hAnsi="Arial"/>
                <w:sz w:val="10"/>
                <w:szCs w:val="10"/>
                <w:b w:val="1"/>
                <w:bCs w:val="1"/>
                <w:color w:val="auto"/>
                <w:w w:val="92"/>
              </w:rPr>
              <w:t>2009/2008</w:t>
            </w: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2010</w:t>
            </w:r>
          </w:p>
        </w:tc>
        <w:tc>
          <w:tcPr>
            <w:tcW w:w="260" w:type="dxa"/>
            <w:vAlign w:val="bottom"/>
            <w:vMerge w:val="restart"/>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 Increase/</w:t>
            </w:r>
          </w:p>
        </w:tc>
        <w:tc>
          <w:tcPr>
            <w:tcW w:w="180" w:type="dxa"/>
            <w:vAlign w:val="bottom"/>
          </w:tcPr>
          <w:p>
            <w:pPr>
              <w:spacing w:after="0"/>
              <w:rPr>
                <w:sz w:val="9"/>
                <w:szCs w:val="9"/>
                <w:color w:val="auto"/>
              </w:rPr>
            </w:pPr>
          </w:p>
        </w:tc>
        <w:tc>
          <w:tcPr>
            <w:tcW w:w="50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(Decrease)</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320" w:type="dxa"/>
            <w:vAlign w:val="bottom"/>
            <w:gridSpan w:val="2"/>
          </w:tcPr>
          <w:p>
            <w:pPr>
              <w:spacing w:after="0"/>
              <w:rPr>
                <w:sz w:val="20"/>
                <w:szCs w:val="20"/>
                <w:color w:val="auto"/>
              </w:rPr>
            </w:pPr>
            <w:r>
              <w:rPr>
                <w:rFonts w:ascii="Arial" w:cs="Arial" w:eastAsia="Arial" w:hAnsi="Arial"/>
                <w:sz w:val="10"/>
                <w:szCs w:val="10"/>
                <w:b w:val="1"/>
                <w:bCs w:val="1"/>
                <w:color w:val="auto"/>
                <w:w w:val="92"/>
              </w:rPr>
              <w:t>millions, except percentages)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$175.1</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$232.0</w:t>
            </w: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3"/>
                <w:szCs w:val="13"/>
                <w:color w:val="auto"/>
              </w:rPr>
              <w:t>(24.5)%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w w:val="85"/>
              </w:rPr>
              <w:t>242.5</w:t>
            </w: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20"/>
                <w:szCs w:val="20"/>
                <w:color w:val="auto"/>
              </w:rPr>
            </w:pPr>
            <w:r>
              <w:rPr>
                <w:rFonts w:ascii="Arial" w:cs="Arial" w:eastAsia="Arial" w:hAnsi="Arial"/>
                <w:sz w:val="13"/>
                <w:szCs w:val="13"/>
                <w:color w:val="auto"/>
              </w:rPr>
              <w:t>Segment operating (loss) income</w:t>
            </w:r>
          </w:p>
        </w:tc>
        <w:tc>
          <w:tcPr>
            <w:tcW w:w="680" w:type="dxa"/>
            <w:vAlign w:val="bottom"/>
          </w:tcPr>
          <w:p>
            <w:pPr>
              <w:ind w:left="120"/>
              <w:spacing w:after="0"/>
              <w:rPr>
                <w:sz w:val="20"/>
                <w:szCs w:val="20"/>
                <w:color w:val="auto"/>
              </w:rPr>
            </w:pPr>
            <w:r>
              <w:rPr>
                <w:rFonts w:ascii="Arial" w:cs="Arial" w:eastAsia="Arial" w:hAnsi="Arial"/>
                <w:sz w:val="13"/>
                <w:szCs w:val="13"/>
                <w:color w:val="auto"/>
              </w:rPr>
              <w:t>$ (64.2)</w:t>
            </w:r>
          </w:p>
        </w:tc>
        <w:tc>
          <w:tcPr>
            <w:tcW w:w="920" w:type="dxa"/>
            <w:vAlign w:val="bottom"/>
            <w:gridSpan w:val="2"/>
          </w:tcPr>
          <w:p>
            <w:pPr>
              <w:ind w:left="380"/>
              <w:spacing w:after="0"/>
              <w:rPr>
                <w:sz w:val="20"/>
                <w:szCs w:val="20"/>
                <w:color w:val="auto"/>
              </w:rPr>
            </w:pPr>
            <w:r>
              <w:rPr>
                <w:rFonts w:ascii="Arial" w:cs="Arial" w:eastAsia="Arial" w:hAnsi="Arial"/>
                <w:sz w:val="13"/>
                <w:szCs w:val="13"/>
                <w:color w:val="auto"/>
              </w:rPr>
              <w:t>$ (63.4)</w:t>
            </w:r>
          </w:p>
        </w:tc>
        <w:tc>
          <w:tcPr>
            <w:tcW w:w="26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color w:val="auto"/>
              </w:rPr>
              <w:t>N/M</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98"/>
              <w:spacing w:after="0"/>
              <w:rPr>
                <w:sz w:val="20"/>
                <w:szCs w:val="20"/>
                <w:color w:val="auto"/>
              </w:rPr>
            </w:pPr>
            <w:r>
              <w:rPr>
                <w:rFonts w:ascii="Arial" w:cs="Arial" w:eastAsia="Arial" w:hAnsi="Arial"/>
                <w:sz w:val="13"/>
                <w:szCs w:val="13"/>
                <w:color w:val="auto"/>
              </w:rPr>
              <w:t>(8.0)</w:t>
            </w: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4860" w:type="dxa"/>
            <w:vAlign w:val="bottom"/>
            <w:shd w:val="clear" w:color="auto" w:fill="CCEEFF"/>
          </w:tcPr>
          <w:p>
            <w:pPr>
              <w:spacing w:after="0"/>
              <w:rPr>
                <w:sz w:val="20"/>
                <w:szCs w:val="20"/>
                <w:color w:val="auto"/>
              </w:rPr>
            </w:pPr>
            <w:r>
              <w:rPr>
                <w:rFonts w:ascii="Arial" w:cs="Arial" w:eastAsia="Arial" w:hAnsi="Arial"/>
                <w:sz w:val="13"/>
                <w:szCs w:val="13"/>
                <w:color w:val="auto"/>
              </w:rPr>
              <w:t>% of revenue</w:t>
            </w:r>
          </w:p>
        </w:tc>
        <w:tc>
          <w:tcPr>
            <w:tcW w:w="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N/M</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N/M</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North America segment revenue decreased by $56.9 million, or 24.5%, in fiscal 2010 compared with fiscal 2009. This decrease in revenue resulted primarily from the economic recession and the continuing credit crisis adversely affecting our North America customers’ expansion.</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North America segment revenue decreased by $10.5 million, or 4.3%, in fiscal 2009 compared with fiscal 2008. This decrease in revenue resulted primarily from the economic recession and the continuing credit crisis adversely affecting our customers’ expansion.</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North America segment operating loss in fiscal 2010 was $64.2 million compared with a segment operating loss of $63.4 million in fiscal 2009. The loss in fiscal 2010 included charges to converge our products onto a single platform by the end of fiscal year 2010 and impairments for intangible assets, property, plant and equipment and certain other assets. Additionally, we incurred other charges and expenses including restructuring costs, amortization of purchased intangibles, executive severance and share compensation expense. Finally, we recognized a $1.0 million gain on sale of our San Antonio, Texas property.</w:t>
      </w:r>
    </w:p>
    <w:p>
      <w:pPr>
        <w:spacing w:after="0" w:line="7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North America segment had an operating loss of $63.4 million in fiscal 2009 primarily due to goodwill impairment and charges for the accelerated transition towards a common IP-based platform. The charges for this accelerated product transition included provisions for legacy product excess and obsolete inventory, and write-downs of property, plant, manufacturing and test equipment, and charges recorded for inventory purchase commitments. This compares with an operating loss of $8.0 million in fiscal 2008.</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charges, expenses and gains are set forth on a comparative basis in the table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4"/>
          </w:tcPr>
          <w:p>
            <w:pPr>
              <w:jc w:val="right"/>
              <w:spacing w:after="0"/>
              <w:rPr>
                <w:sz w:val="20"/>
                <w:szCs w:val="20"/>
                <w:color w:val="auto"/>
              </w:rPr>
            </w:pPr>
            <w:r>
              <w:rPr>
                <w:rFonts w:ascii="Arial" w:cs="Arial" w:eastAsia="Arial" w:hAnsi="Arial"/>
                <w:sz w:val="10"/>
                <w:szCs w:val="10"/>
                <w:b w:val="1"/>
                <w:bCs w:val="1"/>
                <w:color w:val="auto"/>
                <w:w w:val="85"/>
              </w:rPr>
              <w:t>(In millions)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Intangible assets impairment charges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10.7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7.0</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Other impairment charges and rebranding expenses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 and inventory mark-downs</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16.9</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0.3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5.6</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Amortization of trade names, customer relationships and non-compete agreements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2.7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Executive severance</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2.4</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8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0.6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Gain on sale of building</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3"/>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55.1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81.5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333"/>
        </w:trPr>
        <w:tc>
          <w:tcPr>
            <w:tcW w:w="48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International Segment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gridSpan w:val="2"/>
          </w:tcPr>
          <w:p>
            <w:pPr>
              <w:jc w:val="center"/>
              <w:ind w:left="201"/>
              <w:spacing w:after="0"/>
              <w:rPr>
                <w:sz w:val="20"/>
                <w:szCs w:val="20"/>
                <w:color w:val="auto"/>
              </w:rPr>
            </w:pPr>
            <w:r>
              <w:rPr>
                <w:rFonts w:ascii="Arial" w:cs="Arial" w:eastAsia="Arial" w:hAnsi="Arial"/>
                <w:sz w:val="10"/>
                <w:szCs w:val="10"/>
                <w:b w:val="1"/>
                <w:bCs w:val="1"/>
                <w:color w:val="auto"/>
                <w:w w:val="92"/>
              </w:rPr>
              <w:t>2010/2009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55"/>
              <w:spacing w:after="0"/>
              <w:rPr>
                <w:sz w:val="20"/>
                <w:szCs w:val="20"/>
                <w:color w:val="auto"/>
              </w:rPr>
            </w:pPr>
            <w:r>
              <w:rPr>
                <w:rFonts w:ascii="Arial" w:cs="Arial" w:eastAsia="Arial" w:hAnsi="Arial"/>
                <w:sz w:val="10"/>
                <w:szCs w:val="10"/>
                <w:b w:val="1"/>
                <w:bCs w:val="1"/>
                <w:color w:val="auto"/>
                <w:w w:val="92"/>
              </w:rPr>
              <w:t>2009/2008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260" w:type="dxa"/>
            <w:vAlign w:val="bottom"/>
            <w:vMerge w:val="restart"/>
          </w:tcPr>
          <w:p>
            <w:pPr>
              <w:spacing w:after="0"/>
              <w:rPr>
                <w:sz w:val="9"/>
                <w:szCs w:val="9"/>
                <w:color w:val="auto"/>
              </w:rPr>
            </w:pPr>
          </w:p>
        </w:tc>
        <w:tc>
          <w:tcPr>
            <w:tcW w:w="720" w:type="dxa"/>
            <w:vAlign w:val="bottom"/>
            <w:vMerge w:val="restart"/>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1240" w:type="dxa"/>
            <w:vAlign w:val="bottom"/>
            <w:gridSpan w:val="3"/>
          </w:tcPr>
          <w:p>
            <w:pPr>
              <w:jc w:val="center"/>
              <w:ind w:right="131"/>
              <w:spacing w:after="0" w:line="108" w:lineRule="exact"/>
              <w:rPr>
                <w:sz w:val="20"/>
                <w:szCs w:val="20"/>
                <w:color w:val="auto"/>
              </w:rPr>
            </w:pPr>
            <w:r>
              <w:rPr>
                <w:rFonts w:ascii="Arial" w:cs="Arial" w:eastAsia="Arial" w:hAnsi="Arial"/>
                <w:sz w:val="10"/>
                <w:szCs w:val="10"/>
                <w:b w:val="1"/>
                <w:bCs w:val="1"/>
                <w:color w:val="auto"/>
                <w:w w:val="98"/>
              </w:rPr>
              <w:t>% Increase/</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4"/>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(Decrease)</w:t>
            </w:r>
          </w:p>
        </w:tc>
        <w:tc>
          <w:tcPr>
            <w:tcW w:w="2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w w:val="85"/>
              </w:rPr>
              <w:t>millions, except percentages)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$303.8</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$ 447.9</w:t>
            </w:r>
          </w:p>
        </w:tc>
        <w:tc>
          <w:tcPr>
            <w:tcW w:w="1300" w:type="dxa"/>
            <w:vAlign w:val="bottom"/>
            <w:gridSpan w:val="2"/>
            <w:shd w:val="clear" w:color="auto" w:fill="CCEEFF"/>
          </w:tcPr>
          <w:p>
            <w:pPr>
              <w:jc w:val="right"/>
              <w:ind w:right="164"/>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475.9</w:t>
            </w: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Segment operating loss</w:t>
            </w:r>
          </w:p>
        </w:tc>
        <w:tc>
          <w:tcPr>
            <w:tcW w:w="680" w:type="dxa"/>
            <w:vAlign w:val="bottom"/>
          </w:tcPr>
          <w:p>
            <w:pPr>
              <w:jc w:val="right"/>
              <w:ind w:right="98"/>
              <w:spacing w:after="0"/>
              <w:rPr>
                <w:sz w:val="20"/>
                <w:szCs w:val="20"/>
                <w:color w:val="auto"/>
              </w:rPr>
            </w:pPr>
            <w:r>
              <w:rPr>
                <w:rFonts w:ascii="Arial" w:cs="Arial" w:eastAsia="Arial" w:hAnsi="Arial"/>
                <w:sz w:val="13"/>
                <w:szCs w:val="13"/>
                <w:color w:val="auto"/>
              </w:rPr>
              <w:t>$ (69.1)</w:t>
            </w:r>
          </w:p>
        </w:tc>
        <w:tc>
          <w:tcPr>
            <w:tcW w:w="980" w:type="dxa"/>
            <w:vAlign w:val="bottom"/>
            <w:gridSpan w:val="2"/>
          </w:tcPr>
          <w:p>
            <w:pPr>
              <w:ind w:left="380"/>
              <w:spacing w:after="0"/>
              <w:rPr>
                <w:sz w:val="20"/>
                <w:szCs w:val="20"/>
                <w:color w:val="auto"/>
              </w:rPr>
            </w:pPr>
            <w:r>
              <w:rPr>
                <w:rFonts w:ascii="Arial" w:cs="Arial" w:eastAsia="Arial" w:hAnsi="Arial"/>
                <w:sz w:val="13"/>
                <w:szCs w:val="13"/>
                <w:color w:val="auto"/>
              </w:rPr>
              <w:t>$(271.9)</w:t>
            </w:r>
          </w:p>
        </w:tc>
        <w:tc>
          <w:tcPr>
            <w:tcW w:w="260" w:type="dxa"/>
            <w:vAlign w:val="bottom"/>
          </w:tcPr>
          <w:p>
            <w:pPr>
              <w:spacing w:after="0"/>
              <w:rPr>
                <w:sz w:val="13"/>
                <w:szCs w:val="13"/>
                <w:color w:val="auto"/>
              </w:rPr>
            </w:pPr>
          </w:p>
        </w:tc>
        <w:tc>
          <w:tcPr>
            <w:tcW w:w="1240" w:type="dxa"/>
            <w:vAlign w:val="bottom"/>
            <w:gridSpan w:val="3"/>
          </w:tcPr>
          <w:p>
            <w:pPr>
              <w:jc w:val="center"/>
              <w:ind w:right="111"/>
              <w:spacing w:after="0"/>
              <w:rPr>
                <w:sz w:val="20"/>
                <w:szCs w:val="20"/>
                <w:color w:val="auto"/>
              </w:rPr>
            </w:pPr>
            <w:r>
              <w:rPr>
                <w:rFonts w:ascii="Arial" w:cs="Arial" w:eastAsia="Arial" w:hAnsi="Arial"/>
                <w:sz w:val="13"/>
                <w:szCs w:val="13"/>
                <w:color w:val="auto"/>
              </w:rPr>
              <w:t>N/M</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7"/>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 of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rPr>
              <w:t>N/M</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International segment revenue decreased by $144.1 million or 32.2% in fiscal 2010 compared with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ability to finance expansion, as well as increased competition from our competitors.</w:t>
      </w:r>
    </w:p>
    <w:p>
      <w:pPr>
        <w:spacing w:after="0" w:line="67"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International segment revenue decreased by $28.0 million or 5.9% in fiscal 2009 compared with fiscal 2008. This decrease in revenue resulted from declines in all regions (except Africa) primarily due to the global economic recession and the continuing credit crisis adversely affecting our customers’ expansion. Compared with fiscal 2008, revenue in fiscal 2009 in Europe, Middle East and Russia declined by $27.9 million and Latin America and Asia-Pacific declined $16.6 million. These decreases were partially offset by growth in Africa ($16.5 million increase) as customers in this region continued to expand their network infrastructures prior to the slowdown in the third quarter of fiscal 2009.</w:t>
      </w:r>
    </w:p>
    <w:p>
      <w:pPr>
        <w:spacing w:after="0" w:line="53"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 International segment operating loss of $69.1 million in fiscal 2010 resulted primarily from the decline in revenue when compared with fiscal 2009 and impairments for intangible assets and property, plant and equipment.</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International segment operating loss of $271.9 million in fiscal 2009 primarily resulted from impairment charges for goodwill and the trade name “Stratex,” as well as charges related to the accelerated transition towards a common IP-based product platform. This compares with an operating loss of $5.7 million in fiscal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charges, expenses and gains are set forth on a comparative basis in the table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w w:val="98"/>
              </w:rPr>
              <w:t>2010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r>
      <w:tr>
        <w:trPr>
          <w:trHeight w:val="131"/>
        </w:trPr>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Intangible assets impairment charges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58.1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Other impairment charges and rebranding expenses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 and inventory mark-downs</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Amortization of trade names, customer relationships and non-compete agreements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Gain on Telsima acquisition purchase price settlement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64.7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r>
      <w:tr>
        <w:trPr>
          <w:trHeight w:val="30"/>
        </w:trPr>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CAPITAL RESOURCES AND FINANCIAL STRATEGIES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Sources of Cash</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As of July 2, 2010, our principal sources of liquidity consisted of $141.7 million in cash and cash equivalents and $56.0 million of available credit under our current $70 million credit facility.</w:t>
      </w:r>
    </w:p>
    <w:p>
      <w:pPr>
        <w:spacing w:after="0" w:line="59" w:lineRule="exact"/>
        <w:rPr>
          <w:sz w:val="20"/>
          <w:szCs w:val="20"/>
          <w:color w:val="auto"/>
        </w:rPr>
      </w:pPr>
    </w:p>
    <w:p>
      <w:pPr>
        <w:ind w:left="680" w:right="420" w:firstLine="399"/>
        <w:spacing w:after="0" w:line="371" w:lineRule="auto"/>
        <w:rPr>
          <w:sz w:val="20"/>
          <w:szCs w:val="20"/>
          <w:color w:val="auto"/>
        </w:rPr>
      </w:pPr>
      <w:r>
        <w:rPr>
          <w:rFonts w:ascii="Arial" w:cs="Arial" w:eastAsia="Arial" w:hAnsi="Arial"/>
          <w:sz w:val="11"/>
          <w:szCs w:val="11"/>
          <w:color w:val="auto"/>
        </w:rPr>
        <w:t>As of July 2, 2010, approximately $82.0 million or 58% of our total cash and cash equivalents was held by entities domiciled in the United States. The remaining balance of $59.7 million or 42% was held by entities outside the United States, primarily in Singapore, and could be subject to additional taxation if it were to be repatriated to the United States.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Available Credit Facility and Repayment of Debt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debt consisted of short-term debt of $5.0 million as of July 2, 2010 and $10.0 million as of July 3, 2009. We have a credit facility which provides for an initial committed amount of $70 million with an uncommitted option for an additional $50 million available with the same or additional banks. The initial term of our credit facility is three years expiring June 30, 2011 and provides for (1) demand borrowings (with no stated maturity date) (2) fixed term Eurodollar loans for up to six months or more as agreed with the banks, and (3) the issuance of standby or commercial letters of credit.</w:t>
      </w:r>
    </w:p>
    <w:p>
      <w:pPr>
        <w:spacing w:after="0" w:line="7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Demand borrowings carry an interest rate of the greater of Bank of America’s prime rate or the Federal Funds rate plus 0.5%. Eurodollar loans were initially offered at LIBOR plus a spread of between 1.25% to 2.00% based on our current leverage ratio. Effective August 23, 2010, the terms of the facility were amended to change the spread on Eurodollar loans to 1.00% and to eliminate the leverage ratio covenant commencing with the fiscal quarter ended July 2, 2010 in exchange for cash collateralization of the borrowings and outstanding letters of credit. In addition, the liquidity ratio covenant was replaced with a minimum quick ratio covenant commencing with the fiscal quarter ended July 2, 2010. As of July 2, 2010, we were in compliance with these amended financial covenants.</w:t>
      </w:r>
    </w:p>
    <w:p>
      <w:pPr>
        <w:spacing w:after="0" w:line="71"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credit facility allows for borrowings of up to $70 million with available credit defined as $70 million less the outstanding balance of short-term borrowings ($5.0 million as of July 2, 2010) and letters of credit ($9.0 million as of July 2, 2010). Therefore, available credit as of July 2, 2010 was $56.0 million. The weighted average interest rate on our short-term borrowings was 2.48% as of July 2, 2010.</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2, 2010, the amount under standby letters of credit outstanding totaled $1.2 million under a previous credit facility in effect as of the end of fiscal year 2008.</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Based on covenants included as part of the credit facility as of June 30, 2008, and as amended effective July 2, 2010, we must maintain, as measured as of the last day of each fiscal quarter, a minimum quick ratio of 1.25 to 1 (defined as the ratio of (1) the sum of total unrestricted cash and equivalents, short-term marketable securities and 100% of total monetary receivables to (2) total current liabilities, excluding any collateralized loans and other liabilities). As of July 2, 2010, we were in compliance with these financial covenants and expect to remain in compliance through fiscal 2011.</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an uncommitted short-term line of credit of $0.2 million from a bank in New Zealand to support the operations of our subsidiary located there, all of which was available on July 2, 2010. This line of credit provides for short-term advances at various interest rates, may be terminated upon notice, is reviewed annually for renewal or modification, and is supported by a corporate guarantee.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Severance Payments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have a liability for restructuring and other long-term liabilities from severance activities totaling $8.7 million as of July 2, 2010, of which $6.0 million is classified as a current liability and expected to be paid out in cash over the next year.</w:t>
      </w:r>
    </w:p>
    <w:p>
      <w:pPr>
        <w:spacing w:after="0" w:line="59"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continue to restructure and transform our business to realign resources and achieve desired cost savings in an increasingly competitive market. Following approval of our annual operating plan, on August 12, 2010 we announced that we will implement certain cost reduction initiatives in the range of $30.0 to $35.0 million for fiscal 2011. These initiatives primarily affect operations in the Americas, Asia and Europe. These actions are intended to bring the Company’s operational cost structure in line with the changing dynamics of the microwave radio and telecommunications markets.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expect to record approximately $11.0 million to $13.0 million of charges related to severance and employee-related costs and impairment of facilities during the first, second and third quarters of fiscal 2011. The severance and employee-related cash charges are expected to be approximately $9.0 million to $10.0 million. Additionally, we expect to record approximately $2.0 million of non-cash asset impairments and $1.0 million of lease impairment charges requiring cash payments. The impairment charges consist primarily of costs to close facilities in the Americas, Asia and Europe.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 fund these future payments with available funds and cash flow provided by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July 2, 2010, we had contractual cash obligations for repayment of short-term debt and related interest, purchase obligations to acquire goods and services, payments for operating lease commitments, payments on our restructuring and severance liabilities, redemption of our preference shares and payment of the related required dividend payments and other current liabilities on our balance sheet in the normal course of business.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payments due under these contractual obligations are estimated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5"/>
          </w:tcPr>
          <w:p>
            <w:pPr>
              <w:jc w:val="center"/>
              <w:ind w:right="1100"/>
              <w:spacing w:after="0"/>
              <w:rPr>
                <w:sz w:val="20"/>
                <w:szCs w:val="20"/>
                <w:color w:val="auto"/>
              </w:rPr>
            </w:pPr>
            <w:r>
              <w:rPr>
                <w:rFonts w:ascii="Arial" w:cs="Arial" w:eastAsia="Arial" w:hAnsi="Arial"/>
                <w:sz w:val="10"/>
                <w:szCs w:val="10"/>
                <w:b w:val="1"/>
                <w:bCs w:val="1"/>
                <w:color w:val="auto"/>
                <w:w w:val="95"/>
              </w:rPr>
              <w:t>Obligations Due by Fiscal Year</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7"/>
              </w:rPr>
              <w:t>2012 and 2013</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2014 and 2015</w:t>
            </w:r>
          </w:p>
        </w:tc>
        <w:tc>
          <w:tcPr>
            <w:tcW w:w="40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After 2015</w:t>
            </w:r>
          </w:p>
        </w:tc>
        <w:tc>
          <w:tcPr>
            <w:tcW w:w="10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left="138"/>
              <w:spacing w:after="0"/>
              <w:rPr>
                <w:sz w:val="20"/>
                <w:szCs w:val="20"/>
                <w:color w:val="auto"/>
              </w:rPr>
            </w:pPr>
            <w:r>
              <w:rPr>
                <w:rFonts w:ascii="Arial" w:cs="Arial" w:eastAsia="Arial" w:hAnsi="Arial"/>
                <w:sz w:val="10"/>
                <w:szCs w:val="10"/>
                <w:b w:val="1"/>
                <w:bCs w:val="1"/>
                <w:color w:val="auto"/>
                <w:w w:val="99"/>
              </w:rPr>
              <w:t>(In millions)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Interest on short-term debt</w:t>
            </w: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Operating lease commitments</w:t>
            </w: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and other long-term liabilities</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Redeemable preference shares(2)</w:t>
            </w: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8.3</w:t>
            </w: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 requirements on redeemable preference shares(3)</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Other current liabilities on the balance sheet</w:t>
            </w:r>
          </w:p>
        </w:tc>
        <w:tc>
          <w:tcPr>
            <w:tcW w:w="80" w:type="dxa"/>
            <w:vAlign w:val="bottom"/>
          </w:tcPr>
          <w:p>
            <w:pPr>
              <w:spacing w:after="0"/>
              <w:rPr>
                <w:sz w:val="13"/>
                <w:szCs w:val="1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3"/>
                <w:szCs w:val="13"/>
                <w:color w:val="auto"/>
                <w:w w:val="98"/>
              </w:rPr>
              <w:t>155.6</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155.6</w:t>
            </w:r>
          </w:p>
        </w:tc>
        <w:tc>
          <w:tcPr>
            <w:tcW w:w="8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8"/>
              </w:rPr>
              <w:t>281.3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235.2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w:t>
            </w:r>
          </w:p>
        </w:tc>
      </w:tr>
      <w:tr>
        <w:trPr>
          <w:trHeight w:val="108"/>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800" w:hanging="259"/>
        <w:spacing w:after="0" w:line="258"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w:t>
      </w:r>
    </w:p>
    <w:p>
      <w:pPr>
        <w:spacing w:after="0" w:line="22" w:lineRule="exact"/>
        <w:rPr>
          <w:rFonts w:ascii="Arial" w:cs="Arial" w:eastAsia="Arial" w:hAnsi="Arial"/>
          <w:sz w:val="13"/>
          <w:szCs w:val="13"/>
          <w:color w:val="auto"/>
        </w:rPr>
      </w:pPr>
    </w:p>
    <w:p>
      <w:pPr>
        <w:ind w:left="1000" w:hanging="259"/>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Assumes the mandatory redemption will occur more than five years from July 2, 2010.</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dividend rate is 12% and assumes no redemptions for five years from July 2, 2010.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Commitments</w:t>
      </w:r>
    </w:p>
    <w:p>
      <w:pPr>
        <w:spacing w:after="0" w:line="96"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2, 2010, we had commercial commitments on outstanding surety bonds, standby letters of credit, guarantees and other arrangements,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8"/>
          </w:tcPr>
          <w:p>
            <w:pPr>
              <w:ind w:left="180"/>
              <w:spacing w:after="0"/>
              <w:rPr>
                <w:sz w:val="20"/>
                <w:szCs w:val="20"/>
                <w:color w:val="auto"/>
              </w:rPr>
            </w:pPr>
            <w:r>
              <w:rPr>
                <w:rFonts w:ascii="Arial" w:cs="Arial" w:eastAsia="Arial" w:hAnsi="Arial"/>
                <w:sz w:val="10"/>
                <w:szCs w:val="10"/>
                <w:b w:val="1"/>
                <w:bCs w:val="1"/>
                <w:color w:val="auto"/>
              </w:rPr>
              <w:t>Expiration of Commitments by Fiscal Year</w:t>
            </w: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0"/>
              </w:rPr>
              <w:t>2011</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2012</w:t>
            </w:r>
          </w:p>
        </w:tc>
        <w:tc>
          <w:tcPr>
            <w:tcW w:w="400" w:type="dxa"/>
            <w:vAlign w:val="bottom"/>
          </w:tcPr>
          <w:p>
            <w:pPr>
              <w:spacing w:after="0"/>
              <w:rPr>
                <w:sz w:val="8"/>
                <w:szCs w:val="8"/>
                <w:color w:val="auto"/>
              </w:rPr>
            </w:pPr>
          </w:p>
        </w:tc>
        <w:tc>
          <w:tcPr>
            <w:tcW w:w="2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2013</w:t>
            </w:r>
          </w:p>
        </w:tc>
        <w:tc>
          <w:tcPr>
            <w:tcW w:w="40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After 2013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Standby letters of credit used for:</w:t>
            </w: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Bids</w:t>
            </w:r>
          </w:p>
        </w:tc>
        <w:tc>
          <w:tcPr>
            <w:tcW w:w="3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 —</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Down payments</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Performance</w:t>
            </w: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9.4</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4.2</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5.1</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Warranty</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11.8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6.5</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5.1</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Surety bonds used for:</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Bids</w:t>
            </w: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Warranty</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0.3</w:t>
            </w: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Payment guarantees</w:t>
            </w: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Performance</w:t>
            </w:r>
          </w:p>
        </w:tc>
        <w:tc>
          <w:tcPr>
            <w:tcW w:w="3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66.6</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4"/>
              </w:rPr>
              <w:t>66.6</w:t>
            </w: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6"/>
              </w:rPr>
              <w:t>67.5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w w:val="94"/>
              </w:rPr>
              <w:t>67.3</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0.1</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Total commitments</w:t>
            </w:r>
          </w:p>
        </w:tc>
        <w:tc>
          <w:tcPr>
            <w:tcW w:w="3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79.3</w:t>
            </w: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4"/>
              </w:rPr>
              <w:t>73.8</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$ 5.2</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$ 0.1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tcPr>
          <w:p>
            <w:pPr>
              <w:jc w:val="right"/>
              <w:ind w:right="1394"/>
              <w:spacing w:after="0"/>
              <w:rPr>
                <w:sz w:val="20"/>
                <w:szCs w:val="20"/>
                <w:color w:val="auto"/>
              </w:rPr>
            </w:pPr>
            <w:r>
              <w:rPr>
                <w:rFonts w:ascii="Arial" w:cs="Arial" w:eastAsia="Arial" w:hAnsi="Arial"/>
                <w:sz w:val="13"/>
                <w:szCs w:val="13"/>
                <w:color w:val="auto"/>
              </w:rPr>
              <w:t>42</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year 2011, we expect to spend approximately $12.0 million to $13.0 million for capital expenditures.</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We currently believe that existing cash and cash equivalents, funds generated from operations and access to our credit facility will be sufficient to provide for our anticipated requirements for working capital and capital expenditures for the next 12 months and the foreseeable future.</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There can be no assurance, however, that our business will generate cash flow, or that anticipated operational improvements will be achieved. If we are unable to maintain cash balances or generate sufficient cash flow from operations to service our obligations,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the definition under SEC rules (Item 303(a) (4) (ii) of Regulation S-K), any of the following qualify as off-balance sheet arrangements:</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obligation under certain guarantee contracts;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retained or contingent interest in assets transferred to an unconsolidated entity or similar entity or similar arrangement that serves as credit, liquidity or market risk support to that entity for such assets;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obligation, including a contingent obligation, under certain derivative instruments;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2, 2010,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Due to our downsizing of certain operations pursuant to acquisitions, restructuring plans or otherwise, certain properties leased by us have been sublet to third parties. In the event any of these third parties vacate any of these premises, we would be legally obligated under master lease arrangements. We believe that the financial risk of default by such sublessors is individually and in the aggregate not material to our financial position, results of operations or cash flows.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Risk Management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Exchange Rate Risk</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color w:val="auto"/>
        </w:rPr>
        <w:t>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67"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Substantially all derivatives outstanding as of July 2, 2010 are designated as cash flow hedges or non-designated hedges of recorded balance sheet positions. All derivatives are recognized on the balance sheet at their fair value. The total notional amount of outstanding derivatives as of July 2, 2010 was $41.9 million, of which $10.2 million were designated as cash flow hedges and $31.7 million were not designated as cash flow hedging instruments.</w:t>
      </w:r>
    </w:p>
    <w:p>
      <w:pPr>
        <w:spacing w:after="0" w:line="67"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A 10% adverse change in currency exchange rates for our foreign currency derivatives held as of July 2, 2010 would have an impact of approximately $2.8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67"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As of July 2, 2010, we had 41 foreign currency forward contracts outstanding with a total net notional amount of $14.1 million consisting of 13 different currencies, primarily the Canadian dollar, Euro, Philippine peso, Polish zloty, Singapore dollar and Republic of South Africa rand.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Following is a summary by currency of the contract net notional amounts grouped by the underlying foreign currency as of July 2,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860" w:type="dxa"/>
            <w:vAlign w:val="bottom"/>
          </w:tcPr>
          <w:p>
            <w:pPr>
              <w:jc w:val="center"/>
              <w:ind w:left="360"/>
              <w:spacing w:after="0"/>
              <w:rPr>
                <w:sz w:val="20"/>
                <w:szCs w:val="20"/>
                <w:color w:val="auto"/>
              </w:rPr>
            </w:pPr>
            <w:r>
              <w:rPr>
                <w:rFonts w:ascii="Arial" w:cs="Arial" w:eastAsia="Arial" w:hAnsi="Arial"/>
                <w:sz w:val="10"/>
                <w:szCs w:val="10"/>
                <w:b w:val="1"/>
                <w:bCs w:val="1"/>
                <w:color w:val="auto"/>
                <w:w w:val="97"/>
              </w:rPr>
              <w:t>Contract</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860" w:type="dxa"/>
            <w:vAlign w:val="bottom"/>
          </w:tcPr>
          <w:p>
            <w:pPr>
              <w:jc w:val="center"/>
              <w:ind w:left="380"/>
              <w:spacing w:after="0" w:line="108" w:lineRule="exact"/>
              <w:rPr>
                <w:sz w:val="20"/>
                <w:szCs w:val="20"/>
                <w:color w:val="auto"/>
              </w:rPr>
            </w:pPr>
            <w:r>
              <w:rPr>
                <w:rFonts w:ascii="Arial" w:cs="Arial" w:eastAsia="Arial" w:hAnsi="Arial"/>
                <w:sz w:val="10"/>
                <w:szCs w:val="10"/>
                <w:b w:val="1"/>
                <w:bCs w:val="1"/>
                <w:color w:val="auto"/>
              </w:rPr>
              <w:t>Amount</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7"/>
              </w:rPr>
              <w:t>Contract</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860" w:type="dxa"/>
            <w:vAlign w:val="bottom"/>
          </w:tcPr>
          <w:p>
            <w:pPr>
              <w:jc w:val="center"/>
              <w:ind w:left="360"/>
              <w:spacing w:after="0" w:line="108" w:lineRule="exact"/>
              <w:rPr>
                <w:sz w:val="20"/>
                <w:szCs w:val="20"/>
                <w:color w:val="auto"/>
              </w:rPr>
            </w:pPr>
            <w:r>
              <w:rPr>
                <w:rFonts w:ascii="Arial" w:cs="Arial" w:eastAsia="Arial" w:hAnsi="Arial"/>
                <w:sz w:val="10"/>
                <w:szCs w:val="10"/>
                <w:b w:val="1"/>
                <w:bCs w:val="1"/>
                <w:color w:val="auto"/>
                <w:w w:val="94"/>
              </w:rPr>
              <w:t>(Local</w:t>
            </w: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Currency)</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rPr>
              <w:t>Amount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(In millions)</w:t>
            </w:r>
          </w:p>
        </w:tc>
        <w:tc>
          <w:tcPr>
            <w:tcW w:w="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(USD)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86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auto"/>
              </w:rPr>
              <w:t>(CAD)</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Euro (“EUR”) net contracts to receive (pay) USD</w:t>
            </w:r>
          </w:p>
        </w:tc>
        <w:tc>
          <w:tcPr>
            <w:tcW w:w="860" w:type="dxa"/>
            <w:vAlign w:val="bottom"/>
          </w:tcPr>
          <w:p>
            <w:pPr>
              <w:jc w:val="right"/>
              <w:ind w:right="340"/>
              <w:spacing w:after="0"/>
              <w:rPr>
                <w:sz w:val="20"/>
                <w:szCs w:val="20"/>
                <w:color w:val="auto"/>
              </w:rPr>
            </w:pPr>
            <w:r>
              <w:rPr>
                <w:rFonts w:ascii="Arial" w:cs="Arial" w:eastAsia="Arial" w:hAnsi="Arial"/>
                <w:sz w:val="13"/>
                <w:szCs w:val="13"/>
                <w:color w:val="auto"/>
              </w:rPr>
              <w:t>(EUR)</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2.9)</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Philippine peso (“PHP”) net contracts to receive (pay) USD</w:t>
            </w:r>
          </w:p>
        </w:tc>
        <w:tc>
          <w:tcPr>
            <w:tcW w:w="86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auto"/>
              </w:rPr>
              <w:t>(PHP)</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860" w:type="dxa"/>
            <w:vAlign w:val="bottom"/>
          </w:tcPr>
          <w:p>
            <w:pPr>
              <w:jc w:val="right"/>
              <w:ind w:right="340"/>
              <w:spacing w:after="0"/>
              <w:rPr>
                <w:sz w:val="20"/>
                <w:szCs w:val="20"/>
                <w:color w:val="auto"/>
              </w:rPr>
            </w:pPr>
            <w:r>
              <w:rPr>
                <w:rFonts w:ascii="Arial" w:cs="Arial" w:eastAsia="Arial" w:hAnsi="Arial"/>
                <w:sz w:val="13"/>
                <w:szCs w:val="13"/>
                <w:color w:val="auto"/>
              </w:rPr>
              <w:t>(PLN)</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28.6</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Singapore dollar (“SGD”) net contracts to receive (pay) USD</w:t>
            </w:r>
          </w:p>
        </w:tc>
        <w:tc>
          <w:tcPr>
            <w:tcW w:w="86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auto"/>
              </w:rPr>
              <w:t>(SGD)</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Republic of South Africa rand (“ZAR”) net contracts to receive (pay) USD</w:t>
            </w:r>
          </w:p>
        </w:tc>
        <w:tc>
          <w:tcPr>
            <w:tcW w:w="860" w:type="dxa"/>
            <w:vAlign w:val="bottom"/>
          </w:tcPr>
          <w:p>
            <w:pPr>
              <w:jc w:val="right"/>
              <w:ind w:right="340"/>
              <w:spacing w:after="0"/>
              <w:rPr>
                <w:sz w:val="20"/>
                <w:szCs w:val="20"/>
                <w:color w:val="auto"/>
              </w:rPr>
            </w:pPr>
            <w:r>
              <w:rPr>
                <w:rFonts w:ascii="Arial" w:cs="Arial" w:eastAsia="Arial" w:hAnsi="Arial"/>
                <w:sz w:val="13"/>
                <w:szCs w:val="13"/>
                <w:color w:val="auto"/>
              </w:rPr>
              <w:t>(ZAR)</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31.2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 receive (pay) USD</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Arial" w:cs="Arial" w:eastAsia="Arial" w:hAnsi="Arial"/>
                <w:sz w:val="13"/>
                <w:szCs w:val="13"/>
                <w:color w:val="auto"/>
              </w:rPr>
              <w:t>Total of all currencies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As of July 3, 2009, we had 40 foreign currency forward contracts outstanding with a total net notional amount of $29.2 million consisting of 14 different currencies, primarily the Australian dollar, Canadian dollar, Euro and Polish zloty. Following is a summary by currency of the contract net notional amounts grouped by the underlying foreign currency as of July 3, 2009: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560" w:type="dxa"/>
            <w:vAlign w:val="bottom"/>
            <w:gridSpan w:val="3"/>
          </w:tcPr>
          <w:p>
            <w:pPr>
              <w:ind w:left="180"/>
              <w:spacing w:after="0"/>
              <w:rPr>
                <w:sz w:val="20"/>
                <w:szCs w:val="20"/>
                <w:color w:val="auto"/>
              </w:rPr>
            </w:pPr>
            <w:r>
              <w:rPr>
                <w:rFonts w:ascii="Arial" w:cs="Arial" w:eastAsia="Arial" w:hAnsi="Arial"/>
                <w:sz w:val="10"/>
                <w:szCs w:val="10"/>
                <w:b w:val="1"/>
                <w:bCs w:val="1"/>
                <w:color w:val="auto"/>
              </w:rPr>
              <w:t>Contract Amount</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Contract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(Local Currency)</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(USD)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Australian dollar (“AUD”) net contracts to receive (pay) USD</w:t>
            </w:r>
          </w:p>
        </w:tc>
        <w:tc>
          <w:tcPr>
            <w:tcW w:w="36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(AUD)</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3640" w:type="dxa"/>
            <w:vAlign w:val="bottom"/>
          </w:tcPr>
          <w:p>
            <w:pPr>
              <w:spacing w:after="0"/>
              <w:rPr>
                <w:sz w:val="13"/>
                <w:szCs w:val="13"/>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(CAD)</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Euro (“EUR”) net contracts to receive (pay) USD</w:t>
            </w:r>
          </w:p>
        </w:tc>
        <w:tc>
          <w:tcPr>
            <w:tcW w:w="36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(EUR)</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3640" w:type="dxa"/>
            <w:vAlign w:val="bottom"/>
          </w:tcPr>
          <w:p>
            <w:pPr>
              <w:spacing w:after="0"/>
              <w:rPr>
                <w:sz w:val="13"/>
                <w:szCs w:val="13"/>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(PLN)</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 receive (pay) USD</w:t>
            </w:r>
          </w:p>
        </w:tc>
        <w:tc>
          <w:tcPr>
            <w:tcW w:w="3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Arial" w:cs="Arial" w:eastAsia="Arial" w:hAnsi="Arial"/>
                <w:sz w:val="13"/>
                <w:szCs w:val="13"/>
                <w:color w:val="auto"/>
              </w:rPr>
              <w:t>Total of all currencies</w:t>
            </w:r>
          </w:p>
        </w:tc>
        <w:tc>
          <w:tcPr>
            <w:tcW w:w="3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40" w:type="dxa"/>
            <w:vAlign w:val="bottom"/>
          </w:tcPr>
          <w:p>
            <w:pPr>
              <w:jc w:val="right"/>
              <w:ind w:right="2614"/>
              <w:spacing w:after="0"/>
              <w:rPr>
                <w:sz w:val="20"/>
                <w:szCs w:val="20"/>
                <w:color w:val="auto"/>
              </w:rPr>
            </w:pPr>
            <w:r>
              <w:rPr>
                <w:rFonts w:ascii="Arial" w:cs="Arial" w:eastAsia="Arial" w:hAnsi="Arial"/>
                <w:sz w:val="13"/>
                <w:szCs w:val="13"/>
                <w:color w:val="auto"/>
              </w:rPr>
              <w:t>44</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fair value of derivative instruments included within our Consolidated Balance Sheet as of July 2,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700" w:type="dxa"/>
            <w:vAlign w:val="bottom"/>
            <w:tcBorders>
              <w:bottom w:val="single" w:sz="8" w:color="auto"/>
            </w:tcBorders>
          </w:tcPr>
          <w:p>
            <w:pPr>
              <w:ind w:left="940"/>
              <w:spacing w:after="0"/>
              <w:rPr>
                <w:sz w:val="20"/>
                <w:szCs w:val="20"/>
                <w:color w:val="auto"/>
              </w:rPr>
            </w:pPr>
            <w:r>
              <w:rPr>
                <w:rFonts w:ascii="Arial" w:cs="Arial" w:eastAsia="Arial" w:hAnsi="Arial"/>
                <w:sz w:val="10"/>
                <w:szCs w:val="10"/>
                <w:b w:val="1"/>
                <w:bCs w:val="1"/>
                <w:color w:val="auto"/>
                <w:w w:val="88"/>
              </w:rPr>
              <w:t>Asset Derivatives</w:t>
            </w: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Liability Derivatives</w:t>
            </w: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700" w:type="dxa"/>
            <w:vAlign w:val="bottom"/>
            <w:tcBorders>
              <w:bottom w:val="single" w:sz="8" w:color="auto"/>
            </w:tcBorders>
          </w:tcPr>
          <w:p>
            <w:pPr>
              <w:ind w:left="34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380" w:type="dxa"/>
            <w:vAlign w:val="bottom"/>
          </w:tcPr>
          <w:p>
            <w:pPr>
              <w:spacing w:after="0"/>
              <w:rPr>
                <w:sz w:val="8"/>
                <w:szCs w:val="8"/>
                <w:color w:val="auto"/>
              </w:rPr>
            </w:pPr>
          </w:p>
        </w:tc>
        <w:tc>
          <w:tcPr>
            <w:tcW w:w="54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Fair Value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Borders>
              <w:bottom w:val="single" w:sz="8" w:color="auto"/>
            </w:tcBorders>
          </w:tcPr>
          <w:p>
            <w:pPr>
              <w:ind w:left="42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hedging instruments:</w:t>
            </w:r>
          </w:p>
        </w:tc>
        <w:tc>
          <w:tcPr>
            <w:tcW w:w="170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1700" w:type="dxa"/>
            <w:vAlign w:val="bottom"/>
          </w:tcPr>
          <w:p>
            <w:pPr>
              <w:spacing w:after="0"/>
              <w:rPr>
                <w:sz w:val="20"/>
                <w:szCs w:val="20"/>
                <w:color w:val="auto"/>
              </w:rPr>
            </w:pPr>
            <w:r>
              <w:rPr>
                <w:rFonts w:ascii="Arial" w:cs="Arial" w:eastAsia="Arial" w:hAnsi="Arial"/>
                <w:sz w:val="13"/>
                <w:szCs w:val="13"/>
                <w:color w:val="auto"/>
              </w:rPr>
              <w:t>Other current assets</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0.1</w:t>
            </w:r>
          </w:p>
        </w:tc>
        <w:tc>
          <w:tcPr>
            <w:tcW w:w="380" w:type="dxa"/>
            <w:vAlign w:val="bottom"/>
          </w:tcPr>
          <w:p>
            <w:pPr>
              <w:spacing w:after="0"/>
              <w:rPr>
                <w:sz w:val="13"/>
                <w:szCs w:val="13"/>
                <w:color w:val="auto"/>
              </w:rPr>
            </w:pPr>
          </w:p>
        </w:tc>
        <w:tc>
          <w:tcPr>
            <w:tcW w:w="2280" w:type="dxa"/>
            <w:vAlign w:val="bottom"/>
            <w:gridSpan w:val="2"/>
          </w:tcPr>
          <w:p>
            <w:pPr>
              <w:jc w:val="right"/>
              <w:ind w:right="400"/>
              <w:spacing w:after="0"/>
              <w:rPr>
                <w:sz w:val="20"/>
                <w:szCs w:val="20"/>
                <w:color w:val="auto"/>
              </w:rPr>
            </w:pPr>
            <w:r>
              <w:rPr>
                <w:rFonts w:ascii="Arial" w:cs="Arial" w:eastAsia="Arial" w:hAnsi="Arial"/>
                <w:sz w:val="13"/>
                <w:szCs w:val="13"/>
                <w:color w:val="auto"/>
              </w:rPr>
              <w:t>Other current liabilities</w:t>
            </w: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0.1</w:t>
            </w: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Derivatives not designated as hedging instruments:</w:t>
            </w:r>
          </w:p>
        </w:tc>
        <w:tc>
          <w:tcPr>
            <w:tcW w:w="17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1700" w:type="dxa"/>
            <w:vAlign w:val="bottom"/>
          </w:tcPr>
          <w:p>
            <w:pPr>
              <w:spacing w:after="0"/>
              <w:rPr>
                <w:sz w:val="20"/>
                <w:szCs w:val="20"/>
                <w:color w:val="auto"/>
              </w:rPr>
            </w:pPr>
            <w:r>
              <w:rPr>
                <w:rFonts w:ascii="Arial" w:cs="Arial" w:eastAsia="Arial" w:hAnsi="Arial"/>
                <w:sz w:val="13"/>
                <w:szCs w:val="13"/>
                <w:color w:val="auto"/>
              </w:rPr>
              <w:t>Other current assets</w:t>
            </w:r>
          </w:p>
        </w:tc>
        <w:tc>
          <w:tcPr>
            <w:tcW w:w="3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280" w:type="dxa"/>
            <w:vAlign w:val="bottom"/>
            <w:gridSpan w:val="2"/>
          </w:tcPr>
          <w:p>
            <w:pPr>
              <w:jc w:val="right"/>
              <w:ind w:right="400"/>
              <w:spacing w:after="0"/>
              <w:rPr>
                <w:sz w:val="20"/>
                <w:szCs w:val="20"/>
                <w:color w:val="auto"/>
              </w:rPr>
            </w:pPr>
            <w:r>
              <w:rPr>
                <w:rFonts w:ascii="Arial" w:cs="Arial" w:eastAsia="Arial" w:hAnsi="Arial"/>
                <w:sz w:val="13"/>
                <w:szCs w:val="13"/>
                <w:color w:val="auto"/>
              </w:rPr>
              <w:t>Other current liabilities</w:t>
            </w:r>
          </w:p>
        </w:tc>
        <w:tc>
          <w:tcPr>
            <w:tcW w:w="2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17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0.1</w:t>
            </w: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0.1</w:t>
            </w:r>
          </w:p>
        </w:tc>
      </w:tr>
      <w:tr>
        <w:trPr>
          <w:trHeight w:val="29"/>
        </w:trPr>
        <w:tc>
          <w:tcPr>
            <w:tcW w:w="4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fair value of derivative instruments included within our Consolidated Balance Sheet as of July 3,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2040" w:type="dxa"/>
            <w:vAlign w:val="bottom"/>
            <w:tcBorders>
              <w:bottom w:val="single" w:sz="8" w:color="auto"/>
            </w:tcBorders>
            <w:gridSpan w:val="2"/>
          </w:tcPr>
          <w:p>
            <w:pPr>
              <w:ind w:left="940"/>
              <w:spacing w:after="0"/>
              <w:rPr>
                <w:sz w:val="20"/>
                <w:szCs w:val="20"/>
                <w:color w:val="auto"/>
              </w:rPr>
            </w:pPr>
            <w:r>
              <w:rPr>
                <w:rFonts w:ascii="Arial" w:cs="Arial" w:eastAsia="Arial" w:hAnsi="Arial"/>
                <w:sz w:val="10"/>
                <w:szCs w:val="10"/>
                <w:b w:val="1"/>
                <w:bCs w:val="1"/>
                <w:color w:val="auto"/>
              </w:rPr>
              <w:t>Asset Derivatives</w:t>
            </w: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Liability Derivatives</w:t>
            </w: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620" w:type="dxa"/>
            <w:vAlign w:val="bottom"/>
            <w:tcBorders>
              <w:bottom w:val="single" w:sz="8" w:color="auto"/>
            </w:tcBorders>
          </w:tcPr>
          <w:p>
            <w:pPr>
              <w:ind w:left="30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2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Fair Value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Borders>
              <w:bottom w:val="single" w:sz="8" w:color="auto"/>
            </w:tcBorders>
          </w:tcPr>
          <w:p>
            <w:pPr>
              <w:ind w:left="42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580" w:type="dxa"/>
            <w:vAlign w:val="bottom"/>
            <w:tcBorders>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hedging instruments:</w:t>
            </w:r>
          </w:p>
        </w:tc>
        <w:tc>
          <w:tcPr>
            <w:tcW w:w="1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040" w:type="dxa"/>
            <w:vAlign w:val="bottom"/>
            <w:gridSpan w:val="2"/>
          </w:tcPr>
          <w:p>
            <w:pPr>
              <w:ind w:left="580"/>
              <w:spacing w:after="0"/>
              <w:rPr>
                <w:sz w:val="20"/>
                <w:szCs w:val="20"/>
                <w:color w:val="auto"/>
              </w:rPr>
            </w:pPr>
            <w:r>
              <w:rPr>
                <w:rFonts w:ascii="Arial" w:cs="Arial" w:eastAsia="Arial" w:hAnsi="Arial"/>
                <w:sz w:val="13"/>
                <w:szCs w:val="13"/>
                <w:color w:val="auto"/>
              </w:rPr>
              <w:t>Other current assets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0.2</w:t>
            </w:r>
          </w:p>
        </w:tc>
        <w:tc>
          <w:tcPr>
            <w:tcW w:w="380" w:type="dxa"/>
            <w:vAlign w:val="bottom"/>
          </w:tcPr>
          <w:p>
            <w:pPr>
              <w:spacing w:after="0"/>
              <w:rPr>
                <w:sz w:val="13"/>
                <w:szCs w:val="13"/>
                <w:color w:val="auto"/>
              </w:rPr>
            </w:pPr>
          </w:p>
        </w:tc>
        <w:tc>
          <w:tcPr>
            <w:tcW w:w="2280" w:type="dxa"/>
            <w:vAlign w:val="bottom"/>
            <w:gridSpan w:val="2"/>
          </w:tcPr>
          <w:p>
            <w:pPr>
              <w:jc w:val="right"/>
              <w:ind w:right="400"/>
              <w:spacing w:after="0"/>
              <w:rPr>
                <w:sz w:val="20"/>
                <w:szCs w:val="20"/>
                <w:color w:val="auto"/>
              </w:rPr>
            </w:pPr>
            <w:r>
              <w:rPr>
                <w:rFonts w:ascii="Arial" w:cs="Arial" w:eastAsia="Arial" w:hAnsi="Arial"/>
                <w:sz w:val="13"/>
                <w:szCs w:val="13"/>
                <w:color w:val="auto"/>
              </w:rPr>
              <w:t>Other current liabilities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Derivatives not designated as hedging instruments:</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040" w:type="dxa"/>
            <w:vAlign w:val="bottom"/>
            <w:gridSpan w:val="2"/>
          </w:tcPr>
          <w:p>
            <w:pPr>
              <w:ind w:left="580"/>
              <w:spacing w:after="0"/>
              <w:rPr>
                <w:sz w:val="20"/>
                <w:szCs w:val="20"/>
                <w:color w:val="auto"/>
              </w:rPr>
            </w:pPr>
            <w:r>
              <w:rPr>
                <w:rFonts w:ascii="Arial" w:cs="Arial" w:eastAsia="Arial" w:hAnsi="Arial"/>
                <w:sz w:val="13"/>
                <w:szCs w:val="13"/>
                <w:color w:val="auto"/>
              </w:rPr>
              <w:t>Other current assets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0.9</w:t>
            </w:r>
          </w:p>
        </w:tc>
        <w:tc>
          <w:tcPr>
            <w:tcW w:w="380" w:type="dxa"/>
            <w:vAlign w:val="bottom"/>
          </w:tcPr>
          <w:p>
            <w:pPr>
              <w:spacing w:after="0"/>
              <w:rPr>
                <w:sz w:val="13"/>
                <w:szCs w:val="13"/>
                <w:color w:val="auto"/>
              </w:rPr>
            </w:pPr>
          </w:p>
        </w:tc>
        <w:tc>
          <w:tcPr>
            <w:tcW w:w="2280" w:type="dxa"/>
            <w:vAlign w:val="bottom"/>
            <w:gridSpan w:val="2"/>
          </w:tcPr>
          <w:p>
            <w:pPr>
              <w:jc w:val="right"/>
              <w:ind w:right="400"/>
              <w:spacing w:after="0"/>
              <w:rPr>
                <w:sz w:val="20"/>
                <w:szCs w:val="20"/>
                <w:color w:val="auto"/>
              </w:rPr>
            </w:pPr>
            <w:r>
              <w:rPr>
                <w:rFonts w:ascii="Arial" w:cs="Arial" w:eastAsia="Arial" w:hAnsi="Arial"/>
                <w:sz w:val="13"/>
                <w:szCs w:val="13"/>
                <w:color w:val="auto"/>
              </w:rPr>
              <w:t>Other current liabilities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r>
      <w:tr>
        <w:trPr>
          <w:trHeight w:val="20"/>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3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r>
      <w:tr>
        <w:trPr>
          <w:trHeight w:val="29"/>
        </w:trPr>
        <w:tc>
          <w:tcPr>
            <w:tcW w:w="4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fiscal 2010 and 2009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20" w:type="dxa"/>
            <w:vAlign w:val="bottom"/>
            <w:gridSpan w:val="2"/>
          </w:tcPr>
          <w:p>
            <w:pPr>
              <w:spacing w:after="0"/>
              <w:rPr>
                <w:sz w:val="20"/>
                <w:szCs w:val="20"/>
                <w:color w:val="auto"/>
              </w:rPr>
            </w:pPr>
            <w:r>
              <w:rPr>
                <w:rFonts w:ascii="Arial" w:cs="Arial" w:eastAsia="Arial" w:hAnsi="Arial"/>
                <w:sz w:val="10"/>
                <w:szCs w:val="10"/>
                <w:b w:val="1"/>
                <w:bCs w:val="1"/>
                <w:color w:val="auto"/>
              </w:rPr>
              <w:t>Locations of Gains (Losses) Recorded from Derivatives Designated as Cash Flow Hedges</w:t>
            </w:r>
          </w:p>
        </w:tc>
        <w:tc>
          <w:tcPr>
            <w:tcW w:w="400" w:type="dxa"/>
            <w:vAlign w:val="bottom"/>
          </w:tcPr>
          <w:p>
            <w:pPr>
              <w:jc w:val="right"/>
              <w:ind w:right="38"/>
              <w:spacing w:after="0"/>
              <w:rPr>
                <w:sz w:val="20"/>
                <w:szCs w:val="20"/>
                <w:color w:val="auto"/>
              </w:rPr>
            </w:pPr>
            <w:r>
              <w:rPr>
                <w:rFonts w:ascii="Arial" w:cs="Arial" w:eastAsia="Arial" w:hAnsi="Arial"/>
                <w:sz w:val="10"/>
                <w:szCs w:val="10"/>
                <w:b w:val="1"/>
                <w:bCs w:val="1"/>
                <w:color w:val="auto"/>
              </w:rPr>
              <w:t>2010</w:t>
            </w:r>
          </w:p>
        </w:tc>
        <w:tc>
          <w:tcPr>
            <w:tcW w:w="66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2009</w:t>
            </w:r>
          </w:p>
        </w:tc>
      </w:tr>
      <w:tr>
        <w:trPr>
          <w:trHeight w:val="20"/>
        </w:trPr>
        <w:tc>
          <w:tcPr>
            <w:tcW w:w="10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31"/>
        </w:trPr>
        <w:tc>
          <w:tcPr>
            <w:tcW w:w="10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60" w:type="dxa"/>
            <w:vAlign w:val="bottom"/>
            <w:gridSpan w:val="2"/>
          </w:tcPr>
          <w:p>
            <w:pPr>
              <w:jc w:val="right"/>
              <w:ind w:right="194"/>
              <w:spacing w:after="0"/>
              <w:rPr>
                <w:sz w:val="20"/>
                <w:szCs w:val="20"/>
                <w:color w:val="auto"/>
              </w:rPr>
            </w:pPr>
            <w:r>
              <w:rPr>
                <w:rFonts w:ascii="Arial" w:cs="Arial" w:eastAsia="Arial" w:hAnsi="Arial"/>
                <w:sz w:val="10"/>
                <w:szCs w:val="10"/>
                <w:b w:val="1"/>
                <w:bCs w:val="1"/>
                <w:color w:val="auto"/>
                <w:w w:val="92"/>
              </w:rPr>
              <w:t>millions)</w:t>
            </w:r>
          </w:p>
        </w:tc>
      </w:tr>
      <w:tr>
        <w:trPr>
          <w:trHeight w:val="163"/>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of gain (loss) of effective hedges recognized in Other Comprehensive Income</w:t>
            </w: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6"/>
              </w:rPr>
              <w:t>$ 0.6</w:t>
            </w: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$2.6</w:t>
            </w:r>
          </w:p>
        </w:tc>
      </w:tr>
      <w:tr>
        <w:trPr>
          <w:trHeight w:val="157"/>
        </w:trPr>
        <w:tc>
          <w:tcPr>
            <w:tcW w:w="8920" w:type="dxa"/>
            <w:vAlign w:val="bottom"/>
            <w:gridSpan w:val="2"/>
          </w:tcPr>
          <w:p>
            <w:pPr>
              <w:spacing w:after="0"/>
              <w:rPr>
                <w:sz w:val="20"/>
                <w:szCs w:val="20"/>
                <w:color w:val="auto"/>
              </w:rPr>
            </w:pPr>
            <w:r>
              <w:rPr>
                <w:rFonts w:ascii="Arial" w:cs="Arial" w:eastAsia="Arial" w:hAnsi="Arial"/>
                <w:sz w:val="13"/>
                <w:szCs w:val="13"/>
                <w:color w:val="auto"/>
              </w:rPr>
              <w:t>Amount of gain (loss) of effective hedges reclassified from Other Comprehensive Income into:</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7"/>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$(0.2)</w:t>
            </w: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$2.6</w:t>
            </w:r>
          </w:p>
        </w:tc>
      </w:tr>
      <w:tr>
        <w:trPr>
          <w:trHeight w:val="157"/>
        </w:trPr>
        <w:tc>
          <w:tcPr>
            <w:tcW w:w="8920" w:type="dxa"/>
            <w:vAlign w:val="bottom"/>
            <w:gridSpan w:val="2"/>
          </w:tcPr>
          <w:p>
            <w:pPr>
              <w:spacing w:after="0"/>
              <w:rPr>
                <w:sz w:val="20"/>
                <w:szCs w:val="20"/>
                <w:color w:val="auto"/>
              </w:rPr>
            </w:pPr>
            <w:r>
              <w:rPr>
                <w:rFonts w:ascii="Arial" w:cs="Arial" w:eastAsia="Arial" w:hAnsi="Arial"/>
                <w:sz w:val="13"/>
                <w:szCs w:val="13"/>
                <w:color w:val="auto"/>
              </w:rPr>
              <w:t>Cost of Products Sold</w:t>
            </w: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96"/>
              </w:rPr>
              <w:t>$ 0.2</w:t>
            </w:r>
          </w:p>
        </w:tc>
        <w:tc>
          <w:tcPr>
            <w:tcW w:w="300" w:type="dxa"/>
            <w:vAlign w:val="bottom"/>
          </w:tcPr>
          <w:p>
            <w:pPr>
              <w:spacing w:after="0"/>
              <w:rPr>
                <w:sz w:val="13"/>
                <w:szCs w:val="13"/>
                <w:color w:val="auto"/>
              </w:rPr>
            </w:pP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 —</w:t>
            </w:r>
          </w:p>
        </w:tc>
      </w:tr>
      <w:tr>
        <w:trPr>
          <w:trHeight w:val="157"/>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recorded into Cost of Products Sold associated with excluded time value</w:t>
            </w: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6"/>
              </w:rPr>
              <w:t>$ 0.2</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 —</w:t>
            </w:r>
          </w:p>
        </w:tc>
      </w:tr>
      <w:tr>
        <w:trPr>
          <w:trHeight w:val="169"/>
        </w:trPr>
        <w:tc>
          <w:tcPr>
            <w:tcW w:w="8920" w:type="dxa"/>
            <w:vAlign w:val="bottom"/>
            <w:gridSpan w:val="2"/>
          </w:tcPr>
          <w:p>
            <w:pPr>
              <w:spacing w:after="0"/>
              <w:rPr>
                <w:sz w:val="20"/>
                <w:szCs w:val="20"/>
                <w:color w:val="auto"/>
              </w:rPr>
            </w:pPr>
            <w:r>
              <w:rPr>
                <w:rFonts w:ascii="Arial" w:cs="Arial" w:eastAsia="Arial" w:hAnsi="Arial"/>
                <w:sz w:val="13"/>
                <w:szCs w:val="13"/>
                <w:color w:val="auto"/>
              </w:rPr>
              <w:t>Amount recorded into Cost of Products Sold due to hedge ineffectiveness</w:t>
            </w: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96"/>
              </w:rPr>
              <w:t>$ 0.1</w:t>
            </w:r>
          </w:p>
        </w:tc>
        <w:tc>
          <w:tcPr>
            <w:tcW w:w="300" w:type="dxa"/>
            <w:vAlign w:val="bottom"/>
          </w:tcPr>
          <w:p>
            <w:pPr>
              <w:spacing w:after="0"/>
              <w:rPr>
                <w:sz w:val="14"/>
                <w:szCs w:val="14"/>
                <w:color w:val="auto"/>
              </w:rPr>
            </w:pP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 —</w:t>
            </w:r>
          </w:p>
        </w:tc>
      </w:tr>
    </w:tbl>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exposure to market risk for changes in interest rates relates primarily to our cash equivalents and short-term debt borrowings.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Exposure on Cash Equivalents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designed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had $141.7 million in total cash and cash equivalents as of July 2, 2010. Cash equivalents totaled $81.3 million as of July 2, 2010.</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July 2, 2010 was one day, and these investments had an average yield of 0.23% per annum. A 10% change in interest rates on our cash and cash equivalents is not expected to have a material impact on our financial position, results of operations or cash flows.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equivalents have been recorded at fair value on our balance sheet.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Exposure on Borrowings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During fiscal 2010, borrowings under our $70 million revolving credit facility incurred interest under the London Interbank Offered Rate (“LIBOR”) plus 1.25% to 1.50%. As of July 2, 2010, our weighted average interest rate was 2.48%. During fiscal 2010, we had between $5 million and $15 million of short-term borrowings outstanding under the credit facility. We recorded total interest expense on these borrowings of $0.2 million during fiscal 2010.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Foreign Exchange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Approximately 16% of our international business was transacted in non U.S. dollar currency environments in fiscal 2010 compared with 21% in fiscal 2009. The impact of translating the assets and liabilities of foreign operations to U.S. dollars is included as a component of stockholders’ equity. As of July 2, 2010, the cumulative translation adjustment decreased stockholders’ equity by $2.9 million compared with a decrease of $4.4 million as of July 3, 2009. As discussed above, we utilize foreign currency hedging instruments to minimize the currency risk of international transactions.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Seasonality</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fiscal third quarter revenue and orders have historically been lower than the revenue and orders in the immediately preceding second quarter because many of our customers utilize a significant portion of their capital budgets at the end of their fiscal year,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factors, including changes in the global economy and other factors. Please refer to the section entitled “Risk Factors” in Item 1A.</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Our consolidated financial statements are prepared in accordance with U.S. generally accepted accounting principles (“GAAP”). These accounting principles require us to make certain estimates, judgments and assumptions. We believe that the estimates, judgments and assumptions upon which we rely are reasonable based upon information available to us.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59"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Inventory Valuation and Provision for Excess and Obsolete Inventory Losses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Long-Lived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Income Taxes and Tax Valuation Allowances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following is not intended to be a comprehensive list of all of our accounting policies or estimates. Our significant accounting policies are more fully described in “Note B — “Significant Accounting Policies and New Accounting Pronouncements”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55"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 xml:space="preserve">In October 2009, the FASB ratified ASC Update (“ASU”) No. 2009-13, </w:t>
      </w:r>
      <w:r>
        <w:rPr>
          <w:rFonts w:ascii="Arial" w:cs="Arial" w:eastAsia="Arial" w:hAnsi="Arial"/>
          <w:sz w:val="13"/>
          <w:szCs w:val="13"/>
          <w:i w:val="1"/>
          <w:iCs w:val="1"/>
          <w:color w:val="auto"/>
        </w:rPr>
        <w:t>Multiple-Deliverable Revenue Arrangements</w:t>
      </w:r>
      <w:r>
        <w:rPr>
          <w:rFonts w:ascii="Arial" w:cs="Arial" w:eastAsia="Arial" w:hAnsi="Arial"/>
          <w:sz w:val="13"/>
          <w:szCs w:val="13"/>
          <w:color w:val="auto"/>
        </w:rPr>
        <w:t xml:space="preserve"> (ASU 2009-13). ASU 2009-13 amends existing revenue recognition accounting standards that are currently within the scope of FASB ASC, Subtopic 605-25, which is the revenue recognition guidance for multiple-element arrangements. ASU 2009-13 provides for three significant changes to the existing multiple element revenue recognition guidance as follows:</w:t>
      </w:r>
    </w:p>
    <w:p>
      <w:pPr>
        <w:spacing w:after="0" w:line="67" w:lineRule="exact"/>
        <w:rPr>
          <w:sz w:val="20"/>
          <w:szCs w:val="20"/>
          <w:color w:val="auto"/>
        </w:rPr>
      </w:pPr>
    </w:p>
    <w:p>
      <w:pPr>
        <w:ind w:left="1280" w:right="20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Deletes the requirement to have objective and reliable evidence of fair value for undelivered elements in an arrangement. This may result in more deliverables being treated as separate units of accounting.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 w:hanging="190"/>
        <w:spacing w:after="0" w:line="322" w:lineRule="auto"/>
        <w:tabs>
          <w:tab w:leader="none" w:pos="12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Modifies the manner in which the arrangement consideration is allocated to the separately identified deliverables. ASU 2009-13 requires an entity to allocate revenue in an arrangement using its best estimate of selling prices (ESP) of deliverables if a vendor does not have vendor-specific objective evidence of selling price (VSOE) or third-party evidence of selling price (TPE), if VSOE is not available. Each separate unit of accounting must have a selling price, which can be based on management’s estimate when there is no other means (VSOE or TPE) to determine the selling price of that deliverable. The arrangement consideration is allocated based on the elements’ relative selling prices.</w:t>
      </w:r>
    </w:p>
    <w:p>
      <w:pPr>
        <w:spacing w:after="0" w:line="28" w:lineRule="exact"/>
        <w:rPr>
          <w:rFonts w:ascii="Arial" w:cs="Arial" w:eastAsia="Arial" w:hAnsi="Arial"/>
          <w:sz w:val="11"/>
          <w:szCs w:val="11"/>
          <w:color w:val="auto"/>
        </w:rPr>
      </w:pPr>
    </w:p>
    <w:p>
      <w:pPr>
        <w:ind w:left="1280" w:right="34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Eliminates use of the residual method and requires an entity to allocate revenue using the relative selling price method, which results in the discount in the transaction being evenly allocated to the separate units of accounting.</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 xml:space="preserve">Concurrently with issuing ASU 2009-13, the FASB also issued ASU No. 2009-14, </w:t>
      </w:r>
      <w:r>
        <w:rPr>
          <w:rFonts w:ascii="Arial" w:cs="Arial" w:eastAsia="Arial" w:hAnsi="Arial"/>
          <w:sz w:val="13"/>
          <w:szCs w:val="13"/>
          <w:i w:val="1"/>
          <w:iCs w:val="1"/>
          <w:color w:val="auto"/>
        </w:rPr>
        <w:t>Certain Revenue arrangements that Include Software Elements</w:t>
      </w:r>
      <w:r>
        <w:rPr>
          <w:rFonts w:ascii="Arial" w:cs="Arial" w:eastAsia="Arial" w:hAnsi="Arial"/>
          <w:sz w:val="13"/>
          <w:szCs w:val="13"/>
          <w:color w:val="auto"/>
        </w:rPr>
        <w:t xml:space="preserve"> (ASU 2009-14). ASU 2009-14 excludes software that is contained on a tangible product from the scope of software revenue guidance if the software component and the non-software component function together to deliver the tangible products’ essential functionality.</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permitted by ASU 2009-13 and ASU 2009-14, we elected to early adopt these new accounting standards at the beginning of our first quarter of fiscal 2010 on a prospective basis for transactions originating or materially modified on or after July 4,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our revenue recognition policy before and after the adoption of ASU 2009-13 and ASU 2009-14, revenue is recognized when all of the following criteria have been met:</w:t>
      </w:r>
    </w:p>
    <w:p>
      <w:pPr>
        <w:spacing w:after="0" w:line="108"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Persuasive evidence of an arrangement exists. Contracts and customer purchase orders are generally used to determine the existence of an arrangement.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Delivery has occurred. Shipping documents and customer acceptance, when applicable, are used to verify delivery.</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fee is fixed or determinable. We assess whether the fee is fixed or determinable based on the payment terms associated with the transaction and whether the sales price is subject to refund or adjustment.</w:t>
      </w:r>
    </w:p>
    <w:p>
      <w:pPr>
        <w:spacing w:after="0" w:line="49"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Collectibility is reasonably assured. We assess collectibility based primarily on the creditworthiness of the customer as determined by credit checks and analysis, as well as the customer’s payment history.</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In accordance with ASC 605-25 (as amended by ASU 2009-13), based on the terms and conditions of the product arrangements, we believe that our products and services can be accounted for separately as our products and services have value to our customers on a stand-alone basis.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 The new revenue recognition standards do not generally change the units of accounting for our revenue transactions.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VSOE of fair value is based on the price charged when the element is sold separately. Under the new accounting standards, for multiple element arrangements, if VSOE cannot be established, we establish, where available, the selling price based on TPE. TPE is determined based on evidence of competitor pricing for similar deliverables when sold separately. When we cannot determine VSOE or TPE, we uses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landscape and geographies. We regularly review VSOE, TPE and ESP and maintain internal controls over the establishment and updates of these estimates.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Prior to the adoption of ASU 2009-13 and ASU 2009-14, we recognized the revenue associated with each unit of accounting separately. If sufficient evidence of fair value could be established for all the elements of an arrangement, we allocated revenue to each element in the arrangement based on the relative fair value of each element and recognized that allocated revenue when each element met the criteria discussed above. However, we generally did not have sufficient evidence of the fair value for all elements of our arrangements, but we generally did have sufficient evidence of the fair value of the undelivered elements in our arrangements. In these cases, we allocated revenue using the residual method in which we deferred the fair value of the undelivered elements and allocated the remaining arrangement consideration to the delivered elements. If an arrangement involved the delivery of multiple items of the same elements that are only partially delivered at the end of a reporting period, revenue was allocated proportionately between the delivered and undelivered items.</w:t>
      </w:r>
    </w:p>
    <w:p>
      <w:pPr>
        <w:spacing w:after="0" w:line="5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 xml:space="preserve">Some of our products have both software and non-software components that function together to deliver the product’s essential functionality. We had previously determined that except for our WiMAX products, the software element in its other products was incidental in accordance with the software revenue recognition rules. Accordingly, these other products were not within the scope of the software revenue recognition rules, ASC 985-605, </w:t>
      </w:r>
      <w:r>
        <w:rPr>
          <w:rFonts w:ascii="Arial" w:cs="Arial" w:eastAsia="Arial" w:hAnsi="Arial"/>
          <w:sz w:val="12"/>
          <w:szCs w:val="12"/>
          <w:i w:val="1"/>
          <w:iCs w:val="1"/>
          <w:color w:val="auto"/>
        </w:rPr>
        <w:t>Software Revenue Recognition</w:t>
      </w:r>
      <w:r>
        <w:rPr>
          <w:rFonts w:ascii="Arial" w:cs="Arial" w:eastAsia="Arial" w:hAnsi="Arial"/>
          <w:sz w:val="12"/>
          <w:szCs w:val="12"/>
          <w:color w:val="auto"/>
        </w:rPr>
        <w:t xml:space="preserve"> (formerly SOP 97-2). We determined that given the significance of the software component’s functionality to its WiMAX products, these products were within the scope of the software revenue recognition rules.</w:t>
      </w:r>
    </w:p>
    <w:p>
      <w:pPr>
        <w:spacing w:after="0" w:line="53"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ASC 985-605 generally requires revenue earned on software arrangements involving multiple elements to be allocated to each element based on their relative VSOE of fair values of the elements. We had not been able to establish VSOE for any of our WiMAX products or services. Thus, in accordance with ASC 985-605, all revenue was deferred until all elements of the arrangement have been delivered for all arrangements entered into prior to fiscal 2010.</w:t>
      </w:r>
    </w:p>
    <w:p>
      <w:pPr>
        <w:spacing w:after="0" w:line="67"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In connection with its adoption of ASU 2009-13 and ASU 2009-14, we re-evaluated the appropriate revenue recognition treatment of our products and determined that the WiMAX products are scoped out of ASC 985-605 because the software and non-software elements substantively contribute to the tangible product’s essential functionality and we would not sell the tangible products without the embedded software.</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impact of adopting ASU 2009-13 and ASU 2009-14 in fiscal 2010 was $7.9M, which was primarily related to the WiMAX business. This difference is due to the fact that we have not established VSOE for any WiMAX products under the previous guidance and thus would not have been able to recognize any revenue for any portion of these arrangements until all elements had been delivered. We cannot reasonably estimate the effect of adopting ASU 2009-13 and ASU 2009-14 on future financial periods as the impact will vary depending on the nature and volume of new or materially modified arrangements in any given period.</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 be established for the undelivered elements of an arrangement, we recognize revenue following the residual method.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Inventory Valuation and Provisions for Excess and Obsolete Losses</w:t>
      </w:r>
    </w:p>
    <w:p>
      <w:pPr>
        <w:spacing w:after="0" w:line="10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inventory has been valued at the lower of cost or market. We balance the need to maintain prudent inventory levels to ensure competitive delivery performance with the risk of excess or obsolete inventory due to changing technology and customer requirements. We regularly review inventory quantities on hand and record a provision for excess and obsolete inventory based primarily on our estimated forecast of product demand, anticipated end of product life and production requirements. The review of excess and obsolete inventory primarily relates to the microwave business segments. Several factors may influence the sale and use of our inventories, including decisions to exit a product line, technological change and new product development.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year, such reduced amount is considered the cost for subsequent accounting purposes. We did not make any material changes in the valuation methodology during the past three fiscal years.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Long-Lived Assets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of July 2, 2010, we have amounts on our Consolidated Balance Sheets of $6.2 million, $7.5 million and $37.6 million for Goodwill, Identifiable intangible assets and Property, plant and equipment.</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During fiscal 2010, we recorded impairment charges of $63.2 million for identifiable intangible assets and $14.2 million for property, plant and equipment. We also reduced the remaining useful lives of our remaining $7.5 million of identifiable intangible assets to one to 5 years. During fiscal 2009, we recorded impairment charges of $279.0 million for goodwill and $32.6 million for the Stratex trade name. We did not record impairment losses for goodwill or identifiable intangible assets in fiscal 2008.</w:t>
      </w:r>
    </w:p>
    <w:p>
      <w:pPr>
        <w:spacing w:after="0" w:line="67"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The fiscal 2010 impairment charges of our identifiable intangible assets were indicated by a decline in our market capitalization and recent and expected financial performance. The results of our impairment test indicated impairment related to certain amortizable intangible assets (developed technology and customer relationships), since the estimated undiscounted cash flows for these assets were less than their respective carrying values. The undiscounted cash flow and fair value calculations related to the developed technology were estimated based on a relief-from-royalty method, and the calculations related to the customer relationships were estimated based on an excess earnings method considering future sales and operating costs.</w:t>
      </w:r>
    </w:p>
    <w:p>
      <w:pPr>
        <w:spacing w:after="0" w:line="3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property, plant and equipment impairment charges consisted of $5.5 million on our manufacturing facility and idle equipment in San Antonio, Texas, $7.9 million from an impairment review process and $0.8 million for software. The San Antonio impairment charge resulted from our plan to converge our products onto a single platform by the end of fiscal year 2010 and is included in “Charges for product transition” within “Cost of products sales and services” on our Consolidated Statement of Operations. The impairments from our impairment review process and software are included in “Property, plant and equipment impairment charges” on our Consolidated Statement of Operations.</w:t>
      </w:r>
    </w:p>
    <w:p>
      <w:pPr>
        <w:spacing w:after="0" w:line="5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two reporting units, consisting of our North America segment and International segment. Goodwill is tested for impairment annually during the fourth quarter of our fiscal year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71"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Evaluations of impairment involve management estimates of asset useful lives, future cash flows and discount rates.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w:t>
      </w:r>
    </w:p>
    <w:p>
      <w:pPr>
        <w:spacing w:after="0" w:line="3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 </w:t>
      </w:r>
      <w:r>
        <w:rPr>
          <w:rFonts w:ascii="Arial" w:cs="Arial" w:eastAsia="Arial" w:hAnsi="Arial"/>
          <w:sz w:val="13"/>
          <w:szCs w:val="13"/>
          <w:i w:val="1"/>
          <w:iCs w:val="1"/>
          <w:color w:val="auto"/>
        </w:rPr>
        <w:t>Note C — Goodwill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Identifiable Intangible Assets and Note G — Property, Plant and Equipments </w:t>
      </w:r>
      <w:r>
        <w:rPr>
          <w:rFonts w:ascii="Arial" w:cs="Arial" w:eastAsia="Arial" w:hAnsi="Arial"/>
          <w:sz w:val="13"/>
          <w:szCs w:val="13"/>
          <w:color w:val="auto"/>
        </w:rPr>
        <w:t>provide additional information.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 and Tax Valuation Allowances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record the estimated future tax effects of temporary differences between the tax basis of assets and liabilities and amounts reported in our Consolidated Balance Sheet, as well as operating loss and tax credit carryforwards. We follow very specific and detailed guidelines in each tax jurisdiction regarding the recoverability of any tax assets recorded on the balance sheet and provide necessary valuation allowances as required.</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realization of deferred tax assets ultimately depends on the existence of sufficient taxable income of the appropriate character (for example, ordinary income or capital gain) within the carryback or carryforward periods available under the tax law.</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regularly review our deferred tax assets for recoverability based on historical taxable income, projected future taxable income, the expected timing of the reversals of existing temporary differences and tax planning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strategies. We have not made any material changes in the methodologies used to determine our tax valuation allowances during the past three fiscal years.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Pronouncements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are no accounting pronouncements that have recently been issued but have not yet been implemented by us that would have a material impact on our financial statements.</w:t>
      </w:r>
    </w:p>
    <w:p>
      <w:pPr>
        <w:spacing w:after="0" w:line="18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040" w:type="dxa"/>
            <w:vAlign w:val="bottom"/>
            <w:gridSpan w:val="9"/>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8"/>
        </w:trPr>
        <w:tc>
          <w:tcPr>
            <w:tcW w:w="10320" w:type="dxa"/>
            <w:vAlign w:val="bottom"/>
            <w:gridSpan w:val="11"/>
          </w:tcPr>
          <w:p>
            <w:pPr>
              <w:ind w:left="680"/>
              <w:spacing w:after="0"/>
              <w:rPr>
                <w:sz w:val="20"/>
                <w:szCs w:val="20"/>
                <w:color w:val="auto"/>
              </w:rPr>
            </w:pPr>
            <w:r>
              <w:rPr>
                <w:rFonts w:ascii="Arial" w:cs="Arial" w:eastAsia="Arial" w:hAnsi="Arial"/>
                <w:sz w:val="13"/>
                <w:szCs w:val="13"/>
                <w:b w:val="1"/>
                <w:bCs w:val="1"/>
                <w:color w:val="auto"/>
              </w:rPr>
              <w:t>Index to Financial Statements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5"/>
        </w:trPr>
        <w:tc>
          <w:tcPr>
            <w:tcW w:w="6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9640" w:type="dxa"/>
            <w:vAlign w:val="bottom"/>
            <w:gridSpan w:val="10"/>
          </w:tcPr>
          <w:p>
            <w:pPr>
              <w:spacing w:after="0"/>
              <w:rPr>
                <w:rFonts w:ascii="Arial" w:cs="Arial" w:eastAsia="Arial" w:hAnsi="Arial"/>
                <w:sz w:val="13"/>
                <w:szCs w:val="13"/>
                <w:color w:val="0000EE"/>
              </w:rPr>
            </w:pPr>
            <w:hyperlink w:anchor="page56">
              <w:r>
                <w:rPr>
                  <w:rFonts w:ascii="Arial" w:cs="Arial" w:eastAsia="Arial" w:hAnsi="Arial"/>
                  <w:sz w:val="13"/>
                  <w:szCs w:val="13"/>
                  <w:color w:val="0000EE"/>
                </w:rPr>
                <w:t>Reports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40" w:type="dxa"/>
            <w:vAlign w:val="bottom"/>
            <w:gridSpan w:val="10"/>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Consolidated Statements of Operations — Fiscal Years ended July 2, 2010; July 3, 2009; and June 27, 2008</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64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Consolidated Balance Sheets — July 2, 2010 and July 3, 2009</w:t>
              </w:r>
            </w:hyperlink>
          </w:p>
        </w:tc>
        <w:tc>
          <w:tcPr>
            <w:tcW w:w="4000" w:type="dxa"/>
            <w:vAlign w:val="bottom"/>
            <w:gridSpan w:val="4"/>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40" w:type="dxa"/>
            <w:vAlign w:val="bottom"/>
            <w:gridSpan w:val="10"/>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Consolidated Statements of Cash Flows — Fiscal Years ended July 2, 2010; July 3, 2009; and June 27, 2008</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540" w:type="dxa"/>
            <w:vAlign w:val="bottom"/>
            <w:tcBorders>
              <w:bottom w:val="single" w:sz="8" w:color="0000EE"/>
            </w:tcBorders>
            <w:gridSpan w:val="9"/>
          </w:tcPr>
          <w:p>
            <w:pPr>
              <w:spacing w:after="0" w:line="138" w:lineRule="exact"/>
              <w:rPr>
                <w:rFonts w:ascii="Arial" w:cs="Arial" w:eastAsia="Arial" w:hAnsi="Arial"/>
                <w:sz w:val="13"/>
                <w:szCs w:val="13"/>
                <w:color w:val="0000EE"/>
                <w:w w:val="90"/>
              </w:rPr>
            </w:pPr>
            <w:hyperlink w:anchor="page61">
              <w:r>
                <w:rPr>
                  <w:rFonts w:ascii="Arial" w:cs="Arial" w:eastAsia="Arial" w:hAnsi="Arial"/>
                  <w:sz w:val="13"/>
                  <w:szCs w:val="13"/>
                  <w:color w:val="0000EE"/>
                  <w:w w:val="90"/>
                </w:rPr>
                <w:t>Consolidated Statements of Stockholders’ Equity and Comprehensive Loss — Fiscal Years ended July 2, 2010; July 3, 2009; and June 27, 2008</w:t>
              </w:r>
            </w:hyperlink>
          </w:p>
        </w:tc>
        <w:tc>
          <w:tcPr>
            <w:tcW w:w="2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40" w:type="dxa"/>
            <w:vAlign w:val="bottom"/>
            <w:gridSpan w:val="10"/>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Notes to Consolidated Financial Statements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40" w:type="dxa"/>
            <w:vAlign w:val="bottom"/>
            <w:gridSpan w:val="10"/>
          </w:tcPr>
          <w:p>
            <w:pPr>
              <w:spacing w:after="0" w:line="138" w:lineRule="exact"/>
              <w:rPr>
                <w:rFonts w:ascii="Arial" w:cs="Arial" w:eastAsia="Arial" w:hAnsi="Arial"/>
                <w:sz w:val="13"/>
                <w:szCs w:val="13"/>
                <w:color w:val="0000EE"/>
              </w:rPr>
            </w:pPr>
            <w:hyperlink w:anchor="page111">
              <w:r>
                <w:rPr>
                  <w:rFonts w:ascii="Arial" w:cs="Arial" w:eastAsia="Arial" w:hAnsi="Arial"/>
                  <w:sz w:val="13"/>
                  <w:szCs w:val="13"/>
                  <w:color w:val="0000EE"/>
                </w:rPr>
                <w:t>For each of the Fiscal Years ended July 2, 2010; July 3, 2009; and June 27, 2008 Schedule II — Valuation and Qualifying Accounts</w:t>
              </w:r>
            </w:hyperlink>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109</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040" w:type="dxa"/>
            <w:vAlign w:val="bottom"/>
            <w:tcBorders>
              <w:top w:val="single" w:sz="8" w:color="0000EE"/>
            </w:tcBorders>
            <w:gridSpan w:val="5"/>
          </w:tcPr>
          <w:p>
            <w:pPr>
              <w:jc w:val="right"/>
              <w:ind w:right="580"/>
              <w:spacing w:after="0"/>
              <w:rPr>
                <w:sz w:val="20"/>
                <w:szCs w:val="20"/>
                <w:color w:val="auto"/>
              </w:rPr>
            </w:pPr>
            <w:r>
              <w:rPr>
                <w:rFonts w:ascii="Arial" w:cs="Arial" w:eastAsia="Arial" w:hAnsi="Arial"/>
                <w:sz w:val="13"/>
                <w:szCs w:val="13"/>
                <w:color w:val="auto"/>
              </w:rPr>
              <w:t>53</w:t>
            </w:r>
          </w:p>
        </w:tc>
        <w:tc>
          <w:tcPr>
            <w:tcW w:w="4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Aviat Networks, Inc. (formerly Harris Stratex Networks, Inc.)</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Aviat Networks, Inc. as of July 2, 2010 and July 3, 2009, and the related consolidated statements of operations, shareholders’ equity and comprehensive loss, and cash flows for each of the three years in the period ended July 2, 2010.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Aviat Networks, Inc. at July 2, 2010 and July 3, 2009, and the consolidated results of its operations and its cash flows for each of the three years in the period ended July 2,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discussed in Note B to the consolidated financial statements, in the year ended July 2, 2010, Aviat Networks, Inc. changed its method of accounting for revenue recognition for arrangements with multiple deliverables.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Aviat Networks, Inc.’s internal control over financial reporting as of July 2, 2010, based on criteria established in Internal Control-Integrated Framework issued by the Committee of Sponsoring Organizations of the Treadway Commission and our report dated September 9, 2010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Raleigh, North Carolina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9,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Aviat Networks, Inc. (formerly Harris Stratex Networks, Inc.)</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We have audited Aviat Networks, Inc.’s internal control over financial reporting as of July 2, 2010, based on criteria established in Internal Control — Integrated Framework issued by the Committee of Sponsoring Organizations of the Treadway Commission (the COSO criteria). Aviat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Aviat Networks, Inc. maintained, in all material respects, effective internal control over financial reporting as of July 2, 2010, based on the COSO criteria.</w:t>
      </w:r>
    </w:p>
    <w:p>
      <w:pPr>
        <w:spacing w:after="0" w:line="10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Aviat Networks, Inc. as of July 2, 2010 and July 3, 2009, and the related consolidated statements of operations, shareholders’ equity and comprehensive loss, and cash flows for each of the three years in the period ended July 2, 2010 of Aviat Networks, Inc. and our report dated September 9, 2010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Raleigh, North Carolina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9,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AVIAT NETWORKS, INC. (FORMERLY HARRIS STRATEX NETWORKS,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3"/>
              </w:rPr>
              <w:t>Fiscal Years Ended</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168"/>
              <w:spacing w:after="0" w:line="81" w:lineRule="exact"/>
              <w:rPr>
                <w:sz w:val="20"/>
                <w:szCs w:val="20"/>
                <w:color w:val="auto"/>
              </w:rPr>
            </w:pPr>
            <w:r>
              <w:rPr>
                <w:rFonts w:ascii="Arial" w:cs="Arial" w:eastAsia="Arial" w:hAnsi="Arial"/>
                <w:sz w:val="9"/>
                <w:szCs w:val="9"/>
                <w:b w:val="1"/>
                <w:bCs w:val="1"/>
                <w:color w:val="auto"/>
              </w:rPr>
              <w:t>July 2,</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July 3,</w:t>
            </w:r>
          </w:p>
        </w:tc>
        <w:tc>
          <w:tcPr>
            <w:tcW w:w="4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June 27,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rPr>
              <w:t>2010</w:t>
            </w:r>
          </w:p>
        </w:tc>
        <w:tc>
          <w:tcPr>
            <w:tcW w:w="38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8"/>
              </w:rPr>
              <w:t>millions,</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56"/>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1480" w:type="dxa"/>
            <w:vAlign w:val="bottom"/>
            <w:gridSpan w:val="6"/>
          </w:tcPr>
          <w:p>
            <w:pPr>
              <w:spacing w:after="0"/>
              <w:rPr>
                <w:sz w:val="20"/>
                <w:szCs w:val="20"/>
                <w:color w:val="auto"/>
              </w:rPr>
            </w:pPr>
            <w:r>
              <w:rPr>
                <w:rFonts w:ascii="Arial" w:cs="Arial" w:eastAsia="Arial" w:hAnsi="Arial"/>
                <w:sz w:val="10"/>
                <w:szCs w:val="10"/>
                <w:b w:val="1"/>
                <w:bCs w:val="1"/>
                <w:color w:val="auto"/>
              </w:rPr>
              <w:t>except per share amounts)</w:t>
            </w:r>
          </w:p>
        </w:tc>
        <w:tc>
          <w:tcPr>
            <w:tcW w:w="0" w:type="dxa"/>
            <w:vAlign w:val="bottom"/>
          </w:tcPr>
          <w:p>
            <w:pPr>
              <w:spacing w:after="0"/>
              <w:rPr>
                <w:sz w:val="1"/>
                <w:szCs w:val="1"/>
                <w:color w:val="auto"/>
              </w:rPr>
            </w:pPr>
          </w:p>
        </w:tc>
      </w:tr>
      <w:tr>
        <w:trPr>
          <w:trHeight w:val="163"/>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product sales and services: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Revenue from product sales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370.0</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539.0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595.2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from services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color w:val="auto"/>
              </w:rPr>
              <w:t>Total revenue from product sales and services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478.9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679.9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718.4</w:t>
            </w:r>
          </w:p>
        </w:tc>
        <w:tc>
          <w:tcPr>
            <w:tcW w:w="0" w:type="dxa"/>
            <w:vAlign w:val="bottom"/>
          </w:tcPr>
          <w:p>
            <w:pPr>
              <w:spacing w:after="0"/>
              <w:rPr>
                <w:sz w:val="1"/>
                <w:szCs w:val="1"/>
                <w:color w:val="auto"/>
              </w:rPr>
            </w:pPr>
          </w:p>
        </w:tc>
      </w:tr>
      <w:tr>
        <w:trPr>
          <w:trHeight w:val="158"/>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Cost of product sales and services: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Cost of product sales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(247.9)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(362.0)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(433.2)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services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(72.5)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Charges for product transition</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(16.9)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purchased technology</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(8.2)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color w:val="auto"/>
              </w:rPr>
              <w:t>Total cost of product sales and services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(345.5)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(505.5)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(528.2)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Gross margin</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(41.1)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and administrative expenses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(141.0)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(141.4)</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100" w:type="dxa"/>
            <w:vAlign w:val="bottom"/>
          </w:tcPr>
          <w:p>
            <w:pPr>
              <w:spacing w:after="0"/>
              <w:rPr>
                <w:sz w:val="13"/>
                <w:szCs w:val="13"/>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identifiable intangible assets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Property, plant and equipment impairment charges</w:t>
            </w: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(8.7)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Goodwill impairment charges</w:t>
            </w:r>
          </w:p>
        </w:tc>
        <w:tc>
          <w:tcPr>
            <w:tcW w:w="100" w:type="dxa"/>
            <w:vAlign w:val="bottom"/>
          </w:tcPr>
          <w:p>
            <w:pPr>
              <w:spacing w:after="0"/>
              <w:rPr>
                <w:sz w:val="13"/>
                <w:szCs w:val="13"/>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 and trade name impairment charges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(63.2)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(133.3)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(335.3)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58"/>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Loss before provision for or benefit from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(134.0)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(337.2)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58"/>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(130.2)</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(355.0)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5"/>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per share of Common Stock (Note 1):</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Basic and diluted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8"/>
              <w:spacing w:after="0"/>
              <w:rPr>
                <w:sz w:val="20"/>
                <w:szCs w:val="20"/>
                <w:color w:val="auto"/>
              </w:rPr>
            </w:pPr>
            <w:r>
              <w:rPr>
                <w:rFonts w:ascii="Arial" w:cs="Arial" w:eastAsia="Arial" w:hAnsi="Arial"/>
                <w:sz w:val="13"/>
                <w:szCs w:val="13"/>
                <w:color w:val="auto"/>
              </w:rPr>
              <w:t>(2.19)</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(6.05)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weighted average shares outstanding</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59.4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259"/>
        <w:spacing w:after="0" w:line="258"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fiscal years 2009 and 2008, we had Class A and Class B shares of common stock outstanding. The net loss per common share amounts were the same for Class A and Class B during fiscal years 2009 and 2008 because the holders of each class were legally entitled to equal per share distributions whether through dividends or in liquidation. There were no shares of Class B common stock outstanding during fiscal year 2010. Effective November 19, 2009, under a change to our certificate of incorporation approved by shareholders, all shares of our Class A common stock were reclassified on a one-to-one basis to shares of Common Stock without a class designation; we no longer have Class A or Class B common stock authorized, issued or outstanding.</w:t>
      </w:r>
    </w:p>
    <w:p>
      <w:pPr>
        <w:spacing w:after="0" w:line="32"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AVIAT NETWORKS, INC. (FORMERLY HARRIS STRATEX NETWORKS,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9"/>
              </w:rPr>
              <w:t>July 2, 2010</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9"/>
              </w:rPr>
              <w:t>July 3,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5"/>
          </w:tcPr>
          <w:p>
            <w:pPr>
              <w:jc w:val="right"/>
              <w:ind w:right="200"/>
              <w:spacing w:after="0" w:line="81" w:lineRule="exact"/>
              <w:rPr>
                <w:sz w:val="20"/>
                <w:szCs w:val="20"/>
                <w:color w:val="auto"/>
              </w:rPr>
            </w:pPr>
            <w:r>
              <w:rPr>
                <w:rFonts w:ascii="Arial" w:cs="Arial" w:eastAsia="Arial" w:hAnsi="Arial"/>
                <w:sz w:val="9"/>
                <w:szCs w:val="9"/>
                <w:b w:val="1"/>
                <w:bCs w:val="1"/>
                <w:color w:val="auto"/>
              </w:rPr>
              <w:t>(In millions, except share and par value</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right"/>
              <w:ind w:right="33"/>
              <w:spacing w:after="0"/>
              <w:rPr>
                <w:sz w:val="20"/>
                <w:szCs w:val="20"/>
                <w:color w:val="auto"/>
              </w:rPr>
            </w:pPr>
            <w:r>
              <w:rPr>
                <w:rFonts w:ascii="Arial" w:cs="Arial" w:eastAsia="Arial" w:hAnsi="Arial"/>
                <w:sz w:val="10"/>
                <w:szCs w:val="10"/>
                <w:b w:val="1"/>
                <w:bCs w:val="1"/>
                <w:color w:val="auto"/>
              </w:rPr>
              <w:t>amounts)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Short-term investments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104.8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142.9</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Unbilled costs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98.6</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Other current assets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436.1</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i w:val="1"/>
                <w:iCs w:val="1"/>
                <w:color w:val="auto"/>
              </w:rPr>
              <w:t>Long-Term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Property, plant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37.6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Goodwill</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Identifiable intangible assets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84.1</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Capitalized software</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Non-current portion of notes receivable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Non-current deferred income taxes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20"/>
              <w:spacing w:after="0"/>
              <w:rPr>
                <w:sz w:val="20"/>
                <w:szCs w:val="20"/>
                <w:color w:val="auto"/>
              </w:rPr>
            </w:pPr>
            <w:r>
              <w:rPr>
                <w:rFonts w:ascii="Arial" w:cs="Arial" w:eastAsia="Arial" w:hAnsi="Arial"/>
                <w:sz w:val="12"/>
                <w:szCs w:val="12"/>
                <w:color w:val="auto"/>
              </w:rPr>
              <w:t>Total long-term assets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74.5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164.1</w:t>
            </w:r>
          </w:p>
        </w:tc>
        <w:tc>
          <w:tcPr>
            <w:tcW w:w="0" w:type="dxa"/>
            <w:vAlign w:val="bottom"/>
          </w:tcPr>
          <w:p>
            <w:pPr>
              <w:spacing w:after="0"/>
              <w:rPr>
                <w:sz w:val="1"/>
                <w:szCs w:val="1"/>
                <w:color w:val="auto"/>
              </w:rPr>
            </w:pPr>
          </w:p>
        </w:tc>
      </w:tr>
      <w:tr>
        <w:trPr>
          <w:trHeight w:val="22"/>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600.2</w:t>
            </w:r>
          </w:p>
        </w:tc>
        <w:tc>
          <w:tcPr>
            <w:tcW w:w="0" w:type="dxa"/>
            <w:vAlign w:val="bottom"/>
          </w:tcPr>
          <w:p>
            <w:pPr>
              <w:spacing w:after="0"/>
              <w:rPr>
                <w:sz w:val="1"/>
                <w:szCs w:val="1"/>
                <w:color w:val="auto"/>
              </w:rPr>
            </w:pPr>
          </w:p>
        </w:tc>
      </w:tr>
      <w:tr>
        <w:trPr>
          <w:trHeight w:val="273"/>
        </w:trPr>
        <w:tc>
          <w:tcPr>
            <w:tcW w:w="7900" w:type="dxa"/>
            <w:vAlign w:val="bottom"/>
          </w:tcPr>
          <w:p>
            <w:pPr>
              <w:ind w:left="3720"/>
              <w:spacing w:after="0"/>
              <w:rPr>
                <w:sz w:val="20"/>
                <w:szCs w:val="20"/>
                <w:color w:val="auto"/>
              </w:rPr>
            </w:pPr>
            <w:r>
              <w:rPr>
                <w:rFonts w:ascii="Arial" w:cs="Arial" w:eastAsia="Arial" w:hAnsi="Arial"/>
                <w:sz w:val="12"/>
                <w:szCs w:val="12"/>
                <w:b w:val="1"/>
                <w:bCs w:val="1"/>
                <w:color w:val="auto"/>
              </w:rPr>
              <w:t>LIABILITIES AND STOCKHOLDERS’ EQUITY</w:t>
            </w: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Current Liabilities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Short-term debt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5.0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58.6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69.6</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Accrued compensation and benefits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accrued expenses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54.9</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Advance payments and unearned income</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37.2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Restructuring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Current portion of long-term capital lease obligations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liabilities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194.4</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i w:val="1"/>
                <w:iCs w:val="1"/>
                <w:color w:val="auto"/>
              </w:rPr>
              <w:t>Long-Term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portion of capital lease obligations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Restructuring and other long-term liabilities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preference shares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Reserve for uncertain tax positions</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color w:val="auto"/>
              </w:rPr>
              <w:t>Total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183.8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212.3</w:t>
            </w: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Commitments and contingencies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i w:val="1"/>
                <w:iCs w:val="1"/>
                <w:color w:val="auto"/>
              </w:rPr>
              <w:t>Stockholders’ Equity</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 $0.01 par value; 50,000,000 shares authorized; none issued</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7900" w:type="dxa"/>
            <w:vAlign w:val="bottom"/>
          </w:tcPr>
          <w:p>
            <w:pPr>
              <w:spacing w:after="0"/>
              <w:rPr>
                <w:sz w:val="20"/>
                <w:szCs w:val="20"/>
                <w:color w:val="auto"/>
              </w:rPr>
            </w:pPr>
            <w:r>
              <w:rPr>
                <w:rFonts w:ascii="Arial" w:cs="Arial" w:eastAsia="Arial" w:hAnsi="Arial"/>
                <w:sz w:val="12"/>
                <w:szCs w:val="12"/>
                <w:color w:val="auto"/>
                <w:w w:val="91"/>
              </w:rPr>
              <w:t>Common stock, $0.01 par value; 300,000,000 shares authorized; issued and outstanding 59,400,059 shares as of July 2, 2010 and 58,903,177 shares as of July 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900" w:type="dxa"/>
            <w:vAlign w:val="bottom"/>
          </w:tcPr>
          <w:p>
            <w:pPr>
              <w:ind w:left="120"/>
              <w:spacing w:after="0"/>
              <w:rPr>
                <w:sz w:val="20"/>
                <w:szCs w:val="20"/>
                <w:color w:val="auto"/>
              </w:rPr>
            </w:pPr>
            <w:r>
              <w:rPr>
                <w:rFonts w:ascii="Arial" w:cs="Arial" w:eastAsia="Arial" w:hAnsi="Arial"/>
                <w:sz w:val="12"/>
                <w:szCs w:val="12"/>
                <w:color w:val="auto"/>
              </w:rPr>
              <w:t>2009</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paid-in-capital</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786.5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783.2</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(521.3)</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(391.1)</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color w:val="auto"/>
              </w:rPr>
              <w:t>Total Stockholders’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263.2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387.9</w:t>
            </w:r>
          </w:p>
        </w:tc>
        <w:tc>
          <w:tcPr>
            <w:tcW w:w="0" w:type="dxa"/>
            <w:vAlign w:val="bottom"/>
          </w:tcPr>
          <w:p>
            <w:pPr>
              <w:spacing w:after="0"/>
              <w:rPr>
                <w:sz w:val="1"/>
                <w:szCs w:val="1"/>
                <w:color w:val="auto"/>
              </w:rPr>
            </w:pPr>
          </w:p>
        </w:tc>
      </w:tr>
      <w:tr>
        <w:trPr>
          <w:trHeight w:val="22"/>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600.2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AVIAT NETWORKS, INC. (FORMERLY HARRIS STRATEX NETWORKS,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8"/>
          </w:tcPr>
          <w:p>
            <w:pPr>
              <w:jc w:val="right"/>
              <w:ind w:right="520"/>
              <w:spacing w:after="0"/>
              <w:rPr>
                <w:sz w:val="20"/>
                <w:szCs w:val="20"/>
                <w:color w:val="auto"/>
              </w:rPr>
            </w:pPr>
            <w:r>
              <w:rPr>
                <w:rFonts w:ascii="Arial" w:cs="Arial" w:eastAsia="Arial" w:hAnsi="Arial"/>
                <w:sz w:val="10"/>
                <w:szCs w:val="10"/>
                <w:b w:val="1"/>
                <w:bCs w:val="1"/>
                <w:color w:val="auto"/>
                <w:w w:val="91"/>
              </w:rPr>
              <w:t>Fiscal Years Ended</w:t>
            </w:r>
          </w:p>
        </w:tc>
        <w:tc>
          <w:tcPr>
            <w:tcW w:w="0" w:type="dxa"/>
            <w:vAlign w:val="bottom"/>
          </w:tcPr>
          <w:p>
            <w:pPr>
              <w:spacing w:after="0"/>
              <w:rPr>
                <w:sz w:val="1"/>
                <w:szCs w:val="1"/>
                <w:color w:val="auto"/>
              </w:rPr>
            </w:pPr>
          </w:p>
        </w:tc>
      </w:tr>
      <w:tr>
        <w:trPr>
          <w:trHeight w:val="81"/>
        </w:trPr>
        <w:tc>
          <w:tcPr>
            <w:tcW w:w="8200" w:type="dxa"/>
            <w:vAlign w:val="bottom"/>
          </w:tcPr>
          <w:p>
            <w:pPr>
              <w:spacing w:after="0"/>
              <w:rPr>
                <w:sz w:val="7"/>
                <w:szCs w:val="7"/>
                <w:color w:val="auto"/>
              </w:rPr>
            </w:pPr>
          </w:p>
        </w:tc>
        <w:tc>
          <w:tcPr>
            <w:tcW w:w="500" w:type="dxa"/>
            <w:vAlign w:val="bottom"/>
            <w:tcBorders>
              <w:top w:val="single" w:sz="8" w:color="auto"/>
            </w:tcBorders>
            <w:gridSpan w:val="3"/>
          </w:tcPr>
          <w:p>
            <w:pPr>
              <w:jc w:val="right"/>
              <w:ind w:right="108"/>
              <w:spacing w:after="0" w:line="81" w:lineRule="exact"/>
              <w:rPr>
                <w:sz w:val="20"/>
                <w:szCs w:val="20"/>
                <w:color w:val="auto"/>
              </w:rPr>
            </w:pPr>
            <w:r>
              <w:rPr>
                <w:rFonts w:ascii="Arial" w:cs="Arial" w:eastAsia="Arial" w:hAnsi="Arial"/>
                <w:sz w:val="9"/>
                <w:szCs w:val="9"/>
                <w:b w:val="1"/>
                <w:bCs w:val="1"/>
                <w:color w:val="auto"/>
              </w:rPr>
              <w:t>July 2,</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3"/>
          </w:tcPr>
          <w:p>
            <w:pPr>
              <w:jc w:val="right"/>
              <w:ind w:right="260"/>
              <w:spacing w:after="0" w:line="81" w:lineRule="exact"/>
              <w:rPr>
                <w:sz w:val="20"/>
                <w:szCs w:val="20"/>
                <w:color w:val="auto"/>
              </w:rPr>
            </w:pPr>
            <w:r>
              <w:rPr>
                <w:rFonts w:ascii="Arial" w:cs="Arial" w:eastAsia="Arial" w:hAnsi="Arial"/>
                <w:sz w:val="9"/>
                <w:szCs w:val="9"/>
                <w:b w:val="1"/>
                <w:bCs w:val="1"/>
                <w:color w:val="auto"/>
              </w:rPr>
              <w:t>July 3,</w:t>
            </w: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
              <w:spacing w:after="0" w:line="81" w:lineRule="exact"/>
              <w:rPr>
                <w:sz w:val="20"/>
                <w:szCs w:val="20"/>
                <w:color w:val="auto"/>
              </w:rPr>
            </w:pPr>
            <w:r>
              <w:rPr>
                <w:rFonts w:ascii="Arial" w:cs="Arial" w:eastAsia="Arial" w:hAnsi="Arial"/>
                <w:sz w:val="9"/>
                <w:szCs w:val="9"/>
                <w:b w:val="1"/>
                <w:bCs w:val="1"/>
                <w:color w:val="auto"/>
                <w:w w:val="94"/>
              </w:rPr>
              <w:t>June 27,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Arial" w:cs="Arial" w:eastAsia="Arial" w:hAnsi="Arial"/>
                <w:sz w:val="10"/>
                <w:szCs w:val="10"/>
                <w:b w:val="1"/>
                <w:bCs w:val="1"/>
                <w:color w:val="auto"/>
              </w:rPr>
              <w:t>(In millions)</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w w:val="89"/>
              </w:rPr>
              <w:t>(130.2)</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(355.0)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Amortization of identifiable intangible assets acquired</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13.8</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 of property, plant and equipment and capitalized software</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Goodwill impairment charges</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279.0</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 name impairment charges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Intangible assets impairment charges</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63.2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Property, plant and equipment impairment charges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Non-cash share-based compensation expense</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Charges for product transition and inventory mark-downs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Deferred income tax expense (benefit)</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16.0</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other income</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 in fair value of warrant liability</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Changes in operating assets and liabilities, net of effects from acquisitions: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Receivables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38.5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Unbilled costs and inventories</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(9.6)</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15.9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 and accrued expenses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Advance payments and unearned income</w:t>
            </w:r>
          </w:p>
        </w:tc>
        <w:tc>
          <w:tcPr>
            <w:tcW w:w="80" w:type="dxa"/>
            <w:vAlign w:val="bottom"/>
          </w:tcPr>
          <w:p>
            <w:pPr>
              <w:spacing w:after="0"/>
              <w:rPr>
                <w:sz w:val="12"/>
                <w:szCs w:val="1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7.2</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assets and liabilities, net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Cash payments for Telsima acquisition, net of $1.1 million acquisition costs and cash acquired</w:t>
            </w:r>
          </w:p>
        </w:tc>
        <w:tc>
          <w:tcPr>
            <w:tcW w:w="80" w:type="dxa"/>
            <w:vAlign w:val="bottom"/>
          </w:tcPr>
          <w:p>
            <w:pPr>
              <w:spacing w:after="0"/>
              <w:rPr>
                <w:sz w:val="12"/>
                <w:szCs w:val="1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(4.3)</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Sales and maturities of short-term investments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Additions of property, plant and equipment</w:t>
            </w:r>
          </w:p>
        </w:tc>
        <w:tc>
          <w:tcPr>
            <w:tcW w:w="80" w:type="dxa"/>
            <w:vAlign w:val="bottom"/>
          </w:tcPr>
          <w:p>
            <w:pPr>
              <w:spacing w:after="0"/>
              <w:rPr>
                <w:sz w:val="12"/>
                <w:szCs w:val="1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(15.8)</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of capitalized software</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(23.1)</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Proceeds from issuance of short-term debt</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short-term debt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Payments on long-term debt</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(9.8)</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long-term capital lease obligations</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80" w:type="dxa"/>
            <w:vAlign w:val="bottom"/>
          </w:tcPr>
          <w:p>
            <w:pPr>
              <w:spacing w:after="0"/>
              <w:rPr>
                <w:sz w:val="12"/>
                <w:szCs w:val="12"/>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share-based compensation</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20"/>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beginning of year</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136.8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69.2</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b w:val="1"/>
                <w:bCs w:val="1"/>
                <w:color w:val="auto"/>
              </w:rPr>
              <w:t>Cash and cash equivalents, end of year</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141.7</w:t>
            </w:r>
          </w:p>
        </w:tc>
        <w:tc>
          <w:tcPr>
            <w:tcW w:w="100" w:type="dxa"/>
            <w:vAlign w:val="bottom"/>
          </w:tcPr>
          <w:p>
            <w:pPr>
              <w:spacing w:after="0"/>
              <w:rPr>
                <w:sz w:val="13"/>
                <w:szCs w:val="13"/>
                <w:color w:val="auto"/>
              </w:rPr>
            </w:pP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136.8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95.0</w:t>
            </w:r>
          </w:p>
        </w:tc>
        <w:tc>
          <w:tcPr>
            <w:tcW w:w="0" w:type="dxa"/>
            <w:vAlign w:val="bottom"/>
          </w:tcPr>
          <w:p>
            <w:pPr>
              <w:spacing w:after="0"/>
              <w:rPr>
                <w:sz w:val="1"/>
                <w:szCs w:val="1"/>
                <w:color w:val="auto"/>
              </w:rPr>
            </w:pPr>
          </w:p>
        </w:tc>
      </w:tr>
      <w:tr>
        <w:trPr>
          <w:trHeight w:val="155"/>
        </w:trPr>
        <w:tc>
          <w:tcPr>
            <w:tcW w:w="8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b w:val="1"/>
                <w:bCs w:val="1"/>
                <w:color w:val="auto"/>
              </w:rPr>
              <w:t>Cash paid (received) during the year for:</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2.2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2"/>
                <w:szCs w:val="12"/>
                <w:color w:val="auto"/>
              </w:rPr>
              <w:t>Income taxes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8"/>
              <w:spacing w:after="0"/>
              <w:rPr>
                <w:sz w:val="20"/>
                <w:szCs w:val="20"/>
                <w:color w:val="auto"/>
              </w:rPr>
            </w:pPr>
            <w:r>
              <w:rPr>
                <w:rFonts w:ascii="Arial" w:cs="Arial" w:eastAsia="Arial" w:hAnsi="Arial"/>
                <w:sz w:val="12"/>
                <w:szCs w:val="12"/>
                <w:color w:val="auto"/>
              </w:rPr>
              <w:t>(3.6)</w:t>
            </w:r>
          </w:p>
        </w:tc>
        <w:tc>
          <w:tcPr>
            <w:tcW w:w="180" w:type="dxa"/>
            <w:vAlign w:val="bottom"/>
            <w:gridSpan w:val="2"/>
          </w:tcPr>
          <w:p>
            <w:pPr>
              <w:ind w:left="100"/>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AVIAT NETWORKS, INC. (FORMERLY HARRIS STRATEX NETWORKS, INC.)</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AND COMPREHENSIVE LOSS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3"/>
          </w:tcPr>
          <w:p>
            <w:pPr>
              <w:jc w:val="center"/>
              <w:ind w:right="300"/>
              <w:spacing w:after="0" w:line="98" w:lineRule="exact"/>
              <w:rPr>
                <w:sz w:val="20"/>
                <w:szCs w:val="20"/>
                <w:color w:val="auto"/>
              </w:rPr>
            </w:pPr>
            <w:r>
              <w:rPr>
                <w:rFonts w:ascii="Arial" w:cs="Arial" w:eastAsia="Arial" w:hAnsi="Arial"/>
                <w:sz w:val="9"/>
                <w:szCs w:val="9"/>
                <w:b w:val="1"/>
                <w:bCs w:val="1"/>
                <w:color w:val="auto"/>
                <w:w w:val="92"/>
              </w:rPr>
              <w:t>Common</w:t>
            </w:r>
          </w:p>
        </w:tc>
        <w:tc>
          <w:tcPr>
            <w:tcW w:w="700" w:type="dxa"/>
            <w:vAlign w:val="bottom"/>
            <w:gridSpan w:val="3"/>
          </w:tcPr>
          <w:p>
            <w:pPr>
              <w:ind w:left="20"/>
              <w:spacing w:after="0" w:line="98" w:lineRule="exact"/>
              <w:rPr>
                <w:sz w:val="20"/>
                <w:szCs w:val="20"/>
                <w:color w:val="auto"/>
              </w:rPr>
            </w:pPr>
            <w:r>
              <w:rPr>
                <w:rFonts w:ascii="Arial" w:cs="Arial" w:eastAsia="Arial" w:hAnsi="Arial"/>
                <w:sz w:val="9"/>
                <w:szCs w:val="9"/>
                <w:b w:val="1"/>
                <w:bCs w:val="1"/>
                <w:color w:val="auto"/>
              </w:rPr>
              <w:t>Common</w:t>
            </w: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b w:val="1"/>
                <w:bCs w:val="1"/>
                <w:color w:val="auto"/>
                <w:w w:val="95"/>
              </w:rPr>
              <w:t>Additional</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8"/>
        </w:trPr>
        <w:tc>
          <w:tcPr>
            <w:tcW w:w="4000" w:type="dxa"/>
            <w:vAlign w:val="bottom"/>
          </w:tcPr>
          <w:p>
            <w:pPr>
              <w:spacing w:after="0"/>
              <w:rPr>
                <w:sz w:val="8"/>
                <w:szCs w:val="8"/>
                <w:color w:val="auto"/>
              </w:rPr>
            </w:pPr>
          </w:p>
        </w:tc>
        <w:tc>
          <w:tcPr>
            <w:tcW w:w="740" w:type="dxa"/>
            <w:vAlign w:val="bottom"/>
            <w:gridSpan w:val="3"/>
          </w:tcPr>
          <w:p>
            <w:pPr>
              <w:jc w:val="right"/>
              <w:ind w:right="340"/>
              <w:spacing w:after="0" w:line="98" w:lineRule="exact"/>
              <w:rPr>
                <w:sz w:val="20"/>
                <w:szCs w:val="20"/>
                <w:color w:val="auto"/>
              </w:rPr>
            </w:pPr>
            <w:r>
              <w:rPr>
                <w:rFonts w:ascii="Arial" w:cs="Arial" w:eastAsia="Arial" w:hAnsi="Arial"/>
                <w:sz w:val="9"/>
                <w:szCs w:val="9"/>
                <w:b w:val="1"/>
                <w:bCs w:val="1"/>
                <w:color w:val="auto"/>
                <w:w w:val="97"/>
              </w:rPr>
              <w:t>Common</w:t>
            </w:r>
          </w:p>
        </w:tc>
        <w:tc>
          <w:tcPr>
            <w:tcW w:w="80" w:type="dxa"/>
            <w:vAlign w:val="bottom"/>
          </w:tcPr>
          <w:p>
            <w:pPr>
              <w:spacing w:after="0"/>
              <w:rPr>
                <w:sz w:val="8"/>
                <w:szCs w:val="8"/>
                <w:color w:val="auto"/>
              </w:rPr>
            </w:pPr>
          </w:p>
        </w:tc>
        <w:tc>
          <w:tcPr>
            <w:tcW w:w="6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62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440" w:type="dxa"/>
            <w:vAlign w:val="bottom"/>
            <w:gridSpan w:val="2"/>
          </w:tcPr>
          <w:p>
            <w:pPr>
              <w:jc w:val="right"/>
              <w:ind w:right="140"/>
              <w:spacing w:after="0" w:line="98" w:lineRule="exact"/>
              <w:rPr>
                <w:sz w:val="20"/>
                <w:szCs w:val="20"/>
                <w:color w:val="auto"/>
              </w:rPr>
            </w:pPr>
            <w:r>
              <w:rPr>
                <w:rFonts w:ascii="Arial" w:cs="Arial" w:eastAsia="Arial" w:hAnsi="Arial"/>
                <w:sz w:val="9"/>
                <w:szCs w:val="9"/>
                <w:b w:val="1"/>
                <w:bCs w:val="1"/>
                <w:color w:val="auto"/>
                <w:w w:val="93"/>
              </w:rPr>
              <w:t>Paid-in</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108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11"/>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w w:val="89"/>
              </w:rPr>
              <w:t>Stock</w:t>
            </w:r>
          </w:p>
        </w:tc>
        <w:tc>
          <w:tcPr>
            <w:tcW w:w="700" w:type="dxa"/>
            <w:vAlign w:val="bottom"/>
            <w:gridSpan w:val="3"/>
          </w:tcPr>
          <w:p>
            <w:pPr>
              <w:jc w:val="center"/>
              <w:ind w:right="280"/>
              <w:spacing w:after="0"/>
              <w:rPr>
                <w:sz w:val="20"/>
                <w:szCs w:val="20"/>
                <w:color w:val="auto"/>
              </w:rPr>
            </w:pPr>
            <w:r>
              <w:rPr>
                <w:rFonts w:ascii="Arial" w:cs="Arial" w:eastAsia="Arial" w:hAnsi="Arial"/>
                <w:sz w:val="9"/>
                <w:szCs w:val="9"/>
                <w:b w:val="1"/>
                <w:bCs w:val="1"/>
                <w:color w:val="auto"/>
                <w:w w:val="90"/>
              </w:rPr>
              <w:t>Class A</w:t>
            </w: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Class B</w:t>
            </w:r>
          </w:p>
        </w:tc>
        <w:tc>
          <w:tcPr>
            <w:tcW w:w="80" w:type="dxa"/>
            <w:vAlign w:val="bottom"/>
          </w:tcPr>
          <w:p>
            <w:pPr>
              <w:spacing w:after="0"/>
              <w:rPr>
                <w:sz w:val="9"/>
                <w:szCs w:val="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3"/>
              </w:rPr>
              <w:t>Capital</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w:t>
            </w:r>
          </w:p>
        </w:tc>
        <w:tc>
          <w:tcPr>
            <w:tcW w:w="80" w:type="dxa"/>
            <w:vAlign w:val="bottom"/>
          </w:tcPr>
          <w:p>
            <w:pPr>
              <w:spacing w:after="0"/>
              <w:rPr>
                <w:sz w:val="9"/>
                <w:szCs w:val="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9"/>
                <w:szCs w:val="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88"/>
              </w:rPr>
              <w:t>(Loss) Income</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rPr>
              <w:t>millions)</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June 29, 2007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770.0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746.4</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gain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Net unrealized loss on hedging activities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loss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Adjustment to capital from Harris Corporation</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employee stock option exercises (129,038 shares)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Stock option tax benefits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0.7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Compensatory stock awards (73,740 shares)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Balance as of June 27, 2008</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779.9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748.2</w:t>
            </w:r>
          </w:p>
        </w:tc>
        <w:tc>
          <w:tcPr>
            <w:tcW w:w="0" w:type="dxa"/>
            <w:vAlign w:val="bottom"/>
          </w:tcPr>
          <w:p>
            <w:pPr>
              <w:spacing w:after="0"/>
              <w:rPr>
                <w:sz w:val="1"/>
                <w:szCs w:val="1"/>
                <w:color w:val="auto"/>
              </w:rPr>
            </w:pPr>
          </w:p>
        </w:tc>
      </w:tr>
      <w:tr>
        <w:trPr>
          <w:trHeight w:val="15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(355.0)</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Foreign currency translation loss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 on hedging activities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Comprehensive loss</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(363.6)</w:t>
            </w:r>
          </w:p>
        </w:tc>
        <w:tc>
          <w:tcPr>
            <w:tcW w:w="0" w:type="dxa"/>
            <w:vAlign w:val="bottom"/>
          </w:tcPr>
          <w:p>
            <w:pPr>
              <w:spacing w:after="0"/>
              <w:rPr>
                <w:sz w:val="1"/>
                <w:szCs w:val="1"/>
                <w:color w:val="auto"/>
              </w:rPr>
            </w:pPr>
          </w:p>
        </w:tc>
      </w:tr>
      <w:tr>
        <w:trPr>
          <w:trHeight w:val="15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Adjustment to capital from Harris Corporation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Proceeds from employee stock option exercises (688 shares)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32,913,377 Class B shares to Class A shares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Compensatory stock awards (432,978 shares)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 2009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783.2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(391.1)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387.9</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gain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Net unrealized gain on hedging activities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loss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(128.0)</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Reclassification of Class A shares to Common Stock</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employee stock option exercises (17,399 shares)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Compensatory stock awards (479,483 shares)</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2, 2010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786.5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263.2</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300"/>
        <w:spacing w:after="0"/>
        <w:rPr>
          <w:sz w:val="20"/>
          <w:szCs w:val="20"/>
          <w:color w:val="auto"/>
        </w:rPr>
      </w:pPr>
      <w:r>
        <w:rPr>
          <w:rFonts w:ascii="Arial" w:cs="Arial" w:eastAsia="Arial" w:hAnsi="Arial"/>
          <w:sz w:val="13"/>
          <w:szCs w:val="13"/>
          <w:b w:val="1"/>
          <w:bCs w:val="1"/>
          <w:color w:val="auto"/>
        </w:rPr>
        <w:t>AVIAT NETWORKS, INC. (FORMERLY HARRIS STRATEX NETWORKS,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96"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AS OF JULY 2, 2010 AND JULY 3, 2009 AND</w:t>
      </w:r>
    </w:p>
    <w:p>
      <w:pPr>
        <w:spacing w:after="0" w:line="19"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FOR EACH OF THE THREE FISCAL YEARS IN THE PERIOD ENDED JULY 2, 2010</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A —</w:t>
      </w:r>
      <w:r>
        <w:rPr>
          <w:sz w:val="20"/>
          <w:szCs w:val="20"/>
          <w:color w:val="auto"/>
        </w:rPr>
        <w:tab/>
      </w:r>
      <w:r>
        <w:rPr>
          <w:rFonts w:ascii="Arial" w:cs="Arial" w:eastAsia="Arial" w:hAnsi="Arial"/>
          <w:sz w:val="11"/>
          <w:szCs w:val="11"/>
          <w:b w:val="1"/>
          <w:bCs w:val="1"/>
          <w:color w:val="auto"/>
        </w:rPr>
        <w:t>Basis of Presentation and Nature of Operations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January 28, 2010, Harris Stratex Networks, Inc. changed its name to Aviat Networks, Inc. (“we,” “us,” and “our”) to more effectively reflect our business and communicate our brand identity to customers. Additionally, we changed our corporate name to comply with the termination of the Harris Corporation (“Harris”) trademark licensing agreement resulting from the spin-off by Harris of its interest in our stock to its shareholders in May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Aviat Networks, Inc. may be referred to as the “Company,” “AVNW,” “Aviat Networks,” “we,” “us” and “our” in these Notes to Consolidated Financial Statements.</w:t>
      </w:r>
    </w:p>
    <w:p>
      <w:pPr>
        <w:spacing w:after="0" w:line="96"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i w:val="1"/>
          <w:iCs w:val="1"/>
          <w:color w:val="auto"/>
        </w:rPr>
        <w:t xml:space="preserve">Basis of Presentation </w:t>
      </w:r>
      <w:r>
        <w:rPr>
          <w:rFonts w:ascii="Arial" w:cs="Arial" w:eastAsia="Arial" w:hAnsi="Arial"/>
          <w:sz w:val="13"/>
          <w:szCs w:val="13"/>
          <w:color w:val="auto"/>
        </w:rPr>
        <w:t>— The consolidated financial statements include the accounts of Aviat Networks and its wholly-owned and majority owned subsidiaries.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intercompany transactions and accounts have been eliminated.</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fiscal year ends on the Friday nearest calendar June 30. This was July 2 for fiscal 2010, July 3 for fiscal 2009 and June 27 for fiscal 2008. Fiscal year 2009 included 53 weeks and fiscal years 2010 and 2008 each included 52 weeks. In these Notes to Consolidated Financial Statements, we refer to our fiscal years as “fiscal 2010,” “fiscal 2009” and “fiscal 2008.”</w:t>
      </w:r>
    </w:p>
    <w:p>
      <w:pPr>
        <w:spacing w:after="0" w:line="35"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i w:val="1"/>
          <w:iCs w:val="1"/>
          <w:color w:val="auto"/>
        </w:rPr>
        <w:t xml:space="preserve">Reclassification — </w:t>
      </w:r>
      <w:r>
        <w:rPr>
          <w:rFonts w:ascii="Arial" w:cs="Arial" w:eastAsia="Arial" w:hAnsi="Arial"/>
          <w:sz w:val="12"/>
          <w:szCs w:val="12"/>
          <w:color w:val="auto"/>
        </w:rPr>
        <w:t>Prior to May 27, 2009, Harris owned approximately 56% of our outstanding common stock. As such, Harris was our majority stockholder and a related party for</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reporting purposes. Effective May 27, 2009, Harris distributed its entire ownership of our common stock to its shareholders. Accordingly, effective with the first quarter of fiscal 2010, Harris ceased to be considered a related party for financial reporting purposes. We have reclassified all amounts previously disclosed as related party transactions with Harris on our Statements of Operations, Balance Sheets and Statements of Cash Flows to the appropriate line items in the current presentation.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fiscal 2009 and 2008 and as of July 3, 2009, these reclassifications from the previously disclosed line item to the current presentation included: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 of Operations (fiscal 2009 and 2008):</w:t>
      </w:r>
    </w:p>
    <w:p>
      <w:pPr>
        <w:spacing w:after="0" w:line="96" w:lineRule="exact"/>
        <w:rPr>
          <w:sz w:val="20"/>
          <w:szCs w:val="20"/>
          <w:color w:val="auto"/>
        </w:rPr>
      </w:pPr>
    </w:p>
    <w:p>
      <w:pPr>
        <w:ind w:left="1280" w:right="200" w:hanging="190"/>
        <w:spacing w:after="0" w:line="264"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Revenue from product sales with Harris to Revenue from product sales ($6.0 million and $3.5 million); Cost of product sales with Harris to Cost of product sales ($2.4 million and $1.3 million); Cost of sales billed from Harris to Cost of product sales ($0.9 million and $4.8 million); Selling and administrative expenses with Harris to Selling and administrative expenses ($5.5 million and $7.0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Balance Sheet as of July 3, 2009:</w:t>
      </w:r>
    </w:p>
    <w:p>
      <w:pPr>
        <w:spacing w:after="0" w:line="96" w:lineRule="exact"/>
        <w:rPr>
          <w:sz w:val="20"/>
          <w:szCs w:val="20"/>
          <w:color w:val="auto"/>
        </w:rPr>
      </w:pPr>
    </w:p>
    <w:p>
      <w:pPr>
        <w:ind w:left="1280" w:right="2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Current portion of long-term capital lease obligation to Harris of $0.5 million to Other accrued expenses; Due from Harris Corporation of $3.0 million to Other current assets; Long-term portion of capital lease obligation to Harris of $0.8 million to Other assets and liabilities, net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 of Cash Flows (fiscal 2009 and 2008):</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operating assets and liabilities, Due to Harris to changes in Restructuring liabilities and other ($19.9 million and $0.4 million).</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Out of Period Adjustment </w:t>
      </w:r>
      <w:r>
        <w:rPr>
          <w:rFonts w:ascii="Arial" w:cs="Arial" w:eastAsia="Arial" w:hAnsi="Arial"/>
          <w:sz w:val="13"/>
          <w:szCs w:val="13"/>
          <w:color w:val="auto"/>
        </w:rPr>
        <w:t>— During the closing of our books for the first quarter of fiscal 2010, we determined the need for an out-of-period adjustment in the classification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on our fiscal 2009 Consolidated Statement of Operations between the line items of “Revenue from services” and “Revenue from product sales” and in the classification of cost of sales between “Cost of services” and “Cost of product sales.” This reclassification had no impact on gross margin. For fiscal 2009, the impact of this reclassification increased “Revenue from services” by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$26.5 million, decreased “Revenue from product sales” by $26.5 million, increased “Cost of services” by $24.8 million and decreased “Cost of product sales” by $24.8 million.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Nature of Operations </w:t>
      </w:r>
      <w:r>
        <w:rPr>
          <w:rFonts w:ascii="Arial" w:cs="Arial" w:eastAsia="Arial" w:hAnsi="Arial"/>
          <w:sz w:val="12"/>
          <w:szCs w:val="12"/>
          <w:color w:val="auto"/>
        </w:rPr>
        <w:t>— We design, manufacture and sell a range of wireless networking products, solutions and services to mobile and fixed telephone service providers, private</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operators, government agencies, transportation and utility companies, public safety agencies and broadcast system operators across the globe. Our products include broadband wireless access base stations and customer premises equipment based upon the IEEE 802.16d-2004 and 16e-2005 standards for fixed and mobile WiMAX, point-to-point digital microwave radio systems for access, backhaul, trunking and license-exempt applications, supporting new network deployments, network expansion, and capacity upgrades.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B —</w:t>
      </w:r>
      <w:r>
        <w:rPr>
          <w:sz w:val="20"/>
          <w:szCs w:val="20"/>
          <w:color w:val="auto"/>
        </w:rPr>
        <w:tab/>
      </w:r>
      <w:r>
        <w:rPr>
          <w:rFonts w:ascii="Arial" w:cs="Arial" w:eastAsia="Arial" w:hAnsi="Arial"/>
          <w:sz w:val="11"/>
          <w:szCs w:val="11"/>
          <w:b w:val="1"/>
          <w:bCs w:val="1"/>
          <w:color w:val="auto"/>
        </w:rPr>
        <w:t>Significant Accounting Policies and 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Consolidated Financial Statements and the accompanying Notes to Consolidated Financial Statements have been prepared in accordance with accounting principles generally accepted in the United States (“U.S. GAAP”) which require us to make estimates, assumptions and judgments affecting the amounts reported and related disclosures.</w:t>
      </w:r>
    </w:p>
    <w:p>
      <w:pPr>
        <w:spacing w:after="0" w:line="35"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Estimates affect significant items, including the following:</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Provision for doubtful accounts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Inventory valuation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Fair value of goodwill and intangible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Valuation allowances for deferred tax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Uncertainties in income taxes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Software development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Restructuring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Product warranty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Share-based awards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Contingencies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Useful lives of intangible assets, property, plant and equipment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Short-Term Investments</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consider all highly liquid investments with an original maturity of three months or less at the date of purchase to be cash equivalents. Cash and 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We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All of our marketable securities are classified as “available-for-sale” because we view our entire portfolio as available for use in our current operations. Accordingly, we have classified all investments in marketable securities as short-term.</w:t>
      </w:r>
    </w:p>
    <w:p>
      <w:pPr>
        <w:spacing w:after="0" w:line="3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July 2, 2010, all of our high-quality marketable debt securities were classified as cash equivalents. Short-term investments as of July 3, 2009 consisted of one corporate note and its fair value of $0.3 million approximated cost. This short-term investment had a maturity date of July 15, 2009. Realized gains and losses on short-term investments are recorded in selling and administrative expenses and were not significant during fiscal 2010, 2009 and 2008.</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D — Fair Value Measurements of Assets and Liabilities</w:t>
      </w:r>
      <w:r>
        <w:rPr>
          <w:rFonts w:ascii="Arial" w:cs="Arial" w:eastAsia="Arial" w:hAnsi="Arial"/>
          <w:sz w:val="13"/>
          <w:szCs w:val="13"/>
          <w:color w:val="auto"/>
        </w:rPr>
        <w:t xml:space="preserve"> for additional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Major Customers and Other Significant Concentrations</w:t>
      </w:r>
    </w:p>
    <w:p>
      <w:pPr>
        <w:spacing w:after="0" w:line="96"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 Generally, we do not require collateral; however, in certain circumstances, we may require letters of credit, additional guarantees or advance payments.</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 xml:space="preserve">We record accounts receivable at net realizable value, which includes an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 See </w:t>
      </w:r>
      <w:r>
        <w:rPr>
          <w:rFonts w:ascii="Arial" w:cs="Arial" w:eastAsia="Arial" w:hAnsi="Arial"/>
          <w:sz w:val="13"/>
          <w:szCs w:val="13"/>
          <w:i w:val="1"/>
          <w:iCs w:val="1"/>
          <w:color w:val="auto"/>
        </w:rPr>
        <w:t>Note E — Receivables</w:t>
      </w:r>
      <w:r>
        <w:rPr>
          <w:rFonts w:ascii="Arial" w:cs="Arial" w:eastAsia="Arial" w:hAnsi="Arial"/>
          <w:sz w:val="13"/>
          <w:szCs w:val="13"/>
          <w:color w:val="auto"/>
        </w:rPr>
        <w:t xml:space="preserve"> for additional information.</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To comply with requests from our customers for payment terms, we often accept letters of credit with payment terms of up to one year or more, which we then discount with various financial institutions. Under these arrangements, collection risk is fully transferred to the financial institutions. We record the cost of discounting these letters of credit as interest expense. During fiscal 2010, 2009 and 2008 we discounted customer letters of credit totaling $91.1 million, $84.7 million and $65.1 million and recorded related interest expense of $0.7 million, $1.0 million and $0.2 million.</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fiscal 2010, 2009 and 2008, we had one International segment customer in Africa (Mobile Telephone Networks or MTN) that accounted for 17%, 17% and 13% of our total revenue. As of July 2, 2010 and July 3, 2009, MTN accounted for approximately 7% and 6% of our accounts receivable.</w:t>
      </w:r>
    </w:p>
    <w:p>
      <w:pPr>
        <w:spacing w:after="0" w:line="59"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certificates of deposit, commercial paper and corporate notes. We are exposed to credit risks related to such investments in the event of default or decrease in credit-worthiness of the issuers of the investments. We perform ongoing credit evaluations of our customers and generally do not require collateral on accounts receivable, as the majority of our customers are large, well-established companies. We maintain reserves for potential credit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entered into agreements relating to our foreign currency contracts with large, multinational financial institutions. The amounts subject to credit risk arising from the possible inability of any such parties to meet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terms of their contracts are generally limited to the amounts, if any, by which such party’s obligations exceed our obligations to that party.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 xml:space="preserve">Inventories are valued at the lower of cost (determined by average cost and first-in, first-out methods) or market.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 See </w:t>
      </w:r>
      <w:r>
        <w:rPr>
          <w:rFonts w:ascii="Arial" w:cs="Arial" w:eastAsia="Arial" w:hAnsi="Arial"/>
          <w:sz w:val="12"/>
          <w:szCs w:val="12"/>
          <w:i w:val="1"/>
          <w:iCs w:val="1"/>
          <w:color w:val="auto"/>
        </w:rPr>
        <w:t>Note F — Inventories</w:t>
      </w:r>
      <w:r>
        <w:rPr>
          <w:rFonts w:ascii="Arial" w:cs="Arial" w:eastAsia="Arial" w:hAnsi="Arial"/>
          <w:sz w:val="12"/>
          <w:szCs w:val="12"/>
          <w:color w:val="auto"/>
        </w:rPr>
        <w:t xml:space="preserve"> for additional information.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 and Related Uncertainties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The income tax effects of the differences we identify are classified as current or long-term deferred tax assets and liabilities in our Consolidated Balance Sheets. Our judgments, assumptions, and estimates relative to the current provision for income tax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 or to goodwill or intangible assets to the extent that the valuation allowance related to tax attributes of the acquired entities.</w:t>
      </w:r>
    </w:p>
    <w:p>
      <w:pPr>
        <w:spacing w:after="0" w:line="6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We use minimum recognition thresholds to establish tax positions to be recognized in the financial statements. 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 See Note O — </w:t>
      </w:r>
      <w:r>
        <w:rPr>
          <w:rFonts w:ascii="Arial" w:cs="Arial" w:eastAsia="Arial" w:hAnsi="Arial"/>
          <w:sz w:val="12"/>
          <w:szCs w:val="12"/>
          <w:i w:val="1"/>
          <w:iCs w:val="1"/>
          <w:color w:val="auto"/>
        </w:rPr>
        <w:t>Income Taxes</w:t>
      </w:r>
      <w:r>
        <w:rPr>
          <w:rFonts w:ascii="Arial" w:cs="Arial" w:eastAsia="Arial" w:hAnsi="Arial"/>
          <w:sz w:val="12"/>
          <w:szCs w:val="12"/>
          <w:color w:val="auto"/>
        </w:rPr>
        <w:t>, for additional information.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research and development, re-engineering, training and application maintenance. Leasehold improvements made either at the inception of the lease or during the lease term are amortized over the remaining current lease term, or estimated life, if shorter.</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are calculated using the straight-line method over the shorter of the estimated useful lives of the respective assets or any applicable lease term. The useful lives of the assets are generally as follows:</w:t>
      </w:r>
    </w:p>
    <w:p>
      <w:pPr>
        <w:sectPr>
          <w:pgSz w:w="11900" w:h="16838" w:orient="portrait"/>
          <w:cols w:equalWidth="0" w:num="1">
            <w:col w:w="10660"/>
          </w:cols>
          <w:pgMar w:left="220" w:top="343" w:right="1019" w:bottom="1440" w:gutter="0" w:footer="0" w:header="0"/>
        </w:sectPr>
      </w:pPr>
    </w:p>
    <w:p>
      <w:pPr>
        <w:spacing w:after="0" w:line="6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Buildings and leasehold improvements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Software developed for internal use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Machinery and equipment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2 to 45 years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3 to 5 years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2 to 10 years</w:t>
      </w:r>
    </w:p>
    <w:p>
      <w:pPr>
        <w:spacing w:after="0" w:line="112" w:lineRule="exact"/>
        <w:rPr>
          <w:sz w:val="20"/>
          <w:szCs w:val="20"/>
          <w:color w:val="auto"/>
        </w:rPr>
      </w:pPr>
    </w:p>
    <w:p>
      <w:pPr>
        <w:sectPr>
          <w:pgSz w:w="11900" w:h="16838" w:orient="portrait"/>
          <w:cols w:equalWidth="0" w:num="2">
            <w:col w:w="8760" w:space="720"/>
            <w:col w:w="1180"/>
          </w:cols>
          <w:pgMar w:left="220" w:top="343" w:right="1019" w:bottom="1440" w:gutter="0" w:footer="0" w:header="0"/>
          <w:type w:val="continuous"/>
        </w:sectPr>
      </w:pPr>
    </w:p>
    <w:p>
      <w:pPr>
        <w:ind w:left="680" w:right="200" w:firstLine="399"/>
        <w:spacing w:after="0" w:line="320" w:lineRule="auto"/>
        <w:rPr>
          <w:sz w:val="20"/>
          <w:szCs w:val="20"/>
          <w:color w:val="auto"/>
        </w:rPr>
      </w:pPr>
      <w:r>
        <w:rPr>
          <w:rFonts w:ascii="Arial" w:cs="Arial" w:eastAsia="Arial" w:hAnsi="Arial"/>
          <w:sz w:val="12"/>
          <w:szCs w:val="12"/>
          <w:color w:val="auto"/>
        </w:rPr>
        <w:t xml:space="preserve">Expenditures for maintenance and repairs are charged to expense as incurred. Cost and accumulated depreciation of assets sold or retired are removed from the respective property accounts, and the gain or loss is reflected in the Consolidated Statements of Operations. </w:t>
      </w:r>
      <w:r>
        <w:rPr>
          <w:rFonts w:ascii="Arial" w:cs="Arial" w:eastAsia="Arial" w:hAnsi="Arial"/>
          <w:sz w:val="12"/>
          <w:szCs w:val="12"/>
          <w:i w:val="1"/>
          <w:iCs w:val="1"/>
          <w:color w:val="auto"/>
        </w:rPr>
        <w:t>Note G — Property, Plant and Equipment</w:t>
      </w:r>
      <w:r>
        <w:rPr>
          <w:rFonts w:ascii="Arial" w:cs="Arial" w:eastAsia="Arial" w:hAnsi="Arial"/>
          <w:sz w:val="12"/>
          <w:szCs w:val="12"/>
          <w:color w:val="auto"/>
        </w:rPr>
        <w:t xml:space="preserve"> provides additional information.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Identifiable Intangible Assets and Impairment of Long-Lived Assets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59"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Intangible assets with an indefinite life are not amortized until their life is determined to be finite, and all other intangible assets must be amortized over their estimated useful lives.</w:t>
      </w:r>
    </w:p>
    <w:p>
      <w:pPr>
        <w:spacing w:after="0" w:line="108"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Goodwill and intangible assets deemed to have indefinite lives are not amortized but instead are tested for impairment at the reporting unit level at least annually in the fourth quarter of our fiscal year. However, 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two reporting units, consisting of our North America segment and International segment. Goodwill is tested for impairment annually during the fourth quarter of our fiscal year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Evaluations of impairment involve management estimates of asset useful lives and future cash flows.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which could result in charges that are material to our results of operations.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 </w:t>
      </w:r>
      <w:r>
        <w:rPr>
          <w:rFonts w:ascii="Arial" w:cs="Arial" w:eastAsia="Arial" w:hAnsi="Arial"/>
          <w:sz w:val="13"/>
          <w:szCs w:val="13"/>
          <w:i w:val="1"/>
          <w:iCs w:val="1"/>
          <w:color w:val="auto"/>
        </w:rPr>
        <w:t>Note C — Goodwill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Identifiable Intangible Assets and Note G — Property, Plant and Equipments </w:t>
      </w:r>
      <w:r>
        <w:rPr>
          <w:rFonts w:ascii="Arial" w:cs="Arial" w:eastAsia="Arial" w:hAnsi="Arial"/>
          <w:sz w:val="13"/>
          <w:szCs w:val="13"/>
          <w:color w:val="auto"/>
        </w:rPr>
        <w:t>provide additional information.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Software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Costs for the conceptual formulation and design of new software products are expensed as incurred until technological feasibility has been established (when we have a working model). Once technological feasibility has been established, we capitalize costs to produce the finished software products. Capitalization ceases when the product is available for general release to customers. Costs associated with product enhancements that extend the original product’s life or significantly improve the original product’s marketability are also capitalized once technological feasibility has been established.</w:t>
      </w:r>
    </w:p>
    <w:p>
      <w:pPr>
        <w:spacing w:after="0" w:line="70"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Amortization is calculated on a product-by-product basis as the greater of the amount computed using (i) the ratio that current gross revenue for a product bear to the total of current and anticipated future gross revenue for that product; or (ii) the straight-line method over the remaining economic life of the product. At each balance sheet date, the unamortized capitalized cost of each computer software product is compared to the net realizable value of that product. If an amount of unamortized capitalized costs of a computer software product is found to exceed the net realizable value of that asset, such amount will be written off. The net realizable value is the estimated future gross revenue from that product reduced by the estimated future costs of completing and deploying that product, including the costs of performing maintenance and customer support required to satisfy our responsibility set forth at the time of sale.</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amortization expense related to capitalized software was $2.8 million, $3.4 million and $2.9 million in fiscal 2010, 2009 and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Accrued Expenses and Other Assets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No accrued liabilities or expenses within the caption “Other accrued expenses” on our Consolidated Balance Sheets exceed 5% of our total current liabilities as of July 2, 2010 or as of July 3, 2009. “Other accrued expenses” on our Consolidated Balance Sheets primarily includes accruals for sales commissions, warranties and severance. No current assets other than those already disclosed on the Consolidated Balance Sheets exceed 5% of our total current assets as of July 2, 2010 or as of July 3, 2009. No assets within the caption “Other assets” on the Consolidated Balance Sheets exceed 5% of total assets as of July 2, 2010 or as of July 3, 2009.</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Warranties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product sales we provide for future warranty costs upon product delivery. The specific terms and conditions of those warranties vary depending upon the product sold and country in which we do business. In the case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products sold by us, our warranties generally start from the delivery date and continue for two to three years, depending on the terms.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products are manufactured to customer specifications and their acceptance is based on meeting those specifications. Factors that affect our warranty liability include the number of installed units, historical experience and management’s judgment regarding anticipated rates of warranty claims and cost per claim. We assess the adequacy of our recorded warranty liabilities every quarter and make adjustments to the liability as necessary.</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Network management software products generally carry a 30-day to 90-day warranty from the date of acceptance. Our liability under these warranties is to provide a corrected copy of any portion of the software found not to be in substantial compliance with the agreed-upon specifications.</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 xml:space="preserve">Our software license agreements generally include certain provisions for indemnifying customers against liabilities should our software products infringe a third party’s intellectual property rights. As of July 2, 2010, we had not incurred any material costs as a result of such indemnification and have not accrued any liabilities related to such obligations in our consolidated financial statements. See </w:t>
      </w:r>
      <w:r>
        <w:rPr>
          <w:rFonts w:ascii="Arial" w:cs="Arial" w:eastAsia="Arial" w:hAnsi="Arial"/>
          <w:sz w:val="13"/>
          <w:szCs w:val="13"/>
          <w:i w:val="1"/>
          <w:iCs w:val="1"/>
          <w:color w:val="auto"/>
        </w:rPr>
        <w:t>Note I — Accrued Warranties</w:t>
      </w:r>
      <w:r>
        <w:rPr>
          <w:rFonts w:ascii="Arial" w:cs="Arial" w:eastAsia="Arial" w:hAnsi="Arial"/>
          <w:sz w:val="13"/>
          <w:szCs w:val="13"/>
          <w:color w:val="auto"/>
        </w:rPr>
        <w:t xml:space="preserve"> for additional information.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 xml:space="preserve">We have unresolved legal and tax matters, as discussed further in </w:t>
      </w:r>
      <w:r>
        <w:rPr>
          <w:rFonts w:ascii="Arial" w:cs="Arial" w:eastAsia="Arial" w:hAnsi="Arial"/>
          <w:sz w:val="12"/>
          <w:szCs w:val="12"/>
          <w:i w:val="1"/>
          <w:iCs w:val="1"/>
          <w:color w:val="auto"/>
        </w:rPr>
        <w:t>Note O — 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Note R — Legal Proceedings</w:t>
      </w:r>
      <w:r>
        <w:rPr>
          <w:rFonts w:ascii="Arial" w:cs="Arial" w:eastAsia="Arial" w:hAnsi="Arial"/>
          <w:sz w:val="12"/>
          <w:szCs w:val="12"/>
          <w:color w:val="auto"/>
        </w:rPr>
        <w:t>. 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53"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period. Gains and losses resulting from the re-measurement of these subsidiaries’ financial statements are included in the Consolidated Statements of Operations.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income.</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Gains and losses resulting from foreign exchange transactions and translation of monetary assets and liabilities in non-functional currencies are included in “Cost of product sales and services” in the accompanying Consolidated Statements of Operations. Net foreign exchange (losses) gains recorded in our Consolidated Statements of Operations during fiscal 2010, 2009 and 2008 totaled $0.3 million, $(7.4) million and $(1.3)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Benefits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of July 2, 2010,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may make additional contributions to the plan at our discretion.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Contributions to retirement plans are expensed as incurred. Retirement plan expense amounted to $2.8 million, $2.7 million and $3.8 million in fiscal 2010, 2009 and 2008.</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Guarantees, Commercial Commitments and Indemnifications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2, 2010, we had no guarantees applicable to our debt arrangements. 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2, 2010, we had commercial commitments of $79.3 million outstanding, none of which are accrued for in our Consolidated Balance Sheets.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are related to the specific facts in each case, and given the lack of previous or current indemnification claims, we cannot estimate the maximum amount of potential future payments, if any, related to our indemnification provisions. As of July 2, 2010, we had not recorded any liabilities related to these indemnifications.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standard license agreement includes a warranty provision for software products. We generally warrant for the first 90 days after delivery that the software shall operate substantially as stated in the then current documentation provided that the software is used in a supported computer system. We provide for the estimated cost of product warranties based on specific warranty claims, provided that it is probable that a liability exists and provided the amount can be reasonably estimated. To date, we have not had any material costs associated with these warranties.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3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Revenue from product sales is generated predominately from the sales of products manufactured by us and by third party manufacturers with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40" w:lineRule="exact"/>
        <w:rPr>
          <w:sz w:val="20"/>
          <w:szCs w:val="20"/>
          <w:color w:val="auto"/>
        </w:rPr>
      </w:pPr>
    </w:p>
    <w:p>
      <w:pPr>
        <w:ind w:left="680" w:right="40" w:firstLine="399"/>
        <w:spacing w:after="0" w:line="354" w:lineRule="auto"/>
        <w:rPr>
          <w:sz w:val="20"/>
          <w:szCs w:val="20"/>
          <w:color w:val="auto"/>
        </w:rPr>
      </w:pPr>
      <w:r>
        <w:rPr>
          <w:rFonts w:ascii="Arial" w:cs="Arial" w:eastAsia="Arial" w:hAnsi="Arial"/>
          <w:sz w:val="11"/>
          <w:szCs w:val="11"/>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w:t>
      </w:r>
    </w:p>
    <w:p>
      <w:pPr>
        <w:ind w:left="680" w:right="220" w:firstLine="399"/>
        <w:spacing w:after="0" w:line="264" w:lineRule="auto"/>
        <w:rPr>
          <w:sz w:val="20"/>
          <w:szCs w:val="20"/>
          <w:color w:val="auto"/>
        </w:rPr>
      </w:pPr>
      <w:r>
        <w:rPr>
          <w:rFonts w:ascii="Arial" w:cs="Arial" w:eastAsia="Arial" w:hAnsi="Arial"/>
          <w:sz w:val="13"/>
          <w:szCs w:val="13"/>
          <w:color w:val="auto"/>
        </w:rPr>
        <w:t xml:space="preserve">In October 2009, the FASB ratified ASC Update (“ASU”) No. 2009-13, </w:t>
      </w:r>
      <w:r>
        <w:rPr>
          <w:rFonts w:ascii="Arial" w:cs="Arial" w:eastAsia="Arial" w:hAnsi="Arial"/>
          <w:sz w:val="13"/>
          <w:szCs w:val="13"/>
          <w:i w:val="1"/>
          <w:iCs w:val="1"/>
          <w:color w:val="auto"/>
        </w:rPr>
        <w:t>Multiple-Deliverable Revenue Arrangements</w:t>
      </w:r>
      <w:r>
        <w:rPr>
          <w:rFonts w:ascii="Arial" w:cs="Arial" w:eastAsia="Arial" w:hAnsi="Arial"/>
          <w:sz w:val="13"/>
          <w:szCs w:val="13"/>
          <w:color w:val="auto"/>
        </w:rPr>
        <w:t xml:space="preserve"> (ASU 2009-13). ASU 2009-13 amends existing revenue recognition accounting standards that are currently within the scope of FASB ASC, Subtopic 605-25, which is the revenue recognition guidance for multiple-element arrangements. ASU 2009-13 provides for three significant changes to the existing multiple element revenue recognition guidance as follows:</w:t>
      </w:r>
    </w:p>
    <w:p>
      <w:pPr>
        <w:spacing w:after="0" w:line="47" w:lineRule="exact"/>
        <w:rPr>
          <w:sz w:val="20"/>
          <w:szCs w:val="20"/>
          <w:color w:val="auto"/>
        </w:rPr>
      </w:pPr>
    </w:p>
    <w:p>
      <w:pPr>
        <w:ind w:left="1280" w:right="20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Deletes the requirement to have objective and reliable evidence of fair value for undelivered elements in an arrangement. This may result in more deliverables being treated as separate units of accounting.</w:t>
      </w:r>
    </w:p>
    <w:p>
      <w:pPr>
        <w:spacing w:after="0" w:line="19" w:lineRule="exact"/>
        <w:rPr>
          <w:rFonts w:ascii="Arial" w:cs="Arial" w:eastAsia="Arial" w:hAnsi="Arial"/>
          <w:sz w:val="13"/>
          <w:szCs w:val="13"/>
          <w:color w:val="auto"/>
        </w:rPr>
      </w:pPr>
    </w:p>
    <w:p>
      <w:pPr>
        <w:ind w:left="1280" w:right="20" w:hanging="190"/>
        <w:spacing w:after="0" w:line="321" w:lineRule="auto"/>
        <w:tabs>
          <w:tab w:leader="none" w:pos="12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Modifies the manner in which the arrangement consideration is allocated to the separately identified deliverables. ASU 2009-13 requires an entity to allocate revenue in an arrangement using its best estimate of selling prices (ESP) of deliverables if a vendor does not have vendor-specific objective evidence of selling price (VSOE) or third-party evidence of selling price (TPE), if VSOE is not available. Each separate unit of accounting must have a selling price, which can be based on management’s estimate when there is no other means (VSOE or TPE) to determine the selling price of that deliverable. The arrangement consideration is allocated based on the elements’ relative selling prices.</w:t>
      </w:r>
    </w:p>
    <w:p>
      <w:pPr>
        <w:spacing w:after="0" w:line="1" w:lineRule="exact"/>
        <w:rPr>
          <w:rFonts w:ascii="Arial" w:cs="Arial" w:eastAsia="Arial" w:hAnsi="Arial"/>
          <w:sz w:val="11"/>
          <w:szCs w:val="11"/>
          <w:color w:val="auto"/>
        </w:rPr>
      </w:pPr>
    </w:p>
    <w:p>
      <w:pPr>
        <w:ind w:left="1280" w:right="3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Eliminates use of the residual method and requires an entity to allocate revenue using the relative selling price method, which results in the discount in the transaction being evenly allocated to the separate units of accounting.</w:t>
      </w:r>
    </w:p>
    <w:p>
      <w:pPr>
        <w:spacing w:after="0" w:line="3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 xml:space="preserve">Concurrently with issuing ASU 2009-13, the FASB also issued ASU No. 2009-14, </w:t>
      </w:r>
      <w:r>
        <w:rPr>
          <w:rFonts w:ascii="Arial" w:cs="Arial" w:eastAsia="Arial" w:hAnsi="Arial"/>
          <w:sz w:val="13"/>
          <w:szCs w:val="13"/>
          <w:i w:val="1"/>
          <w:iCs w:val="1"/>
          <w:color w:val="auto"/>
        </w:rPr>
        <w:t>Certain Revenue arrangements that Include Software Elements</w:t>
      </w:r>
      <w:r>
        <w:rPr>
          <w:rFonts w:ascii="Arial" w:cs="Arial" w:eastAsia="Arial" w:hAnsi="Arial"/>
          <w:sz w:val="13"/>
          <w:szCs w:val="13"/>
          <w:color w:val="auto"/>
        </w:rPr>
        <w:t xml:space="preserve"> (ASU 2009-14). ASU 2009-14 excludes software that is contained on a tangible product from the scope of software revenue guidance if the software component and the non-software component function together to deliver the tangible products’ essential functionality.</w:t>
      </w:r>
    </w:p>
    <w:p>
      <w:pPr>
        <w:spacing w:after="0" w:line="3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permitted by ASU 2009-13 and ASU 2009-14, we elected to early adopt these new accounting standards at the beginning of its first quarter of fiscal 2010 on a prospective basis for transactions originating or materially modified on or after July 4, 2009.</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our revenue recognition policy before and after the adoption of ASU 2009-13 and ASU 2009-14, revenue is recognized when all of the following criteria have been met:</w:t>
      </w:r>
    </w:p>
    <w:p>
      <w:pPr>
        <w:spacing w:after="0" w:line="78"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Persuasive evidence of an arrangement exists. Contracts and customer purchase orders are generally used to determine the existence of an arrangement.</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Delivery has occurred. Shipping documents and customer acceptance, when applicable, are used to verify delivery.</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26" w:lineRule="exact"/>
        <w:rPr>
          <w:sz w:val="20"/>
          <w:szCs w:val="20"/>
          <w:color w:val="auto"/>
        </w:rPr>
      </w:pPr>
    </w:p>
    <w:p>
      <w:pPr>
        <w:ind w:left="1280" w:right="26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fee is fixed or determinable. We assess whether the fee is fixed or determinable based on the payment terms associated with the transaction and whether the sales price is subject to refund or adjustment.</w:t>
      </w:r>
    </w:p>
    <w:p>
      <w:pPr>
        <w:spacing w:after="0" w:line="49"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Collectibility is reasonably assured. We assess collectibility based primarily on the creditworthiness of the customer as determined by credit checks and analysis, as well as the customer’s payment history.</w:t>
      </w:r>
    </w:p>
    <w:p>
      <w:pPr>
        <w:spacing w:after="0" w:line="59"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In accordance with ASC 605-25 (as amended by ASU 2009-13), based on the terms and conditions of the product arrangements, we believe that our products and services can be accounted for separately as our products and services have value to our customers on a stand-alone basis.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performs installation services and then provide post-contract support services. The new revenue recognition standards do not generally change the units of accounting for our revenue transactions.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VSOE of fair value is based on the price charged when the element is sold separately. Under the new accounting standards, for multiple element arrangements, if VSOE cannot be established, we establish, where available, the selling price based on TPE. TPE is determined based on evidence of competitor pricing for similar deliverables when sold separately. When we cannot determine VSOE or TPE, we use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We regularly review VSOE, TPE and ESP and maintain internal controls over the establishment and updates of these estimates.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Prior to the adoption of ASU 2009-13 and ASU 2009-14, we recognized the revenue associated with each unit of accounting separately. If sufficient evidence of fair value could be established for all the elements of an arrangement, we allocated revenue to each element in the arrangement based on the relative fair value of each element and recognized that allocated revenue when each element met the criteria discussed above. However, we generally did not have sufficient evidence of the fair value for all elements of our arrangements, but we generally did have sufficient evidence of the fair value of the undelivered elements in our arrangements. In these cases, we allocated revenue using the residual method in which we deferred the fair value of the undelivered elements and allocated the remaining arrangement consideration to the delivered elements. If an arrangement involved the delivery of multiple items of the same elements that are only partially delivered at the end of a reporting period, revenue was allocated proportionately between the delivered and undelivered items.</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Some of our products have both software and non-software components that function together to deliver the product’s essential functionality. We previously determined that except for our WiMAX products, the software element in our other products was incidental in accordance with the software revenue recognition rules. Accordingly, these other products were not within the scope of the software revenue recognition rules, ASC 985-605, </w:t>
      </w:r>
      <w:r>
        <w:rPr>
          <w:rFonts w:ascii="Arial" w:cs="Arial" w:eastAsia="Arial" w:hAnsi="Arial"/>
          <w:sz w:val="12"/>
          <w:szCs w:val="12"/>
          <w:i w:val="1"/>
          <w:iCs w:val="1"/>
          <w:color w:val="auto"/>
        </w:rPr>
        <w:t>Software Revenue Recognition</w:t>
      </w:r>
      <w:r>
        <w:rPr>
          <w:rFonts w:ascii="Arial" w:cs="Arial" w:eastAsia="Arial" w:hAnsi="Arial"/>
          <w:sz w:val="12"/>
          <w:szCs w:val="12"/>
          <w:color w:val="auto"/>
        </w:rPr>
        <w:t xml:space="preserve"> (formerly SOP 97-2). We had determined that given the significance of the software component’s functionality to our WiMAX products, these products were within the scope of the software revenue recognition rules.</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ASC 985-605 generally requires revenue earned on software arrangements involving multiple elements to be allocated to each element based on their relative VSOE of fair values of the elements. We have not been able to establish VSOE for any of our WiMAX products or services. Thus, in accordance with ASC 985-605, all revenue was deferred until all elements of the arrangement have been delivered for all arrangements entered into prior to fiscal 2010.</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connection with its adoption of ASU 2009-13 and ASU 2009-14, we re-evaluated the appropriate revenue recognition treatment of our products and determined that the WiMAX products are scoped out of ASC 985-605</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because the software and non-software elements substantively contribute to the tangible product’s essential functionality and we would not sell the tangible products without the embedded software.</w:t>
      </w:r>
    </w:p>
    <w:p>
      <w:pPr>
        <w:spacing w:after="0" w:line="4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impact of adopting ASU 2009-13 and ASU 2009-14 did not have a material impact on any amounts previously reported for the first three quarters of fiscal 2010. The impact to the fourth quarter was $7.9M, which was primarily related to the WiMAX business. This difference is due to the fact that we have not established VSOE for any WiMAX products under the previous guidance and thus would not have been able to recognize any revenue for any portion of these arrangements until all elements had been delivered. We believe that the new guidance significantly improves the reporting of these types of transactions to more closely reflect the underlying economics of the transactions. We cannot reasonably estimate the effect of adopting ASU 2009-13 and ASU 2009-14 on future financial periods as the impact will vary depending on the nature and volume of new or materially modified arrangements in any given period.</w:t>
      </w:r>
    </w:p>
    <w:p>
      <w:pPr>
        <w:spacing w:after="0" w:line="1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33"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 be established for the undelivered elements of an arrangement, we recognize revenue following the residual method.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Royalty income is recognized on the basis of terms specified in the contractual agreements.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Sales and Services</w:t>
      </w:r>
    </w:p>
    <w:p>
      <w:pPr>
        <w:spacing w:after="0" w:line="7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Cost of sales consists primarily of materials, labor and overhead costs incurred internally and paid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3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Shipping and handling costs are included as a component of costs of product sales in our Consolidated Statements of Operations because we include in revenue the related costs that we bill our customers.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Presentation of Taxes Collected from Customers and Remitted to Government Authorities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present taxes (e.g., sales tax) collected from customers and remitted to governmental authorities on a net basis (i.e., excluded from revenue).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have issued stock options, restricted stock and performance shares under our 2007 Stock Equity Plan and assumed stock options from the Stratex acquisition. We estimate the grant date fair value of our share-based awards and amortize this fair value to compensation expense over the requisite service period or vesting term.</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To estimate the fair value of our stock option awards, we use the Black-Scholes-Merton option-pricing model. The determination of the fair value of share-based payment awards on the date of grant using an option-pricing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For stock options and restricted stock, we recognize compensation cost on a straight-line basis over the awards’ vesting periods for those awards which contain only a service vesting feature. For awards with a performance condition vesting feature, when achievement of the performance condition is deemed probable we recognize compensation cost on a straight-line basis over the awards’ expected vesting periods.</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estimate forfeitures at the time of grant and revise, if necessary, in subsequent periods if actual forfeitures differ significantly from initial estimates. Share-based compensation expense was recorded net of estimated forfeitures such that expense was recorded only for those share-based awards that are expected to vest.</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 xml:space="preserve">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 See </w:t>
      </w:r>
      <w:r>
        <w:rPr>
          <w:rFonts w:ascii="Arial" w:cs="Arial" w:eastAsia="Arial" w:hAnsi="Arial"/>
          <w:sz w:val="13"/>
          <w:szCs w:val="13"/>
          <w:i w:val="1"/>
          <w:iCs w:val="1"/>
          <w:color w:val="auto"/>
        </w:rPr>
        <w:t>Note M — Share-Based Compensation</w:t>
      </w:r>
      <w:r>
        <w:rPr>
          <w:rFonts w:ascii="Arial" w:cs="Arial" w:eastAsia="Arial" w:hAnsi="Arial"/>
          <w:sz w:val="13"/>
          <w:szCs w:val="13"/>
          <w:color w:val="auto"/>
        </w:rPr>
        <w:t xml:space="preserve"> for additional information.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Loss per Share of Common Stock and Description of Shares Outstanding</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compute net loss per share of common stock using the two-class method. Basic net loss per share is computed using the weighted average number of common shares outstanding and unvested share-based payment awards that contain rights to receive nonforfeitable dividends or dividend equivalents (whether paid or unpaid) during the period. Such unvested share-based payment awards are considered to be participating securities.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During fiscal 2010, 2009 and 2008, we recorded a net loss, so the potential dilution from the assumed exercise of our stock options is anti-dilutive. Accordingly, our basic and diluted net loss per common share amounts are the same. Because the stock options’ exercise prices were greater than the average market price of our shares, the number of options excluded from the diluted loss per share calculations determined by applying the treasury stock method were not significant during fiscal 2010, 2009 and 2008.</w:t>
      </w:r>
    </w:p>
    <w:p>
      <w:pPr>
        <w:spacing w:after="0" w:line="5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From the time we acquired Stratex Networks, Inc. (“Stratex”) on January 26, 2007, Harris owned 32,913,377 shares or 100% of our Class B Common Stock which approximated 56% of the total shares of our common stock. On May 27, 2009 Harris effected a spin-off, in the form of a taxable pro rata stock dividend, to its shareholders of all the shares of Harris Stratex owned by Harris. Harris stockholders received approximately 0.24 of a share of Harris Stratex Class A Common Stock for every share of Harris common stock they owned on the record date. The Class B Common Stock automatically converted to Class A Common Stock upon the spin-off event. Following the distribution, only Class A Common Stock was outstanding.</w:t>
      </w:r>
    </w:p>
    <w:p>
      <w:pPr>
        <w:spacing w:after="0" w:line="3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Effective November 19, 2009, under a change to our certificate of incorporation approved by shareholders, all shares of our Class A common stock were reclassified on a one-to-one basis to shares of Common Stock without a class designation; we no longer have Class A or Class B common stock authorized, issued or outstanding.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Related Expenses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We record a liability for costs associated with an exit or disposal activity when the liability is incurred. We also record (i) liabilities associated with exit and disposal activities measured at fair value; (ii) expenses for one-time termination benefits at the date the entity notifies the employee, unless the employee must provide future service, in which case the benefits are expensed ratably over the future service period; and (iii) liabilities related to an operating lease/contract at fair value and measured when the contract does not have any future economic benefit to the entity (i.e., the entity ceases to utilize the rights conveyed by the contract). We expense all other costs related to an exit or disposal activity as incurred. We record severance benefits provided as part of restructurings as part of an ongoing benefit arrangement, and accrue a liability for expected severance costs. Restructuring liabilities and the liability for expected severance costs are shown as “Restructuring liabilities” in current and long-term liabilities on our Consolidated Balance Sheets and the related costs are reflected as operating expenses in the Consolidated Statements of Operations. See </w:t>
      </w:r>
      <w:r>
        <w:rPr>
          <w:rFonts w:ascii="Arial" w:cs="Arial" w:eastAsia="Arial" w:hAnsi="Arial"/>
          <w:sz w:val="12"/>
          <w:szCs w:val="12"/>
          <w:i w:val="1"/>
          <w:iCs w:val="1"/>
          <w:color w:val="auto"/>
        </w:rPr>
        <w:t>Note K — Restructuring Activities</w:t>
      </w:r>
      <w:r>
        <w:rPr>
          <w:rFonts w:ascii="Arial" w:cs="Arial" w:eastAsia="Arial" w:hAnsi="Arial"/>
          <w:sz w:val="12"/>
          <w:szCs w:val="12"/>
          <w:color w:val="auto"/>
        </w:rPr>
        <w:t xml:space="preserve"> for additional information.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company-sponsored research and development costs, which include costs in connection with new product development, improvement of existing products, process improvement, and product use technologies, are charged to operations in the period in which they are incurred. We present research and development expenses and acquired in-process research and development costs as separate line items in our Consolidated Statements of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Through the end of fiscal year 2009, we reported three operating segments in our public filings: North America Microwave, International Microwave and Network Operations. During the first quarter of fiscal 2010, we realigned the management structure of our Network Operations segment to geographically integrate with our North America Microwave and International Microwave segments to gain cost efficiencies. As a result, we eliminated the Network Operations segment as a separate reporting unit and consolidated this segment into our remaining two segments that are based on the geographical location where revenue is recognized. Additionally, we have dropped the word “Microwave” from the name of our North America and International segments. Segment information for fiscal 2009 and 2008 have been adjusted to reflect this change.</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Our Chief Executive Officer is the Chief Operating Decision-Maker (the “CODM”). Resources are allocated to each of these segments using information based primarily on their operating income (loss). Operating income (loss) is defined as revenue less cost of product sales and services, engineering, selling and administrative expenses, restructuring charges, acquired in-process research and development, and amortization of identifiable intangible assets. General corporate expenses are allocated to the North America and International segments based on revenue. Information related to assets, capital expenditures and depreciation and amortization for the operating segments is not part of the discrete financial information provided to and reviewed by the CODM. See </w:t>
      </w:r>
      <w:r>
        <w:rPr>
          <w:rFonts w:ascii="Arial" w:cs="Arial" w:eastAsia="Arial" w:hAnsi="Arial"/>
          <w:sz w:val="13"/>
          <w:szCs w:val="13"/>
          <w:i w:val="1"/>
          <w:iCs w:val="1"/>
          <w:color w:val="auto"/>
        </w:rPr>
        <w:t>Note N — Business Segments</w:t>
      </w:r>
      <w:r>
        <w:rPr>
          <w:rFonts w:ascii="Arial" w:cs="Arial" w:eastAsia="Arial" w:hAnsi="Arial"/>
          <w:sz w:val="13"/>
          <w:szCs w:val="13"/>
          <w:color w:val="auto"/>
        </w:rPr>
        <w:t xml:space="preserve"> for additional information.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Application of Accounting Standards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 xml:space="preserve">As discussed above in </w:t>
      </w:r>
      <w:r>
        <w:rPr>
          <w:rFonts w:ascii="Arial" w:cs="Arial" w:eastAsia="Arial" w:hAnsi="Arial"/>
          <w:sz w:val="13"/>
          <w:szCs w:val="13"/>
          <w:i w:val="1"/>
          <w:iCs w:val="1"/>
          <w:color w:val="auto"/>
        </w:rPr>
        <w:t>Revenue Recognition,</w:t>
      </w:r>
      <w:r>
        <w:rPr>
          <w:rFonts w:ascii="Arial" w:cs="Arial" w:eastAsia="Arial" w:hAnsi="Arial"/>
          <w:sz w:val="13"/>
          <w:szCs w:val="13"/>
          <w:color w:val="auto"/>
        </w:rPr>
        <w:t xml:space="preserve"> we adopted the accounting standards for arrangements with multiple deliverables and arrangements associated with tangible products that contain software elements.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2010, we also adopted the following accounting standards, none of which had a material impact on our financial position, results of operations or cash flows:</w:t>
      </w:r>
    </w:p>
    <w:p>
      <w:pPr>
        <w:spacing w:after="0" w:line="108" w:lineRule="exact"/>
        <w:rPr>
          <w:sz w:val="20"/>
          <w:szCs w:val="20"/>
          <w:color w:val="auto"/>
        </w:rPr>
      </w:pPr>
    </w:p>
    <w:p>
      <w:pPr>
        <w:ind w:left="1280" w:right="120" w:hanging="190"/>
        <w:spacing w:after="0" w:line="260"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Financial Accounting Standards Board (“FASB”) Accounting Standards Codification(</w:t>
      </w:r>
      <w:r>
        <w:rPr>
          <w:rFonts w:ascii="Arial" w:cs="Arial" w:eastAsia="Arial" w:hAnsi="Arial"/>
          <w:sz w:val="8"/>
          <w:szCs w:val="8"/>
          <w:color w:val="auto"/>
        </w:rPr>
        <w:t>TM</w:t>
      </w:r>
      <w:r>
        <w:rPr>
          <w:rFonts w:ascii="Arial" w:cs="Arial" w:eastAsia="Arial" w:hAnsi="Arial"/>
          <w:sz w:val="13"/>
          <w:szCs w:val="13"/>
          <w:color w:val="auto"/>
        </w:rPr>
        <w:t>) (“Codification”), which is now the source of authoritative U.S. generally accepted accounting principles (“GAAP”) recognized by the FASB to be applied for financial statements issued for periods ending after September 2009. Additionally, we are using the new guidelines prescribed by the Codification when referring to GAAP, including the elimination of pre-Codification GAAP references unless accompanied by Codification GAAP references.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26" w:lineRule="exact"/>
        <w:rPr>
          <w:sz w:val="20"/>
          <w:szCs w:val="20"/>
          <w:color w:val="auto"/>
        </w:rPr>
      </w:pPr>
    </w:p>
    <w:p>
      <w:pPr>
        <w:ind w:left="1280" w:right="800" w:hanging="190"/>
        <w:spacing w:after="0" w:line="264"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The accounting standard previously deferring the effective date of the fair value measurement standard for disclosures related to nonfinancial assets and nonfinancial liabilities that are recognized or disclosed at fair value in the financial statements on a nonrecurring basis. See </w:t>
      </w:r>
      <w:r>
        <w:rPr>
          <w:rFonts w:ascii="Arial" w:cs="Arial" w:eastAsia="Arial" w:hAnsi="Arial"/>
          <w:sz w:val="13"/>
          <w:szCs w:val="13"/>
          <w:i w:val="1"/>
          <w:iCs w:val="1"/>
          <w:color w:val="auto"/>
        </w:rPr>
        <w:t>Note D — Fair Value Measurements of Assets and Liabilities</w:t>
      </w:r>
      <w:r>
        <w:rPr>
          <w:rFonts w:ascii="Arial" w:cs="Arial" w:eastAsia="Arial" w:hAnsi="Arial"/>
          <w:sz w:val="13"/>
          <w:szCs w:val="13"/>
          <w:color w:val="auto"/>
        </w:rPr>
        <w:t xml:space="preserve"> in these Notes to Consolidated Financial Statements for fair value disclosures required by this standard.</w:t>
      </w:r>
    </w:p>
    <w:p>
      <w:pPr>
        <w:spacing w:after="0" w:line="57" w:lineRule="exact"/>
        <w:rPr>
          <w:rFonts w:ascii="Arial" w:cs="Arial" w:eastAsia="Arial" w:hAnsi="Arial"/>
          <w:sz w:val="13"/>
          <w:szCs w:val="13"/>
          <w:color w:val="auto"/>
        </w:rPr>
      </w:pPr>
    </w:p>
    <w:p>
      <w:pPr>
        <w:ind w:left="1280" w:right="1060" w:hanging="190"/>
        <w:spacing w:after="0" w:line="264"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The accounting standard requiring interim disclosures about fair value of financial instruments, which extends the annual disclosure requirements about fair value of financial instruments to interim reporting periods. See </w:t>
      </w:r>
      <w:r>
        <w:rPr>
          <w:rFonts w:ascii="Arial" w:cs="Arial" w:eastAsia="Arial" w:hAnsi="Arial"/>
          <w:sz w:val="13"/>
          <w:szCs w:val="13"/>
          <w:i w:val="1"/>
          <w:iCs w:val="1"/>
          <w:color w:val="auto"/>
        </w:rPr>
        <w:t>Note D — Fair Value Measurements of Assets and Liabilities</w:t>
      </w:r>
      <w:r>
        <w:rPr>
          <w:rFonts w:ascii="Arial" w:cs="Arial" w:eastAsia="Arial" w:hAnsi="Arial"/>
          <w:sz w:val="13"/>
          <w:szCs w:val="13"/>
          <w:color w:val="auto"/>
        </w:rPr>
        <w:t xml:space="preserve"> in these Notes to Consolidated Financial Statements for fair value disclosures required by this standard.</w:t>
      </w:r>
    </w:p>
    <w:p>
      <w:pPr>
        <w:spacing w:after="0" w:line="57" w:lineRule="exact"/>
        <w:rPr>
          <w:rFonts w:ascii="Arial" w:cs="Arial" w:eastAsia="Arial" w:hAnsi="Arial"/>
          <w:sz w:val="13"/>
          <w:szCs w:val="13"/>
          <w:color w:val="auto"/>
        </w:rPr>
      </w:pPr>
    </w:p>
    <w:p>
      <w:pPr>
        <w:ind w:left="1280" w:right="118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accounting standard for determining whether instruments granted in share-based payment transactions are participating securities. There was no material change to our calculations of basic and diluted weighted average shares outstanding for prior periods.</w:t>
      </w:r>
    </w:p>
    <w:p>
      <w:pPr>
        <w:spacing w:after="0" w:line="49" w:lineRule="exact"/>
        <w:rPr>
          <w:rFonts w:ascii="Arial" w:cs="Arial" w:eastAsia="Arial" w:hAnsi="Arial"/>
          <w:sz w:val="13"/>
          <w:szCs w:val="13"/>
          <w:color w:val="auto"/>
        </w:rPr>
      </w:pPr>
    </w:p>
    <w:p>
      <w:pPr>
        <w:ind w:left="1280" w:right="1000" w:hanging="190"/>
        <w:spacing w:after="0" w:line="258"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accounting standards for accounting for business combinations, which significantly change the accounting and reporting requirements related to business combinations, including the recognition of acquisition-related transaction and post-acquisition restructuring costs in our results of operations as incurred. Additionally, these accounting standards require the capitalization of in-process research and development expenses. While the adoption of these standards did not have a material impact on our financial position, results of operations or cash flows directly in the first quarter of fiscal 2010, it is expected to have a significant effect on the accounting for any future acquisitions we make.</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C —</w:t>
      </w:r>
      <w:r>
        <w:rPr>
          <w:sz w:val="20"/>
          <w:szCs w:val="20"/>
          <w:color w:val="auto"/>
        </w:rPr>
        <w:tab/>
      </w:r>
      <w:r>
        <w:rPr>
          <w:rFonts w:ascii="Arial" w:cs="Arial" w:eastAsia="Arial" w:hAnsi="Arial"/>
          <w:sz w:val="11"/>
          <w:szCs w:val="11"/>
          <w:b w:val="1"/>
          <w:bCs w:val="1"/>
          <w:color w:val="auto"/>
        </w:rPr>
        <w:t>Goodwill and Identifiable Intangible Assets</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As a result of our annual impairment reviews, during fiscal 2010, we recorded impairment charges of $63.2 million for identifiable intangible assets and during the second quarter of fiscal 2009 we recorded impairment charges of $279.0 million for goodwill and $32.6 million for the Stratex trade name. We did not record impairment losses for goodwill or identifiable intangible assets in fiscal 2008.</w:t>
      </w:r>
    </w:p>
    <w:p>
      <w:pPr>
        <w:spacing w:after="0" w:line="67" w:lineRule="exact"/>
        <w:rPr>
          <w:sz w:val="20"/>
          <w:szCs w:val="20"/>
          <w:color w:val="auto"/>
        </w:rPr>
      </w:pPr>
    </w:p>
    <w:p>
      <w:pPr>
        <w:jc w:val="both"/>
        <w:ind w:left="680" w:right="900" w:firstLine="399"/>
        <w:spacing w:after="0" w:line="316" w:lineRule="auto"/>
        <w:rPr>
          <w:sz w:val="20"/>
          <w:szCs w:val="20"/>
          <w:color w:val="auto"/>
        </w:rPr>
      </w:pPr>
      <w:r>
        <w:rPr>
          <w:rFonts w:ascii="Arial" w:cs="Arial" w:eastAsia="Arial" w:hAnsi="Arial"/>
          <w:sz w:val="11"/>
          <w:szCs w:val="11"/>
          <w:color w:val="auto"/>
        </w:rPr>
        <w:t>In the fourth quarter of fiscal 2010, we concluded that a potential impairment of our identifiable intangible assets existed due to a decline in our market capitalization and recent and expected financial performance. The results of our impairment test indicated impairment related to certain amortizable intangible assets (developed technology and customer relationships), since the estimated undiscounted cash flows for these assets were less than their respective carrying values. The undiscounted cash flow and fair value calculations related to the developed technology were estimated based on a relief-from-royalty method, and the calculations related to the customer relationships were estimated based on an excess earnings method considering future sales and operating costs. Discount rates ranging from 28% to 30% were applied to the cash flows used in the fair value calculations of intangible assets.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during fiscal 2010 by segment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9"/>
                <w:szCs w:val="9"/>
                <w:b w:val="1"/>
                <w:bCs w:val="1"/>
                <w:color w:val="auto"/>
              </w:rPr>
              <w:t>Goodwill</w:t>
            </w: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9"/>
                <w:szCs w:val="9"/>
                <w:b w:val="1"/>
                <w:bCs w:val="1"/>
                <w:color w:val="auto"/>
              </w:rPr>
              <w:t>Accumulated Impairment Losses</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Net Carrying</w:t>
            </w:r>
          </w:p>
        </w:tc>
        <w:tc>
          <w:tcPr>
            <w:tcW w:w="800" w:type="dxa"/>
            <w:vAlign w:val="bottom"/>
          </w:tcPr>
          <w:p>
            <w:pPr>
              <w:spacing w:after="0"/>
              <w:rPr>
                <w:sz w:val="9"/>
                <w:szCs w:val="9"/>
                <w:color w:val="auto"/>
              </w:rPr>
            </w:pPr>
          </w:p>
        </w:tc>
      </w:tr>
      <w:tr>
        <w:trPr>
          <w:trHeight w:val="88"/>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w w:val="96"/>
              </w:rPr>
              <w:t>North America</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International</w:t>
            </w:r>
          </w:p>
        </w:tc>
        <w:tc>
          <w:tcPr>
            <w:tcW w:w="400" w:type="dxa"/>
            <w:vAlign w:val="bottom"/>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North America</w:t>
            </w:r>
          </w:p>
        </w:tc>
        <w:tc>
          <w:tcPr>
            <w:tcW w:w="80" w:type="dxa"/>
            <w:vAlign w:val="bottom"/>
          </w:tcPr>
          <w:p>
            <w:pPr>
              <w:spacing w:after="0"/>
              <w:rPr>
                <w:sz w:val="7"/>
                <w:szCs w:val="7"/>
                <w:color w:val="auto"/>
              </w:rPr>
            </w:pPr>
          </w:p>
        </w:tc>
        <w:tc>
          <w:tcPr>
            <w:tcW w:w="92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International</w:t>
            </w:r>
          </w:p>
        </w:tc>
        <w:tc>
          <w:tcPr>
            <w:tcW w:w="100" w:type="dxa"/>
            <w:vAlign w:val="bottom"/>
          </w:tcPr>
          <w:p>
            <w:pPr>
              <w:spacing w:after="0"/>
              <w:rPr>
                <w:sz w:val="7"/>
                <w:szCs w:val="7"/>
                <w:color w:val="auto"/>
              </w:rPr>
            </w:pPr>
          </w:p>
        </w:tc>
        <w:tc>
          <w:tcPr>
            <w:tcW w:w="38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Total</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Value</w:t>
            </w:r>
          </w:p>
        </w:tc>
        <w:tc>
          <w:tcPr>
            <w:tcW w:w="800" w:type="dxa"/>
            <w:vAlign w:val="bottom"/>
          </w:tcPr>
          <w:p>
            <w:pPr>
              <w:spacing w:after="0"/>
              <w:rPr>
                <w:sz w:val="7"/>
                <w:szCs w:val="7"/>
                <w:color w:val="auto"/>
              </w:rPr>
            </w:pPr>
          </w:p>
        </w:tc>
      </w:tr>
      <w:tr>
        <w:trPr>
          <w:trHeight w:val="117"/>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44"/>
              <w:spacing w:after="0"/>
              <w:rPr>
                <w:sz w:val="20"/>
                <w:szCs w:val="20"/>
                <w:color w:val="auto"/>
              </w:rPr>
            </w:pPr>
            <w:r>
              <w:rPr>
                <w:rFonts w:ascii="Arial" w:cs="Arial" w:eastAsia="Arial" w:hAnsi="Arial"/>
                <w:sz w:val="9"/>
                <w:szCs w:val="9"/>
                <w:b w:val="1"/>
                <w:bCs w:val="1"/>
                <w:color w:val="auto"/>
                <w:w w:val="98"/>
              </w:rPr>
              <w:t>(In millions)</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beginning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250.4</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$ 282.2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(279.0)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Purchase accounting adjustments</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end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253.4</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$ 285.2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(279.0)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218"/>
              <w:spacing w:after="0"/>
              <w:rPr>
                <w:sz w:val="20"/>
                <w:szCs w:val="20"/>
                <w:color w:val="auto"/>
              </w:rPr>
            </w:pPr>
            <w:r>
              <w:rPr>
                <w:rFonts w:ascii="Arial" w:cs="Arial" w:eastAsia="Arial" w:hAnsi="Arial"/>
                <w:sz w:val="13"/>
                <w:szCs w:val="13"/>
                <w:color w:val="auto"/>
              </w:rPr>
              <w:t>73</w:t>
            </w: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during fiscal 2009 by segment were as follows: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9"/>
                <w:szCs w:val="9"/>
                <w:b w:val="1"/>
                <w:bCs w:val="1"/>
                <w:color w:val="auto"/>
              </w:rPr>
              <w:t>Goodwill</w:t>
            </w: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9"/>
                <w:szCs w:val="9"/>
                <w:b w:val="1"/>
                <w:bCs w:val="1"/>
                <w:color w:val="auto"/>
              </w:rPr>
              <w:t>Accumulated Impairment Losses</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Net Carrying</w:t>
            </w:r>
          </w:p>
        </w:tc>
      </w:tr>
      <w:tr>
        <w:trPr>
          <w:trHeight w:val="88"/>
        </w:trPr>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6"/>
              </w:rPr>
              <w:t>North America</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International</w:t>
            </w:r>
          </w:p>
        </w:tc>
        <w:tc>
          <w:tcPr>
            <w:tcW w:w="400" w:type="dxa"/>
            <w:vAlign w:val="bottom"/>
          </w:tcPr>
          <w:p>
            <w:pPr>
              <w:ind w:left="100"/>
              <w:spacing w:after="0" w:line="88" w:lineRule="exact"/>
              <w:rPr>
                <w:sz w:val="20"/>
                <w:szCs w:val="20"/>
                <w:color w:val="auto"/>
              </w:rPr>
            </w:pPr>
            <w:r>
              <w:rPr>
                <w:rFonts w:ascii="Arial" w:cs="Arial" w:eastAsia="Arial" w:hAnsi="Arial"/>
                <w:sz w:val="9"/>
                <w:szCs w:val="9"/>
                <w:b w:val="1"/>
                <w:bCs w:val="1"/>
                <w:color w:val="auto"/>
              </w:rPr>
              <w:t>Total</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North America</w:t>
            </w:r>
          </w:p>
        </w:tc>
        <w:tc>
          <w:tcPr>
            <w:tcW w:w="80" w:type="dxa"/>
            <w:vAlign w:val="bottom"/>
          </w:tcPr>
          <w:p>
            <w:pPr>
              <w:spacing w:after="0"/>
              <w:rPr>
                <w:sz w:val="7"/>
                <w:szCs w:val="7"/>
                <w:color w:val="auto"/>
              </w:rPr>
            </w:pPr>
          </w:p>
        </w:tc>
        <w:tc>
          <w:tcPr>
            <w:tcW w:w="920" w:type="dxa"/>
            <w:vAlign w:val="bottom"/>
            <w:gridSpan w:val="2"/>
          </w:tcPr>
          <w:p>
            <w:pPr>
              <w:jc w:val="right"/>
              <w:ind w:right="380"/>
              <w:spacing w:after="0" w:line="88" w:lineRule="exact"/>
              <w:rPr>
                <w:sz w:val="20"/>
                <w:szCs w:val="20"/>
                <w:color w:val="auto"/>
              </w:rPr>
            </w:pPr>
            <w:r>
              <w:rPr>
                <w:rFonts w:ascii="Arial" w:cs="Arial" w:eastAsia="Arial" w:hAnsi="Arial"/>
                <w:sz w:val="9"/>
                <w:szCs w:val="9"/>
                <w:b w:val="1"/>
                <w:bCs w:val="1"/>
                <w:color w:val="auto"/>
                <w:w w:val="96"/>
              </w:rPr>
              <w:t>International</w:t>
            </w:r>
          </w:p>
        </w:tc>
        <w:tc>
          <w:tcPr>
            <w:tcW w:w="100" w:type="dxa"/>
            <w:vAlign w:val="bottom"/>
          </w:tcPr>
          <w:p>
            <w:pPr>
              <w:spacing w:after="0"/>
              <w:rPr>
                <w:sz w:val="7"/>
                <w:szCs w:val="7"/>
                <w:color w:val="auto"/>
              </w:rPr>
            </w:pPr>
          </w:p>
        </w:tc>
        <w:tc>
          <w:tcPr>
            <w:tcW w:w="38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Total</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Value</w:t>
            </w:r>
          </w:p>
        </w:tc>
      </w:tr>
      <w:tr>
        <w:trPr>
          <w:trHeight w:val="117"/>
        </w:trPr>
        <w:tc>
          <w:tcPr>
            <w:tcW w:w="3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42"/>
              <w:spacing w:after="0"/>
              <w:rPr>
                <w:sz w:val="20"/>
                <w:szCs w:val="20"/>
                <w:color w:val="auto"/>
              </w:rPr>
            </w:pPr>
            <w:r>
              <w:rPr>
                <w:rFonts w:ascii="Arial" w:cs="Arial" w:eastAsia="Arial" w:hAnsi="Arial"/>
                <w:sz w:val="9"/>
                <w:szCs w:val="9"/>
                <w:b w:val="1"/>
                <w:bCs w:val="1"/>
                <w:color w:val="auto"/>
                <w:w w:val="98"/>
              </w:rPr>
              <w:t>(In millions)</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beginning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248.0</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$ 284.2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284.2</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Goodwill from the Telsima acquisition</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(279.0)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(279.0)</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Translation adjustments related to acquisitions in prior years</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(0.8)</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end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250.4</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7"/>
              </w:rPr>
              <w:t>$ 282.2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7"/>
              </w:rPr>
              <w:t>(279.0)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r>
      <w:tr>
        <w:trPr>
          <w:trHeight w:val="29"/>
        </w:trPr>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increase of $3.0 million to the goodwill balance sheet account during fiscal 2010 resulted from purchase accounting adjustments from our acquisition of Telsima Networks, Inc.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on February 27, 2009.</w:t>
      </w:r>
    </w:p>
    <w:p>
      <w:pPr>
        <w:spacing w:after="0" w:line="8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majority of our goodwill and the trade name “Stratex” were recorded in connection with the acquisition of Stratex in January 2007 and were included in the International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To test for potential impairment of our goodwill, we determined the fair value of each of our reporting segments based on projected discounted cash flows and market-based multiples applied to sales and earnings. In fiscal 2010, the results indicated that the estimated fair value of the International segment (the only reporting unit with goodwill) exceeded its corresponding carrying amount including recorded goodwill, and as such, no impairment existed.</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the second quarter of fiscal 2009, the results of our impairment tests indicated an impairment to goodwill, because the current carrying value of the North America and International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 $22.0 million charge to write down the trade name “Stratex” to $11.0 million as of April 3, 2009, the end of our third quarter in fiscal 2009.</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During June 2009, subsequent to the May 27, 2009 spin-off by Harris of its majority interest or 56 percent of our common stock, Harris notified us of its intent to terminate the trademark license in effect between us since January 26, 2007. The new name of our Company did not include Harris or Stratex. Accordingly, the fair value of the indefinite-lived trade name “Stratex” was deemed to be impaired. We anticipated making this change by December 2009, which was an expected definite life of six months from July 3, 2009, the end of our fiscal year 2009. As a result, we determined the fair value of the trade name “Stratex” as of July 3, 2009 by performing a projected discounted cash flow analysis based on the relief-from-royalty approach, resulting in a $10.6 million charge to write down a majority of the trade name “Stratex” to a fair value of $0.4 million with a six-month remaining life.</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will not be required to make any current or future cash expenditures as a result of these impairments, and these impairments do not impact our financial covenant compliance under our credit arrangements or our ongoing financial performance.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Identifiable Intangible Assets</w:t>
      </w:r>
    </w:p>
    <w:p>
      <w:pPr>
        <w:spacing w:after="0" w:line="100" w:lineRule="exact"/>
        <w:rPr>
          <w:sz w:val="20"/>
          <w:szCs w:val="20"/>
          <w:color w:val="auto"/>
        </w:rPr>
      </w:pPr>
    </w:p>
    <w:p>
      <w:pPr>
        <w:ind w:left="680" w:right="860" w:firstLine="399"/>
        <w:spacing w:after="0" w:line="320" w:lineRule="auto"/>
        <w:rPr>
          <w:sz w:val="20"/>
          <w:szCs w:val="20"/>
          <w:color w:val="auto"/>
        </w:rPr>
      </w:pPr>
      <w:r>
        <w:rPr>
          <w:rFonts w:ascii="Arial" w:cs="Arial" w:eastAsia="Arial" w:hAnsi="Arial"/>
          <w:sz w:val="12"/>
          <w:szCs w:val="12"/>
          <w:color w:val="auto"/>
        </w:rPr>
        <w:t>In addition to the identifiable intangible assets from the Telsima acquisition, we have other identifiable intangible assets related primarily to technology obtained through acquisitions prior to fiscal 2008. Our other identifiable intangible assets are being amortized over their useful estimated economic lives, which range from one to 5 years.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all of our identifiable intangible assets is presented below:</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7"/>
              </w:rPr>
              <w:t>Purchased</w:t>
            </w:r>
          </w:p>
        </w:tc>
        <w:tc>
          <w:tcPr>
            <w:tcW w:w="680" w:type="dxa"/>
            <w:vAlign w:val="bottom"/>
            <w:gridSpan w:val="3"/>
            <w:vMerge w:val="restart"/>
          </w:tcPr>
          <w:p>
            <w:pPr>
              <w:jc w:val="right"/>
              <w:ind w:right="340"/>
              <w:spacing w:after="0"/>
              <w:rPr>
                <w:sz w:val="20"/>
                <w:szCs w:val="20"/>
                <w:color w:val="auto"/>
              </w:rPr>
            </w:pPr>
            <w:r>
              <w:rPr>
                <w:rFonts w:ascii="Arial" w:cs="Arial" w:eastAsia="Arial" w:hAnsi="Arial"/>
                <w:sz w:val="10"/>
                <w:szCs w:val="10"/>
                <w:b w:val="1"/>
                <w:bCs w:val="1"/>
                <w:color w:val="auto"/>
                <w:w w:val="97"/>
              </w:rPr>
              <w:t>Trade_</w:t>
            </w:r>
          </w:p>
        </w:tc>
        <w:tc>
          <w:tcPr>
            <w:tcW w:w="100" w:type="dxa"/>
            <w:vAlign w:val="bottom"/>
          </w:tcPr>
          <w:p>
            <w:pPr>
              <w:spacing w:after="0"/>
              <w:rPr>
                <w:sz w:val="9"/>
                <w:szCs w:val="9"/>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Customer</w:t>
            </w:r>
          </w:p>
        </w:tc>
        <w:tc>
          <w:tcPr>
            <w:tcW w:w="100" w:type="dxa"/>
            <w:vAlign w:val="bottom"/>
          </w:tcPr>
          <w:p>
            <w:pPr>
              <w:spacing w:after="0"/>
              <w:rPr>
                <w:sz w:val="9"/>
                <w:szCs w:val="9"/>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7"/>
              </w:rPr>
              <w:t>Non-Compete</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8"/>
              </w:rPr>
              <w:t>Identifiable</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Intangible</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2"/>
              </w:rPr>
              <w:t>Technology</w:t>
            </w:r>
          </w:p>
        </w:tc>
        <w:tc>
          <w:tcPr>
            <w:tcW w:w="6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97"/>
              </w:rPr>
              <w:t>Names</w:t>
            </w:r>
          </w:p>
        </w:tc>
        <w:tc>
          <w:tcPr>
            <w:tcW w:w="100" w:type="dxa"/>
            <w:vAlign w:val="bottom"/>
          </w:tcPr>
          <w:p>
            <w:pPr>
              <w:spacing w:after="0"/>
              <w:rPr>
                <w:sz w:val="10"/>
                <w:szCs w:val="1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4"/>
              </w:rPr>
              <w:t>Relationships</w:t>
            </w:r>
          </w:p>
        </w:tc>
        <w:tc>
          <w:tcPr>
            <w:tcW w:w="100" w:type="dxa"/>
            <w:vAlign w:val="bottom"/>
          </w:tcPr>
          <w:p>
            <w:pPr>
              <w:spacing w:after="0"/>
              <w:rPr>
                <w:sz w:val="10"/>
                <w:szCs w:val="1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Agreements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Assets</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identifiable intangible assets as of June 29, 2007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72.6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144.5</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Less: amortization expense fiscal 2008</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fiscal 2008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identifiable intangible assets as of June 27, 2008</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41.2</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Add: acquired fair value of Telsima identifiable intangible assets</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Less: amortization expense fiscal 2009</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Impairment charge fiscal 2009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5"/>
              </w:rPr>
              <w:t>(32.6)</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Tax adjustments related to valuation allowance</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fiscal 2009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identifiable intangible assets as of July 3, 2009</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19.0</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84.1</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Less: amortization expense fiscal 2010</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Impairment charge fiscal 2010</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(49.5)</w:t>
            </w:r>
          </w:p>
        </w:tc>
        <w:tc>
          <w:tcPr>
            <w:tcW w:w="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(63.2)</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of tax adjustments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Foreign currency translation fiscal 2010</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identifiable intangible assets as of July 2, 2010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29"/>
        </w:trPr>
        <w:tc>
          <w:tcPr>
            <w:tcW w:w="5100" w:type="dxa"/>
            <w:vAlign w:val="bottom"/>
            <w:vMerge w:val="restart"/>
          </w:tcPr>
          <w:p>
            <w:pPr>
              <w:spacing w:after="0"/>
              <w:rPr>
                <w:sz w:val="20"/>
                <w:szCs w:val="20"/>
                <w:color w:val="auto"/>
              </w:rPr>
            </w:pPr>
            <w:r>
              <w:rPr>
                <w:rFonts w:ascii="Arial" w:cs="Arial" w:eastAsia="Arial" w:hAnsi="Arial"/>
                <w:sz w:val="12"/>
                <w:szCs w:val="12"/>
                <w:color w:val="auto"/>
              </w:rPr>
              <w:t>Gross identifiable intangible assets as of July 2, 2010</w:t>
            </w: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5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87.9</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11.9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29.3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129.1</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amortization, impairment charges and other adjustments</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(85.9)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identifiable intangible assets as of July 2, 2010</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1.9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35"/>
        </w:trPr>
        <w:tc>
          <w:tcPr>
            <w:tcW w:w="5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Amortization expense fiscal 2010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Amortization expense fiscal 2009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8.1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2.3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3.3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Amortization expense fiscal 2008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20"/>
                <w:szCs w:val="20"/>
                <w:color w:val="auto"/>
              </w:rPr>
            </w:pPr>
            <w:r>
              <w:rPr>
                <w:rFonts w:ascii="Arial" w:cs="Arial" w:eastAsia="Arial" w:hAnsi="Arial"/>
                <w:sz w:val="12"/>
                <w:szCs w:val="12"/>
                <w:color w:val="auto"/>
              </w:rPr>
              <w:t>Weighted Average Estimated Useful Life (in years)</w:t>
            </w:r>
          </w:p>
        </w:tc>
        <w:tc>
          <w:tcPr>
            <w:tcW w:w="8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July 2, 2010, we estimate our future amortization of identifiable intangible assets with definite lives by year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Fiscal Years</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Ending in June</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9"/>
              </w:rPr>
              <w:t>(In millions)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2600" w:type="dxa"/>
            <w:vAlign w:val="bottom"/>
            <w:shd w:val="clear" w:color="auto" w:fill="CCEEFF"/>
          </w:tcPr>
          <w:p>
            <w:pPr>
              <w:jc w:val="right"/>
              <w:ind w:right="2274"/>
              <w:spacing w:after="0"/>
              <w:rPr>
                <w:sz w:val="20"/>
                <w:szCs w:val="20"/>
                <w:color w:val="auto"/>
              </w:rPr>
            </w:pPr>
            <w:r>
              <w:rPr>
                <w:rFonts w:ascii="Arial" w:cs="Arial" w:eastAsia="Arial" w:hAnsi="Arial"/>
                <w:sz w:val="13"/>
                <w:szCs w:val="13"/>
                <w:color w:val="auto"/>
                <w:w w:val="82"/>
              </w:rPr>
              <w:t>2011</w:t>
            </w:r>
          </w:p>
        </w:tc>
        <w:tc>
          <w:tcPr>
            <w:tcW w:w="6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2600" w:type="dxa"/>
            <w:vAlign w:val="bottom"/>
          </w:tcPr>
          <w:p>
            <w:pPr>
              <w:jc w:val="right"/>
              <w:ind w:right="2254"/>
              <w:spacing w:after="0"/>
              <w:rPr>
                <w:sz w:val="20"/>
                <w:szCs w:val="20"/>
                <w:color w:val="auto"/>
              </w:rPr>
            </w:pPr>
            <w:r>
              <w:rPr>
                <w:rFonts w:ascii="Arial" w:cs="Arial" w:eastAsia="Arial" w:hAnsi="Arial"/>
                <w:sz w:val="13"/>
                <w:szCs w:val="13"/>
                <w:color w:val="auto"/>
                <w:w w:val="89"/>
              </w:rPr>
              <w:t>2012</w:t>
            </w:r>
          </w:p>
        </w:tc>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600" w:type="dxa"/>
            <w:vAlign w:val="bottom"/>
            <w:shd w:val="clear" w:color="auto" w:fill="CCEEFF"/>
          </w:tcPr>
          <w:p>
            <w:pPr>
              <w:jc w:val="right"/>
              <w:ind w:right="2254"/>
              <w:spacing w:after="0"/>
              <w:rPr>
                <w:sz w:val="20"/>
                <w:szCs w:val="20"/>
                <w:color w:val="auto"/>
              </w:rPr>
            </w:pPr>
            <w:r>
              <w:rPr>
                <w:rFonts w:ascii="Arial" w:cs="Arial" w:eastAsia="Arial" w:hAnsi="Arial"/>
                <w:sz w:val="13"/>
                <w:szCs w:val="13"/>
                <w:color w:val="auto"/>
                <w:w w:val="89"/>
              </w:rPr>
              <w:t>2013</w:t>
            </w:r>
          </w:p>
        </w:tc>
        <w:tc>
          <w:tcPr>
            <w:tcW w:w="6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600" w:type="dxa"/>
            <w:vAlign w:val="bottom"/>
          </w:tcPr>
          <w:p>
            <w:pPr>
              <w:jc w:val="right"/>
              <w:ind w:right="2254"/>
              <w:spacing w:after="0"/>
              <w:rPr>
                <w:sz w:val="20"/>
                <w:szCs w:val="20"/>
                <w:color w:val="auto"/>
              </w:rPr>
            </w:pPr>
            <w:r>
              <w:rPr>
                <w:rFonts w:ascii="Arial" w:cs="Arial" w:eastAsia="Arial" w:hAnsi="Arial"/>
                <w:sz w:val="13"/>
                <w:szCs w:val="13"/>
                <w:color w:val="auto"/>
                <w:w w:val="89"/>
              </w:rPr>
              <w:t>2014</w:t>
            </w:r>
          </w:p>
        </w:tc>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600" w:type="dxa"/>
            <w:vAlign w:val="bottom"/>
            <w:shd w:val="clear" w:color="auto" w:fill="CCEEFF"/>
          </w:tcPr>
          <w:p>
            <w:pPr>
              <w:jc w:val="right"/>
              <w:ind w:right="2254"/>
              <w:spacing w:after="0"/>
              <w:rPr>
                <w:sz w:val="20"/>
                <w:szCs w:val="20"/>
                <w:color w:val="auto"/>
              </w:rPr>
            </w:pPr>
            <w:r>
              <w:rPr>
                <w:rFonts w:ascii="Arial" w:cs="Arial" w:eastAsia="Arial" w:hAnsi="Arial"/>
                <w:sz w:val="13"/>
                <w:szCs w:val="13"/>
                <w:color w:val="auto"/>
                <w:w w:val="89"/>
              </w:rPr>
              <w:t>2015</w:t>
            </w:r>
          </w:p>
        </w:tc>
        <w:tc>
          <w:tcPr>
            <w:tcW w:w="6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00" w:type="dxa"/>
            <w:vAlign w:val="bottom"/>
          </w:tcPr>
          <w:p>
            <w:pPr>
              <w:jc w:val="right"/>
              <w:ind w:right="3674"/>
              <w:spacing w:after="0"/>
              <w:rPr>
                <w:sz w:val="20"/>
                <w:szCs w:val="20"/>
                <w:color w:val="auto"/>
              </w:rPr>
            </w:pPr>
            <w:r>
              <w:rPr>
                <w:rFonts w:ascii="Arial" w:cs="Arial" w:eastAsia="Arial" w:hAnsi="Arial"/>
                <w:sz w:val="13"/>
                <w:szCs w:val="13"/>
                <w:color w:val="auto"/>
              </w:rPr>
              <w:t>75</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 of Telsima</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March 2, 2009, we announced that we closed the acquisition (the “Telsima Acquisition”) of Telsima Corporation (“Telsima”) of Sunnyvale, California. Telsima is a leading developer and provider of WiMAX Forum Certified(</w:t>
      </w:r>
      <w:r>
        <w:rPr>
          <w:rFonts w:ascii="Arial" w:cs="Arial" w:eastAsia="Arial" w:hAnsi="Arial"/>
          <w:sz w:val="8"/>
          <w:szCs w:val="8"/>
          <w:color w:val="auto"/>
        </w:rPr>
        <w:t>TM</w:t>
      </w:r>
      <w:r>
        <w:rPr>
          <w:rFonts w:ascii="Arial" w:cs="Arial" w:eastAsia="Arial" w:hAnsi="Arial"/>
          <w:sz w:val="13"/>
          <w:szCs w:val="13"/>
          <w:color w:val="auto"/>
        </w:rPr>
        <w:t>) products for use in next generation broadband wireless networks. The Telsima Acquisition closed on February 27, 2009 and Telsima became a wholly-owned subsidiary of HSNOC.</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completed the Telsima Acquisition to acquire WiMAX(</w:t>
      </w:r>
      <w:r>
        <w:rPr>
          <w:rFonts w:ascii="Arial" w:cs="Arial" w:eastAsia="Arial" w:hAnsi="Arial"/>
          <w:sz w:val="8"/>
          <w:szCs w:val="8"/>
          <w:color w:val="auto"/>
        </w:rPr>
        <w:t>TM</w:t>
      </w:r>
      <w:r>
        <w:rPr>
          <w:rFonts w:ascii="Arial" w:cs="Arial" w:eastAsia="Arial" w:hAnsi="Arial"/>
          <w:sz w:val="13"/>
          <w:szCs w:val="13"/>
          <w:color w:val="auto"/>
        </w:rPr>
        <w:t>) technology and products for use in next-generation broadband wireless networks and to enhance our ability to expand into new and emerging markets.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the fourth quarter of fiscal 2010, subsequent to one year from the date of acquisition, we recorded a $1.2 million gain in “Other income” on our Consolidated Statement of Operations from the final settlement of the purchase price.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Telsima acquisition was accounted for as a purchase business combination. The purchase price was determined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Calculation of Allocable Purchase Price</w:t>
            </w: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Telsima</w:t>
            </w:r>
          </w:p>
        </w:tc>
        <w:tc>
          <w:tcPr>
            <w:tcW w:w="0" w:type="dxa"/>
            <w:vAlign w:val="bottom"/>
          </w:tcPr>
          <w:p>
            <w:pPr>
              <w:spacing w:after="0"/>
              <w:rPr>
                <w:sz w:val="1"/>
                <w:szCs w:val="1"/>
                <w:color w:val="auto"/>
              </w:rPr>
            </w:pPr>
          </w:p>
        </w:tc>
      </w:tr>
      <w:tr>
        <w:trPr>
          <w:trHeight w:val="125"/>
        </w:trPr>
        <w:tc>
          <w:tcPr>
            <w:tcW w:w="8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February 27, 2009</w:t>
            </w:r>
          </w:p>
        </w:tc>
        <w:tc>
          <w:tcPr>
            <w:tcW w:w="0" w:type="dxa"/>
            <w:vAlign w:val="bottom"/>
          </w:tcPr>
          <w:p>
            <w:pPr>
              <w:spacing w:after="0"/>
              <w:rPr>
                <w:sz w:val="1"/>
                <w:szCs w:val="1"/>
                <w:color w:val="auto"/>
              </w:rPr>
            </w:pPr>
          </w:p>
        </w:tc>
      </w:tr>
      <w:tr>
        <w:trPr>
          <w:trHeight w:val="131"/>
        </w:trPr>
        <w:tc>
          <w:tcPr>
            <w:tcW w:w="100" w:type="dxa"/>
            <w:vAlign w:val="bottom"/>
            <w:tcBorders>
              <w:top w:val="single" w:sz="8" w:color="auto"/>
            </w:tcBorders>
          </w:tcPr>
          <w:p>
            <w:pPr>
              <w:spacing w:after="0"/>
              <w:rPr>
                <w:sz w:val="11"/>
                <w:szCs w:val="11"/>
                <w:color w:val="auto"/>
              </w:rPr>
            </w:pPr>
          </w:p>
        </w:tc>
        <w:tc>
          <w:tcPr>
            <w:tcW w:w="8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6"/>
              </w:rPr>
              <w:t>(In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to be paid to Telsima shareholders under purchase agreement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Acquisition costs</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allocable purchase price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table below represents the allocation of the total consideration paid to the purchased tangible assets, identifiable intangible assets, goodwill and liabilities based on our assessment of their respective fair values as of the date of the Telsima acquisition.</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Balance Sheet as of the Acquisition Date (In millions)</w:t>
      </w:r>
    </w:p>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100" w:type="dxa"/>
            <w:vAlign w:val="bottom"/>
            <w:tcBorders>
              <w:top w:val="single" w:sz="8" w:color="auto"/>
            </w:tcBorders>
          </w:tcPr>
          <w:p>
            <w:pPr>
              <w:spacing w:after="0"/>
              <w:rPr>
                <w:sz w:val="11"/>
                <w:szCs w:val="11"/>
                <w:color w:val="auto"/>
              </w:rPr>
            </w:pPr>
          </w:p>
        </w:tc>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Accounts and notes receivable</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Inventories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In-process research and development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r>
      <w:tr>
        <w:trPr>
          <w:trHeight w:val="166"/>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4"/>
                <w:szCs w:val="14"/>
                <w:color w:val="auto"/>
              </w:rPr>
            </w:pPr>
          </w:p>
        </w:tc>
      </w:tr>
      <w:tr>
        <w:trPr>
          <w:trHeight w:val="166"/>
        </w:trPr>
        <w:tc>
          <w:tcPr>
            <w:tcW w:w="9000" w:type="dxa"/>
            <w:vAlign w:val="bottom"/>
            <w:gridSpan w:val="2"/>
          </w:tcPr>
          <w:p>
            <w:pPr>
              <w:spacing w:after="0"/>
              <w:rPr>
                <w:sz w:val="20"/>
                <w:szCs w:val="20"/>
                <w:color w:val="auto"/>
              </w:rPr>
            </w:pPr>
            <w:r>
              <w:rPr>
                <w:rFonts w:ascii="Arial" w:cs="Arial" w:eastAsia="Arial" w:hAnsi="Arial"/>
                <w:sz w:val="13"/>
                <w:szCs w:val="13"/>
                <w:color w:val="auto"/>
              </w:rPr>
              <w:t>Short-term debt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r>
      <w:tr>
        <w:trPr>
          <w:trHeight w:val="158"/>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Accounts payable and accrued expenses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3"/>
                <w:szCs w:val="13"/>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r>
      <w:tr>
        <w:trPr>
          <w:trHeight w:val="166"/>
        </w:trPr>
        <w:tc>
          <w:tcPr>
            <w:tcW w:w="9000" w:type="dxa"/>
            <w:vAlign w:val="bottom"/>
            <w:gridSpan w:val="2"/>
          </w:tcPr>
          <w:p>
            <w:pPr>
              <w:spacing w:after="0"/>
              <w:rPr>
                <w:sz w:val="20"/>
                <w:szCs w:val="20"/>
                <w:color w:val="auto"/>
              </w:rPr>
            </w:pPr>
            <w:r>
              <w:rPr>
                <w:rFonts w:ascii="Arial" w:cs="Arial" w:eastAsia="Arial" w:hAnsi="Arial"/>
                <w:sz w:val="13"/>
                <w:szCs w:val="13"/>
                <w:color w:val="auto"/>
              </w:rPr>
              <w:t>Net assets acquired</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table below summarizes the allocation of estimated identifiable intangible assets resulting from the Telsima acquisition. For purposes of this allocation, we assessed the fair value of Telsima identifiable intangible assets related to customer contracts, customer relationships, purchased technology and trade names based on the net present value of the projected income stream of these identifiable intangible assets. The resulting fair value is being amortized over the estimated useful life of each identifiable intangible asset on a straight-line basis. We estimated the fair value of acquired in-process research and development to be approximately $2.4 million, which we have reflected in “Acquired in-process research and development” expense in the Consolidated Statements of Operations during fiscal 2009. This represents certain technologies under development, primarily related to next generations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WiMAX(</w:t>
      </w:r>
      <w:r>
        <w:rPr>
          <w:rFonts w:ascii="Arial" w:cs="Arial" w:eastAsia="Arial" w:hAnsi="Arial"/>
          <w:sz w:val="8"/>
          <w:szCs w:val="8"/>
          <w:color w:val="auto"/>
        </w:rPr>
        <w:t>TM</w:t>
      </w:r>
      <w:r>
        <w:rPr>
          <w:rFonts w:ascii="Arial" w:cs="Arial" w:eastAsia="Arial" w:hAnsi="Arial"/>
          <w:sz w:val="13"/>
          <w:szCs w:val="13"/>
          <w:color w:val="auto"/>
        </w:rPr>
        <w:t>) product line. We estimated that the technologies under development were approximately 50 percent complete at the date of acquisition.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7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96"/>
              </w:rPr>
              <w:t>Telsima</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720" w:type="dxa"/>
            <w:vAlign w:val="bottom"/>
          </w:tcPr>
          <w:p>
            <w:pPr>
              <w:spacing w:after="0"/>
              <w:rPr>
                <w:sz w:val="7"/>
                <w:szCs w:val="7"/>
                <w:color w:val="auto"/>
              </w:rPr>
            </w:pPr>
          </w:p>
        </w:tc>
        <w:tc>
          <w:tcPr>
            <w:tcW w:w="5080" w:type="dxa"/>
            <w:vAlign w:val="bottom"/>
            <w:vMerge w:val="restart"/>
          </w:tcPr>
          <w:p>
            <w:pPr>
              <w:ind w:left="3120"/>
              <w:spacing w:after="0"/>
              <w:rPr>
                <w:sz w:val="20"/>
                <w:szCs w:val="20"/>
                <w:color w:val="auto"/>
              </w:rPr>
            </w:pPr>
            <w:r>
              <w:rPr>
                <w:rFonts w:ascii="Arial" w:cs="Arial" w:eastAsia="Arial" w:hAnsi="Arial"/>
                <w:sz w:val="10"/>
                <w:szCs w:val="10"/>
                <w:b w:val="1"/>
                <w:bCs w:val="1"/>
                <w:color w:val="auto"/>
              </w:rPr>
              <w:t>Expense Type</w:t>
            </w:r>
          </w:p>
        </w:tc>
        <w:tc>
          <w:tcPr>
            <w:tcW w:w="840" w:type="dxa"/>
            <w:vAlign w:val="bottom"/>
            <w:gridSpan w:val="2"/>
          </w:tcPr>
          <w:p>
            <w:pPr>
              <w:jc w:val="center"/>
              <w:ind w:right="60"/>
              <w:spacing w:after="0" w:line="91" w:lineRule="exact"/>
              <w:rPr>
                <w:sz w:val="20"/>
                <w:szCs w:val="20"/>
                <w:color w:val="auto"/>
              </w:rPr>
            </w:pPr>
            <w:r>
              <w:rPr>
                <w:rFonts w:ascii="Arial" w:cs="Arial" w:eastAsia="Arial" w:hAnsi="Arial"/>
                <w:sz w:val="10"/>
                <w:szCs w:val="10"/>
                <w:b w:val="1"/>
                <w:bCs w:val="1"/>
                <w:color w:val="auto"/>
                <w:w w:val="96"/>
              </w:rPr>
              <w:t>Estimated</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5080" w:type="dxa"/>
            <w:vAlign w:val="bottom"/>
            <w:vMerge w:val="continue"/>
          </w:tcPr>
          <w:p>
            <w:pPr>
              <w:spacing w:after="0"/>
              <w:rPr>
                <w:sz w:val="10"/>
                <w:szCs w:val="10"/>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3"/>
              </w:rPr>
              <w:t>Useful Life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(Years)</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Purchased technology</w:t>
            </w:r>
          </w:p>
        </w:tc>
        <w:tc>
          <w:tcPr>
            <w:tcW w:w="50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Cost of product sales and services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20"/>
                <w:szCs w:val="20"/>
                <w:color w:val="auto"/>
              </w:rPr>
            </w:pPr>
            <w:r>
              <w:rPr>
                <w:rFonts w:ascii="Arial" w:cs="Arial" w:eastAsia="Arial" w:hAnsi="Arial"/>
                <w:sz w:val="13"/>
                <w:szCs w:val="13"/>
                <w:color w:val="auto"/>
              </w:rPr>
              <w:t>Other trade names</w:t>
            </w:r>
          </w:p>
        </w:tc>
        <w:tc>
          <w:tcPr>
            <w:tcW w:w="5080" w:type="dxa"/>
            <w:vAlign w:val="bottom"/>
          </w:tcPr>
          <w:p>
            <w:pPr>
              <w:ind w:left="1500"/>
              <w:spacing w:after="0"/>
              <w:rPr>
                <w:sz w:val="20"/>
                <w:szCs w:val="20"/>
                <w:color w:val="auto"/>
              </w:rPr>
            </w:pPr>
            <w:r>
              <w:rPr>
                <w:rFonts w:ascii="Arial" w:cs="Arial" w:eastAsia="Arial" w:hAnsi="Arial"/>
                <w:sz w:val="13"/>
                <w:szCs w:val="13"/>
                <w:color w:val="auto"/>
              </w:rPr>
              <w:t>Selling and administrative</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5080" w:type="dxa"/>
            <w:vAlign w:val="bottom"/>
            <w:shd w:val="clear" w:color="auto" w:fill="CCEEFF"/>
          </w:tcPr>
          <w:p>
            <w:pPr>
              <w:ind w:left="1500"/>
              <w:spacing w:after="0"/>
              <w:rPr>
                <w:sz w:val="20"/>
                <w:szCs w:val="20"/>
                <w:color w:val="auto"/>
              </w:rPr>
            </w:pPr>
            <w:r>
              <w:rPr>
                <w:rFonts w:ascii="Arial" w:cs="Arial" w:eastAsia="Arial" w:hAnsi="Arial"/>
                <w:sz w:val="13"/>
                <w:szCs w:val="13"/>
                <w:color w:val="auto"/>
              </w:rPr>
              <w:t>Selling and administrative</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-529590</wp:posOffset>
            </wp:positionV>
            <wp:extent cx="1841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Telsima Acquisition has been accounted for under the purchase method of accounting. Accordingly, the Telsima results of operations have been included in the Consolidated Statements of Operations and Cash Flows since the acquisition date of February 27, 2009 and are included almost entirely in our International segment. The excess of the purchase price over the fair value of the identifiable tangible and intangible net assets acquired was assigned to goodwill. The goodwill resulting from the acquisition was associated primarily with the Telsima market presence and leading position, its growth opportunity in the markets in which it operated and its experienced work force.</w:t>
      </w:r>
    </w:p>
    <w:p>
      <w:pPr>
        <w:spacing w:after="0" w:line="53"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The goodwill resulting from the Telsima Acquisition is deductible for tax purposes. The write-off of in-process research and development noted in the above table was included in our Consolidated Statement of Operations during fiscal 2009. We obtained the assistance of an independent valuation specialist to assist us in determining the allocation of the purchase price for the Telsima acquisition.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 Forma Results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following summary, prepared on a pro forma basis, presents unaudited consolidated results of operations as if Telsima had been acquired as of the beginning of each of the periods presented, after including the impact of adjustments such as amortization of intangibles and the related income tax effects. This pro forma presentation does not include any impact of acquisition synergies.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2008</w:t>
            </w:r>
          </w:p>
        </w:tc>
      </w:tr>
      <w:tr>
        <w:trPr>
          <w:trHeight w:val="131"/>
        </w:trPr>
        <w:tc>
          <w:tcPr>
            <w:tcW w:w="8100" w:type="dxa"/>
            <w:vAlign w:val="bottom"/>
          </w:tcPr>
          <w:p>
            <w:pPr>
              <w:spacing w:after="0"/>
              <w:rPr>
                <w:sz w:val="11"/>
                <w:szCs w:val="11"/>
                <w:color w:val="auto"/>
              </w:rPr>
            </w:pPr>
          </w:p>
        </w:tc>
        <w:tc>
          <w:tcPr>
            <w:tcW w:w="1880" w:type="dxa"/>
            <w:vAlign w:val="bottom"/>
            <w:gridSpan w:val="4"/>
          </w:tcPr>
          <w:p>
            <w:pPr>
              <w:jc w:val="right"/>
              <w:ind w:right="108"/>
              <w:spacing w:after="0"/>
              <w:rPr>
                <w:sz w:val="20"/>
                <w:szCs w:val="20"/>
                <w:color w:val="auto"/>
              </w:rPr>
            </w:pPr>
            <w:r>
              <w:rPr>
                <w:rFonts w:ascii="Arial" w:cs="Arial" w:eastAsia="Arial" w:hAnsi="Arial"/>
                <w:sz w:val="10"/>
                <w:szCs w:val="10"/>
                <w:b w:val="1"/>
                <w:bCs w:val="1"/>
                <w:color w:val="auto"/>
              </w:rPr>
              <w:t>(In millions, except per share data)</w:t>
            </w: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Revenue from product sales and services — as reported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98"/>
              </w:rPr>
              <w:t>679.9</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$718.4</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Revenue from product sales and services — pro forma</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36"/>
              <w:spacing w:after="0"/>
              <w:rPr>
                <w:sz w:val="20"/>
                <w:szCs w:val="20"/>
                <w:color w:val="auto"/>
              </w:rPr>
            </w:pPr>
            <w:r>
              <w:rPr>
                <w:rFonts w:ascii="Arial" w:cs="Arial" w:eastAsia="Arial" w:hAnsi="Arial"/>
                <w:sz w:val="13"/>
                <w:szCs w:val="13"/>
                <w:color w:val="auto"/>
                <w:w w:val="98"/>
              </w:rPr>
              <w:t>698.9</w:t>
            </w: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$728.8</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loss — as reported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92"/>
              </w:rPr>
              <w:t>(355.0)</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 (11.9)</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loss — pro forma</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w w:val="92"/>
              </w:rPr>
              <w:t>(380.3)</w:t>
            </w: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 (49.5)</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loss per diluted common share — as reported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(6.05)</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 (0.20)</w:t>
            </w:r>
          </w:p>
        </w:tc>
      </w:tr>
      <w:tr>
        <w:trPr>
          <w:trHeight w:val="165"/>
        </w:trPr>
        <w:tc>
          <w:tcPr>
            <w:tcW w:w="8100" w:type="dxa"/>
            <w:vAlign w:val="bottom"/>
          </w:tcPr>
          <w:p>
            <w:pPr>
              <w:spacing w:after="0"/>
              <w:rPr>
                <w:sz w:val="20"/>
                <w:szCs w:val="20"/>
                <w:color w:val="auto"/>
              </w:rPr>
            </w:pPr>
            <w:r>
              <w:rPr>
                <w:rFonts w:ascii="Arial" w:cs="Arial" w:eastAsia="Arial" w:hAnsi="Arial"/>
                <w:sz w:val="13"/>
                <w:szCs w:val="13"/>
                <w:color w:val="auto"/>
              </w:rPr>
              <w:t>Net loss per diluted common share — pro forma</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6"/>
              <w:spacing w:after="0"/>
              <w:rPr>
                <w:sz w:val="20"/>
                <w:szCs w:val="20"/>
                <w:color w:val="auto"/>
              </w:rPr>
            </w:pPr>
            <w:r>
              <w:rPr>
                <w:rFonts w:ascii="Arial" w:cs="Arial" w:eastAsia="Arial" w:hAnsi="Arial"/>
                <w:sz w:val="13"/>
                <w:szCs w:val="13"/>
                <w:color w:val="auto"/>
              </w:rPr>
              <w:t>(6.48)</w:t>
            </w: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 (0.85)</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 forma results are not necessarily indicative of our results of operations had we owned Telsima for the entire periods presented.</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D —</w:t>
      </w:r>
      <w:r>
        <w:rPr>
          <w:sz w:val="20"/>
          <w:szCs w:val="20"/>
          <w:color w:val="auto"/>
        </w:rPr>
        <w:tab/>
      </w:r>
      <w:r>
        <w:rPr>
          <w:rFonts w:ascii="Arial" w:cs="Arial" w:eastAsia="Arial" w:hAnsi="Arial"/>
          <w:sz w:val="11"/>
          <w:szCs w:val="11"/>
          <w:b w:val="1"/>
          <w:bCs w:val="1"/>
          <w:color w:val="auto"/>
        </w:rPr>
        <w:t>Fair Value Measurements of Assets and Liabilities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70"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1 — Observable inputs such as quoted prices in active markets for identical assets or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2 — Observable market-based inputs or observable inputs that are corroborated by market data;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Level 3 — Unobservable inputs reflecting our own assumptions.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2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amounts, estimated fair values and valuation input levels of our financial assets and financial liabilities as of July 2, 2010 and July 3,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left="177"/>
              <w:spacing w:after="0"/>
              <w:rPr>
                <w:sz w:val="20"/>
                <w:szCs w:val="20"/>
                <w:color w:val="auto"/>
              </w:rPr>
            </w:pPr>
            <w:r>
              <w:rPr>
                <w:rFonts w:ascii="Arial" w:cs="Arial" w:eastAsia="Arial" w:hAnsi="Arial"/>
                <w:sz w:val="10"/>
                <w:szCs w:val="10"/>
                <w:b w:val="1"/>
                <w:bCs w:val="1"/>
                <w:color w:val="auto"/>
                <w:w w:val="89"/>
              </w:rPr>
              <w:t>July 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jc w:val="center"/>
              <w:ind w:left="178"/>
              <w:spacing w:after="0"/>
              <w:rPr>
                <w:sz w:val="20"/>
                <w:szCs w:val="20"/>
                <w:color w:val="auto"/>
              </w:rPr>
            </w:pPr>
            <w:r>
              <w:rPr>
                <w:rFonts w:ascii="Arial" w:cs="Arial" w:eastAsia="Arial" w:hAnsi="Arial"/>
                <w:sz w:val="10"/>
                <w:szCs w:val="10"/>
                <w:b w:val="1"/>
                <w:bCs w:val="1"/>
                <w:color w:val="auto"/>
                <w:w w:val="96"/>
              </w:rPr>
              <w:t>July 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Valuation</w:t>
            </w:r>
          </w:p>
        </w:tc>
        <w:tc>
          <w:tcPr>
            <w:tcW w:w="0" w:type="dxa"/>
            <w:vAlign w:val="bottom"/>
          </w:tcPr>
          <w:p>
            <w:pPr>
              <w:spacing w:after="0"/>
              <w:rPr>
                <w:sz w:val="1"/>
                <w:szCs w:val="1"/>
                <w:color w:val="auto"/>
              </w:rPr>
            </w:pPr>
          </w:p>
        </w:tc>
      </w:tr>
      <w:tr>
        <w:trPr>
          <w:trHeight w:val="81"/>
        </w:trPr>
        <w:tc>
          <w:tcPr>
            <w:tcW w:w="5840" w:type="dxa"/>
            <w:vAlign w:val="bottom"/>
          </w:tcPr>
          <w:p>
            <w:pPr>
              <w:spacing w:after="0"/>
              <w:rPr>
                <w:sz w:val="7"/>
                <w:szCs w:val="7"/>
                <w:color w:val="auto"/>
              </w:rPr>
            </w:pPr>
          </w:p>
        </w:tc>
        <w:tc>
          <w:tcPr>
            <w:tcW w:w="880" w:type="dxa"/>
            <w:vAlign w:val="bottom"/>
            <w:gridSpan w:val="3"/>
          </w:tcPr>
          <w:p>
            <w:pPr>
              <w:ind w:left="100"/>
              <w:spacing w:after="0" w:line="81" w:lineRule="exact"/>
              <w:rPr>
                <w:sz w:val="20"/>
                <w:szCs w:val="20"/>
                <w:color w:val="auto"/>
              </w:rPr>
            </w:pPr>
            <w:r>
              <w:rPr>
                <w:rFonts w:ascii="Arial" w:cs="Arial" w:eastAsia="Arial" w:hAnsi="Arial"/>
                <w:sz w:val="9"/>
                <w:szCs w:val="9"/>
                <w:b w:val="1"/>
                <w:bCs w:val="1"/>
                <w:color w:val="auto"/>
              </w:rPr>
              <w:t>Carrying</w:t>
            </w:r>
          </w:p>
        </w:tc>
        <w:tc>
          <w:tcPr>
            <w:tcW w:w="120" w:type="dxa"/>
            <w:vAlign w:val="bottom"/>
          </w:tcPr>
          <w:p>
            <w:pPr>
              <w:spacing w:after="0"/>
              <w:rPr>
                <w:sz w:val="7"/>
                <w:szCs w:val="7"/>
                <w:color w:val="auto"/>
              </w:rPr>
            </w:pPr>
          </w:p>
        </w:tc>
        <w:tc>
          <w:tcPr>
            <w:tcW w:w="320" w:type="dxa"/>
            <w:vAlign w:val="bottom"/>
          </w:tcPr>
          <w:p>
            <w:pPr>
              <w:jc w:val="right"/>
              <w:ind w:right="57"/>
              <w:spacing w:after="0" w:line="81" w:lineRule="exact"/>
              <w:rPr>
                <w:sz w:val="20"/>
                <w:szCs w:val="20"/>
                <w:color w:val="auto"/>
              </w:rPr>
            </w:pPr>
            <w:r>
              <w:rPr>
                <w:rFonts w:ascii="Arial" w:cs="Arial" w:eastAsia="Arial" w:hAnsi="Arial"/>
                <w:sz w:val="9"/>
                <w:szCs w:val="9"/>
                <w:b w:val="1"/>
                <w:bCs w:val="1"/>
                <w:color w:val="auto"/>
              </w:rPr>
              <w:t>Fair</w:t>
            </w:r>
          </w:p>
        </w:tc>
        <w:tc>
          <w:tcPr>
            <w:tcW w:w="260" w:type="dxa"/>
            <w:vAlign w:val="bottom"/>
          </w:tcPr>
          <w:p>
            <w:pPr>
              <w:spacing w:after="0"/>
              <w:rPr>
                <w:sz w:val="7"/>
                <w:szCs w:val="7"/>
                <w:color w:val="auto"/>
              </w:rPr>
            </w:pPr>
          </w:p>
        </w:tc>
        <w:tc>
          <w:tcPr>
            <w:tcW w:w="900" w:type="dxa"/>
            <w:vAlign w:val="bottom"/>
            <w:gridSpan w:val="3"/>
          </w:tcPr>
          <w:p>
            <w:pPr>
              <w:ind w:left="100"/>
              <w:spacing w:after="0" w:line="81" w:lineRule="exact"/>
              <w:rPr>
                <w:sz w:val="20"/>
                <w:szCs w:val="20"/>
                <w:color w:val="auto"/>
              </w:rPr>
            </w:pPr>
            <w:r>
              <w:rPr>
                <w:rFonts w:ascii="Arial" w:cs="Arial" w:eastAsia="Arial" w:hAnsi="Arial"/>
                <w:sz w:val="9"/>
                <w:szCs w:val="9"/>
                <w:b w:val="1"/>
                <w:bCs w:val="1"/>
                <w:color w:val="auto"/>
              </w:rPr>
              <w:t>Carrying</w:t>
            </w:r>
          </w:p>
        </w:tc>
        <w:tc>
          <w:tcPr>
            <w:tcW w:w="100" w:type="dxa"/>
            <w:vAlign w:val="bottom"/>
          </w:tcPr>
          <w:p>
            <w:pPr>
              <w:spacing w:after="0"/>
              <w:rPr>
                <w:sz w:val="7"/>
                <w:szCs w:val="7"/>
                <w:color w:val="auto"/>
              </w:rPr>
            </w:pPr>
          </w:p>
        </w:tc>
        <w:tc>
          <w:tcPr>
            <w:tcW w:w="340" w:type="dxa"/>
            <w:vAlign w:val="bottom"/>
          </w:tcPr>
          <w:p>
            <w:pPr>
              <w:jc w:val="right"/>
              <w:ind w:right="57"/>
              <w:spacing w:after="0" w:line="81" w:lineRule="exact"/>
              <w:rPr>
                <w:sz w:val="20"/>
                <w:szCs w:val="20"/>
                <w:color w:val="auto"/>
              </w:rPr>
            </w:pPr>
            <w:r>
              <w:rPr>
                <w:rFonts w:ascii="Arial" w:cs="Arial" w:eastAsia="Arial" w:hAnsi="Arial"/>
                <w:sz w:val="9"/>
                <w:szCs w:val="9"/>
                <w:b w:val="1"/>
                <w:bCs w:val="1"/>
                <w:color w:val="auto"/>
              </w:rPr>
              <w:t>Fair</w:t>
            </w: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840" w:type="dxa"/>
            <w:vAlign w:val="bottom"/>
          </w:tcPr>
          <w:p>
            <w:pPr>
              <w:spacing w:after="0"/>
              <w:rPr>
                <w:sz w:val="10"/>
                <w:szCs w:val="10"/>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10"/>
                <w:szCs w:val="10"/>
                <w:color w:val="auto"/>
              </w:rPr>
            </w:pPr>
          </w:p>
        </w:tc>
        <w:tc>
          <w:tcPr>
            <w:tcW w:w="4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0"/>
                <w:szCs w:val="10"/>
                <w:b w:val="1"/>
                <w:bCs w:val="1"/>
                <w:color w:val="auto"/>
              </w:rPr>
              <w:t>Value</w:t>
            </w:r>
          </w:p>
        </w:tc>
        <w:tc>
          <w:tcPr>
            <w:tcW w:w="260" w:type="dxa"/>
            <w:vAlign w:val="bottom"/>
          </w:tcPr>
          <w:p>
            <w:pPr>
              <w:spacing w:after="0"/>
              <w:rPr>
                <w:sz w:val="10"/>
                <w:szCs w:val="10"/>
                <w:color w:val="auto"/>
              </w:rPr>
            </w:pPr>
          </w:p>
        </w:tc>
        <w:tc>
          <w:tcPr>
            <w:tcW w:w="6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10"/>
                <w:szCs w:val="10"/>
                <w:color w:val="auto"/>
              </w:rPr>
            </w:pPr>
          </w:p>
        </w:tc>
        <w:tc>
          <w:tcPr>
            <w:tcW w:w="44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0"/>
                <w:szCs w:val="10"/>
                <w:b w:val="1"/>
                <w:bCs w:val="1"/>
                <w:color w:val="auto"/>
              </w:rPr>
              <w:t>Value</w:t>
            </w:r>
          </w:p>
        </w:tc>
        <w:tc>
          <w:tcPr>
            <w:tcW w:w="26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20"/>
                <w:szCs w:val="20"/>
                <w:color w:val="auto"/>
              </w:rPr>
            </w:pPr>
            <w:r>
              <w:rPr>
                <w:rFonts w:ascii="Arial" w:cs="Arial" w:eastAsia="Arial" w:hAnsi="Arial"/>
                <w:sz w:val="13"/>
                <w:szCs w:val="13"/>
                <w:color w:val="auto"/>
              </w:rPr>
              <w:t>Cash</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137"/>
              <w:spacing w:after="0"/>
              <w:rPr>
                <w:sz w:val="20"/>
                <w:szCs w:val="20"/>
                <w:color w:val="auto"/>
              </w:rPr>
            </w:pPr>
            <w:r>
              <w:rPr>
                <w:rFonts w:ascii="Arial" w:cs="Arial" w:eastAsia="Arial" w:hAnsi="Arial"/>
                <w:sz w:val="13"/>
                <w:szCs w:val="13"/>
                <w:color w:val="auto"/>
                <w:w w:val="78"/>
              </w:rPr>
              <w:t>60.4</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w w:val="78"/>
              </w:rPr>
              <w:t>60.4</w:t>
            </w:r>
          </w:p>
        </w:tc>
        <w:tc>
          <w:tcPr>
            <w:tcW w:w="460" w:type="dxa"/>
            <w:vAlign w:val="bottom"/>
            <w:gridSpan w:val="2"/>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38"/>
              <w:spacing w:after="0"/>
              <w:rPr>
                <w:sz w:val="20"/>
                <w:szCs w:val="20"/>
                <w:color w:val="auto"/>
              </w:rPr>
            </w:pPr>
            <w:r>
              <w:rPr>
                <w:rFonts w:ascii="Arial" w:cs="Arial" w:eastAsia="Arial" w:hAnsi="Arial"/>
                <w:sz w:val="13"/>
                <w:szCs w:val="13"/>
                <w:color w:val="auto"/>
                <w:w w:val="86"/>
              </w:rPr>
              <w:t>95.7</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w w:val="86"/>
              </w:rPr>
              <w:t>95.7</w:t>
            </w:r>
          </w:p>
        </w:tc>
        <w:tc>
          <w:tcPr>
            <w:tcW w:w="2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0"/>
              </w:rPr>
              <w:t>Level 1</w:t>
            </w:r>
          </w:p>
        </w:tc>
        <w:tc>
          <w:tcPr>
            <w:tcW w:w="0" w:type="dxa"/>
            <w:vAlign w:val="bottom"/>
          </w:tcPr>
          <w:p>
            <w:pPr>
              <w:spacing w:after="0"/>
              <w:rPr>
                <w:sz w:val="1"/>
                <w:szCs w:val="1"/>
                <w:color w:val="auto"/>
              </w:rPr>
            </w:pPr>
          </w:p>
        </w:tc>
      </w:tr>
      <w:tr>
        <w:trPr>
          <w:trHeight w:val="157"/>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78"/>
              </w:rPr>
              <w:t>81.3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78"/>
              </w:rPr>
              <w:t>81.3</w:t>
            </w:r>
          </w:p>
        </w:tc>
        <w:tc>
          <w:tcPr>
            <w:tcW w:w="46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w w:val="86"/>
              </w:rPr>
              <w:t>41.1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41.1</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Level 1</w:t>
            </w:r>
          </w:p>
        </w:tc>
        <w:tc>
          <w:tcPr>
            <w:tcW w:w="0" w:type="dxa"/>
            <w:vAlign w:val="bottom"/>
          </w:tcPr>
          <w:p>
            <w:pPr>
              <w:spacing w:after="0"/>
              <w:rPr>
                <w:sz w:val="1"/>
                <w:szCs w:val="1"/>
                <w:color w:val="auto"/>
              </w:rPr>
            </w:pPr>
          </w:p>
        </w:tc>
      </w:tr>
      <w:tr>
        <w:trPr>
          <w:trHeight w:val="157"/>
        </w:trPr>
        <w:tc>
          <w:tcPr>
            <w:tcW w:w="5840" w:type="dxa"/>
            <w:vAlign w:val="bottom"/>
          </w:tcPr>
          <w:p>
            <w:pPr>
              <w:spacing w:after="0"/>
              <w:rPr>
                <w:sz w:val="20"/>
                <w:szCs w:val="20"/>
                <w:color w:val="auto"/>
              </w:rPr>
            </w:pPr>
            <w:r>
              <w:rPr>
                <w:rFonts w:ascii="Arial" w:cs="Arial" w:eastAsia="Arial" w:hAnsi="Arial"/>
                <w:sz w:val="13"/>
                <w:szCs w:val="13"/>
                <w:color w:val="auto"/>
              </w:rPr>
              <w:t>Short-term investments</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38"/>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0"/>
              </w:rPr>
              <w:t>Level 1</w:t>
            </w:r>
          </w:p>
        </w:tc>
        <w:tc>
          <w:tcPr>
            <w:tcW w:w="0" w:type="dxa"/>
            <w:vAlign w:val="bottom"/>
          </w:tcPr>
          <w:p>
            <w:pPr>
              <w:spacing w:after="0"/>
              <w:rPr>
                <w:sz w:val="1"/>
                <w:szCs w:val="1"/>
                <w:color w:val="auto"/>
              </w:rPr>
            </w:pPr>
          </w:p>
        </w:tc>
      </w:tr>
      <w:tr>
        <w:trPr>
          <w:trHeight w:val="157"/>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forward contracts</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46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Level 2</w:t>
            </w:r>
          </w:p>
        </w:tc>
        <w:tc>
          <w:tcPr>
            <w:tcW w:w="0" w:type="dxa"/>
            <w:vAlign w:val="bottom"/>
          </w:tcPr>
          <w:p>
            <w:pPr>
              <w:spacing w:after="0"/>
              <w:rPr>
                <w:sz w:val="1"/>
                <w:szCs w:val="1"/>
                <w:color w:val="auto"/>
              </w:rPr>
            </w:pPr>
          </w:p>
        </w:tc>
      </w:tr>
      <w:tr>
        <w:trPr>
          <w:trHeight w:val="157"/>
        </w:trPr>
        <w:tc>
          <w:tcPr>
            <w:tcW w:w="58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46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w w:val="86"/>
              </w:rPr>
              <w:t>10.0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10.0</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Level 2</w:t>
            </w:r>
          </w:p>
        </w:tc>
        <w:tc>
          <w:tcPr>
            <w:tcW w:w="0" w:type="dxa"/>
            <w:vAlign w:val="bottom"/>
          </w:tcPr>
          <w:p>
            <w:pPr>
              <w:spacing w:after="0"/>
              <w:rPr>
                <w:sz w:val="1"/>
                <w:szCs w:val="1"/>
                <w:color w:val="auto"/>
              </w:rPr>
            </w:pPr>
          </w:p>
        </w:tc>
      </w:tr>
      <w:tr>
        <w:trPr>
          <w:trHeight w:val="157"/>
        </w:trPr>
        <w:tc>
          <w:tcPr>
            <w:tcW w:w="5840" w:type="dxa"/>
            <w:vAlign w:val="bottom"/>
          </w:tcPr>
          <w:p>
            <w:pPr>
              <w:spacing w:after="0"/>
              <w:rPr>
                <w:sz w:val="20"/>
                <w:szCs w:val="20"/>
                <w:color w:val="auto"/>
              </w:rPr>
            </w:pPr>
            <w:r>
              <w:rPr>
                <w:rFonts w:ascii="Arial" w:cs="Arial" w:eastAsia="Arial" w:hAnsi="Arial"/>
                <w:sz w:val="13"/>
                <w:szCs w:val="13"/>
                <w:color w:val="auto"/>
              </w:rPr>
              <w:t>Redeemable preference shares</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137"/>
              <w:spacing w:after="0"/>
              <w:rPr>
                <w:sz w:val="20"/>
                <w:szCs w:val="20"/>
                <w:color w:val="auto"/>
              </w:rPr>
            </w:pPr>
            <w:r>
              <w:rPr>
                <w:rFonts w:ascii="Arial" w:cs="Arial" w:eastAsia="Arial" w:hAnsi="Arial"/>
                <w:sz w:val="13"/>
                <w:szCs w:val="13"/>
                <w:color w:val="auto"/>
              </w:rPr>
              <w:t>8.3</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460" w:type="dxa"/>
            <w:vAlign w:val="bottom"/>
            <w:gridSpan w:val="2"/>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38"/>
              <w:spacing w:after="0"/>
              <w:rPr>
                <w:sz w:val="20"/>
                <w:szCs w:val="20"/>
                <w:color w:val="auto"/>
              </w:rPr>
            </w:pPr>
            <w:r>
              <w:rPr>
                <w:rFonts w:ascii="Arial" w:cs="Arial" w:eastAsia="Arial" w:hAnsi="Arial"/>
                <w:sz w:val="13"/>
                <w:szCs w:val="13"/>
                <w:color w:val="auto"/>
              </w:rPr>
              <w:t>8.3</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2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0"/>
              </w:rPr>
              <w:t>Level 3</w:t>
            </w:r>
          </w:p>
        </w:tc>
        <w:tc>
          <w:tcPr>
            <w:tcW w:w="0" w:type="dxa"/>
            <w:vAlign w:val="bottom"/>
          </w:tcPr>
          <w:p>
            <w:pPr>
              <w:spacing w:after="0"/>
              <w:rPr>
                <w:sz w:val="1"/>
                <w:szCs w:val="1"/>
                <w:color w:val="auto"/>
              </w:rPr>
            </w:pPr>
          </w:p>
        </w:tc>
      </w:tr>
      <w:tr>
        <w:trPr>
          <w:trHeight w:val="157"/>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forward contracts</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46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0.9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0.9</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Level 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cash equivalents consist primarily of shares in prime money market funds purchased from two major financial institutions. As of July 2, 2010, these money market shares were valued at $1.00 net asset value per share by these financial institutions.</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have valued our redeemable preference shares at face value as of July 2, 2010 and July 3, 2009 due to the existence of a put option one of the holders has with our former majority shareholder Harris, our current intent not to redeem these shares before their stated termination date and the non-existence of a market for comparable financial instruments.</w:t>
      </w:r>
    </w:p>
    <w:p>
      <w:pPr>
        <w:spacing w:after="0" w:line="3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a result of our fiscal 2010 annual impairment review, we determined the carrying value of certain identifiable intangible assets and property, plant and equipment was no longer recoverable. Our assessment of the fair value of these assets considered forecasted cash flows (Level 3 valuation inputs). The carrying value of our identifiable intangible assets was reduced to $7.5 million and property, plant and equipment was reduced to $37.6 million.</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As of July 3, 2009, we had warrants outstanding to purchase shares of our Class A Common Stock. Our liability for warrants was classified as a Level 3 financial liability. As of July 3, 2009, warrants to purchase 520,445 shares of our Class A Common Stock were outstanding and had an exercise price of $11.80 per common share. These warrants expired unexercised during the first quarter of fiscal 2010 on September 24, 2009. The per share fair value of each warrant was $0.06 as of July 3, 2009 (less than $32,000 in the aggregate) and was determined based on the Black-Scholes-Merton model with the assumptions listed in the table below.</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4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Expected volatility</w:t>
            </w:r>
          </w:p>
        </w:tc>
        <w:tc>
          <w:tcPr>
            <w:tcW w:w="4560" w:type="dxa"/>
            <w:vAlign w:val="bottom"/>
          </w:tcPr>
          <w:p>
            <w:pPr>
              <w:jc w:val="right"/>
              <w:ind w:right="54"/>
              <w:spacing w:after="0"/>
              <w:rPr>
                <w:sz w:val="20"/>
                <w:szCs w:val="20"/>
                <w:color w:val="auto"/>
              </w:rPr>
            </w:pPr>
            <w:r>
              <w:rPr>
                <w:rFonts w:ascii="Arial" w:cs="Arial" w:eastAsia="Arial" w:hAnsi="Arial"/>
                <w:sz w:val="13"/>
                <w:szCs w:val="13"/>
                <w:color w:val="auto"/>
              </w:rPr>
              <w:t>79.8%</w:t>
            </w:r>
          </w:p>
        </w:tc>
      </w:tr>
      <w:tr>
        <w:trPr>
          <w:trHeight w:val="157"/>
        </w:trPr>
        <w:tc>
          <w:tcPr>
            <w:tcW w:w="542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4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0.17%</w:t>
            </w:r>
          </w:p>
        </w:tc>
      </w:t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Expected holding period</w:t>
            </w:r>
          </w:p>
        </w:tc>
        <w:tc>
          <w:tcPr>
            <w:tcW w:w="4560" w:type="dxa"/>
            <w:vAlign w:val="bottom"/>
          </w:tcPr>
          <w:p>
            <w:pPr>
              <w:jc w:val="right"/>
              <w:spacing w:after="0"/>
              <w:rPr>
                <w:sz w:val="20"/>
                <w:szCs w:val="20"/>
                <w:color w:val="auto"/>
              </w:rPr>
            </w:pPr>
            <w:r>
              <w:rPr>
                <w:rFonts w:ascii="Arial" w:cs="Arial" w:eastAsia="Arial" w:hAnsi="Arial"/>
                <w:sz w:val="13"/>
                <w:szCs w:val="13"/>
                <w:color w:val="auto"/>
              </w:rPr>
              <w:t>0.23year</w:t>
            </w:r>
          </w:p>
        </w:tc>
      </w:tr>
    </w:tbl>
    <w:p>
      <w:pPr>
        <w:spacing w:after="0" w:line="72"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As a result of recording these outstanding warrants at fair value as of July 3, 2009, we recorded the change in fair value during fiscal 2009 and 2008 as a reduction of $0.6 million and $3.3 million to selling and administrative expenses on our Consolidated Statements of Operations. During fiscal 2010, 2009 and 2008, no warrants were exercised.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a summary of changes in the fair value of our Level 3 financial liabilities (warrants) during fiscal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6"/>
              </w:rPr>
              <w:t>(In millions)</w:t>
            </w:r>
          </w:p>
        </w:tc>
      </w:tr>
      <w:tr>
        <w:trPr>
          <w:trHeight w:val="29"/>
        </w:trPr>
        <w:tc>
          <w:tcPr>
            <w:tcW w:w="7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June 27, 2008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Unrealized gain during the period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r>
      <w:tr>
        <w:trPr>
          <w:trHeight w:val="20"/>
        </w:trPr>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July 3, 2009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333"/>
        </w:trPr>
        <w:tc>
          <w:tcPr>
            <w:tcW w:w="740" w:type="dxa"/>
            <w:vAlign w:val="bottom"/>
          </w:tcPr>
          <w:p>
            <w:pPr>
              <w:spacing w:after="0"/>
              <w:rPr>
                <w:sz w:val="20"/>
                <w:szCs w:val="20"/>
                <w:color w:val="auto"/>
              </w:rPr>
            </w:pPr>
            <w:r>
              <w:rPr>
                <w:rFonts w:ascii="Arial" w:cs="Arial" w:eastAsia="Arial" w:hAnsi="Arial"/>
                <w:sz w:val="13"/>
                <w:szCs w:val="13"/>
                <w:b w:val="1"/>
                <w:bCs w:val="1"/>
                <w:color w:val="auto"/>
              </w:rPr>
              <w:t>Note E —</w:t>
            </w:r>
          </w:p>
        </w:tc>
        <w:tc>
          <w:tcPr>
            <w:tcW w:w="7160" w:type="dxa"/>
            <w:vAlign w:val="bottom"/>
          </w:tcPr>
          <w:p>
            <w:pPr>
              <w:ind w:left="180"/>
              <w:spacing w:after="0"/>
              <w:rPr>
                <w:sz w:val="20"/>
                <w:szCs w:val="20"/>
                <w:color w:val="auto"/>
              </w:rPr>
            </w:pPr>
            <w:r>
              <w:rPr>
                <w:rFonts w:ascii="Arial" w:cs="Arial" w:eastAsia="Arial" w:hAnsi="Arial"/>
                <w:sz w:val="13"/>
                <w:szCs w:val="13"/>
                <w:b w:val="1"/>
                <w:bCs w:val="1"/>
                <w:color w:val="auto"/>
              </w:rPr>
              <w:t>Receivables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7900" w:type="dxa"/>
            <w:vAlign w:val="bottom"/>
            <w:gridSpan w:val="2"/>
          </w:tcPr>
          <w:p>
            <w:pPr>
              <w:ind w:left="400"/>
              <w:spacing w:after="0"/>
              <w:rPr>
                <w:sz w:val="20"/>
                <w:szCs w:val="20"/>
                <w:color w:val="auto"/>
              </w:rPr>
            </w:pPr>
            <w:r>
              <w:rPr>
                <w:rFonts w:ascii="Arial" w:cs="Arial" w:eastAsia="Arial" w:hAnsi="Arial"/>
                <w:sz w:val="13"/>
                <w:szCs w:val="13"/>
                <w:color w:val="auto"/>
              </w:rPr>
              <w:t>Our receivables are summarized below:</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6"/>
              </w:rPr>
              <w:t>July 2, 2010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rPr>
              <w:t>July 3, 2009</w:t>
            </w:r>
          </w:p>
        </w:tc>
        <w:tc>
          <w:tcPr>
            <w:tcW w:w="100" w:type="dxa"/>
            <w:vAlign w:val="bottom"/>
          </w:tcPr>
          <w:p>
            <w:pPr>
              <w:spacing w:after="0"/>
              <w:rPr>
                <w:sz w:val="18"/>
                <w:szCs w:val="18"/>
                <w:color w:val="auto"/>
              </w:rPr>
            </w:pPr>
          </w:p>
        </w:tc>
      </w:tr>
      <w:tr>
        <w:trPr>
          <w:trHeight w:val="131"/>
        </w:trPr>
        <w:tc>
          <w:tcPr>
            <w:tcW w:w="7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0"/>
                <w:szCs w:val="10"/>
                <w:b w:val="1"/>
                <w:bCs w:val="1"/>
                <w:color w:val="auto"/>
              </w:rPr>
              <w:t>(In millions)</w:t>
            </w: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163.1</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Notes receivable due within one year — net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r>
      <w:tr>
        <w:trPr>
          <w:trHeight w:val="20"/>
        </w:trPr>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 w:type="dxa"/>
            <w:vAlign w:val="bottom"/>
            <w:shd w:val="clear" w:color="auto" w:fill="CCEEFF"/>
          </w:tcPr>
          <w:p>
            <w:pPr>
              <w:spacing w:after="0"/>
              <w:rPr>
                <w:sz w:val="13"/>
                <w:szCs w:val="13"/>
                <w:color w:val="auto"/>
              </w:rPr>
            </w:pPr>
          </w:p>
        </w:tc>
        <w:tc>
          <w:tcPr>
            <w:tcW w:w="7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169.9</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Less allowances for collection losses</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(27.0)</w:t>
            </w:r>
          </w:p>
        </w:tc>
      </w:tr>
      <w:tr>
        <w:trPr>
          <w:trHeight w:val="20"/>
        </w:trPr>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 w:type="dxa"/>
            <w:vAlign w:val="bottom"/>
            <w:shd w:val="clear" w:color="auto" w:fill="CCEEFF"/>
          </w:tcPr>
          <w:p>
            <w:pPr>
              <w:spacing w:after="0"/>
              <w:rPr>
                <w:sz w:val="13"/>
                <w:szCs w:val="13"/>
                <w:color w:val="auto"/>
              </w:rPr>
            </w:pPr>
          </w:p>
        </w:tc>
        <w:tc>
          <w:tcPr>
            <w:tcW w:w="7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142.9</w:t>
            </w:r>
          </w:p>
        </w:tc>
      </w:tr>
      <w:tr>
        <w:trPr>
          <w:trHeight w:val="29"/>
        </w:trPr>
        <w:tc>
          <w:tcPr>
            <w:tcW w:w="7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During fiscal 2010, the net decrease to our allowance for collection losses was $13.7 million. This net decrease primarily consisted of $16.3 million for write-offs of accounts determined to be uncollectible partially offset by an increase of $2.6 million for estimated collection losses.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Note F —</w:t>
            </w:r>
          </w:p>
        </w:tc>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Inventories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900" w:type="dxa"/>
            <w:vAlign w:val="bottom"/>
            <w:gridSpan w:val="2"/>
          </w:tcPr>
          <w:p>
            <w:pPr>
              <w:ind w:left="400"/>
              <w:spacing w:after="0"/>
              <w:rPr>
                <w:sz w:val="20"/>
                <w:szCs w:val="20"/>
                <w:color w:val="auto"/>
              </w:rPr>
            </w:pPr>
            <w:r>
              <w:rPr>
                <w:rFonts w:ascii="Arial" w:cs="Arial" w:eastAsia="Arial" w:hAnsi="Arial"/>
                <w:sz w:val="13"/>
                <w:szCs w:val="13"/>
                <w:color w:val="auto"/>
              </w:rPr>
              <w:t>Our inventories are summarized below:</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6"/>
              </w:rPr>
              <w:t>July 2, 2010</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July 3, 2009</w:t>
            </w:r>
          </w:p>
        </w:tc>
        <w:tc>
          <w:tcPr>
            <w:tcW w:w="100" w:type="dxa"/>
            <w:vAlign w:val="bottom"/>
          </w:tcPr>
          <w:p>
            <w:pPr>
              <w:spacing w:after="0"/>
              <w:rPr>
                <w:sz w:val="18"/>
                <w:szCs w:val="18"/>
                <w:color w:val="auto"/>
              </w:rPr>
            </w:pPr>
          </w:p>
        </w:tc>
      </w:tr>
      <w:tr>
        <w:trPr>
          <w:trHeight w:val="131"/>
        </w:trPr>
        <w:tc>
          <w:tcPr>
            <w:tcW w:w="6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63.0</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Work in process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 and supplies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w:t>
            </w:r>
          </w:p>
        </w:tc>
      </w:tr>
      <w:tr>
        <w:trPr>
          <w:trHeight w:val="20"/>
        </w:trPr>
        <w:tc>
          <w:tcPr>
            <w:tcW w:w="6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73.5</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98.6</w:t>
            </w:r>
          </w:p>
        </w:tc>
      </w:tr>
      <w:tr>
        <w:trPr>
          <w:trHeight w:val="30"/>
        </w:trPr>
        <w:tc>
          <w:tcPr>
            <w:tcW w:w="6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During fiscal 2010, 2009 and 2008, we recorded charges to adjust our inventory to the lower of cost or market totaling $30.9 million, $23.1 million and $24.6 million. Such charges were 6.5%, 3.4%, and 3.4% of our revenue for fiscal 2010, 2009 and 2008. These charges were primarily due to excess and obsolete inventory resulting from product transitioning and discontinuance.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rPr>
              <w:t>Note G —</w:t>
            </w:r>
          </w:p>
        </w:tc>
        <w:tc>
          <w:tcPr>
            <w:tcW w:w="7260" w:type="dxa"/>
            <w:vAlign w:val="bottom"/>
            <w:gridSpan w:val="2"/>
          </w:tcPr>
          <w:p>
            <w:pPr>
              <w:jc w:val="right"/>
              <w:ind w:right="5271"/>
              <w:spacing w:after="0"/>
              <w:rPr>
                <w:sz w:val="20"/>
                <w:szCs w:val="20"/>
                <w:color w:val="auto"/>
              </w:rPr>
            </w:pPr>
            <w:r>
              <w:rPr>
                <w:rFonts w:ascii="Arial" w:cs="Arial" w:eastAsia="Arial" w:hAnsi="Arial"/>
                <w:sz w:val="13"/>
                <w:szCs w:val="13"/>
                <w:b w:val="1"/>
                <w:bCs w:val="1"/>
                <w:color w:val="auto"/>
              </w:rPr>
              <w:t>Property, Plant and Equipment</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8000" w:type="dxa"/>
            <w:vAlign w:val="bottom"/>
            <w:gridSpan w:val="3"/>
          </w:tcPr>
          <w:p>
            <w:pPr>
              <w:ind w:left="400"/>
              <w:spacing w:after="0"/>
              <w:rPr>
                <w:sz w:val="20"/>
                <w:szCs w:val="20"/>
                <w:color w:val="auto"/>
              </w:rPr>
            </w:pPr>
            <w:r>
              <w:rPr>
                <w:rFonts w:ascii="Arial" w:cs="Arial" w:eastAsia="Arial" w:hAnsi="Arial"/>
                <w:sz w:val="13"/>
                <w:szCs w:val="13"/>
                <w:color w:val="auto"/>
              </w:rPr>
              <w:t>Our property, plant and equipment are summarized below:</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6"/>
              </w:rPr>
              <w:t>July 2, 2010</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July 3, 2009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31"/>
        </w:trPr>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7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Buildings</w:t>
            </w:r>
          </w:p>
        </w:tc>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Software developed for internal use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94.8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gridSpan w:val="2"/>
          </w:tcPr>
          <w:p>
            <w:pPr>
              <w:spacing w:after="0"/>
              <w:rPr>
                <w:sz w:val="20"/>
                <w:szCs w:val="20"/>
                <w:color w:val="auto"/>
              </w:rPr>
            </w:pPr>
            <w:r>
              <w:rPr>
                <w:rFonts w:ascii="Arial" w:cs="Arial" w:eastAsia="Arial" w:hAnsi="Arial"/>
                <w:sz w:val="13"/>
                <w:szCs w:val="13"/>
                <w:color w:val="auto"/>
              </w:rPr>
              <w:t>Less allowances for depreciation and amortization</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(73.7)</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(71.7)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60" w:type="dxa"/>
            <w:vAlign w:val="bottom"/>
          </w:tcPr>
          <w:p>
            <w:pPr>
              <w:jc w:val="right"/>
              <w:ind w:right="2774"/>
              <w:spacing w:after="0"/>
              <w:rPr>
                <w:sz w:val="20"/>
                <w:szCs w:val="20"/>
                <w:color w:val="auto"/>
              </w:rPr>
            </w:pPr>
            <w:r>
              <w:rPr>
                <w:rFonts w:ascii="Arial" w:cs="Arial" w:eastAsia="Arial" w:hAnsi="Arial"/>
                <w:sz w:val="13"/>
                <w:szCs w:val="13"/>
                <w:color w:val="auto"/>
              </w:rPr>
              <w:t>79</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7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fiscal 2010, we recorded impairments of property, plant and equipment totaling $14.2 million. These charges consisted of $5.5 million on our manufacturing facility and idle equipment in San Antonio, Texas, $7.9 million recorded in connection with our impairment review process for goodwill and intangible assets and $0.8 million for software. The San Antonio impairment charge resulted from our plan to converge our products onto a single platform by the end of fiscal year 2010 and is included in “Charges for product transition” within “Cost of products sales and services” on our Consolidated Statement of Operations. The other impairments are included in “Property, plant and equipment impairment charges” on our Consolidated Statement of Operations. The San Antonio facility was sold in the fourth quarter of fiscal 2010.</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fiscal 2009, we recorded a $3.2 million impairment of software developed for internal use and a $7.2 million impairment of machinery and equipment related to our product transitioning activities. We also recorded a $2.4 million impairment of a building used in manufacturing that we classified as property held for sale. The machinery, equipment and building impairments were included in “Charges for product transition” within “Cost of products sales and services” on our Consolidated Statement of Operations and the software is included in “Property, plant and equipment impairment charges” on our Consolidated Statement of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2008, we recorded impairment losses on property, plant and equipment totaling $1.3 million included in “Selling and administrative expenses.”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expense related to plant and equipment, including software developed for internal use was $19.1 million, $20.5 million and $16.9 million in fiscal 2010, 2009 and 2008.</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H —</w:t>
      </w:r>
      <w:r>
        <w:rPr>
          <w:sz w:val="20"/>
          <w:szCs w:val="20"/>
          <w:color w:val="auto"/>
        </w:rPr>
        <w:tab/>
      </w:r>
      <w:r>
        <w:rPr>
          <w:rFonts w:ascii="Arial" w:cs="Arial" w:eastAsia="Arial" w:hAnsi="Arial"/>
          <w:sz w:val="12"/>
          <w:szCs w:val="12"/>
          <w:b w:val="1"/>
          <w:bCs w:val="1"/>
          <w:color w:val="auto"/>
        </w:rPr>
        <w:t>Credit Facility and 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debt consisted of short-term debt of $5.0 million as of July 2, 2010 and $10.0 million as of July 3, 2009.</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credit facility provides for an initial committed amount of $70 million with an uncommitted option for an additional $50 million available with the same or additional banks. The initial term of our credit facility is three years expiring June 30, 2011 and provides for (1) demand borrowings (with no stated maturity date) (2) fixed term Eurodollar loans for up to six months or more as agreed with the banks, and (3) the issuance of standby or commercial letters of credit.</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Demand borrowings carry an interest rate of the greater of Bank of America’s prime rate or the Federal Funds rate plus 0.5%. Eurodollar loans were initially offered at LIBOR plus a spread of between 1.25% to 2.00% based on our current leverage ratio. On August 23, 2010, the terms of the facility were amended to change the spread on Eurodollar loans to 1.00% and to eliminate the leverage ratio covenant commencing with the fiscal quarter ended July 2, 2010 in exchange for cash collaterialization of the borrowings and outstanding letters of credit. In addition, the liquidity ratio covenant was replaced with a minimum quick ratio covenant commencing with the fiscal quarter ended July 2, 2010. As of July 2, 2010, we were in compliance with these amended financial covenants.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credit facility allows for borrowings of up to $70 million with available credit defined as $70 million less the outstanding balance of short-term borrowings ($5.0 million as of July 2, 2010) and letters of credit ($9.0 million as of July 2, 2010). Therefore, available credit as of July 2, 2010 was $56.0 million. The weighted average interest rate on our short-term borrowings was 2.48% as of July 2, 2010.</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2, 2010, the amount under standby letters of credit outstanding totaled $1.2 million under a previous credit facility in effect as of the end of fiscal year 2008.</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have an uncommitted short-term line of credit of $0.2 million from a bank in New Zealand to support the operations of our subsidiary located there, all of which was available on July 2, 2010. This line of credit provides for short-term advances at various interest rates, may be terminated upon notice, is reviewed annually for renewal or modification, and is supported by a corporate guarantee.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I —</w:t>
      </w:r>
      <w:r>
        <w:rPr>
          <w:sz w:val="20"/>
          <w:szCs w:val="20"/>
          <w:color w:val="auto"/>
        </w:rPr>
        <w:tab/>
      </w:r>
      <w:r>
        <w:rPr>
          <w:rFonts w:ascii="Arial" w:cs="Arial" w:eastAsia="Arial" w:hAnsi="Arial"/>
          <w:sz w:val="12"/>
          <w:szCs w:val="12"/>
          <w:b w:val="1"/>
          <w:bCs w:val="1"/>
          <w:color w:val="auto"/>
        </w:rPr>
        <w:t>Accrued Warranties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accrued for the estimated cost to repair or replace products under warranty at the time of sale. Changes in warranty liability, which is included as a component of “Other accrued expenses” on the Consolidated Balance Sheets, during the fiscal years ended July 2, 2010 and July 3, 2009,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10"/>
                <w:szCs w:val="10"/>
                <w:b w:val="1"/>
                <w:bCs w:val="1"/>
                <w:color w:val="auto"/>
              </w:rPr>
              <w:t>Fiscal Year Ended</w:t>
            </w:r>
          </w:p>
        </w:tc>
      </w:tr>
      <w:tr>
        <w:trPr>
          <w:trHeight w:val="98"/>
        </w:trPr>
        <w:tc>
          <w:tcPr>
            <w:tcW w:w="7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w w:val="96"/>
              </w:rPr>
              <w:t>July 2, 2010</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w w:val="96"/>
              </w:rPr>
              <w:t>July 3, 2009</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the beginning of the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 of Telsima</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Warranty provision for sales made during the fiscal year</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Settlements made during the fiscal year</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the end of the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r>
      <w:tr>
        <w:trPr>
          <w:trHeight w:val="29"/>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J —</w:t>
      </w:r>
      <w:r>
        <w:rPr>
          <w:sz w:val="20"/>
          <w:szCs w:val="20"/>
          <w:color w:val="auto"/>
        </w:rPr>
        <w:tab/>
      </w:r>
      <w:r>
        <w:rPr>
          <w:rFonts w:ascii="Arial" w:cs="Arial" w:eastAsia="Arial" w:hAnsi="Arial"/>
          <w:sz w:val="11"/>
          <w:szCs w:val="11"/>
          <w:b w:val="1"/>
          <w:bCs w:val="1"/>
          <w:color w:val="auto"/>
        </w:rPr>
        <w:t>Redeemable Preference Shares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shareholder Harris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 Accordingly, Harris owns this partial interest in our redeemable preference shares outstanding as of July 2, 2010.</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These redeemable preference shares represent less than a 1% interest in our Singapore subsidiary. The redeemable preference shares have an automatic redemption date of January 2017, which is 10 years from the date of issue. Preference dividends are cumulative and payable quarterly in cash at the rate of 12% per annum. The holders of the redeemable preference shares have liquidation rights in priority of all classes of capital stock of our Singapore subsidiary. The holders of the redeemable preference shares do not have any other participation in, or rights to, our profits, assets or capital shares, and do not have rights to vote as a shareholder of the Singapore subsidiary unless the preference dividend or any part thereof is in arrears and has remained unpaid for at least 12 months after it has been declared. During fiscal 2010, 2009 and 2008, preference dividends totaling $1.0 million in each fiscal year were recorded as interest expense in the accompanying Consolidated Statements of Operations. We have classified the redeemable preference shares as a long-term liability due to the mandatory redemption provision 10 years from issue date.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Singapore subsidiary has the right at any time after 5 years from the issue date to redeem, in whole or in part, the redeemable preference shares as follows:</w:t>
      </w:r>
    </w:p>
    <w:p>
      <w:pPr>
        <w:spacing w:after="0" w:line="96"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105% of the issue price after 5 years but before 6 years from issue date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104% of the issue price after 6 years but before 7 years from issue date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103% of the issue price after 7 years but before 8 years from issue date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102% of the issue price after 8 years but before 9 years from issue date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101% of the issue price after 9 years but before 10 years from issue date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100% of the issue price at the automatic redemption date of 10 years from issue date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K —</w:t>
      </w:r>
      <w:r>
        <w:rPr>
          <w:sz w:val="20"/>
          <w:szCs w:val="20"/>
          <w:color w:val="auto"/>
        </w:rPr>
        <w:tab/>
      </w:r>
      <w:r>
        <w:rPr>
          <w:rFonts w:ascii="Arial" w:cs="Arial" w:eastAsia="Arial" w:hAnsi="Arial"/>
          <w:sz w:val="11"/>
          <w:szCs w:val="11"/>
          <w:b w:val="1"/>
          <w:bCs w:val="1"/>
          <w:color w:val="auto"/>
        </w:rPr>
        <w:t>Restructuring Activities and Subsequent Event</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During fiscal 2010, we completed restructuring activities that commenced during fiscal 2009 to reduce our workforce in the U.S., France, Canada and other locations throughout the world. During fiscal 2010, our restructuring charges totaled $7.1 million consisting of:</w:t>
      </w:r>
    </w:p>
    <w:p>
      <w:pPr>
        <w:spacing w:after="0" w:line="59"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Severance, retention and related charges totaling $4.6 million associated with reduction in force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Charges totaling $0.5 million related to the relocation of U.S. employees to North Carolina from Florida.</w:t>
      </w:r>
    </w:p>
    <w:p>
      <w:pPr>
        <w:spacing w:after="0" w:line="86" w:lineRule="exact"/>
        <w:rPr>
          <w:rFonts w:ascii="Arial" w:cs="Arial" w:eastAsia="Arial" w:hAnsi="Arial"/>
          <w:sz w:val="13"/>
          <w:szCs w:val="13"/>
          <w:color w:val="auto"/>
        </w:rPr>
      </w:pPr>
    </w:p>
    <w:p>
      <w:pPr>
        <w:ind w:left="1280" w:right="68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Charges totaling $2.0 million in facility lease obligation impairments primarily for facilities occupied in San Jose, California prior the relocation to our new corporate headquarters in Santa Clara, California.</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During the first quarter of fiscal 2009, we announced a new restructuring plan (the “Fiscal 2009 Plan”) to reduce our worldwide workforce. During fiscal 2008, we completed our restructuring activities implemented within the merger restructuring plans (the “Fiscal 2007 Plans”) approved in connection with the January 26, 2007 acquisition of Stratex. These restructuring plans included the consolidation of facilities and operations of the predecessor entities in Canada, France, the U.S., China, Brazil and, to a lesser extent, Mexico, New Zealand and the United Kingdom.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our net restructuring charges totaled $8.2 million and consisted of:</w:t>
      </w:r>
    </w:p>
    <w:p>
      <w:pPr>
        <w:spacing w:after="0" w:line="96"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$8.0 million (Fiscal 2009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Impairment of fixed assets (non-cash charges) totaling $0.4 million and facility restoration costs of $0.3 million at our Canadian location (Fiscal 2009 Plan).</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Adjustments to the restructuring liability under the 2007 Restructuring Plans for changes in estimates related to sub-tenant activity at our U.S.($0.1 million increase) and Canadian locations ($0.3 million decrease).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Adjustments to the restructuring liability under the 2007 Restructuring Plans for changes in estimates to reduce the severance liability in Canada ($0.3 million decrease).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2008, we recorded $9.3 million of restructuring charges in connection with completion of the Fiscal 2007 Plans. These fiscal 2008 restructuring charges consisted of:</w:t>
      </w:r>
    </w:p>
    <w:p>
      <w:pPr>
        <w:spacing w:after="0" w:line="108"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color w:val="auto"/>
        </w:rPr>
        <w:t>Severance, retention and related charges associated with reduction in force activities totaling $3.4 million ($4.0 million in fiscal 2008 charges, less $0.6 million for a reduction in the restructuring liability recorded for Canada and France as of June 29, 2007).</w:t>
      </w:r>
    </w:p>
    <w:p>
      <w:pPr>
        <w:spacing w:after="0" w:line="59" w:lineRule="exact"/>
        <w:rPr>
          <w:sz w:val="20"/>
          <w:szCs w:val="20"/>
          <w:color w:val="auto"/>
        </w:rPr>
      </w:pPr>
    </w:p>
    <w:p>
      <w:pPr>
        <w:ind w:left="1080" w:right="300" w:firstLine="383"/>
        <w:spacing w:after="0" w:line="276" w:lineRule="auto"/>
        <w:rPr>
          <w:sz w:val="20"/>
          <w:szCs w:val="20"/>
          <w:color w:val="auto"/>
        </w:rPr>
      </w:pPr>
      <w:r>
        <w:rPr>
          <w:rFonts w:ascii="Arial" w:cs="Arial" w:eastAsia="Arial" w:hAnsi="Arial"/>
          <w:sz w:val="13"/>
          <w:szCs w:val="13"/>
          <w:color w:val="auto"/>
        </w:rPr>
        <w:t>Lease impairment charges totaling $1.8 million from implementation of fiscal 2007 plans and changes in estimates related to sub-tenant activity at our U.S. and Canadian locations.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Impairment of fixed assets and leasehold improvements totaling $1.9 million at our Canadian location.</w:t>
      </w:r>
    </w:p>
    <w:p>
      <w:pPr>
        <w:spacing w:after="0" w:line="96"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color w:val="auto"/>
        </w:rPr>
        <w:t>Impairment of a recoverable value-added type tax in Brazil totaling $2.2 million resulting from our scaled down operations and reduced activity which negatively affected the fair value of this recoverable asset (included in “Other current assets” on our Consolidated Balance Sheets).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in the following table summarizes our restructuring activity during the last three fiscal years and the remaining restructuring liability as of July 2,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9"/>
              </w:rPr>
              <w:t>Severance and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Facilities and</w:t>
            </w:r>
          </w:p>
        </w:tc>
        <w:tc>
          <w:tcPr>
            <w:tcW w:w="100" w:type="dxa"/>
            <w:vAlign w:val="bottom"/>
          </w:tcPr>
          <w:p>
            <w:pPr>
              <w:spacing w:after="0"/>
              <w:rPr>
                <w:sz w:val="10"/>
                <w:szCs w:val="10"/>
                <w:color w:val="auto"/>
              </w:rPr>
            </w:pPr>
          </w:p>
        </w:tc>
        <w:tc>
          <w:tcPr>
            <w:tcW w:w="3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Benefits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12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restructuring liability as of June 29, 2007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Provision in fiscal 2008</w:t>
            </w:r>
          </w:p>
        </w:tc>
        <w:tc>
          <w:tcPr>
            <w:tcW w:w="1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Release of accrual to statement of operations in fiscal 2008</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Amount credited to goodwill in fiscal 2008</w:t>
            </w:r>
          </w:p>
        </w:tc>
        <w:tc>
          <w:tcPr>
            <w:tcW w:w="1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Other adjustments to liability, including foreign currency translation during fiscal 2008</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Non-cash charges in fiscal 2008</w:t>
            </w:r>
          </w:p>
        </w:tc>
        <w:tc>
          <w:tcPr>
            <w:tcW w:w="1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Cash payments in fiscal 2008</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Total restructuring liability as of June 27, 2008</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Provision in fiscal 2009 (Fiscal 2009 Plan)</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Reversal of accrual in fiscal 2009 to statement of operations for changes in estimates (Fiscal 2007 Plans)</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Non-cash charges in fiscal 2009 (Fiscal 2009 Plan)</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payments in fiscal 2009</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restructuring liability as of July 03, 2009</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Provision in fiscal 2010 (Fiscal 2009 Plan)</w:t>
            </w:r>
          </w:p>
        </w:tc>
        <w:tc>
          <w:tcPr>
            <w:tcW w:w="1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Cash payments in fiscal 2010</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Total restructuring liability as of July 02, 2010</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restructuring liability as of July 2, 2010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Long-term portion of restructuring liability as of July 2, 2010</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restructuring liability as of July 2, 2010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continue to restructure and transform our business to realign resources and achieve desired cost savings in an increasingly competitive market. Following approval of our annual operating plan, on August 12, 2010 we announced that we will implement certain cost reduction initiatives in the range of $30 to $35 million for fiscal 2011. These initiatives primarily affect operations in the Americas, Asia and Europe. These actions are intended to bring the Company’s operational cost structure in line with the changing dynamics of the microwave radio and telecommunications markets.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L —</w:t>
      </w:r>
      <w:r>
        <w:rPr>
          <w:sz w:val="20"/>
          <w:szCs w:val="20"/>
          <w:color w:val="auto"/>
        </w:rPr>
        <w:tab/>
      </w:r>
      <w:r>
        <w:rPr>
          <w:rFonts w:ascii="Arial" w:cs="Arial" w:eastAsia="Arial" w:hAnsi="Arial"/>
          <w:sz w:val="11"/>
          <w:szCs w:val="11"/>
          <w:b w:val="1"/>
          <w:bCs w:val="1"/>
          <w:color w:val="auto"/>
        </w:rPr>
        <w:t>Accumulated Other Comprehensive (Loss)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components of our accumulated other comprehensive (loss) income during fiscal 2010, 2009 and 2008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2"/>
              </w:rPr>
              <w:t>Foreign</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Accumulated</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Hedging</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Currency</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0"/>
              </w:rPr>
              <w:t>Comprehensive</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Translation</w:t>
            </w:r>
          </w:p>
        </w:tc>
        <w:tc>
          <w:tcPr>
            <w:tcW w:w="12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7"/>
              </w:rPr>
              <w:t>Derivatives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(Loss) Income</w:t>
            </w: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June 29, 2007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Foreign currency translation gain</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 on hedging activities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Balance as of June 27, 2008</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loss</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Net unrealized loss on hedging activities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 2009</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Foreign currency translation loss</w:t>
            </w:r>
          </w:p>
        </w:tc>
        <w:tc>
          <w:tcPr>
            <w:tcW w:w="1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 on hedging activities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Balance as of July 3, 2009</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M —</w:t>
      </w:r>
      <w:r>
        <w:rPr>
          <w:sz w:val="20"/>
          <w:szCs w:val="20"/>
          <w:color w:val="auto"/>
        </w:rPr>
        <w:tab/>
      </w:r>
      <w:r>
        <w:rPr>
          <w:rFonts w:ascii="Arial" w:cs="Arial" w:eastAsia="Arial" w:hAnsi="Arial"/>
          <w:sz w:val="11"/>
          <w:szCs w:val="11"/>
          <w:b w:val="1"/>
          <w:bCs w:val="1"/>
          <w:color w:val="auto"/>
        </w:rPr>
        <w:t>Share-Based Compensation</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As of July 2, 2010, we had one stock incentive plan for our employees and outside directors, the 2007 Stock Equity Plan, as amended and restated effective November 19, 2009 (the “2007 Stock Equity Plan” or the “plan”). This plan was adopted by our board of directors and approved by Harris as our sole shareholder in January 2007 and the amended and restated plan was approved by our shareholders on November 19, 2009. The plan provides for accelerated vesting of certain share-based awards if there is a change in control. Shares of our Common Stock remaining available for future issuance under the plan totaled 6,593,588 as of July 2, 2010. Our 2007 Stock Equity Plan provides for the issuance of share-based awards in the form of stock options, restricted stock and performance share awards.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also assumed all of the former Stratex outstanding stock options as of January 26, 2007, as part of the Stratex acquisition. We recognized $0.1 million, $1.6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 million in compensation expense relating to services provided during fiscal 2010, 2009 and 2008 for the portion of these stock options that were unvested as of January 26, 2007.</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Some of our employees who were formerly employed by Harris prior to the acquisition of Stratex participate in Harris’ three shareholder-approved stock incentive plans (the “Harris Plans”) under which options or other share-based compensation is outstanding. In total, the compensation expense (credit) related to the Harris Plans’ share-based awards was ($0.1) million, $0.1 million and $1.4 million during fiscal 2010, 2009 and 2008. These costs have been settled with Harris by cash. Harris has not made any awards to our employees since the date of the Stratex acquisition.</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the exercise of stock options, vesting of restricted stock awards, or vesting of performance share awards, we issue new shares of our Common Stock. Currently, we do not anticipate repurchasing shares to provide a source of shares for our rewards of share-based compensation.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In total, compensation expense for share-based awards was $3.2 million, $2.9 million and $7.8 million for fiscal 2010, 2009 and 2008. Amounts were included in our Consolidated Statements of Operations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18"/>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sales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0.2</w:t>
            </w: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9"/>
              </w:rPr>
              <w:t>0.6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Selling and administrative expenses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Total compensation expense</w:t>
            </w: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9"/>
              </w:rPr>
              <w:t>3.2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Less related income tax benefit recognized</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(0.7)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Total net of income tax benefits</w:t>
            </w: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9"/>
              </w:rPr>
              <w:t>3.2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 Awarded Under our 2007 Stock Equity Plan</w:t>
      </w:r>
    </w:p>
    <w:p>
      <w:pPr>
        <w:spacing w:after="0" w:line="96"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The following information relates to stock options that have been granted under our 2007 Stock Equity Plan. Option exercise prices are equal to the fair market value on the date the options are granted using our closing stock price. Options may be exercised for a period set at the time of grant, generally 7 years after the date of grant, and they generally vest in installments of 50% one year from the grant date, 25% two years from the grant date and 25% three years from the grant date or one-third annually over a three year period from date of grant.</w:t>
      </w:r>
    </w:p>
    <w:p>
      <w:pPr>
        <w:spacing w:after="0" w:line="7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fair value of each option award under our 2007 Stock Equity Plan was estimated on the date of grant using the Black-Scholes-Merton option-pricing model using the assumptions set forth in the table below. Expected volatility is based on a hybrid method of implied volatility for the expected term of the options from our stock price and a group of peer companies developed with the assistance of an independent valuation firm.</w:t>
      </w:r>
    </w:p>
    <w:p>
      <w:pPr>
        <w:spacing w:after="0" w:line="67" w:lineRule="exact"/>
        <w:rPr>
          <w:sz w:val="20"/>
          <w:szCs w:val="20"/>
          <w:color w:val="auto"/>
        </w:rPr>
      </w:pPr>
    </w:p>
    <w:p>
      <w:pPr>
        <w:ind w:left="680" w:right="1060" w:firstLine="399"/>
        <w:spacing w:after="0" w:line="320" w:lineRule="auto"/>
        <w:rPr>
          <w:sz w:val="20"/>
          <w:szCs w:val="20"/>
          <w:color w:val="auto"/>
        </w:rPr>
      </w:pPr>
      <w:r>
        <w:rPr>
          <w:rFonts w:ascii="Arial" w:cs="Arial" w:eastAsia="Arial" w:hAnsi="Arial"/>
          <w:sz w:val="12"/>
          <w:szCs w:val="12"/>
          <w:color w:val="auto"/>
        </w:rPr>
        <w:t>The expected term of the options is calculated using the simplified method described in the SEC’s Staff Accounting Bulletins No. 107 and No. 110. We use the simplified method because our stock does not have sufficient trading history and we do not have sufficient stock option exercise data since our company was formed in January 2007.</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risk-free rate for the expected term of the option is based on the U.S. Treasury yield curve in effect at the time of grant.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stock options awarded under our 2007 Stock Equity Plan, we recognized $2.5 million, $1.3 million and $1.4 million of compensation expense during fiscal 2010, 2009 and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significant weighted average assumptions we used in calculating the fair value of our stock option grants during fiscal 2010, 2009 and 2008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440" w:type="dxa"/>
            <w:vAlign w:val="bottom"/>
          </w:tcPr>
          <w:p>
            <w:pPr>
              <w:spacing w:after="0"/>
              <w:rPr>
                <w:sz w:val="20"/>
                <w:szCs w:val="20"/>
                <w:color w:val="auto"/>
              </w:rPr>
            </w:pPr>
            <w:r>
              <w:rPr>
                <w:rFonts w:ascii="Arial" w:cs="Arial" w:eastAsia="Arial" w:hAnsi="Arial"/>
                <w:sz w:val="10"/>
                <w:szCs w:val="10"/>
                <w:b w:val="1"/>
                <w:bCs w:val="1"/>
                <w:u w:val="single" w:color="auto"/>
                <w:color w:val="auto"/>
              </w:rPr>
              <w:t>G</w:t>
            </w:r>
            <w:r>
              <w:rPr>
                <w:rFonts w:ascii="Arial" w:cs="Arial" w:eastAsia="Arial" w:hAnsi="Arial"/>
                <w:sz w:val="10"/>
                <w:szCs w:val="10"/>
                <w:b w:val="1"/>
                <w:bCs w:val="1"/>
                <w:color w:val="auto"/>
              </w:rPr>
              <w:t>rant Date</w:t>
            </w:r>
          </w:p>
        </w:tc>
        <w:tc>
          <w:tcPr>
            <w:tcW w:w="26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2008</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dividends</w:t>
            </w:r>
          </w:p>
        </w:tc>
        <w:tc>
          <w:tcPr>
            <w:tcW w:w="2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Expected volatility</w:t>
            </w:r>
          </w:p>
        </w:tc>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196"/>
              <w:spacing w:after="0"/>
              <w:rPr>
                <w:sz w:val="20"/>
                <w:szCs w:val="20"/>
                <w:color w:val="auto"/>
              </w:rPr>
            </w:pPr>
            <w:r>
              <w:rPr>
                <w:rFonts w:ascii="Arial" w:cs="Arial" w:eastAsia="Arial" w:hAnsi="Arial"/>
                <w:sz w:val="13"/>
                <w:szCs w:val="13"/>
                <w:color w:val="auto"/>
              </w:rPr>
              <w:t>61.1%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196"/>
              <w:spacing w:after="0"/>
              <w:rPr>
                <w:sz w:val="20"/>
                <w:szCs w:val="20"/>
                <w:color w:val="auto"/>
              </w:rPr>
            </w:pPr>
            <w:r>
              <w:rPr>
                <w:rFonts w:ascii="Arial" w:cs="Arial" w:eastAsia="Arial" w:hAnsi="Arial"/>
                <w:sz w:val="13"/>
                <w:szCs w:val="13"/>
                <w:color w:val="auto"/>
              </w:rPr>
              <w:t>54.2%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55.6%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2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2.35%</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2.36%</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Expected term (years)</w:t>
            </w:r>
          </w:p>
        </w:tc>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296"/>
              <w:spacing w:after="0"/>
              <w:rPr>
                <w:sz w:val="20"/>
                <w:szCs w:val="20"/>
                <w:color w:val="auto"/>
              </w:rPr>
            </w:pPr>
            <w:r>
              <w:rPr>
                <w:rFonts w:ascii="Arial" w:cs="Arial" w:eastAsia="Arial" w:hAnsi="Arial"/>
                <w:sz w:val="13"/>
                <w:szCs w:val="13"/>
                <w:color w:val="auto"/>
              </w:rPr>
              <w:t>4.410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rPr>
              <w:t>4.375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4.375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Stock price on date of grant</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5.68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13.68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Number of stock options granted</w:t>
            </w:r>
          </w:p>
        </w:tc>
        <w:tc>
          <w:tcPr>
            <w:tcW w:w="2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296"/>
              <w:spacing w:after="0"/>
              <w:rPr>
                <w:sz w:val="20"/>
                <w:szCs w:val="20"/>
                <w:color w:val="auto"/>
              </w:rPr>
            </w:pPr>
            <w:r>
              <w:rPr>
                <w:rFonts w:ascii="Arial" w:cs="Arial" w:eastAsia="Arial" w:hAnsi="Arial"/>
                <w:sz w:val="13"/>
                <w:szCs w:val="13"/>
                <w:color w:val="auto"/>
                <w:w w:val="86"/>
              </w:rPr>
              <w:t>1,681,959</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color w:val="auto"/>
                <w:w w:val="89"/>
              </w:rPr>
              <w:t>1,043,405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w w:val="85"/>
              </w:rPr>
              <w:t>20,050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Fair value per option on date of grant</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6.55</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20" w:type="dxa"/>
            <w:vAlign w:val="bottom"/>
          </w:tcPr>
          <w:p>
            <w:pPr>
              <w:jc w:val="right"/>
              <w:ind w:right="934"/>
              <w:spacing w:after="0"/>
              <w:rPr>
                <w:sz w:val="20"/>
                <w:szCs w:val="20"/>
                <w:color w:val="auto"/>
              </w:rPr>
            </w:pPr>
            <w:r>
              <w:rPr>
                <w:rFonts w:ascii="Arial" w:cs="Arial" w:eastAsia="Arial" w:hAnsi="Arial"/>
                <w:sz w:val="13"/>
                <w:szCs w:val="13"/>
                <w:color w:val="auto"/>
              </w:rPr>
              <w:t>85</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stock options under our 2007 Stock Equity Plan as of July 2, 2010 and changes during fiscal 2010,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Weighted</w:t>
            </w:r>
          </w:p>
        </w:tc>
        <w:tc>
          <w:tcPr>
            <w:tcW w:w="2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Weighted</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w:t>
            </w:r>
          </w:p>
        </w:tc>
        <w:tc>
          <w:tcPr>
            <w:tcW w:w="2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Average Grant</w:t>
            </w:r>
          </w:p>
        </w:tc>
        <w:tc>
          <w:tcPr>
            <w:tcW w:w="2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Remaining</w:t>
            </w:r>
          </w:p>
        </w:tc>
        <w:tc>
          <w:tcPr>
            <w:tcW w:w="2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26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Date Fair</w:t>
            </w:r>
          </w:p>
        </w:tc>
        <w:tc>
          <w:tcPr>
            <w:tcW w:w="2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Contractual</w:t>
            </w:r>
          </w:p>
        </w:tc>
        <w:tc>
          <w:tcPr>
            <w:tcW w:w="2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Exercise Price</w:t>
            </w:r>
          </w:p>
        </w:tc>
        <w:tc>
          <w:tcPr>
            <w:tcW w:w="26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26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Life</w:t>
            </w:r>
          </w:p>
        </w:tc>
        <w:tc>
          <w:tcPr>
            <w:tcW w:w="260" w:type="dxa"/>
            <w:vAlign w:val="bottom"/>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Intrinsic Value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6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4"/>
              </w:rPr>
              <w:t>(Years)</w:t>
            </w:r>
          </w:p>
        </w:tc>
        <w:tc>
          <w:tcPr>
            <w:tcW w:w="2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6"/>
              </w:rPr>
              <w:t>($ in millions)</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outstanding as of July 3, 2009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1,103,177</w:t>
            </w:r>
          </w:p>
        </w:tc>
        <w:tc>
          <w:tcPr>
            <w:tcW w:w="13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7.94</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10.81</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Stock options forfeited</w:t>
            </w:r>
          </w:p>
        </w:tc>
        <w:tc>
          <w:tcPr>
            <w:tcW w:w="1060" w:type="dxa"/>
            <w:vAlign w:val="bottom"/>
            <w:gridSpan w:val="3"/>
          </w:tcPr>
          <w:p>
            <w:pPr>
              <w:jc w:val="right"/>
              <w:ind w:right="220"/>
              <w:spacing w:after="0"/>
              <w:rPr>
                <w:sz w:val="20"/>
                <w:szCs w:val="20"/>
                <w:color w:val="auto"/>
              </w:rPr>
            </w:pPr>
            <w:r>
              <w:rPr>
                <w:rFonts w:ascii="Arial" w:cs="Arial" w:eastAsia="Arial" w:hAnsi="Arial"/>
                <w:sz w:val="13"/>
                <w:szCs w:val="13"/>
                <w:color w:val="auto"/>
              </w:rPr>
              <w:t>(216,857)</w:t>
            </w:r>
          </w:p>
        </w:tc>
        <w:tc>
          <w:tcPr>
            <w:tcW w:w="1340" w:type="dxa"/>
            <w:vAlign w:val="bottom"/>
            <w:gridSpan w:val="2"/>
          </w:tcPr>
          <w:p>
            <w:pPr>
              <w:jc w:val="right"/>
              <w:ind w:right="328"/>
              <w:spacing w:after="0"/>
              <w:rPr>
                <w:sz w:val="20"/>
                <w:szCs w:val="20"/>
                <w:color w:val="auto"/>
              </w:rPr>
            </w:pPr>
            <w:r>
              <w:rPr>
                <w:rFonts w:ascii="Arial" w:cs="Arial" w:eastAsia="Arial" w:hAnsi="Arial"/>
                <w:sz w:val="13"/>
                <w:szCs w:val="13"/>
                <w:color w:val="auto"/>
              </w:rPr>
              <w:t>6.33</w:t>
            </w:r>
          </w:p>
        </w:tc>
        <w:tc>
          <w:tcPr>
            <w:tcW w:w="1460" w:type="dxa"/>
            <w:vAlign w:val="bottom"/>
            <w:gridSpan w:val="2"/>
          </w:tcPr>
          <w:p>
            <w:pPr>
              <w:jc w:val="right"/>
              <w:ind w:right="408"/>
              <w:spacing w:after="0"/>
              <w:rPr>
                <w:sz w:val="20"/>
                <w:szCs w:val="20"/>
                <w:color w:val="auto"/>
              </w:rPr>
            </w:pPr>
            <w:r>
              <w:rPr>
                <w:rFonts w:ascii="Arial" w:cs="Arial" w:eastAsia="Arial" w:hAnsi="Arial"/>
                <w:sz w:val="13"/>
                <w:szCs w:val="13"/>
                <w:color w:val="auto"/>
              </w:rPr>
              <w:t>3.09</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expired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(16,154)</w:t>
            </w:r>
          </w:p>
        </w:tc>
        <w:tc>
          <w:tcPr>
            <w:tcW w:w="13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15.75</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8.76</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Stock options granted</w:t>
            </w:r>
          </w:p>
        </w:tc>
        <w:tc>
          <w:tcPr>
            <w:tcW w:w="1060" w:type="dxa"/>
            <w:vAlign w:val="bottom"/>
            <w:gridSpan w:val="3"/>
          </w:tcPr>
          <w:p>
            <w:pPr>
              <w:jc w:val="right"/>
              <w:ind w:right="260"/>
              <w:spacing w:after="0"/>
              <w:rPr>
                <w:sz w:val="20"/>
                <w:szCs w:val="20"/>
                <w:color w:val="auto"/>
              </w:rPr>
            </w:pPr>
            <w:r>
              <w:rPr>
                <w:rFonts w:ascii="Arial" w:cs="Arial" w:eastAsia="Arial" w:hAnsi="Arial"/>
                <w:sz w:val="13"/>
                <w:szCs w:val="13"/>
                <w:color w:val="auto"/>
              </w:rPr>
              <w:t>1,681,959</w:t>
            </w:r>
          </w:p>
        </w:tc>
        <w:tc>
          <w:tcPr>
            <w:tcW w:w="1340" w:type="dxa"/>
            <w:vAlign w:val="bottom"/>
            <w:gridSpan w:val="2"/>
          </w:tcPr>
          <w:p>
            <w:pPr>
              <w:jc w:val="right"/>
              <w:ind w:right="328"/>
              <w:spacing w:after="0"/>
              <w:rPr>
                <w:sz w:val="20"/>
                <w:szCs w:val="20"/>
                <w:color w:val="auto"/>
              </w:rPr>
            </w:pPr>
            <w:r>
              <w:rPr>
                <w:rFonts w:ascii="Arial" w:cs="Arial" w:eastAsia="Arial" w:hAnsi="Arial"/>
                <w:sz w:val="13"/>
                <w:szCs w:val="13"/>
                <w:color w:val="auto"/>
              </w:rPr>
              <w:t>6.26</w:t>
            </w:r>
          </w:p>
        </w:tc>
        <w:tc>
          <w:tcPr>
            <w:tcW w:w="1460" w:type="dxa"/>
            <w:vAlign w:val="bottom"/>
            <w:gridSpan w:val="2"/>
          </w:tcPr>
          <w:p>
            <w:pPr>
              <w:jc w:val="right"/>
              <w:ind w:right="408"/>
              <w:spacing w:after="0"/>
              <w:rPr>
                <w:sz w:val="20"/>
                <w:szCs w:val="20"/>
                <w:color w:val="auto"/>
              </w:rPr>
            </w:pPr>
            <w:r>
              <w:rPr>
                <w:rFonts w:ascii="Arial" w:cs="Arial" w:eastAsia="Arial" w:hAnsi="Arial"/>
                <w:sz w:val="13"/>
                <w:szCs w:val="13"/>
                <w:color w:val="auto"/>
              </w:rPr>
              <w:t>3.16</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exercised</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(17,399)</w:t>
            </w:r>
          </w:p>
        </w:tc>
        <w:tc>
          <w:tcPr>
            <w:tcW w:w="13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5.97</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2.70</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color w:val="auto"/>
              </w:rPr>
              <w:t>Stock options outstanding as of July 2, 2010</w:t>
            </w: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vMerge w:val="restart"/>
          </w:tcPr>
          <w:p>
            <w:pPr>
              <w:jc w:val="right"/>
              <w:ind w:right="328"/>
              <w:spacing w:after="0"/>
              <w:rPr>
                <w:sz w:val="20"/>
                <w:szCs w:val="20"/>
                <w:color w:val="auto"/>
              </w:rPr>
            </w:pPr>
            <w:r>
              <w:rPr>
                <w:rFonts w:ascii="Arial" w:cs="Arial" w:eastAsia="Arial" w:hAnsi="Arial"/>
                <w:sz w:val="13"/>
                <w:szCs w:val="13"/>
                <w:color w:val="auto"/>
              </w:rPr>
              <w:t>6.92</w:t>
            </w:r>
          </w:p>
        </w:tc>
        <w:tc>
          <w:tcPr>
            <w:tcW w:w="1460" w:type="dxa"/>
            <w:vAlign w:val="bottom"/>
            <w:gridSpan w:val="2"/>
            <w:vMerge w:val="restart"/>
          </w:tcPr>
          <w:p>
            <w:pPr>
              <w:jc w:val="right"/>
              <w:ind w:right="408"/>
              <w:spacing w:after="0"/>
              <w:rPr>
                <w:sz w:val="20"/>
                <w:szCs w:val="20"/>
                <w:color w:val="auto"/>
              </w:rPr>
            </w:pPr>
            <w:r>
              <w:rPr>
                <w:rFonts w:ascii="Arial" w:cs="Arial" w:eastAsia="Arial" w:hAnsi="Arial"/>
                <w:sz w:val="13"/>
                <w:szCs w:val="13"/>
                <w:color w:val="auto"/>
              </w:rPr>
              <w:t>7.11</w:t>
            </w:r>
          </w:p>
        </w:tc>
        <w:tc>
          <w:tcPr>
            <w:tcW w:w="1180" w:type="dxa"/>
            <w:vAlign w:val="bottom"/>
            <w:gridSpan w:val="2"/>
            <w:vMerge w:val="restart"/>
          </w:tcPr>
          <w:p>
            <w:pPr>
              <w:jc w:val="center"/>
              <w:ind w:left="194"/>
              <w:spacing w:after="0"/>
              <w:rPr>
                <w:sz w:val="20"/>
                <w:szCs w:val="20"/>
                <w:color w:val="auto"/>
              </w:rPr>
            </w:pPr>
            <w:r>
              <w:rPr>
                <w:rFonts w:ascii="Arial" w:cs="Arial" w:eastAsia="Arial" w:hAnsi="Arial"/>
                <w:sz w:val="13"/>
                <w:szCs w:val="13"/>
                <w:color w:val="auto"/>
                <w:w w:val="88"/>
              </w:rPr>
              <w:t>6.0</w:t>
            </w:r>
          </w:p>
        </w:tc>
        <w:tc>
          <w:tcPr>
            <w:tcW w:w="26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56"/>
        </w:trPr>
        <w:tc>
          <w:tcPr>
            <w:tcW w:w="3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w w:val="89"/>
              </w:rPr>
              <w:t>2,534,726</w:t>
            </w:r>
          </w:p>
        </w:tc>
        <w:tc>
          <w:tcPr>
            <w:tcW w:w="134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exercisable as of July 2, 2010</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763,144</w:t>
            </w:r>
          </w:p>
        </w:tc>
        <w:tc>
          <w:tcPr>
            <w:tcW w:w="13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8.68</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4.46</w:t>
            </w:r>
          </w:p>
        </w:tc>
        <w:tc>
          <w:tcPr>
            <w:tcW w:w="1180" w:type="dxa"/>
            <w:vAlign w:val="bottom"/>
            <w:gridSpan w:val="2"/>
            <w:shd w:val="clear" w:color="auto" w:fill="CCEEFF"/>
          </w:tcPr>
          <w:p>
            <w:pPr>
              <w:jc w:val="center"/>
              <w:ind w:left="194"/>
              <w:spacing w:after="0"/>
              <w:rPr>
                <w:sz w:val="20"/>
                <w:szCs w:val="20"/>
                <w:color w:val="auto"/>
              </w:rPr>
            </w:pPr>
            <w:r>
              <w:rPr>
                <w:rFonts w:ascii="Arial" w:cs="Arial" w:eastAsia="Arial" w:hAnsi="Arial"/>
                <w:sz w:val="13"/>
                <w:szCs w:val="13"/>
                <w:color w:val="auto"/>
                <w:w w:val="88"/>
              </w:rPr>
              <w:t>5.2</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20"/>
                <w:szCs w:val="20"/>
                <w:color w:val="auto"/>
              </w:rPr>
            </w:pPr>
            <w:r>
              <w:rPr>
                <w:rFonts w:ascii="Arial" w:cs="Arial" w:eastAsia="Arial" w:hAnsi="Arial"/>
                <w:sz w:val="13"/>
                <w:szCs w:val="13"/>
                <w:color w:val="auto"/>
                <w:w w:val="98"/>
              </w:rPr>
              <w:t>Stock options vested and expected to vest as of July 2, 2010(1)</w:t>
            </w:r>
          </w:p>
        </w:tc>
        <w:tc>
          <w:tcPr>
            <w:tcW w:w="1060" w:type="dxa"/>
            <w:vAlign w:val="bottom"/>
            <w:gridSpan w:val="3"/>
          </w:tcPr>
          <w:p>
            <w:pPr>
              <w:jc w:val="right"/>
              <w:ind w:right="260"/>
              <w:spacing w:after="0"/>
              <w:rPr>
                <w:sz w:val="20"/>
                <w:szCs w:val="20"/>
                <w:color w:val="auto"/>
              </w:rPr>
            </w:pPr>
            <w:r>
              <w:rPr>
                <w:rFonts w:ascii="Arial" w:cs="Arial" w:eastAsia="Arial" w:hAnsi="Arial"/>
                <w:sz w:val="13"/>
                <w:szCs w:val="13"/>
                <w:color w:val="auto"/>
              </w:rPr>
              <w:t>2,308,714</w:t>
            </w:r>
          </w:p>
        </w:tc>
        <w:tc>
          <w:tcPr>
            <w:tcW w:w="1340" w:type="dxa"/>
            <w:vAlign w:val="bottom"/>
            <w:gridSpan w:val="2"/>
          </w:tcPr>
          <w:p>
            <w:pPr>
              <w:jc w:val="right"/>
              <w:ind w:right="328"/>
              <w:spacing w:after="0"/>
              <w:rPr>
                <w:sz w:val="20"/>
                <w:szCs w:val="20"/>
                <w:color w:val="auto"/>
              </w:rPr>
            </w:pPr>
            <w:r>
              <w:rPr>
                <w:rFonts w:ascii="Arial" w:cs="Arial" w:eastAsia="Arial" w:hAnsi="Arial"/>
                <w:sz w:val="13"/>
                <w:szCs w:val="13"/>
                <w:color w:val="auto"/>
              </w:rPr>
              <w:t>6.92</w:t>
            </w:r>
          </w:p>
        </w:tc>
        <w:tc>
          <w:tcPr>
            <w:tcW w:w="1460" w:type="dxa"/>
            <w:vAlign w:val="bottom"/>
            <w:gridSpan w:val="2"/>
          </w:tcPr>
          <w:p>
            <w:pPr>
              <w:jc w:val="right"/>
              <w:ind w:right="408"/>
              <w:spacing w:after="0"/>
              <w:rPr>
                <w:sz w:val="20"/>
                <w:szCs w:val="20"/>
                <w:color w:val="auto"/>
              </w:rPr>
            </w:pPr>
            <w:r>
              <w:rPr>
                <w:rFonts w:ascii="Arial" w:cs="Arial" w:eastAsia="Arial" w:hAnsi="Arial"/>
                <w:sz w:val="13"/>
                <w:szCs w:val="13"/>
                <w:color w:val="auto"/>
              </w:rPr>
              <w:t>7.11</w:t>
            </w:r>
          </w:p>
        </w:tc>
        <w:tc>
          <w:tcPr>
            <w:tcW w:w="1180" w:type="dxa"/>
            <w:vAlign w:val="bottom"/>
            <w:gridSpan w:val="2"/>
          </w:tcPr>
          <w:p>
            <w:pPr>
              <w:jc w:val="center"/>
              <w:ind w:left="194"/>
              <w:spacing w:after="0"/>
              <w:rPr>
                <w:sz w:val="20"/>
                <w:szCs w:val="20"/>
                <w:color w:val="auto"/>
              </w:rPr>
            </w:pPr>
            <w:r>
              <w:rPr>
                <w:rFonts w:ascii="Arial" w:cs="Arial" w:eastAsia="Arial" w:hAnsi="Arial"/>
                <w:sz w:val="13"/>
                <w:szCs w:val="13"/>
                <w:color w:val="auto"/>
                <w:w w:val="88"/>
              </w:rPr>
              <w:t>6.0</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options expected to vest are the result of applying the pre-vesting forfeiture rate assumptions to total outstanding options.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aggregate intrinsic value represents the total pre-tax intrinsic value or the aggregate difference between the closing price of our common stock on July 2, 2010 of $3.50 and the exercise price for in-the-money options that would have been received by the optionees if all options had been exercised on July 2, 2010. The intrinsic value of options exercised during fiscal 2010 was less than $0.1 million for the 17,399 shares exercised.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nonvested stock options as of July 2, 2010 granted under our 2007 Stock Equity Plan and changes during fiscal 2010,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3"/>
            <w:vMerge w:val="restart"/>
          </w:tcPr>
          <w:p>
            <w:pPr>
              <w:jc w:val="right"/>
              <w:ind w:right="48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70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Nonvested stock options as of July 3, 2009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970,332</w:t>
            </w:r>
          </w:p>
        </w:tc>
        <w:tc>
          <w:tcPr>
            <w:tcW w:w="36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7020" w:type="dxa"/>
            <w:vAlign w:val="bottom"/>
          </w:tcPr>
          <w:p>
            <w:pPr>
              <w:spacing w:after="0"/>
              <w:rPr>
                <w:sz w:val="20"/>
                <w:szCs w:val="20"/>
                <w:color w:val="auto"/>
              </w:rPr>
            </w:pPr>
            <w:r>
              <w:rPr>
                <w:rFonts w:ascii="Arial" w:cs="Arial" w:eastAsia="Arial" w:hAnsi="Arial"/>
                <w:sz w:val="13"/>
                <w:szCs w:val="13"/>
                <w:color w:val="auto"/>
              </w:rPr>
              <w:t>Stock options granted</w:t>
            </w: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1,681,959</w:t>
            </w:r>
          </w:p>
        </w:tc>
        <w:tc>
          <w:tcPr>
            <w:tcW w:w="360" w:type="dxa"/>
            <w:vAlign w:val="bottom"/>
          </w:tcPr>
          <w:p>
            <w:pPr>
              <w:spacing w:after="0"/>
              <w:rPr>
                <w:sz w:val="13"/>
                <w:szCs w:val="13"/>
                <w:color w:val="auto"/>
              </w:rPr>
            </w:pPr>
          </w:p>
        </w:tc>
        <w:tc>
          <w:tcPr>
            <w:tcW w:w="1680" w:type="dxa"/>
            <w:vAlign w:val="bottom"/>
            <w:gridSpan w:val="2"/>
          </w:tcPr>
          <w:p>
            <w:pPr>
              <w:jc w:val="right"/>
              <w:ind w:right="528"/>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57"/>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Stock options forfeited</w:t>
            </w: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(216,857)</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57"/>
        </w:trPr>
        <w:tc>
          <w:tcPr>
            <w:tcW w:w="7020" w:type="dxa"/>
            <w:vAlign w:val="bottom"/>
          </w:tcPr>
          <w:p>
            <w:pPr>
              <w:spacing w:after="0"/>
              <w:rPr>
                <w:sz w:val="20"/>
                <w:szCs w:val="20"/>
                <w:color w:val="auto"/>
              </w:rPr>
            </w:pPr>
            <w:r>
              <w:rPr>
                <w:rFonts w:ascii="Arial" w:cs="Arial" w:eastAsia="Arial" w:hAnsi="Arial"/>
                <w:sz w:val="13"/>
                <w:szCs w:val="13"/>
                <w:color w:val="auto"/>
              </w:rPr>
              <w:t>Stock options expired</w:t>
            </w:r>
          </w:p>
        </w:tc>
        <w:tc>
          <w:tcPr>
            <w:tcW w:w="1280" w:type="dxa"/>
            <w:vAlign w:val="bottom"/>
            <w:gridSpan w:val="4"/>
          </w:tcPr>
          <w:p>
            <w:pPr>
              <w:jc w:val="right"/>
              <w:ind w:right="320"/>
              <w:spacing w:after="0"/>
              <w:rPr>
                <w:sz w:val="20"/>
                <w:szCs w:val="20"/>
                <w:color w:val="auto"/>
              </w:rPr>
            </w:pPr>
            <w:r>
              <w:rPr>
                <w:rFonts w:ascii="Arial" w:cs="Arial" w:eastAsia="Arial" w:hAnsi="Arial"/>
                <w:sz w:val="13"/>
                <w:szCs w:val="13"/>
                <w:color w:val="auto"/>
              </w:rPr>
              <w:t>(16,154)</w:t>
            </w:r>
          </w:p>
        </w:tc>
        <w:tc>
          <w:tcPr>
            <w:tcW w:w="1680" w:type="dxa"/>
            <w:vAlign w:val="bottom"/>
            <w:gridSpan w:val="2"/>
          </w:tcPr>
          <w:p>
            <w:pPr>
              <w:jc w:val="right"/>
              <w:ind w:right="528"/>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57"/>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Stock options vested</w:t>
            </w:r>
          </w:p>
        </w:tc>
        <w:tc>
          <w:tcPr>
            <w:tcW w:w="3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(629,883)</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3"/>
                <w:szCs w:val="13"/>
                <w:color w:val="auto"/>
              </w:rPr>
              <w:t>Nonvested stock options as of July 2, 2010</w:t>
            </w: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2"/>
            <w:vMerge w:val="restart"/>
          </w:tcPr>
          <w:p>
            <w:pPr>
              <w:jc w:val="right"/>
              <w:ind w:right="528"/>
              <w:spacing w:after="0"/>
              <w:rPr>
                <w:sz w:val="20"/>
                <w:szCs w:val="20"/>
                <w:color w:val="auto"/>
              </w:rPr>
            </w:pPr>
            <w:r>
              <w:rPr>
                <w:rFonts w:ascii="Arial" w:cs="Arial" w:eastAsia="Arial" w:hAnsi="Arial"/>
                <w:sz w:val="13"/>
                <w:szCs w:val="13"/>
                <w:color w:val="auto"/>
              </w:rPr>
              <w:t>$3.08</w:t>
            </w:r>
          </w:p>
        </w:tc>
        <w:tc>
          <w:tcPr>
            <w:tcW w:w="0" w:type="dxa"/>
            <w:vAlign w:val="bottom"/>
          </w:tcPr>
          <w:p>
            <w:pPr>
              <w:spacing w:after="0" w:line="20" w:lineRule="exact"/>
              <w:rPr>
                <w:sz w:val="1"/>
                <w:szCs w:val="1"/>
                <w:color w:val="auto"/>
              </w:rPr>
            </w:pPr>
          </w:p>
        </w:tc>
      </w:tr>
      <w:tr>
        <w:trPr>
          <w:trHeight w:val="166"/>
        </w:trPr>
        <w:tc>
          <w:tcPr>
            <w:tcW w:w="7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9"/>
              </w:rPr>
              <w:t>1,789,397</w:t>
            </w:r>
          </w:p>
        </w:tc>
        <w:tc>
          <w:tcPr>
            <w:tcW w:w="3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of July 2, 2010, there was $3.5 million of total unrecognized compensation expense related to nonvested stock options granted under our 2007 Stock Equity Plan. This cost is expected to be recognized over a weighted-average period of 1.3 years. The total fair value of stock options that vested during fiscal 2010, 2009 and 2008 was $1.9 million, $0.5 million and $1.7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 Under our 2007 Stock Equity Plan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following information relates to awards of restricted stock that were granted to employees and outside directors under our 2007 Stock Equity Plan. The restricted stock is not transferable until vested and the restrictions lapse upon the achievement of continued employment or service over a specified time period. Restricted stock issued to employees generally vests one-third annually over a three year period from date of grant or cliff vests three years after grant date. Restricted stock is issued to directors annually and generally vests ratably on a quarterly basis through the annual service period. We recognized $1.0 million, $1.0 million and $1.3 million of compensation expense during fiscal 2010, 2009 and 2008. The fair value of each restricted stock grant is based on the closing price of our Common Stock on the date of grant and is amortized to compensation expense over its vesting period.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restricted stock as of July 2, 2010 and changes during fiscal 2010,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rPr>
              <w:t>Grant Date</w:t>
            </w: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outstanding as of July 3, 2009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176,975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79"/>
              </w:rPr>
              <w:t>11.53</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Restricted stock granted</w:t>
            </w:r>
          </w:p>
        </w:tc>
        <w:tc>
          <w:tcPr>
            <w:tcW w:w="1040" w:type="dxa"/>
            <w:vAlign w:val="bottom"/>
            <w:gridSpan w:val="3"/>
          </w:tcPr>
          <w:p>
            <w:pPr>
              <w:jc w:val="right"/>
              <w:ind w:right="280"/>
              <w:spacing w:after="0"/>
              <w:rPr>
                <w:sz w:val="20"/>
                <w:szCs w:val="20"/>
                <w:color w:val="auto"/>
              </w:rPr>
            </w:pPr>
            <w:r>
              <w:rPr>
                <w:rFonts w:ascii="Arial" w:cs="Arial" w:eastAsia="Arial" w:hAnsi="Arial"/>
                <w:sz w:val="13"/>
                <w:szCs w:val="13"/>
                <w:color w:val="auto"/>
              </w:rPr>
              <w:t>420,158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14"/>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vested and released</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(109,598)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79"/>
              </w:rPr>
              <w:t>14.92</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Restricted stock forfeited</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(95,166)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14"/>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outstanding as of July 2, 2010</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7"/>
              </w:rPr>
              <w:t>392,369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of July 2, 2010, there was $1.6 million of total unrecognized compensation expense related to restricted stock awards under our 2007 Stock Equity Plan. This expense is expected to be recognized over a weighted-average period of 1.3 years. The total fair value of restricted stock that vested during fiscal 2010, 2009 and 2008 was $1.6 million, $0.4 million and $0.6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 Share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information relates to awards of performance shares that have been granted to employees under our 2007 Stock Equity Plan.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fiscal 2010, we determined that the three-year performance period minimum threshold targets would not be achieved for performance share awards made under our fiscal year 2009 Long-Term Incentive Plan. Accordingly, we estimate that 100% of these awards will not vest and will be forfeited as of July 1, 2011. As a result, we recorded a credit to compensation expense of $0.6 million during fiscal 2010 related to these awards.</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Vesting of performance share awards under our fiscal 2007 Long-Term Incentive Plan was subject to performance criteria including meeting net income and cash flow targets for the 30-month plan period ended July 3, 2009 and continued employment at the end of that period. During fiscal 2009, we determined that these net income and cash flow targets would not be achieved for performance share awards made under our fiscal year 2007 Long-Term Incentive Plan. Accordingly, these awards did not vest and were forfeited as of July 3, 2009. Accordingly, for these awards, we recorded a credit to compensation expense of $1.6 million during fiscal 2009.</w:t>
      </w:r>
    </w:p>
    <w:p>
      <w:pPr>
        <w:spacing w:after="0" w:line="70" w:lineRule="exact"/>
        <w:rPr>
          <w:sz w:val="20"/>
          <w:szCs w:val="20"/>
          <w:color w:val="auto"/>
        </w:rPr>
      </w:pPr>
    </w:p>
    <w:p>
      <w:pPr>
        <w:ind w:left="1080" w:right="780"/>
        <w:spacing w:after="0" w:line="395" w:lineRule="auto"/>
        <w:rPr>
          <w:sz w:val="20"/>
          <w:szCs w:val="20"/>
          <w:color w:val="auto"/>
        </w:rPr>
      </w:pPr>
      <w:r>
        <w:rPr>
          <w:rFonts w:ascii="Arial" w:cs="Arial" w:eastAsia="Arial" w:hAnsi="Arial"/>
          <w:sz w:val="13"/>
          <w:szCs w:val="13"/>
          <w:color w:val="auto"/>
        </w:rPr>
        <w:t>The final determination of the number of performance shares vesting in respect of an award will be determined by our Board of Directors, or a committee of our Board. During fiscal 2010, 2009 and 2008, we recorded compensation expense (credit) of $(0.3) million, $(0.9) million and $1.2 million for all performance share awards. A summary of the status of our performance shares as of July 2, 2010, and changes during fiscal 2010, are as follows:</w:t>
      </w:r>
    </w:p>
    <w:tbl>
      <w:tblPr>
        <w:tblLayout w:type="fixed"/>
        <w:tblInd w:w="680" w:type="dxa"/>
        <w:tblCellMar>
          <w:top w:w="0" w:type="dxa"/>
          <w:left w:w="0" w:type="dxa"/>
          <w:bottom w:w="0" w:type="dxa"/>
          <w:right w:w="0" w:type="dxa"/>
        </w:tblCellMar>
      </w:tblPr>
      <w:tr>
        <w:trPr>
          <w:trHeight w:val="109"/>
        </w:trPr>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7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outstanding as of July 3,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492,509</w:t>
            </w:r>
          </w:p>
        </w:tc>
        <w:tc>
          <w:tcPr>
            <w:tcW w:w="28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Performance shares granted</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401,606</w:t>
            </w:r>
          </w:p>
        </w:tc>
        <w:tc>
          <w:tcPr>
            <w:tcW w:w="280" w:type="dxa"/>
            <w:vAlign w:val="bottom"/>
          </w:tcPr>
          <w:p>
            <w:pPr>
              <w:spacing w:after="0"/>
              <w:rPr>
                <w:sz w:val="13"/>
                <w:szCs w:val="13"/>
                <w:color w:val="auto"/>
              </w:rPr>
            </w:pPr>
          </w:p>
        </w:tc>
        <w:tc>
          <w:tcPr>
            <w:tcW w:w="1680" w:type="dxa"/>
            <w:vAlign w:val="bottom"/>
            <w:gridSpan w:val="2"/>
          </w:tcPr>
          <w:p>
            <w:pPr>
              <w:jc w:val="right"/>
              <w:ind w:right="528"/>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vested and released</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60" w:type="dxa"/>
            <w:vAlign w:val="bottom"/>
          </w:tcPr>
          <w:p>
            <w:pPr>
              <w:spacing w:after="0"/>
              <w:rPr>
                <w:sz w:val="20"/>
                <w:szCs w:val="20"/>
                <w:color w:val="auto"/>
              </w:rPr>
            </w:pPr>
            <w:r>
              <w:rPr>
                <w:rFonts w:ascii="Arial" w:cs="Arial" w:eastAsia="Arial" w:hAnsi="Arial"/>
                <w:sz w:val="13"/>
                <w:szCs w:val="13"/>
                <w:color w:val="auto"/>
              </w:rPr>
              <w:t>Performance shares forfeited due to target thresholds not achieved</w:t>
            </w:r>
          </w:p>
        </w:tc>
        <w:tc>
          <w:tcPr>
            <w:tcW w:w="2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forfeited due to terminations</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9"/>
              </w:rPr>
              <w:t>(247,332)</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66"/>
        </w:trPr>
        <w:tc>
          <w:tcPr>
            <w:tcW w:w="7260" w:type="dxa"/>
            <w:vAlign w:val="bottom"/>
          </w:tcPr>
          <w:p>
            <w:pPr>
              <w:spacing w:after="0"/>
              <w:rPr>
                <w:sz w:val="20"/>
                <w:szCs w:val="20"/>
                <w:color w:val="auto"/>
              </w:rPr>
            </w:pPr>
            <w:r>
              <w:rPr>
                <w:rFonts w:ascii="Arial" w:cs="Arial" w:eastAsia="Arial" w:hAnsi="Arial"/>
                <w:sz w:val="13"/>
                <w:szCs w:val="13"/>
                <w:color w:val="auto"/>
              </w:rPr>
              <w:t>Performance shares outstanding as of July 2, 2010</w:t>
            </w: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646,783</w:t>
            </w:r>
          </w:p>
        </w:tc>
        <w:tc>
          <w:tcPr>
            <w:tcW w:w="280" w:type="dxa"/>
            <w:vAlign w:val="bottom"/>
          </w:tcPr>
          <w:p>
            <w:pPr>
              <w:spacing w:after="0"/>
              <w:rPr>
                <w:sz w:val="14"/>
                <w:szCs w:val="14"/>
                <w:color w:val="auto"/>
              </w:rPr>
            </w:pPr>
          </w:p>
        </w:tc>
        <w:tc>
          <w:tcPr>
            <w:tcW w:w="1680" w:type="dxa"/>
            <w:vAlign w:val="bottom"/>
            <w:gridSpan w:val="2"/>
          </w:tcPr>
          <w:p>
            <w:pPr>
              <w:jc w:val="right"/>
              <w:ind w:right="528"/>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right="460" w:firstLine="399"/>
        <w:spacing w:after="0" w:line="320" w:lineRule="auto"/>
        <w:rPr>
          <w:sz w:val="20"/>
          <w:szCs w:val="20"/>
          <w:color w:val="auto"/>
        </w:rPr>
      </w:pPr>
      <w:r>
        <w:rPr>
          <w:rFonts w:ascii="Arial" w:cs="Arial" w:eastAsia="Arial" w:hAnsi="Arial"/>
          <w:sz w:val="12"/>
          <w:szCs w:val="12"/>
          <w:color w:val="auto"/>
        </w:rPr>
        <w:t>As of July 2, 2010, there was $1.8 million of total unrecognized compensation expense related to performance share awards. This expense is expected to be recognized over a weighted-average period of 1.4 years. The total fair value of performance share awards that vested during fiscal 2008 was $0.2 million, with none in fiscal 2010 and 2009.</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Assumed in the Stratex Acquisition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part of the acquisition of Stratex in fiscal 2007, we assumed all of their outstanding stock options. A summary of stock option activity during fiscal 2010 for stock options assumed in the Stratex acquisition is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Weighted</w:t>
            </w:r>
          </w:p>
        </w:tc>
        <w:tc>
          <w:tcPr>
            <w:tcW w:w="26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280" w:type="dxa"/>
            <w:vAlign w:val="bottom"/>
          </w:tcPr>
          <w:p>
            <w:pPr>
              <w:spacing w:after="0"/>
              <w:rPr>
                <w:sz w:val="9"/>
                <w:szCs w:val="9"/>
                <w:color w:val="auto"/>
              </w:rPr>
            </w:pPr>
          </w:p>
        </w:tc>
        <w:tc>
          <w:tcPr>
            <w:tcW w:w="70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Remaining</w:t>
            </w: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374"/>
              <w:spacing w:after="0" w:line="108" w:lineRule="exact"/>
              <w:rPr>
                <w:sz w:val="20"/>
                <w:szCs w:val="20"/>
                <w:color w:val="auto"/>
              </w:rPr>
            </w:pPr>
            <w:r>
              <w:rPr>
                <w:rFonts w:ascii="Arial" w:cs="Arial" w:eastAsia="Arial" w:hAnsi="Arial"/>
                <w:sz w:val="10"/>
                <w:szCs w:val="10"/>
                <w:b w:val="1"/>
                <w:bCs w:val="1"/>
                <w:color w:val="auto"/>
              </w:rPr>
              <w:t>Average</w:t>
            </w:r>
          </w:p>
        </w:tc>
        <w:tc>
          <w:tcPr>
            <w:tcW w:w="26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Contractual</w:t>
            </w:r>
          </w:p>
        </w:tc>
        <w:tc>
          <w:tcPr>
            <w:tcW w:w="280" w:type="dxa"/>
            <w:vAlign w:val="bottom"/>
          </w:tcPr>
          <w:p>
            <w:pPr>
              <w:spacing w:after="0"/>
              <w:rPr>
                <w:sz w:val="9"/>
                <w:szCs w:val="9"/>
                <w:color w:val="auto"/>
              </w:rPr>
            </w:pPr>
          </w:p>
        </w:tc>
        <w:tc>
          <w:tcPr>
            <w:tcW w:w="700" w:type="dxa"/>
            <w:vAlign w:val="bottom"/>
          </w:tcPr>
          <w:p>
            <w:pPr>
              <w:ind w:left="160"/>
              <w:spacing w:after="0" w:line="108" w:lineRule="exact"/>
              <w:rPr>
                <w:sz w:val="20"/>
                <w:szCs w:val="20"/>
                <w:color w:val="auto"/>
              </w:rPr>
            </w:pPr>
            <w:r>
              <w:rPr>
                <w:rFonts w:ascii="Arial" w:cs="Arial" w:eastAsia="Arial" w:hAnsi="Arial"/>
                <w:sz w:val="10"/>
                <w:szCs w:val="10"/>
                <w:b w:val="1"/>
                <w:bCs w:val="1"/>
                <w:color w:val="auto"/>
              </w:rPr>
              <w:t>Intrinsic</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rPr>
              <w:t>Options</w:t>
            </w:r>
          </w:p>
        </w:tc>
        <w:tc>
          <w:tcPr>
            <w:tcW w:w="280" w:type="dxa"/>
            <w:vAlign w:val="bottom"/>
          </w:tcPr>
          <w:p>
            <w:pPr>
              <w:spacing w:after="0"/>
              <w:rPr>
                <w:sz w:val="10"/>
                <w:szCs w:val="10"/>
                <w:color w:val="auto"/>
              </w:rPr>
            </w:pPr>
          </w:p>
        </w:tc>
        <w:tc>
          <w:tcPr>
            <w:tcW w:w="124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0"/>
                <w:szCs w:val="10"/>
                <w:b w:val="1"/>
                <w:bCs w:val="1"/>
                <w:color w:val="auto"/>
              </w:rPr>
              <w:t>Exercise Price</w:t>
            </w:r>
          </w:p>
        </w:tc>
        <w:tc>
          <w:tcPr>
            <w:tcW w:w="26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Life</w:t>
            </w:r>
          </w:p>
        </w:tc>
        <w:tc>
          <w:tcPr>
            <w:tcW w:w="280" w:type="dxa"/>
            <w:vAlign w:val="bottom"/>
          </w:tcPr>
          <w:p>
            <w:pPr>
              <w:spacing w:after="0"/>
              <w:rPr>
                <w:sz w:val="10"/>
                <w:szCs w:val="10"/>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(Years)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outstanding as of July 3, 2009</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1,693,820</w:t>
            </w: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25.52</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20" w:type="dxa"/>
            <w:vAlign w:val="bottom"/>
            <w:gridSpan w:val="2"/>
          </w:tcPr>
          <w:p>
            <w:pPr>
              <w:spacing w:after="0"/>
              <w:rPr>
                <w:sz w:val="20"/>
                <w:szCs w:val="20"/>
                <w:color w:val="auto"/>
              </w:rPr>
            </w:pPr>
            <w:r>
              <w:rPr>
                <w:rFonts w:ascii="Arial" w:cs="Arial" w:eastAsia="Arial" w:hAnsi="Arial"/>
                <w:sz w:val="13"/>
                <w:szCs w:val="13"/>
                <w:color w:val="auto"/>
              </w:rPr>
              <w:t>Stock options forfeited</w:t>
            </w:r>
          </w:p>
        </w:tc>
        <w:tc>
          <w:tcPr>
            <w:tcW w:w="1260" w:type="dxa"/>
            <w:vAlign w:val="bottom"/>
            <w:gridSpan w:val="3"/>
          </w:tcPr>
          <w:p>
            <w:pPr>
              <w:jc w:val="right"/>
              <w:ind w:right="320"/>
              <w:spacing w:after="0"/>
              <w:rPr>
                <w:sz w:val="20"/>
                <w:szCs w:val="20"/>
                <w:color w:val="auto"/>
              </w:rPr>
            </w:pPr>
            <w:r>
              <w:rPr>
                <w:rFonts w:ascii="Arial" w:cs="Arial" w:eastAsia="Arial" w:hAnsi="Arial"/>
                <w:sz w:val="13"/>
                <w:szCs w:val="13"/>
                <w:color w:val="auto"/>
              </w:rPr>
              <w:t>(26)</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w w:val="85"/>
              </w:rPr>
              <w:t>17.96</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expired</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(542,826)</w:t>
            </w: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41.20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20" w:type="dxa"/>
            <w:vAlign w:val="bottom"/>
            <w:gridSpan w:val="2"/>
          </w:tcPr>
          <w:p>
            <w:pPr>
              <w:spacing w:after="0"/>
              <w:rPr>
                <w:sz w:val="20"/>
                <w:szCs w:val="20"/>
                <w:color w:val="auto"/>
              </w:rPr>
            </w:pPr>
            <w:r>
              <w:rPr>
                <w:rFonts w:ascii="Arial" w:cs="Arial" w:eastAsia="Arial" w:hAnsi="Arial"/>
                <w:sz w:val="13"/>
                <w:szCs w:val="13"/>
                <w:color w:val="auto"/>
              </w:rPr>
              <w:t>Stock options exercised</w:t>
            </w:r>
          </w:p>
        </w:tc>
        <w:tc>
          <w:tcPr>
            <w:tcW w:w="36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(217)</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1.01</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outstanding as of July 2, 2010</w:t>
            </w:r>
          </w:p>
        </w:tc>
        <w:tc>
          <w:tcPr>
            <w:tcW w:w="36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1,150,751</w:t>
            </w: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18.12</w:t>
            </w:r>
          </w:p>
        </w:tc>
        <w:tc>
          <w:tcPr>
            <w:tcW w:w="120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8"/>
              </w:rPr>
              <w:t>1.9</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5020" w:type="dxa"/>
            <w:vAlign w:val="bottom"/>
            <w:gridSpan w:val="2"/>
          </w:tcPr>
          <w:p>
            <w:pPr>
              <w:spacing w:after="0"/>
              <w:rPr>
                <w:sz w:val="20"/>
                <w:szCs w:val="20"/>
                <w:color w:val="auto"/>
              </w:rPr>
            </w:pPr>
            <w:r>
              <w:rPr>
                <w:rFonts w:ascii="Arial" w:cs="Arial" w:eastAsia="Arial" w:hAnsi="Arial"/>
                <w:sz w:val="13"/>
                <w:szCs w:val="13"/>
                <w:color w:val="auto"/>
              </w:rPr>
              <w:t>Stock options exercisable as of July 2, 2010</w:t>
            </w:r>
          </w:p>
        </w:tc>
        <w:tc>
          <w:tcPr>
            <w:tcW w:w="1260" w:type="dxa"/>
            <w:vAlign w:val="bottom"/>
            <w:gridSpan w:val="3"/>
          </w:tcPr>
          <w:p>
            <w:pPr>
              <w:jc w:val="right"/>
              <w:ind w:right="360"/>
              <w:spacing w:after="0"/>
              <w:rPr>
                <w:sz w:val="20"/>
                <w:szCs w:val="20"/>
                <w:color w:val="auto"/>
              </w:rPr>
            </w:pPr>
            <w:r>
              <w:rPr>
                <w:rFonts w:ascii="Arial" w:cs="Arial" w:eastAsia="Arial" w:hAnsi="Arial"/>
                <w:sz w:val="13"/>
                <w:szCs w:val="13"/>
                <w:color w:val="auto"/>
              </w:rPr>
              <w:t>1,148,877</w:t>
            </w:r>
          </w:p>
        </w:tc>
        <w:tc>
          <w:tcPr>
            <w:tcW w:w="740" w:type="dxa"/>
            <w:vAlign w:val="bottom"/>
            <w:gridSpan w:val="2"/>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w w:val="85"/>
              </w:rPr>
              <w:t>18.12</w:t>
            </w:r>
          </w:p>
        </w:tc>
        <w:tc>
          <w:tcPr>
            <w:tcW w:w="1200" w:type="dxa"/>
            <w:vAlign w:val="bottom"/>
            <w:gridSpan w:val="2"/>
          </w:tcPr>
          <w:p>
            <w:pPr>
              <w:jc w:val="center"/>
              <w:ind w:left="214"/>
              <w:spacing w:after="0"/>
              <w:rPr>
                <w:sz w:val="20"/>
                <w:szCs w:val="20"/>
                <w:color w:val="auto"/>
              </w:rPr>
            </w:pPr>
            <w:r>
              <w:rPr>
                <w:rFonts w:ascii="Arial" w:cs="Arial" w:eastAsia="Arial" w:hAnsi="Arial"/>
                <w:sz w:val="13"/>
                <w:szCs w:val="13"/>
                <w:color w:val="auto"/>
                <w:w w:val="88"/>
              </w:rPr>
              <w:t>1.9</w:t>
            </w:r>
          </w:p>
        </w:tc>
        <w:tc>
          <w:tcPr>
            <w:tcW w:w="28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vested and expected to vest as of July 2, 2010(1)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1,150,751</w:t>
            </w:r>
          </w:p>
        </w:tc>
        <w:tc>
          <w:tcPr>
            <w:tcW w:w="74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18.12</w:t>
            </w:r>
          </w:p>
        </w:tc>
        <w:tc>
          <w:tcPr>
            <w:tcW w:w="120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88"/>
              </w:rPr>
              <w:t>1.9</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options expected to vest are the result of applying the pre-vesting forfeiture rate assumptions to total outstanding options.</w:t>
      </w:r>
    </w:p>
    <w:p>
      <w:pPr>
        <w:spacing w:after="0" w:line="96"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The aggregate intrinsic value represents the total pre-tax intrinsic value or the aggregate difference between the closing price of our Common Stock on July 2, 2010 of $3.50 and the exercise price for in-the-money options that would have been received by the optionees if all options had been exercised on July 2,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fiscal 2008 was $0.8 million at the time of exercise (zero in fiscal 2010 and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nonvested stock options assumed in the Stratex acquisition as of July 2, 2010 and changes during fiscal 2010,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89"/>
              </w:rPr>
              <w:t>Shares</w:t>
            </w:r>
          </w:p>
        </w:tc>
        <w:tc>
          <w:tcPr>
            <w:tcW w:w="28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rPr>
              <w:t>Grant Date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Nonvested stock options as of July 3, 2009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8,454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Stock options forfeited</w:t>
            </w: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14"/>
              <w:spacing w:after="0"/>
              <w:rPr>
                <w:sz w:val="20"/>
                <w:szCs w:val="20"/>
                <w:color w:val="auto"/>
              </w:rPr>
            </w:pPr>
            <w:r>
              <w:rPr>
                <w:rFonts w:ascii="Arial" w:cs="Arial" w:eastAsia="Arial" w:hAnsi="Arial"/>
                <w:sz w:val="13"/>
                <w:szCs w:val="13"/>
                <w:color w:val="auto"/>
                <w:w w:val="79"/>
              </w:rPr>
              <w:t>17.96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vested</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(6,554)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Nonvested stock options as of July 2, 2010</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1,874</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14"/>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July 2, 2010, there was less than $0.1 million of total unrecognized compensation cost related to the assumed former Stratex options. This cost is expected to be recognized over a weighted-average period of 0.2 years. The total fair value of stock options assumed in the Stratex acquisition that vested during fiscal 2010, 2009 and 2008 was $0.1 million, $1.3 million and $1.5 million.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All Stock Options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all of our stock options outstanding as of July 2,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8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w w:val="96"/>
              </w:rPr>
              <w:t>Options Outstanding</w:t>
            </w: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3"/>
              </w:rPr>
              <w:t>Weighted</w:t>
            </w: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0"/>
                <w:szCs w:val="10"/>
                <w:b w:val="1"/>
                <w:bCs w:val="1"/>
                <w:color w:val="auto"/>
                <w:w w:val="95"/>
              </w:rPr>
              <w:t>Options Exercisable</w:t>
            </w: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Average</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7"/>
                <w:szCs w:val="7"/>
                <w:color w:val="auto"/>
              </w:rPr>
            </w:pPr>
          </w:p>
        </w:tc>
        <w:tc>
          <w:tcPr>
            <w:tcW w:w="9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40" w:type="dxa"/>
            <w:vAlign w:val="bottom"/>
            <w:gridSpan w:val="2"/>
          </w:tcPr>
          <w:p>
            <w:pPr>
              <w:ind w:left="320"/>
              <w:spacing w:after="0" w:line="81" w:lineRule="exact"/>
              <w:rPr>
                <w:sz w:val="20"/>
                <w:szCs w:val="20"/>
                <w:color w:val="auto"/>
              </w:rPr>
            </w:pPr>
            <w:r>
              <w:rPr>
                <w:rFonts w:ascii="Arial" w:cs="Arial" w:eastAsia="Arial" w:hAnsi="Arial"/>
                <w:sz w:val="9"/>
                <w:szCs w:val="9"/>
                <w:b w:val="1"/>
                <w:bCs w:val="1"/>
                <w:color w:val="auto"/>
              </w:rPr>
              <w:t>Weighted</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7"/>
                <w:szCs w:val="7"/>
                <w:color w:val="auto"/>
              </w:rPr>
            </w:pPr>
          </w:p>
        </w:tc>
        <w:tc>
          <w:tcPr>
            <w:tcW w:w="1040" w:type="dxa"/>
            <w:vAlign w:val="bottom"/>
            <w:gridSpan w:val="2"/>
          </w:tcPr>
          <w:p>
            <w:pPr>
              <w:ind w:left="320"/>
              <w:spacing w:after="0" w:line="81" w:lineRule="exact"/>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18"/>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Actual Range of Exercise Prices</w:t>
            </w:r>
          </w:p>
        </w:tc>
        <w:tc>
          <w:tcPr>
            <w:tcW w:w="3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7"/>
              </w:rPr>
              <w:t>Contractual</w:t>
            </w:r>
          </w:p>
        </w:tc>
        <w:tc>
          <w:tcPr>
            <w:tcW w:w="240" w:type="dxa"/>
            <w:vAlign w:val="bottom"/>
          </w:tcPr>
          <w:p>
            <w:pPr>
              <w:spacing w:after="0"/>
              <w:rPr>
                <w:sz w:val="10"/>
                <w:szCs w:val="10"/>
                <w:color w:val="auto"/>
              </w:rPr>
            </w:pPr>
          </w:p>
        </w:tc>
        <w:tc>
          <w:tcPr>
            <w:tcW w:w="1040" w:type="dxa"/>
            <w:vAlign w:val="bottom"/>
            <w:gridSpan w:val="2"/>
          </w:tcPr>
          <w:p>
            <w:pPr>
              <w:jc w:val="right"/>
              <w:ind w:right="254"/>
              <w:spacing w:after="0"/>
              <w:rPr>
                <w:sz w:val="20"/>
                <w:szCs w:val="20"/>
                <w:color w:val="auto"/>
              </w:rPr>
            </w:pPr>
            <w:r>
              <w:rPr>
                <w:rFonts w:ascii="Arial" w:cs="Arial" w:eastAsia="Arial" w:hAnsi="Arial"/>
                <w:sz w:val="10"/>
                <w:szCs w:val="10"/>
                <w:b w:val="1"/>
                <w:bCs w:val="1"/>
                <w:color w:val="auto"/>
              </w:rPr>
              <w:t>Average</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274"/>
              <w:spacing w:after="0"/>
              <w:rPr>
                <w:sz w:val="20"/>
                <w:szCs w:val="20"/>
                <w:color w:val="auto"/>
              </w:rPr>
            </w:pPr>
            <w:r>
              <w:rPr>
                <w:rFonts w:ascii="Arial" w:cs="Arial" w:eastAsia="Arial" w:hAnsi="Arial"/>
                <w:sz w:val="10"/>
                <w:szCs w:val="10"/>
                <w:b w:val="1"/>
                <w:bCs w:val="1"/>
                <w:color w:val="auto"/>
              </w:rPr>
              <w:t>Average</w:t>
            </w:r>
          </w:p>
        </w:tc>
        <w:tc>
          <w:tcPr>
            <w:tcW w:w="0" w:type="dxa"/>
            <w:vAlign w:val="bottom"/>
          </w:tcPr>
          <w:p>
            <w:pPr>
              <w:spacing w:after="0"/>
              <w:rPr>
                <w:sz w:val="1"/>
                <w:szCs w:val="1"/>
                <w:color w:val="auto"/>
              </w:rPr>
            </w:pPr>
          </w:p>
        </w:tc>
      </w:tr>
      <w:tr>
        <w:trPr>
          <w:trHeight w:val="125"/>
        </w:trPr>
        <w:tc>
          <w:tcPr>
            <w:tcW w:w="3820" w:type="dxa"/>
            <w:vAlign w:val="bottom"/>
            <w:vMerge w:val="continue"/>
          </w:tcPr>
          <w:p>
            <w:pPr>
              <w:spacing w:after="0"/>
              <w:rPr>
                <w:sz w:val="10"/>
                <w:szCs w:val="1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4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Life</w:t>
            </w:r>
          </w:p>
        </w:tc>
        <w:tc>
          <w:tcPr>
            <w:tcW w:w="240" w:type="dxa"/>
            <w:vAlign w:val="bottom"/>
          </w:tcPr>
          <w:p>
            <w:pPr>
              <w:spacing w:after="0"/>
              <w:rPr>
                <w:sz w:val="10"/>
                <w:szCs w:val="10"/>
                <w:color w:val="auto"/>
              </w:rPr>
            </w:pPr>
          </w:p>
        </w:tc>
        <w:tc>
          <w:tcPr>
            <w:tcW w:w="10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Exercise Price</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3"/>
              </w:rPr>
              <w:t>Exercisable</w:t>
            </w:r>
          </w:p>
        </w:tc>
        <w:tc>
          <w:tcPr>
            <w:tcW w:w="240" w:type="dxa"/>
            <w:vAlign w:val="bottom"/>
          </w:tcPr>
          <w:p>
            <w:pPr>
              <w:spacing w:after="0"/>
              <w:rPr>
                <w:sz w:val="10"/>
                <w:szCs w:val="10"/>
                <w:color w:val="auto"/>
              </w:rPr>
            </w:pPr>
          </w:p>
        </w:tc>
        <w:tc>
          <w:tcPr>
            <w:tcW w:w="10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4"/>
              </w:rPr>
              <w:t>(Years)</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$3.01 — $9.96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2,483,500</w:t>
            </w:r>
          </w:p>
        </w:tc>
        <w:tc>
          <w:tcPr>
            <w:tcW w:w="114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8"/>
              </w:rPr>
              <w:t>6.0</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6.10</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713,256</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$10.40 — $17.96</w:t>
            </w:r>
          </w:p>
        </w:tc>
        <w:tc>
          <w:tcPr>
            <w:tcW w:w="1180" w:type="dxa"/>
            <w:vAlign w:val="bottom"/>
            <w:gridSpan w:val="3"/>
          </w:tcPr>
          <w:p>
            <w:pPr>
              <w:jc w:val="right"/>
              <w:ind w:right="320"/>
              <w:spacing w:after="0"/>
              <w:rPr>
                <w:sz w:val="20"/>
                <w:szCs w:val="20"/>
                <w:color w:val="auto"/>
              </w:rPr>
            </w:pPr>
            <w:r>
              <w:rPr>
                <w:rFonts w:ascii="Arial" w:cs="Arial" w:eastAsia="Arial" w:hAnsi="Arial"/>
                <w:sz w:val="13"/>
                <w:szCs w:val="13"/>
                <w:color w:val="auto"/>
              </w:rPr>
              <w:t>802,985</w:t>
            </w:r>
          </w:p>
        </w:tc>
        <w:tc>
          <w:tcPr>
            <w:tcW w:w="1140" w:type="dxa"/>
            <w:vAlign w:val="bottom"/>
            <w:gridSpan w:val="2"/>
          </w:tcPr>
          <w:p>
            <w:pPr>
              <w:jc w:val="center"/>
              <w:ind w:left="197"/>
              <w:spacing w:after="0"/>
              <w:rPr>
                <w:sz w:val="20"/>
                <w:szCs w:val="20"/>
                <w:color w:val="auto"/>
              </w:rPr>
            </w:pPr>
            <w:r>
              <w:rPr>
                <w:rFonts w:ascii="Arial" w:cs="Arial" w:eastAsia="Arial" w:hAnsi="Arial"/>
                <w:sz w:val="13"/>
                <w:szCs w:val="13"/>
                <w:color w:val="auto"/>
                <w:w w:val="88"/>
              </w:rPr>
              <w:t>1.8</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94"/>
              <w:spacing w:after="0"/>
              <w:rPr>
                <w:sz w:val="20"/>
                <w:szCs w:val="20"/>
                <w:color w:val="auto"/>
              </w:rPr>
            </w:pPr>
            <w:r>
              <w:rPr>
                <w:rFonts w:ascii="Arial" w:cs="Arial" w:eastAsia="Arial" w:hAnsi="Arial"/>
                <w:sz w:val="13"/>
                <w:szCs w:val="13"/>
                <w:color w:val="auto"/>
                <w:w w:val="85"/>
              </w:rPr>
              <w:t>16.78</w:t>
            </w:r>
          </w:p>
        </w:tc>
        <w:tc>
          <w:tcPr>
            <w:tcW w:w="1280" w:type="dxa"/>
            <w:vAlign w:val="bottom"/>
            <w:gridSpan w:val="4"/>
          </w:tcPr>
          <w:p>
            <w:pPr>
              <w:jc w:val="right"/>
              <w:ind w:right="240"/>
              <w:spacing w:after="0"/>
              <w:rPr>
                <w:sz w:val="20"/>
                <w:szCs w:val="20"/>
                <w:color w:val="auto"/>
              </w:rPr>
            </w:pPr>
            <w:r>
              <w:rPr>
                <w:rFonts w:ascii="Arial" w:cs="Arial" w:eastAsia="Arial" w:hAnsi="Arial"/>
                <w:sz w:val="13"/>
                <w:szCs w:val="13"/>
                <w:color w:val="auto"/>
              </w:rPr>
              <w:t>799,773</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94"/>
              <w:spacing w:after="0"/>
              <w:rPr>
                <w:sz w:val="20"/>
                <w:szCs w:val="20"/>
                <w:color w:val="auto"/>
              </w:rPr>
            </w:pPr>
            <w:r>
              <w:rPr>
                <w:rFonts w:ascii="Arial" w:cs="Arial" w:eastAsia="Arial" w:hAnsi="Arial"/>
                <w:sz w:val="13"/>
                <w:szCs w:val="13"/>
                <w:color w:val="auto"/>
                <w:w w:val="85"/>
              </w:rPr>
              <w:t>16.78</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$18.04 — $27.76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383,555</w:t>
            </w:r>
          </w:p>
        </w:tc>
        <w:tc>
          <w:tcPr>
            <w:tcW w:w="114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8"/>
              </w:rPr>
              <w:t>2.7</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5"/>
              </w:rPr>
              <w:t>22.81</w:t>
            </w:r>
          </w:p>
        </w:tc>
        <w:tc>
          <w:tcPr>
            <w:tcW w:w="128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383,555</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5"/>
              </w:rPr>
              <w:t>22.81</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$28.12 — $86.75</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15,437</w:t>
            </w:r>
          </w:p>
        </w:tc>
        <w:tc>
          <w:tcPr>
            <w:tcW w:w="320" w:type="dxa"/>
            <w:vAlign w:val="bottom"/>
          </w:tcPr>
          <w:p>
            <w:pPr>
              <w:spacing w:after="0"/>
              <w:rPr>
                <w:sz w:val="13"/>
                <w:szCs w:val="13"/>
                <w:color w:val="auto"/>
              </w:rPr>
            </w:pPr>
          </w:p>
        </w:tc>
        <w:tc>
          <w:tcPr>
            <w:tcW w:w="1140" w:type="dxa"/>
            <w:vAlign w:val="bottom"/>
            <w:gridSpan w:val="2"/>
          </w:tcPr>
          <w:p>
            <w:pPr>
              <w:jc w:val="center"/>
              <w:ind w:left="197"/>
              <w:spacing w:after="0"/>
              <w:rPr>
                <w:sz w:val="20"/>
                <w:szCs w:val="20"/>
                <w:color w:val="auto"/>
              </w:rPr>
            </w:pPr>
            <w:r>
              <w:rPr>
                <w:rFonts w:ascii="Arial" w:cs="Arial" w:eastAsia="Arial" w:hAnsi="Arial"/>
                <w:sz w:val="13"/>
                <w:szCs w:val="13"/>
                <w:color w:val="auto"/>
                <w:w w:val="88"/>
              </w:rPr>
              <w:t>0.3</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94"/>
              <w:spacing w:after="0"/>
              <w:rPr>
                <w:sz w:val="20"/>
                <w:szCs w:val="20"/>
                <w:color w:val="auto"/>
              </w:rPr>
            </w:pPr>
            <w:r>
              <w:rPr>
                <w:rFonts w:ascii="Arial" w:cs="Arial" w:eastAsia="Arial" w:hAnsi="Arial"/>
                <w:sz w:val="13"/>
                <w:szCs w:val="13"/>
                <w:color w:val="auto"/>
                <w:w w:val="85"/>
              </w:rPr>
              <w:t>68.26</w:t>
            </w:r>
          </w:p>
        </w:tc>
        <w:tc>
          <w:tcPr>
            <w:tcW w:w="500" w:type="dxa"/>
            <w:vAlign w:val="bottom"/>
            <w:gridSpan w:val="2"/>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15,437</w:t>
            </w:r>
          </w:p>
        </w:tc>
        <w:tc>
          <w:tcPr>
            <w:tcW w:w="240" w:type="dxa"/>
            <w:vAlign w:val="bottom"/>
          </w:tcPr>
          <w:p>
            <w:pPr>
              <w:spacing w:after="0"/>
              <w:rPr>
                <w:sz w:val="13"/>
                <w:szCs w:val="13"/>
                <w:color w:val="auto"/>
              </w:rPr>
            </w:pP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294"/>
              <w:spacing w:after="0"/>
              <w:rPr>
                <w:sz w:val="20"/>
                <w:szCs w:val="20"/>
                <w:color w:val="auto"/>
              </w:rPr>
            </w:pPr>
            <w:r>
              <w:rPr>
                <w:rFonts w:ascii="Arial" w:cs="Arial" w:eastAsia="Arial" w:hAnsi="Arial"/>
                <w:sz w:val="13"/>
                <w:szCs w:val="13"/>
                <w:color w:val="auto"/>
                <w:w w:val="85"/>
              </w:rPr>
              <w:t>68.26</w:t>
            </w: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$3.01 — $86.75</w:t>
            </w:r>
          </w:p>
        </w:tc>
        <w:tc>
          <w:tcPr>
            <w:tcW w:w="3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3,685,477</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8"/>
              </w:rPr>
              <w:t>4.7</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5"/>
              </w:rPr>
              <w:t>10.42</w:t>
            </w:r>
          </w:p>
        </w:tc>
        <w:tc>
          <w:tcPr>
            <w:tcW w:w="500" w:type="dxa"/>
            <w:vAlign w:val="bottom"/>
            <w:gridSpan w:val="2"/>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1,912,021</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5"/>
              </w:rPr>
              <w:t>14.36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-629920</wp:posOffset>
            </wp:positionV>
            <wp:extent cx="2476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80" w:type="dxa"/>
            <w:vAlign w:val="bottom"/>
          </w:tcPr>
          <w:p>
            <w:pPr>
              <w:spacing w:after="0"/>
              <w:rPr>
                <w:sz w:val="20"/>
                <w:szCs w:val="20"/>
                <w:color w:val="auto"/>
              </w:rPr>
            </w:pPr>
            <w:r>
              <w:rPr>
                <w:rFonts w:ascii="Arial" w:cs="Arial" w:eastAsia="Arial" w:hAnsi="Arial"/>
                <w:sz w:val="13"/>
                <w:szCs w:val="13"/>
                <w:b w:val="1"/>
                <w:bCs w:val="1"/>
                <w:color w:val="auto"/>
              </w:rPr>
              <w:t>Note N —</w:t>
            </w:r>
          </w:p>
        </w:tc>
        <w:tc>
          <w:tcPr>
            <w:tcW w:w="6520" w:type="dxa"/>
            <w:vAlign w:val="bottom"/>
            <w:gridSpan w:val="2"/>
          </w:tcPr>
          <w:p>
            <w:pPr>
              <w:ind w:left="40"/>
              <w:spacing w:after="0"/>
              <w:rPr>
                <w:sz w:val="20"/>
                <w:szCs w:val="20"/>
                <w:color w:val="auto"/>
              </w:rPr>
            </w:pPr>
            <w:r>
              <w:rPr>
                <w:rFonts w:ascii="Arial" w:cs="Arial" w:eastAsia="Arial" w:hAnsi="Arial"/>
                <w:sz w:val="13"/>
                <w:szCs w:val="13"/>
                <w:b w:val="1"/>
                <w:bCs w:val="1"/>
                <w:color w:val="auto"/>
              </w:rPr>
              <w:t>Business Segments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400" w:type="dxa"/>
            <w:vAlign w:val="bottom"/>
            <w:gridSpan w:val="3"/>
          </w:tcPr>
          <w:p>
            <w:pPr>
              <w:ind w:left="400"/>
              <w:spacing w:after="0"/>
              <w:rPr>
                <w:sz w:val="20"/>
                <w:szCs w:val="20"/>
                <w:color w:val="auto"/>
              </w:rPr>
            </w:pPr>
            <w:r>
              <w:rPr>
                <w:rFonts w:ascii="Arial" w:cs="Arial" w:eastAsia="Arial" w:hAnsi="Arial"/>
                <w:sz w:val="13"/>
                <w:szCs w:val="13"/>
                <w:color w:val="auto"/>
              </w:rPr>
              <w:t>Revenue and loss before income taxes by segment are as follows: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420" w:type="dxa"/>
            <w:vAlign w:val="bottom"/>
            <w:shd w:val="clear" w:color="auto" w:fill="CCEEFF"/>
          </w:tcPr>
          <w:p>
            <w:pPr>
              <w:spacing w:after="0"/>
              <w:rPr>
                <w:sz w:val="14"/>
                <w:szCs w:val="14"/>
                <w:color w:val="auto"/>
              </w:rPr>
            </w:pPr>
          </w:p>
        </w:tc>
        <w:tc>
          <w:tcPr>
            <w:tcW w:w="6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3"/>
                <w:szCs w:val="13"/>
                <w:color w:val="auto"/>
              </w:rPr>
              <w:t>North America</w:t>
            </w:r>
          </w:p>
        </w:tc>
        <w:tc>
          <w:tcPr>
            <w:tcW w:w="4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175.1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232.0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242.5</w:t>
            </w:r>
          </w:p>
        </w:tc>
        <w:tc>
          <w:tcPr>
            <w:tcW w:w="0" w:type="dxa"/>
            <w:vAlign w:val="bottom"/>
          </w:tcPr>
          <w:p>
            <w:pPr>
              <w:spacing w:after="0"/>
              <w:rPr>
                <w:sz w:val="1"/>
                <w:szCs w:val="1"/>
                <w:color w:val="auto"/>
              </w:rPr>
            </w:pPr>
          </w:p>
        </w:tc>
      </w:tr>
      <w:tr>
        <w:trPr>
          <w:trHeight w:val="157"/>
        </w:trPr>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International</w:t>
            </w:r>
          </w:p>
        </w:tc>
        <w:tc>
          <w:tcPr>
            <w:tcW w:w="42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475.9</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4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478.9</w:t>
            </w:r>
          </w:p>
        </w:tc>
        <w:tc>
          <w:tcPr>
            <w:tcW w:w="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679.9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718.4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60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right"/>
              <w:ind w:right="17"/>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Loss Before Income Taxes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Segment Operating (Loss) Income: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North America(1)</w:t>
            </w: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(64.2)</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3"/>
                <w:szCs w:val="13"/>
                <w:color w:val="auto"/>
                <w:w w:val="98"/>
              </w:rPr>
              <w:t>International(2)</w:t>
            </w:r>
          </w:p>
        </w:tc>
        <w:tc>
          <w:tcPr>
            <w:tcW w:w="4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(69.1)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(271.9)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42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Net interest expense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7"/>
              </w:rPr>
              <w:t>(134.0)</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1220" w:hanging="4879"/>
        <w:spacing w:after="0" w:line="876" w:lineRule="auto"/>
        <w:tabs>
          <w:tab w:leader="none" w:pos="100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following tables summarize certain charges, expenses and gains included in the North America segment operating results during fiscal 2010, 2009 and 2008: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w w:val="81"/>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Intangible assets impairment charges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Other impairment charges and rebranding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Charges for product transition and inventory mark-downs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16.9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purchased technology, trade names, customer relationships and non-compete agreements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Executive severance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of building and Telsima acquisition purchase price settlement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7.4</w:t>
            </w:r>
          </w:p>
        </w:tc>
      </w:tr>
      <w:tr>
        <w:trPr>
          <w:trHeight w:val="20"/>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w:t>
            </w: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gridSpan w:val="2"/>
          </w:tcPr>
          <w:p>
            <w:pPr>
              <w:spacing w:after="0"/>
              <w:rPr>
                <w:sz w:val="9"/>
                <w:szCs w:val="9"/>
                <w:color w:val="auto"/>
              </w:rPr>
            </w:pPr>
          </w:p>
        </w:tc>
        <w:tc>
          <w:tcPr>
            <w:tcW w:w="320" w:type="dxa"/>
            <w:vAlign w:val="bottom"/>
            <w:tcBorders>
              <w:top w:val="single" w:sz="8" w:color="auto"/>
            </w:tcBorders>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95"/>
        </w:trPr>
        <w:tc>
          <w:tcPr>
            <w:tcW w:w="8460" w:type="dxa"/>
            <w:vAlign w:val="bottom"/>
            <w:gridSpan w:val="7"/>
          </w:tcPr>
          <w:p>
            <w:pPr>
              <w:ind w:left="60"/>
              <w:spacing w:after="0"/>
              <w:rPr>
                <w:sz w:val="20"/>
                <w:szCs w:val="20"/>
                <w:color w:val="auto"/>
              </w:rPr>
            </w:pPr>
            <w:r>
              <w:rPr>
                <w:rFonts w:ascii="Arial" w:cs="Arial" w:eastAsia="Arial" w:hAnsi="Arial"/>
                <w:sz w:val="13"/>
                <w:szCs w:val="13"/>
                <w:color w:val="auto"/>
                <w:w w:val="93"/>
              </w:rPr>
              <w:t>(2)  The following tables summarize certain charges and expenses included in the International segment operating results during fiscal 2010, 2009 and 2008: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1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2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8"/>
                <w:szCs w:val="18"/>
                <w:color w:val="auto"/>
              </w:rPr>
            </w:pPr>
          </w:p>
        </w:tc>
      </w:tr>
      <w:tr>
        <w:trPr>
          <w:trHeight w:val="131"/>
        </w:trPr>
        <w:tc>
          <w:tcPr>
            <w:tcW w:w="1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Intangible assets impairment charges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58.1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 impairment charges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Other impairment charges and rebranding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purchased technology, trade names, customer relationships and non-compete agreements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Charges for product transition and inventory mark-downs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7.9</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Telsima acquisition purchase price settlement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r>
      <w:tr>
        <w:trPr>
          <w:trHeight w:val="20"/>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65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64.7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291.5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r>
      <w:tr>
        <w:trPr>
          <w:trHeight w:val="29"/>
        </w:trPr>
        <w:tc>
          <w:tcPr>
            <w:tcW w:w="13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We report revenue by country based on the location where our customers accept delivery of our products and services. Revenue by country comprising more than 5% of our sales to unaffiliated customers for fiscal 2010, 2009 and 2008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 of Total</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 of Total</w:t>
            </w:r>
          </w:p>
        </w:tc>
        <w:tc>
          <w:tcPr>
            <w:tcW w:w="42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$ 157.4</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7"/>
              </w:rPr>
              <w:t>$ 208.6</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30.7%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$ 192.3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Nigeria</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84.2</w:t>
            </w:r>
          </w:p>
        </w:tc>
        <w:tc>
          <w:tcPr>
            <w:tcW w:w="3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17.6%</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145.9</w:t>
            </w:r>
          </w:p>
        </w:tc>
        <w:tc>
          <w:tcPr>
            <w:tcW w:w="1460" w:type="dxa"/>
            <w:vAlign w:val="bottom"/>
            <w:gridSpan w:val="3"/>
          </w:tcPr>
          <w:p>
            <w:pPr>
              <w:jc w:val="right"/>
              <w:ind w:right="320"/>
              <w:spacing w:after="0"/>
              <w:rPr>
                <w:sz w:val="20"/>
                <w:szCs w:val="20"/>
                <w:color w:val="auto"/>
              </w:rPr>
            </w:pPr>
            <w:r>
              <w:rPr>
                <w:rFonts w:ascii="Arial" w:cs="Arial" w:eastAsia="Arial" w:hAnsi="Arial"/>
                <w:sz w:val="13"/>
                <w:szCs w:val="13"/>
                <w:color w:val="auto"/>
              </w:rPr>
              <w:t>21.5%</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137.6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Saudi Arabia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3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0.7%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Poland</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15.1</w:t>
            </w:r>
          </w:p>
        </w:tc>
        <w:tc>
          <w:tcPr>
            <w:tcW w:w="38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36.5</w:t>
            </w:r>
          </w:p>
        </w:tc>
        <w:tc>
          <w:tcPr>
            <w:tcW w:w="1460" w:type="dxa"/>
            <w:vAlign w:val="bottom"/>
            <w:gridSpan w:val="3"/>
          </w:tcPr>
          <w:p>
            <w:pPr>
              <w:jc w:val="right"/>
              <w:ind w:right="320"/>
              <w:spacing w:after="0"/>
              <w:rPr>
                <w:sz w:val="20"/>
                <w:szCs w:val="20"/>
                <w:color w:val="auto"/>
              </w:rPr>
            </w:pPr>
            <w:r>
              <w:rPr>
                <w:rFonts w:ascii="Arial" w:cs="Arial" w:eastAsia="Arial" w:hAnsi="Arial"/>
                <w:sz w:val="13"/>
                <w:szCs w:val="13"/>
                <w:color w:val="auto"/>
              </w:rPr>
              <w:t>5.4%</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3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284.1</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41.7%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$ 479.3</w:t>
            </w:r>
          </w:p>
        </w:tc>
        <w:tc>
          <w:tcPr>
            <w:tcW w:w="3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87"/>
              </w:rPr>
              <w:t>$ 679.9</w:t>
            </w:r>
          </w:p>
        </w:tc>
        <w:tc>
          <w:tcPr>
            <w:tcW w:w="1460" w:type="dxa"/>
            <w:vAlign w:val="bottom"/>
            <w:gridSpan w:val="3"/>
          </w:tcPr>
          <w:p>
            <w:pPr>
              <w:jc w:val="right"/>
              <w:ind w:right="320"/>
              <w:spacing w:after="0"/>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w w:val="82"/>
              </w:rPr>
              <w:t>$ 718.4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3"/>
                <w:szCs w:val="13"/>
                <w:color w:val="auto"/>
              </w:rPr>
              <w:t>90</w:t>
            </w: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Long-lived assets consisted primarily of identifiable intangible assets, goodwill and property, plant and equipment. Long-lived assets by location as of July 2, 2010 and July 3, 2009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tcPr>
          <w:p>
            <w:pPr>
              <w:jc w:val="center"/>
              <w:ind w:right="408"/>
              <w:spacing w:after="0"/>
              <w:rPr>
                <w:sz w:val="20"/>
                <w:szCs w:val="20"/>
                <w:color w:val="auto"/>
              </w:rPr>
            </w:pPr>
            <w:r>
              <w:rPr>
                <w:rFonts w:ascii="Arial" w:cs="Arial" w:eastAsia="Arial" w:hAnsi="Arial"/>
                <w:sz w:val="10"/>
                <w:szCs w:val="10"/>
                <w:b w:val="1"/>
                <w:bCs w:val="1"/>
                <w:color w:val="auto"/>
                <w:w w:val="83"/>
              </w:rPr>
              <w:t>July 2,</w:t>
            </w: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July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Singapore</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97"/>
              </w:rPr>
              <w:t>United Kingdom</w:t>
            </w: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w:t>
            </w: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Other countries</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74.5</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b w:val="1"/>
                <w:bCs w:val="1"/>
                <w:color w:val="auto"/>
              </w:rPr>
              <w:t>Note O —</w:t>
            </w:r>
          </w:p>
        </w:tc>
        <w:tc>
          <w:tcPr>
            <w:tcW w:w="6480" w:type="dxa"/>
            <w:vAlign w:val="bottom"/>
          </w:tcPr>
          <w:p>
            <w:pPr>
              <w:jc w:val="right"/>
              <w:ind w:right="5654"/>
              <w:spacing w:after="0"/>
              <w:rPr>
                <w:sz w:val="20"/>
                <w:szCs w:val="20"/>
                <w:color w:val="auto"/>
              </w:rPr>
            </w:pPr>
            <w:r>
              <w:rPr>
                <w:rFonts w:ascii="Arial" w:cs="Arial" w:eastAsia="Arial" w:hAnsi="Arial"/>
                <w:sz w:val="13"/>
                <w:szCs w:val="13"/>
                <w:b w:val="1"/>
                <w:bCs w:val="1"/>
                <w:color w:val="auto"/>
                <w:w w:val="86"/>
              </w:rPr>
              <w:t>Income Taxes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7400" w:type="dxa"/>
            <w:vAlign w:val="bottom"/>
            <w:gridSpan w:val="2"/>
          </w:tcPr>
          <w:p>
            <w:pPr>
              <w:ind w:left="400"/>
              <w:spacing w:after="0"/>
              <w:rPr>
                <w:sz w:val="20"/>
                <w:szCs w:val="20"/>
                <w:color w:val="auto"/>
              </w:rPr>
            </w:pPr>
            <w:r>
              <w:rPr>
                <w:rFonts w:ascii="Arial" w:cs="Arial" w:eastAsia="Arial" w:hAnsi="Arial"/>
                <w:sz w:val="13"/>
                <w:szCs w:val="13"/>
                <w:color w:val="auto"/>
              </w:rPr>
              <w:t>Loss before provision for (benefit from) income taxes during fiscal 2010, 2009 and 2008 is as follows: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jc w:val="right"/>
              <w:ind w:right="17"/>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4"/>
            <w:shd w:val="clear" w:color="auto" w:fill="CCEEFF"/>
          </w:tcPr>
          <w:p>
            <w:pPr>
              <w:jc w:val="right"/>
              <w:ind w:right="54"/>
              <w:spacing w:after="0"/>
              <w:rPr>
                <w:sz w:val="20"/>
                <w:szCs w:val="20"/>
                <w:color w:val="auto"/>
              </w:rPr>
            </w:pPr>
            <w:r>
              <w:rPr>
                <w:rFonts w:ascii="Arial" w:cs="Arial" w:eastAsia="Arial" w:hAnsi="Arial"/>
                <w:sz w:val="13"/>
                <w:szCs w:val="13"/>
                <w:color w:val="auto"/>
              </w:rPr>
              <w:t>(97.6)</w:t>
            </w:r>
          </w:p>
        </w:tc>
        <w:tc>
          <w:tcPr>
            <w:tcW w:w="16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82"/>
              </w:rPr>
              <w:t>(188.0)</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Foreign</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54"/>
              <w:spacing w:after="0"/>
              <w:rPr>
                <w:sz w:val="20"/>
                <w:szCs w:val="20"/>
                <w:color w:val="auto"/>
              </w:rPr>
            </w:pPr>
            <w:r>
              <w:rPr>
                <w:rFonts w:ascii="Arial" w:cs="Arial" w:eastAsia="Arial" w:hAnsi="Arial"/>
                <w:sz w:val="13"/>
                <w:szCs w:val="13"/>
                <w:color w:val="auto"/>
              </w:rPr>
              <w:t>(36.4)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w w:val="82"/>
              </w:rPr>
              <w:t>(149.2)</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4"/>
            <w:shd w:val="clear" w:color="auto" w:fill="CCEEFF"/>
          </w:tcPr>
          <w:p>
            <w:pPr>
              <w:jc w:val="right"/>
              <w:ind w:right="54"/>
              <w:spacing w:after="0"/>
              <w:rPr>
                <w:sz w:val="20"/>
                <w:szCs w:val="20"/>
                <w:color w:val="auto"/>
              </w:rPr>
            </w:pPr>
            <w:r>
              <w:rPr>
                <w:rFonts w:ascii="Arial" w:cs="Arial" w:eastAsia="Arial" w:hAnsi="Arial"/>
                <w:sz w:val="13"/>
                <w:szCs w:val="13"/>
                <w:color w:val="auto"/>
              </w:rPr>
              <w:t>(134.0)</w:t>
            </w:r>
          </w:p>
        </w:tc>
        <w:tc>
          <w:tcPr>
            <w:tcW w:w="16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82"/>
              </w:rPr>
              <w:t>(337.2)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400" w:type="dxa"/>
            <w:vAlign w:val="bottom"/>
            <w:gridSpan w:val="2"/>
          </w:tcPr>
          <w:p>
            <w:pPr>
              <w:ind w:left="400"/>
              <w:spacing w:after="0"/>
              <w:rPr>
                <w:sz w:val="20"/>
                <w:szCs w:val="20"/>
                <w:color w:val="auto"/>
              </w:rPr>
            </w:pPr>
            <w:r>
              <w:rPr>
                <w:rFonts w:ascii="Arial" w:cs="Arial" w:eastAsia="Arial" w:hAnsi="Arial"/>
                <w:sz w:val="13"/>
                <w:szCs w:val="13"/>
                <w:color w:val="auto"/>
              </w:rPr>
              <w:t>Provision (benefit) for income taxes for fiscal 2010, 2009 and 2008 are summarized as follows:</w:t>
            </w: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w w:val="81"/>
              </w:rPr>
              <w:t>(In millions)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provision:</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3"/>
                <w:szCs w:val="13"/>
                <w:color w:val="auto"/>
                <w:w w:val="97"/>
              </w:rPr>
              <w:t>United States</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3"/>
                <w:szCs w:val="13"/>
                <w:color w:val="auto"/>
              </w:rPr>
              <w:t>$ (4.4)</w:t>
            </w:r>
          </w:p>
        </w:tc>
        <w:tc>
          <w:tcPr>
            <w:tcW w:w="340" w:type="dxa"/>
            <w:vAlign w:val="bottom"/>
            <w:gridSpan w:val="2"/>
          </w:tcPr>
          <w:p>
            <w:pPr>
              <w:ind w:left="26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w:t>
            </w: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3"/>
                <w:szCs w:val="13"/>
                <w:color w:val="auto"/>
                <w:w w:val="88"/>
              </w:rPr>
              <w:t>State and local</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Deferred provision (benefit):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United States</w:t>
            </w: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22.1</w:t>
            </w: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3"/>
                <w:szCs w:val="13"/>
                <w:color w:val="auto"/>
              </w:rPr>
              <w:t>Foreign</w:t>
            </w: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8"/>
              </w:rPr>
              <w:t>State and local</w:t>
            </w: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gridSpan w:val="2"/>
            <w:vMerge w:val="restart"/>
          </w:tcPr>
          <w:p>
            <w:pPr>
              <w:spacing w:after="0"/>
              <w:rPr>
                <w:sz w:val="20"/>
                <w:szCs w:val="20"/>
                <w:color w:val="auto"/>
              </w:rPr>
            </w:pPr>
            <w:r>
              <w:rPr>
                <w:rFonts w:ascii="Arial" w:cs="Arial" w:eastAsia="Arial" w:hAnsi="Arial"/>
                <w:sz w:val="13"/>
                <w:szCs w:val="13"/>
                <w:color w:val="auto"/>
              </w:rPr>
              <w:t>Total deferred provision (benefit)</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4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spacing w:after="0"/>
              <w:rPr>
                <w:sz w:val="13"/>
                <w:szCs w:val="13"/>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0"/>
              </w:rPr>
              <w:t>$ (3.8)</w:t>
            </w:r>
          </w:p>
        </w:tc>
        <w:tc>
          <w:tcPr>
            <w:tcW w:w="3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17.8</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8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500" w:type="dxa"/>
            <w:vAlign w:val="bottom"/>
            <w:tcBorders>
              <w:left w:val="single" w:sz="8" w:color="auto"/>
              <w:right w:val="single" w:sz="8" w:color="auto"/>
            </w:tcBorders>
            <w:gridSpan w:val="3"/>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9400" w:type="dxa"/>
            <w:vAlign w:val="bottom"/>
            <w:gridSpan w:val="12"/>
          </w:tcPr>
          <w:p>
            <w:pPr>
              <w:ind w:left="400"/>
              <w:spacing w:after="0"/>
              <w:rPr>
                <w:sz w:val="20"/>
                <w:szCs w:val="20"/>
                <w:color w:val="auto"/>
              </w:rPr>
            </w:pPr>
            <w:r>
              <w:rPr>
                <w:rFonts w:ascii="Arial" w:cs="Arial" w:eastAsia="Arial" w:hAnsi="Arial"/>
                <w:sz w:val="13"/>
                <w:szCs w:val="13"/>
                <w:color w:val="auto"/>
                <w:w w:val="98"/>
              </w:rPr>
              <w:t>The following table summarizes the significant differences between the U.S. Federal statutory tax rate and our effective tax rate for fiscal 2010, 2009 and 2008: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128"/>
              <w:spacing w:after="0"/>
              <w:rPr>
                <w:sz w:val="20"/>
                <w:szCs w:val="20"/>
                <w:color w:val="auto"/>
              </w:rPr>
            </w:pPr>
            <w:r>
              <w:rPr>
                <w:rFonts w:ascii="Arial" w:cs="Arial" w:eastAsia="Arial" w:hAnsi="Arial"/>
                <w:sz w:val="10"/>
                <w:szCs w:val="10"/>
                <w:b w:val="1"/>
                <w:bCs w:val="1"/>
                <w:color w:val="auto"/>
                <w:w w:val="99"/>
              </w:rPr>
              <w:t>(In millions)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U.S. Federal tax rate</w:t>
            </w:r>
          </w:p>
        </w:tc>
        <w:tc>
          <w:tcPr>
            <w:tcW w:w="14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w w:val="96"/>
              </w:rPr>
              <w:t>(35.0)%</w:t>
            </w: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Valuation allowances</w:t>
            </w:r>
          </w:p>
        </w:tc>
        <w:tc>
          <w:tcPr>
            <w:tcW w:w="140" w:type="dxa"/>
            <w:vAlign w:val="bottom"/>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10.8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15.1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113.2</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State and local taxes, net of U.S. Federal tax benefit</w:t>
            </w:r>
          </w:p>
        </w:tc>
        <w:tc>
          <w:tcPr>
            <w:tcW w:w="140" w:type="dxa"/>
            <w:vAlign w:val="bottom"/>
            <w:shd w:val="clear" w:color="auto" w:fill="CCEEFF"/>
          </w:tcPr>
          <w:p>
            <w:pPr>
              <w:spacing w:after="0"/>
              <w:rPr>
                <w:sz w:val="13"/>
                <w:szCs w:val="13"/>
                <w:color w:val="auto"/>
              </w:rPr>
            </w:pP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(0.8)</w:t>
            </w:r>
          </w:p>
        </w:tc>
        <w:tc>
          <w:tcPr>
            <w:tcW w:w="8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Goodwill impairment not deductible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income taxed at rates less than the U.S. statutory rate</w:t>
            </w: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Dividend from foreign subsidiary</w:t>
            </w:r>
          </w:p>
        </w:tc>
        <w:tc>
          <w:tcPr>
            <w:tcW w:w="140" w:type="dxa"/>
            <w:vAlign w:val="bottom"/>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13.1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6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w w:val="92"/>
              </w:rPr>
              <w:t>Effective tax rate</w:t>
            </w: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80" w:type="dxa"/>
            <w:vAlign w:val="bottom"/>
          </w:tcPr>
          <w:p>
            <w:pPr>
              <w:jc w:val="right"/>
              <w:ind w:right="2274"/>
              <w:spacing w:after="0"/>
              <w:rPr>
                <w:sz w:val="20"/>
                <w:szCs w:val="20"/>
                <w:color w:val="auto"/>
              </w:rPr>
            </w:pPr>
            <w:r>
              <w:rPr>
                <w:rFonts w:ascii="Arial" w:cs="Arial" w:eastAsia="Arial" w:hAnsi="Arial"/>
                <w:sz w:val="13"/>
                <w:szCs w:val="13"/>
                <w:color w:val="auto"/>
              </w:rPr>
              <w:t>91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4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deferred tax assets and liabilities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right"/>
              <w:ind w:right="1020"/>
              <w:spacing w:after="0"/>
              <w:rPr>
                <w:sz w:val="20"/>
                <w:szCs w:val="20"/>
                <w:color w:val="auto"/>
              </w:rPr>
            </w:pPr>
            <w:r>
              <w:rPr>
                <w:rFonts w:ascii="Arial" w:cs="Arial" w:eastAsia="Arial" w:hAnsi="Arial"/>
                <w:sz w:val="10"/>
                <w:szCs w:val="10"/>
                <w:b w:val="1"/>
                <w:bCs w:val="1"/>
                <w:color w:val="auto"/>
                <w:w w:val="99"/>
              </w:rPr>
              <w:t>July 2, 2010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w w:val="99"/>
              </w:rPr>
              <w:t>July 3, 2009</w:t>
            </w:r>
          </w:p>
        </w:tc>
        <w:tc>
          <w:tcPr>
            <w:tcW w:w="0" w:type="dxa"/>
            <w:vAlign w:val="bottom"/>
          </w:tcPr>
          <w:p>
            <w:pPr>
              <w:spacing w:after="0"/>
              <w:rPr>
                <w:sz w:val="1"/>
                <w:szCs w:val="1"/>
                <w:color w:val="auto"/>
              </w:rPr>
            </w:pPr>
          </w:p>
        </w:tc>
      </w:tr>
      <w:tr>
        <w:trPr>
          <w:trHeight w:val="98"/>
        </w:trPr>
        <w:tc>
          <w:tcPr>
            <w:tcW w:w="59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94"/>
              </w:rPr>
              <w:t>Current</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Non-Current</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4"/>
              </w:rPr>
              <w:t>Current</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Non-Current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Inventory</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21.5</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18.0</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Accruals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Unrealized impairment loss</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Other reserves and accruals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Bad debts</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6.1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Depreciation</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Amortization</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Other foreign</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6.0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Severance and restructuring costs</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Unrealized exchange gain/loss</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Capital loss carryforward</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Tax credit carryforwards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Tax loss carryforwards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deferred tax 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Valuation allowance</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(34.6)</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(148.8)</w:t>
            </w: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(39.5)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Purchased identifiable intangible assets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Total deferred tax liabilities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Our consolidated balance sheet as of July 2, 2010 includes a non-current deferred income tax asset of $13.1 million and a non-current deferred tax liability of $0.6 million. This compares to a non-current deferred tax asset of $8.0 million, and a non-current deferred tax liability of $0.9 million as of July 3, 2009. For all jurisdictions for which we have deferred tax assets, we expect that our existing levels of pre-tax earnings are sufficient to generate the amount of future taxable income needed to realize these tax assets. Our valuation allowance related to deferred income taxes, as reflected in our consolidated balance sheet, was $183.4 million as of July 2, 2010 and $168.9 million as of July 3, 2009. The increase in valuation allowance in fiscal 2010 compared with fiscal 2009 was primarily due to our establishing additional valuation allowance on certain deferred tax assets generated in the current year. If we continue to operate at a loss in certain jurisdictions or are unable to generate sufficient future taxable income, or if there is a material change in the actual effective tax rates or time period within which the 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United States income taxes have not been provided on basis differences in foreign subsidiaries of $18.2 million and $11.7 million as of July 2, 2010 and July 3, 2009, because of our intention to reinvest these earnings indefinitely. The determination of unrecognized deferred U.S. tax liability for foreign subsidiaries is not practicable. Tax loss and credit carryforwards as of July 2, 2010 have expiration dates ranging between one year and no expiration in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instances. The amount of U.S. tax loss carryforwards as of July 2, 2010 and July 3, 2009 was $224.7 million and $201.2 million and begin to expire in fiscal 2022.</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Credit carryforwards as of July 2, 2010 and July 3, 2009 was $24.5 million and $27.9 million and certain credits begin to expire in fiscal 2011. The amount of foreign tax loss carryforwards for July 2, 2010 and July 3, 2009 was $100.1 million and $50.5 million. The utilization of a portion of the U.S. net operating losses created prior to the merger is subject to an annual limitation under Section 382 of the Internal Revenue Code as a result of a change of ownership. Income tax refunds received, net of income taxes paid, were $3.6 million during fiscal 2010. Income taxes paid were $2.6 million and $2.2 million during fiscal 2009 and 2008.</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On November 6, 2009, the President signed into law the Worker, Homeownership, and Business Assistance Act of 2009 (the “Act”). The Act amended Section 172 of the Internal Revenue Code to allow net operating losses realized in either tax year 2008 or 2009 to be carried back up to five years (previously limited to a two year carryback). The Company received a refund from the U.S. Internal Revenue Service in the amount of $4.4 million during fiscal 2010.</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effective tax rate in the fiscal year ended July 2, 2010 was impacted unfavorably by a valuation allowance recorded on certain deferred tax assets where it was determined it was not more likely than not that the assets would be realized. The net change in the valuation allowance impacting the effective tax rate during the year ended July 2, 2010 was an increase of $14.5 million.</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effective tax rate in the fiscal year ended July 3, 2009 was impacted unfavorably by a valuation allowance recorded on certain deferred tax assets, certain purchase accounting adjustments and foreign tax credits where it was determined it was not more likely than not that the assets would be realized. The net change in the valuation allowance impacting the effective tax rate during the year ended July 3, 2009 was an increase of $50.8 million.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the year ended July 2, 2010 all tax benefits recognized that were associated with Stratex acquired deferred tax assets were accounted for through the income statement. During the year ended July 3, 2009, certain temporary taxable differences in the amount of $7.2 million were realized. This realization resulted in a reduction of the valuation allowance placed on Stratex acquired deferred tax assets. The reduction of this valuation allowance was recorded against the goodwill and non-current intangible assets acquired in the Stratex acquisition. The reduction of the acquired intangible assets was required after the impairment reduced our goodwill from the Stratex acquisition to zero. The portion of the valuation allowance for deferred tax assets for which subsequently recognized tax benefits will be accounted for through the income statement is $56.1 million.</w:t>
      </w:r>
    </w:p>
    <w:p>
      <w:pPr>
        <w:spacing w:after="0" w:line="55"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For the year ended June 27, 2008, certain temporary taxable differences in the amount of $30.7 million were realized. This realization resulted in a reduction of the valuation allowance placed on Stratex acquired deferred tax assets. The reduction of this valuation allowance was recorded against the goodwill related to the Stratex acquisition. The portion of the valuation allowance for deferred tax assets for which subsequently recognized tax benefits will be allocated to reduce goodwill was $63.3 million as of June 27, 2008.</w:t>
      </w:r>
    </w:p>
    <w:p>
      <w:pPr>
        <w:spacing w:after="0" w:line="5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established our International Headquarters in Singapore and received a favorable tax ruling resulting from an application filed by us with the Singapore Economic Development Board (“EDB”) effective January 26, 2007. This favorable tax ruling calls for a 10% effective tax rate to be applied over a five year period provided certain milestones and objectives are met. We are confident that we will meet the expectations of the EDB and retain this favorable ruling.</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entered into a tax sharing agreement with Harris Corporation effective on January 26, 2007, the date of the merger. The tax sharing agreement addresses, among other things, the settlement process associated with pre-merger tax liabilities and tax attributes that are attributable to the MCD business when it was a division of Harris Corporation. There were no settlement payments recorded in fiscal 2010, 2009 or 2008.</w:t>
      </w:r>
    </w:p>
    <w:p>
      <w:pPr>
        <w:spacing w:after="0" w:line="67"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As of July 2, 2010 and July 3, 2009, we had a liability for unrecognized tax benefits of $14.9 million and $30.9 million for various federal, foreign, and state income tax matters. Unrecognized tax benefits decreased by $16.0 million. If the unrecognized tax benefits associated with these positions are ultimately recognized, they would not be expected to have a material impact on our effective tax rate or financial position.</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account for interest and penalties related to unrecognized tax benefits as part of our provision for federal, foreign, and state income taxes. We did not accrue an additional amount for such interest as of July 2, 2010 and July 3, 2009. No penalties have been accrued.</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expect that the amount of unrecognized tax benefit may change in the next twelve months; however, it is not expected to have a significant impact on our results of operations, financial position or cash flows.</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unrecognized tax benefit activity for fiscal 2010 and 2009 is as follows (in millions):</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Unrecognized tax benefit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Additions for tax positions in prior periods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Unrecognized tax benefit as of July 3,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Decreases for tax positions in prior periods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Unrecognized tax benefit as of July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65" w:hanging="265"/>
        <w:spacing w:after="0"/>
        <w:tabs>
          <w:tab w:leader="none" w:pos="265" w:val="left"/>
        </w:tabs>
        <w:numPr>
          <w:ilvl w:val="0"/>
          <w:numId w:val="44"/>
        </w:numPr>
        <w:rPr>
          <w:rFonts w:ascii="Arial" w:cs="Arial" w:eastAsia="Arial" w:hAnsi="Arial"/>
          <w:sz w:val="13"/>
          <w:szCs w:val="13"/>
          <w:color w:val="auto"/>
        </w:rPr>
      </w:pPr>
      <w:r>
        <w:rPr>
          <w:rFonts w:ascii="Arial" w:cs="Arial" w:eastAsia="Arial" w:hAnsi="Arial"/>
          <w:sz w:val="13"/>
          <w:szCs w:val="13"/>
          <w:color w:val="auto"/>
        </w:rPr>
        <w:t>29.6</w:t>
      </w:r>
    </w:p>
    <w:p>
      <w:pPr>
        <w:spacing w:after="0" w:line="15" w:lineRule="exact"/>
        <w:rPr>
          <w:rFonts w:ascii="Arial" w:cs="Arial" w:eastAsia="Arial" w:hAnsi="Arial"/>
          <w:sz w:val="13"/>
          <w:szCs w:val="13"/>
          <w:color w:val="auto"/>
        </w:rPr>
      </w:pPr>
    </w:p>
    <w:p>
      <w:pPr>
        <w:ind w:left="325"/>
        <w:spacing w:after="0"/>
        <w:rPr>
          <w:rFonts w:ascii="Arial" w:cs="Arial" w:eastAsia="Arial" w:hAnsi="Arial"/>
          <w:sz w:val="13"/>
          <w:szCs w:val="13"/>
          <w:color w:val="auto"/>
        </w:rPr>
      </w:pPr>
      <w:r>
        <w:rPr>
          <w:rFonts w:ascii="Arial" w:cs="Arial" w:eastAsia="Arial" w:hAnsi="Arial"/>
          <w:sz w:val="13"/>
          <w:szCs w:val="13"/>
          <w:color w:val="auto"/>
        </w:rPr>
        <w:t>1.5</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1178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ind w:left="265"/>
        <w:spacing w:after="0"/>
        <w:rPr>
          <w:sz w:val="20"/>
          <w:szCs w:val="20"/>
          <w:color w:val="auto"/>
        </w:rPr>
      </w:pPr>
      <w:r>
        <w:rPr>
          <w:rFonts w:ascii="Arial" w:cs="Arial" w:eastAsia="Arial" w:hAnsi="Arial"/>
          <w:sz w:val="13"/>
          <w:szCs w:val="13"/>
          <w:color w:val="auto"/>
        </w:rPr>
        <w:t>30.9</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1.3</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1178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ind w:left="265" w:hanging="265"/>
        <w:spacing w:after="0"/>
        <w:tabs>
          <w:tab w:leader="none" w:pos="265"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31178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9355" w:space="720"/>
            <w:col w:w="585"/>
          </w:cols>
          <w:pgMar w:left="220" w:top="343" w:right="1019" w:bottom="1440" w:gutter="0" w:footer="0" w:header="0"/>
          <w:type w:val="continuous"/>
        </w:sectPr>
      </w:pPr>
    </w:p>
    <w:p>
      <w:pPr>
        <w:jc w:val="both"/>
        <w:ind w:left="680" w:right="20" w:firstLine="399"/>
        <w:spacing w:after="0" w:line="264" w:lineRule="auto"/>
        <w:rPr>
          <w:sz w:val="20"/>
          <w:szCs w:val="20"/>
          <w:color w:val="auto"/>
        </w:rPr>
      </w:pPr>
      <w:r>
        <w:rPr>
          <w:rFonts w:ascii="Arial" w:cs="Arial" w:eastAsia="Arial" w:hAnsi="Arial"/>
          <w:sz w:val="13"/>
          <w:szCs w:val="13"/>
          <w:color w:val="auto"/>
        </w:rPr>
        <w:t>We have a number of years with open tax audits which vary from jurisdiction to jurisdiction. Our major tax jurisdictions include the U.S., Singapore, Poland, Nigeria, France and the U.K. The earliest years still open and subject to potential audits for these jurisdictions are as follows: United States — 2003; Singapore — 2006; Poland — 2004; Nigeria — 2004; France — 2006; and U.K. — 2006. As of July 2, 2010, we are under audit by the U.S. Internal Revenue Service for the June 27, 2008 tax year.</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P —</w:t>
      </w:r>
      <w:r>
        <w:rPr>
          <w:sz w:val="20"/>
          <w:szCs w:val="20"/>
          <w:color w:val="auto"/>
        </w:rPr>
        <w:tab/>
      </w:r>
      <w:r>
        <w:rPr>
          <w:rFonts w:ascii="Arial" w:cs="Arial" w:eastAsia="Arial" w:hAnsi="Arial"/>
          <w:sz w:val="11"/>
          <w:szCs w:val="11"/>
          <w:b w:val="1"/>
          <w:bCs w:val="1"/>
          <w:color w:val="auto"/>
        </w:rPr>
        <w:t>Operating Lease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lease sales and administrative facilities under non-cancelable operating leases. These leases have initial lease terms that extend through fiscal year 2020.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Rental expense for operating leases, including rentals on a month-to-month basis was $12.7 million, $11.9 million and $13.6 million in fiscal 2010, 2009 and 2008.</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800" w:type="dxa"/>
            <w:vAlign w:val="bottom"/>
          </w:tcPr>
          <w:p>
            <w:pPr>
              <w:ind w:left="400"/>
              <w:spacing w:after="0"/>
              <w:rPr>
                <w:sz w:val="20"/>
                <w:szCs w:val="20"/>
                <w:color w:val="auto"/>
              </w:rPr>
            </w:pPr>
            <w:r>
              <w:rPr>
                <w:rFonts w:ascii="Arial" w:cs="Arial" w:eastAsia="Arial" w:hAnsi="Arial"/>
                <w:sz w:val="13"/>
                <w:szCs w:val="13"/>
                <w:color w:val="auto"/>
                <w:w w:val="94"/>
              </w:rPr>
              <w:t>As of July 2, 2010, our future minimum commitments for all non-cancelable operating leases with an initial lease term in excess of one year are as follows: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Fiscal Years</w:t>
            </w:r>
          </w:p>
        </w:tc>
      </w:tr>
      <w:tr>
        <w:trPr>
          <w:trHeight w:val="125"/>
        </w:trPr>
        <w:tc>
          <w:tcPr>
            <w:tcW w:w="8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Ending in June</w:t>
            </w:r>
          </w:p>
        </w:tc>
      </w:tr>
      <w:tr>
        <w:trPr>
          <w:trHeight w:val="131"/>
        </w:trPr>
        <w:tc>
          <w:tcPr>
            <w:tcW w:w="8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9"/>
              </w:rPr>
              <w:t>(In millions)</w:t>
            </w:r>
          </w:p>
        </w:tc>
        <w:tc>
          <w:tcPr>
            <w:tcW w:w="100" w:type="dxa"/>
            <w:vAlign w:val="bottom"/>
          </w:tcPr>
          <w:p>
            <w:pPr>
              <w:spacing w:after="0"/>
              <w:rPr>
                <w:sz w:val="11"/>
                <w:szCs w:val="11"/>
                <w:color w:val="auto"/>
              </w:rPr>
            </w:pPr>
          </w:p>
        </w:tc>
      </w:tr>
      <w:tr>
        <w:trPr>
          <w:trHeight w:val="163"/>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6.3</w:t>
            </w: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r>
      <w:tr>
        <w:trPr>
          <w:trHeight w:val="29"/>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These commitments do not contain any material rent escalations, rent holidays, contingent rent, rent concessions, leasehold improvement incentives or unusual provisions or conditions. We do not consider any of these individual leases material to our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Q —</w:t>
      </w:r>
      <w:r>
        <w:rPr>
          <w:sz w:val="20"/>
          <w:szCs w:val="20"/>
          <w:color w:val="auto"/>
        </w:rPr>
        <w:tab/>
      </w:r>
      <w:r>
        <w:rPr>
          <w:rFonts w:ascii="Arial" w:cs="Arial" w:eastAsia="Arial" w:hAnsi="Arial"/>
          <w:sz w:val="11"/>
          <w:szCs w:val="11"/>
          <w:b w:val="1"/>
          <w:bCs w:val="1"/>
          <w:color w:val="auto"/>
        </w:rPr>
        <w:t>Risk Management, Derivative Financial Instruments and Hedging Activities</w:t>
      </w:r>
    </w:p>
    <w:p>
      <w:pPr>
        <w:spacing w:after="0" w:line="10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59" w:lineRule="exact"/>
        <w:rPr>
          <w:sz w:val="20"/>
          <w:szCs w:val="20"/>
          <w:color w:val="auto"/>
        </w:rPr>
      </w:pPr>
    </w:p>
    <w:p>
      <w:pPr>
        <w:jc w:val="both"/>
        <w:ind w:left="680" w:right="940" w:firstLine="399"/>
        <w:spacing w:after="0" w:line="322" w:lineRule="auto"/>
        <w:rPr>
          <w:sz w:val="20"/>
          <w:szCs w:val="20"/>
          <w:color w:val="auto"/>
        </w:rPr>
      </w:pPr>
      <w:r>
        <w:rPr>
          <w:rFonts w:ascii="Arial" w:cs="Arial" w:eastAsia="Arial" w:hAnsi="Arial"/>
          <w:sz w:val="11"/>
          <w:szCs w:val="11"/>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39"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Substantially all derivatives outstanding as of July 2, 2010 are designated as cash flow hedges or non-designated hedges of recorded balance sheet positions. All derivatives are recognized on the balance sheet at their fair value. The total notional amount of outstanding derivatives as of July 2, 2010 was $41.9 million, of which $10.2 million were designated as cash flow hedges and $31.7 million were not designated as cash flow hedging instruments.</w:t>
      </w:r>
    </w:p>
    <w:p>
      <w:pPr>
        <w:spacing w:after="0" w:line="67"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As of July 2, 2010, we had 41 foreign currency forward contracts outstanding with a total net notional amount of $14.1 million consisting of 13 different currencies, primarily the Canadian dollar, Euro, Philippine peso, Polish zloty, Singapore dollar and Republic of South Africa rand.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Following is a summary by currency of the contract net notional amounts grouped by the underlying foreign currency as of July 2,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700" w:type="dxa"/>
            <w:vAlign w:val="bottom"/>
            <w:gridSpan w:val="3"/>
          </w:tcPr>
          <w:p>
            <w:pPr>
              <w:ind w:left="260"/>
              <w:spacing w:after="0"/>
              <w:rPr>
                <w:sz w:val="20"/>
                <w:szCs w:val="20"/>
                <w:color w:val="auto"/>
              </w:rPr>
            </w:pPr>
            <w:r>
              <w:rPr>
                <w:rFonts w:ascii="Arial" w:cs="Arial" w:eastAsia="Arial" w:hAnsi="Arial"/>
                <w:sz w:val="10"/>
                <w:szCs w:val="10"/>
                <w:b w:val="1"/>
                <w:bCs w:val="1"/>
                <w:color w:val="auto"/>
              </w:rPr>
              <w:t>Contract Amount</w:t>
            </w:r>
          </w:p>
        </w:tc>
        <w:tc>
          <w:tcPr>
            <w:tcW w:w="80" w:type="dxa"/>
            <w:vAlign w:val="bottom"/>
          </w:tcPr>
          <w:p>
            <w:pPr>
              <w:spacing w:after="0"/>
              <w:rPr>
                <w:sz w:val="10"/>
                <w:szCs w:val="10"/>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7"/>
              </w:rPr>
              <w:t>Contract</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(Local Currency)</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rPr>
              <w:t>Amount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(USD)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6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(CAD)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Euro (“EUR”) net contracts to receive (pay) USD</w:t>
            </w:r>
          </w:p>
        </w:tc>
        <w:tc>
          <w:tcPr>
            <w:tcW w:w="660" w:type="dxa"/>
            <w:vAlign w:val="bottom"/>
          </w:tcPr>
          <w:p>
            <w:pPr>
              <w:jc w:val="right"/>
              <w:ind w:right="138"/>
              <w:spacing w:after="0"/>
              <w:rPr>
                <w:sz w:val="20"/>
                <w:szCs w:val="20"/>
                <w:color w:val="auto"/>
              </w:rPr>
            </w:pPr>
            <w:r>
              <w:rPr>
                <w:rFonts w:ascii="Arial" w:cs="Arial" w:eastAsia="Arial" w:hAnsi="Arial"/>
                <w:sz w:val="13"/>
                <w:szCs w:val="13"/>
                <w:color w:val="auto"/>
              </w:rPr>
              <w:t>(EUR)</w:t>
            </w: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2.9)</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Philippine peso (“PHP”) net contracts to receive (pay) USD</w:t>
            </w:r>
          </w:p>
        </w:tc>
        <w:tc>
          <w:tcPr>
            <w:tcW w:w="6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(PHP)</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660" w:type="dxa"/>
            <w:vAlign w:val="bottom"/>
          </w:tcPr>
          <w:p>
            <w:pPr>
              <w:jc w:val="right"/>
              <w:ind w:right="138"/>
              <w:spacing w:after="0"/>
              <w:rPr>
                <w:sz w:val="20"/>
                <w:szCs w:val="20"/>
                <w:color w:val="auto"/>
              </w:rPr>
            </w:pPr>
            <w:r>
              <w:rPr>
                <w:rFonts w:ascii="Arial" w:cs="Arial" w:eastAsia="Arial" w:hAnsi="Arial"/>
                <w:sz w:val="13"/>
                <w:szCs w:val="13"/>
                <w:color w:val="auto"/>
              </w:rPr>
              <w:t>(PLN)</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28.6</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Singapore dollar (“SGD”) net contracts to receive (pay) USD</w:t>
            </w:r>
          </w:p>
        </w:tc>
        <w:tc>
          <w:tcPr>
            <w:tcW w:w="6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(SGD)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Republic of South Africa rand (“ZAR”) net contracts to receive (pay) USD</w:t>
            </w:r>
          </w:p>
        </w:tc>
        <w:tc>
          <w:tcPr>
            <w:tcW w:w="660" w:type="dxa"/>
            <w:vAlign w:val="bottom"/>
          </w:tcPr>
          <w:p>
            <w:pPr>
              <w:jc w:val="right"/>
              <w:ind w:right="138"/>
              <w:spacing w:after="0"/>
              <w:rPr>
                <w:sz w:val="20"/>
                <w:szCs w:val="20"/>
                <w:color w:val="auto"/>
              </w:rPr>
            </w:pPr>
            <w:r>
              <w:rPr>
                <w:rFonts w:ascii="Arial" w:cs="Arial" w:eastAsia="Arial" w:hAnsi="Arial"/>
                <w:sz w:val="13"/>
                <w:szCs w:val="13"/>
                <w:color w:val="auto"/>
              </w:rPr>
              <w:t>(ZAR)</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31.2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 receive (pay) USD</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Arial" w:cs="Arial" w:eastAsia="Arial" w:hAnsi="Arial"/>
                <w:sz w:val="13"/>
                <w:szCs w:val="13"/>
                <w:color w:val="auto"/>
              </w:rPr>
              <w:t>Total of all currencies</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As of July 3, 2009, we had 40 foreign currency forward contracts outstanding with a total net notional amount of $29.2 million consisting of 14 different currencies, primarily the Australian dollar, Canadian dollar, Euro and Polish zloty. Following is a summary by currency of the contract net notional amounts grouped by the underlying foreign currency as of July 3, 2009: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Contract Amount</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Contract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(Local Currency)</w:t>
            </w:r>
          </w:p>
        </w:tc>
        <w:tc>
          <w:tcPr>
            <w:tcW w:w="2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20" w:type="dxa"/>
            <w:vAlign w:val="bottom"/>
            <w:gridSpan w:val="3"/>
            <w:vMerge w:val="restart"/>
          </w:tcPr>
          <w:p>
            <w:pPr>
              <w:jc w:val="right"/>
              <w:ind w:right="34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rPr>
              <w:t>(USD)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Australian dollar (“AUD”) net contracts to receive (pay) USD</w:t>
            </w: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(AUD)</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3380" w:type="dxa"/>
            <w:vAlign w:val="bottom"/>
          </w:tcPr>
          <w:p>
            <w:pPr>
              <w:spacing w:after="0"/>
              <w:rPr>
                <w:sz w:val="13"/>
                <w:szCs w:val="13"/>
                <w:color w:val="auto"/>
              </w:rPr>
            </w:pPr>
          </w:p>
        </w:tc>
        <w:tc>
          <w:tcPr>
            <w:tcW w:w="1160" w:type="dxa"/>
            <w:vAlign w:val="bottom"/>
          </w:tcPr>
          <w:p>
            <w:pPr>
              <w:jc w:val="right"/>
              <w:ind w:right="360"/>
              <w:spacing w:after="0"/>
              <w:rPr>
                <w:sz w:val="20"/>
                <w:szCs w:val="20"/>
                <w:color w:val="auto"/>
              </w:rPr>
            </w:pPr>
            <w:r>
              <w:rPr>
                <w:rFonts w:ascii="Arial" w:cs="Arial" w:eastAsia="Arial" w:hAnsi="Arial"/>
                <w:sz w:val="13"/>
                <w:szCs w:val="13"/>
                <w:color w:val="auto"/>
              </w:rPr>
              <w:t>(CAD)</w:t>
            </w:r>
          </w:p>
        </w:tc>
        <w:tc>
          <w:tcPr>
            <w:tcW w:w="66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Euro (“EUR”) net contracts to receive (pay) USD</w:t>
            </w: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(EUR)</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4"/>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3380" w:type="dxa"/>
            <w:vAlign w:val="bottom"/>
          </w:tcPr>
          <w:p>
            <w:pPr>
              <w:spacing w:after="0"/>
              <w:rPr>
                <w:sz w:val="13"/>
                <w:szCs w:val="13"/>
                <w:color w:val="auto"/>
              </w:rPr>
            </w:pPr>
          </w:p>
        </w:tc>
        <w:tc>
          <w:tcPr>
            <w:tcW w:w="1160" w:type="dxa"/>
            <w:vAlign w:val="bottom"/>
          </w:tcPr>
          <w:p>
            <w:pPr>
              <w:jc w:val="right"/>
              <w:ind w:right="360"/>
              <w:spacing w:after="0"/>
              <w:rPr>
                <w:sz w:val="20"/>
                <w:szCs w:val="20"/>
                <w:color w:val="auto"/>
              </w:rPr>
            </w:pPr>
            <w:r>
              <w:rPr>
                <w:rFonts w:ascii="Arial" w:cs="Arial" w:eastAsia="Arial" w:hAnsi="Arial"/>
                <w:sz w:val="13"/>
                <w:szCs w:val="13"/>
                <w:color w:val="auto"/>
              </w:rPr>
              <w:t>(PLN)</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31.2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 receive (pay) USD</w:t>
            </w:r>
          </w:p>
        </w:tc>
        <w:tc>
          <w:tcPr>
            <w:tcW w:w="3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Arial" w:cs="Arial" w:eastAsia="Arial" w:hAnsi="Arial"/>
                <w:sz w:val="13"/>
                <w:szCs w:val="13"/>
                <w:color w:val="auto"/>
              </w:rPr>
              <w:t>Total of all currencies</w:t>
            </w:r>
          </w:p>
        </w:tc>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80" w:type="dxa"/>
            <w:vAlign w:val="bottom"/>
          </w:tcPr>
          <w:p>
            <w:pPr>
              <w:jc w:val="right"/>
              <w:ind w:right="2354"/>
              <w:spacing w:after="0"/>
              <w:rPr>
                <w:sz w:val="20"/>
                <w:szCs w:val="20"/>
                <w:color w:val="auto"/>
              </w:rPr>
            </w:pPr>
            <w:r>
              <w:rPr>
                <w:rFonts w:ascii="Arial" w:cs="Arial" w:eastAsia="Arial" w:hAnsi="Arial"/>
                <w:sz w:val="13"/>
                <w:szCs w:val="13"/>
                <w:color w:val="auto"/>
              </w:rPr>
              <w:t>95</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fair value of derivative instruments included within our Consolidated Balance Sheet as of July 2,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2220" w:type="dxa"/>
            <w:vAlign w:val="bottom"/>
            <w:tcBorders>
              <w:bottom w:val="single" w:sz="8" w:color="auto"/>
            </w:tcBorders>
            <w:gridSpan w:val="2"/>
          </w:tcPr>
          <w:p>
            <w:pPr>
              <w:ind w:left="1080"/>
              <w:spacing w:after="0"/>
              <w:rPr>
                <w:sz w:val="20"/>
                <w:szCs w:val="20"/>
                <w:color w:val="auto"/>
              </w:rPr>
            </w:pPr>
            <w:r>
              <w:rPr>
                <w:rFonts w:ascii="Arial" w:cs="Arial" w:eastAsia="Arial" w:hAnsi="Arial"/>
                <w:sz w:val="10"/>
                <w:szCs w:val="10"/>
                <w:b w:val="1"/>
                <w:bCs w:val="1"/>
                <w:color w:val="auto"/>
              </w:rPr>
              <w:t>Asset Derivatives</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80" w:type="dxa"/>
            <w:vAlign w:val="bottom"/>
            <w:tcBorders>
              <w:bottom w:val="single" w:sz="8" w:color="auto"/>
            </w:tcBorders>
            <w:gridSpan w:val="2"/>
          </w:tcPr>
          <w:p>
            <w:pPr>
              <w:ind w:left="1120"/>
              <w:spacing w:after="0"/>
              <w:rPr>
                <w:sz w:val="20"/>
                <w:szCs w:val="20"/>
                <w:color w:val="auto"/>
              </w:rPr>
            </w:pPr>
            <w:r>
              <w:rPr>
                <w:rFonts w:ascii="Arial" w:cs="Arial" w:eastAsia="Arial" w:hAnsi="Arial"/>
                <w:sz w:val="10"/>
                <w:szCs w:val="10"/>
                <w:b w:val="1"/>
                <w:bCs w:val="1"/>
                <w:color w:val="auto"/>
              </w:rPr>
              <w:t>Liability Derivatives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400" w:type="dxa"/>
            <w:vAlign w:val="bottom"/>
          </w:tcPr>
          <w:p>
            <w:pPr>
              <w:spacing w:after="0"/>
              <w:rPr>
                <w:sz w:val="8"/>
                <w:szCs w:val="8"/>
                <w:color w:val="auto"/>
              </w:rPr>
            </w:pPr>
          </w:p>
        </w:tc>
        <w:tc>
          <w:tcPr>
            <w:tcW w:w="1820" w:type="dxa"/>
            <w:vAlign w:val="bottom"/>
            <w:tcBorders>
              <w:bottom w:val="single" w:sz="8" w:color="auto"/>
            </w:tcBorders>
          </w:tcPr>
          <w:p>
            <w:pPr>
              <w:ind w:left="38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58"/>
              <w:spacing w:after="0" w:line="98" w:lineRule="exact"/>
              <w:rPr>
                <w:sz w:val="20"/>
                <w:szCs w:val="20"/>
                <w:color w:val="auto"/>
              </w:rPr>
            </w:pPr>
            <w:r>
              <w:rPr>
                <w:rFonts w:ascii="Arial" w:cs="Arial" w:eastAsia="Arial" w:hAnsi="Arial"/>
                <w:sz w:val="10"/>
                <w:szCs w:val="10"/>
                <w:b w:val="1"/>
                <w:bCs w:val="1"/>
                <w:color w:val="auto"/>
                <w:w w:val="96"/>
              </w:rPr>
              <w:t>Fair Value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80" w:type="dxa"/>
            <w:vAlign w:val="bottom"/>
            <w:tcBorders>
              <w:bottom w:val="single" w:sz="8" w:color="auto"/>
            </w:tcBorders>
          </w:tcPr>
          <w:p>
            <w:pPr>
              <w:ind w:left="52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8"/>
                <w:szCs w:val="8"/>
                <w:color w:val="auto"/>
              </w:rPr>
            </w:pPr>
          </w:p>
        </w:tc>
      </w:tr>
      <w:tr>
        <w:trPr>
          <w:trHeight w:val="131"/>
        </w:trPr>
        <w:tc>
          <w:tcPr>
            <w:tcW w:w="3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hedging instruments:</w:t>
            </w:r>
          </w:p>
        </w:tc>
        <w:tc>
          <w:tcPr>
            <w:tcW w:w="1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220" w:type="dxa"/>
            <w:vAlign w:val="bottom"/>
            <w:gridSpan w:val="2"/>
          </w:tcPr>
          <w:p>
            <w:pPr>
              <w:ind w:left="7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0.1</w:t>
            </w:r>
          </w:p>
        </w:tc>
        <w:tc>
          <w:tcPr>
            <w:tcW w:w="380" w:type="dxa"/>
            <w:vAlign w:val="bottom"/>
          </w:tcPr>
          <w:p>
            <w:pPr>
              <w:spacing w:after="0"/>
              <w:rPr>
                <w:sz w:val="13"/>
                <w:szCs w:val="13"/>
                <w:color w:val="auto"/>
              </w:rPr>
            </w:pPr>
          </w:p>
        </w:tc>
        <w:tc>
          <w:tcPr>
            <w:tcW w:w="2480" w:type="dxa"/>
            <w:vAlign w:val="bottom"/>
            <w:gridSpan w:val="2"/>
          </w:tcPr>
          <w:p>
            <w:pPr>
              <w:ind w:left="86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0.1</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Derivatives not designated as hedging instruments:</w:t>
            </w:r>
          </w:p>
        </w:tc>
        <w:tc>
          <w:tcPr>
            <w:tcW w:w="1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220" w:type="dxa"/>
            <w:vAlign w:val="bottom"/>
            <w:gridSpan w:val="2"/>
          </w:tcPr>
          <w:p>
            <w:pPr>
              <w:ind w:left="7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80" w:type="dxa"/>
            <w:vAlign w:val="bottom"/>
            <w:gridSpan w:val="2"/>
          </w:tcPr>
          <w:p>
            <w:pPr>
              <w:ind w:left="86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1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0.1</w:t>
            </w:r>
          </w:p>
        </w:tc>
      </w:tr>
      <w:tr>
        <w:trPr>
          <w:trHeight w:val="29"/>
        </w:trPr>
        <w:tc>
          <w:tcPr>
            <w:tcW w:w="3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fair value of derivative instruments included within our Consolidated Balance Sheet as of July 3,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2220" w:type="dxa"/>
            <w:vAlign w:val="bottom"/>
            <w:tcBorders>
              <w:bottom w:val="single" w:sz="8" w:color="auto"/>
            </w:tcBorders>
            <w:gridSpan w:val="2"/>
          </w:tcPr>
          <w:p>
            <w:pPr>
              <w:ind w:left="1080"/>
              <w:spacing w:after="0"/>
              <w:rPr>
                <w:sz w:val="20"/>
                <w:szCs w:val="20"/>
                <w:color w:val="auto"/>
              </w:rPr>
            </w:pPr>
            <w:r>
              <w:rPr>
                <w:rFonts w:ascii="Arial" w:cs="Arial" w:eastAsia="Arial" w:hAnsi="Arial"/>
                <w:sz w:val="10"/>
                <w:szCs w:val="10"/>
                <w:b w:val="1"/>
                <w:bCs w:val="1"/>
                <w:color w:val="auto"/>
              </w:rPr>
              <w:t>Asset Derivatives</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80" w:type="dxa"/>
            <w:vAlign w:val="bottom"/>
            <w:tcBorders>
              <w:bottom w:val="single" w:sz="8" w:color="auto"/>
            </w:tcBorders>
            <w:gridSpan w:val="2"/>
          </w:tcPr>
          <w:p>
            <w:pPr>
              <w:ind w:left="1120"/>
              <w:spacing w:after="0"/>
              <w:rPr>
                <w:sz w:val="20"/>
                <w:szCs w:val="20"/>
                <w:color w:val="auto"/>
              </w:rPr>
            </w:pPr>
            <w:r>
              <w:rPr>
                <w:rFonts w:ascii="Arial" w:cs="Arial" w:eastAsia="Arial" w:hAnsi="Arial"/>
                <w:sz w:val="10"/>
                <w:szCs w:val="10"/>
                <w:b w:val="1"/>
                <w:bCs w:val="1"/>
                <w:color w:val="auto"/>
              </w:rPr>
              <w:t>Liability Derivatives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400" w:type="dxa"/>
            <w:vAlign w:val="bottom"/>
          </w:tcPr>
          <w:p>
            <w:pPr>
              <w:spacing w:after="0"/>
              <w:rPr>
                <w:sz w:val="8"/>
                <w:szCs w:val="8"/>
                <w:color w:val="auto"/>
              </w:rPr>
            </w:pPr>
          </w:p>
        </w:tc>
        <w:tc>
          <w:tcPr>
            <w:tcW w:w="1820" w:type="dxa"/>
            <w:vAlign w:val="bottom"/>
            <w:tcBorders>
              <w:bottom w:val="single" w:sz="8" w:color="auto"/>
            </w:tcBorders>
          </w:tcPr>
          <w:p>
            <w:pPr>
              <w:ind w:left="38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58"/>
              <w:spacing w:after="0" w:line="98" w:lineRule="exact"/>
              <w:rPr>
                <w:sz w:val="20"/>
                <w:szCs w:val="20"/>
                <w:color w:val="auto"/>
              </w:rPr>
            </w:pPr>
            <w:r>
              <w:rPr>
                <w:rFonts w:ascii="Arial" w:cs="Arial" w:eastAsia="Arial" w:hAnsi="Arial"/>
                <w:sz w:val="10"/>
                <w:szCs w:val="10"/>
                <w:b w:val="1"/>
                <w:bCs w:val="1"/>
                <w:color w:val="auto"/>
                <w:w w:val="96"/>
              </w:rPr>
              <w:t>Fair Value</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80" w:type="dxa"/>
            <w:vAlign w:val="bottom"/>
            <w:tcBorders>
              <w:bottom w:val="single" w:sz="8" w:color="auto"/>
            </w:tcBorders>
          </w:tcPr>
          <w:p>
            <w:pPr>
              <w:ind w:left="520"/>
              <w:spacing w:after="0" w:line="98" w:lineRule="exact"/>
              <w:rPr>
                <w:sz w:val="20"/>
                <w:szCs w:val="20"/>
                <w:color w:val="auto"/>
              </w:rPr>
            </w:pPr>
            <w:r>
              <w:rPr>
                <w:rFonts w:ascii="Arial" w:cs="Arial" w:eastAsia="Arial" w:hAnsi="Arial"/>
                <w:sz w:val="10"/>
                <w:szCs w:val="10"/>
                <w:b w:val="1"/>
                <w:bCs w:val="1"/>
                <w:color w:val="auto"/>
              </w:rPr>
              <w:t>Balance Sheet Location</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8"/>
                <w:szCs w:val="8"/>
                <w:color w:val="auto"/>
              </w:rPr>
            </w:pPr>
          </w:p>
        </w:tc>
      </w:tr>
      <w:tr>
        <w:trPr>
          <w:trHeight w:val="131"/>
        </w:trPr>
        <w:tc>
          <w:tcPr>
            <w:tcW w:w="3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Derivatives designated as hedging instruments:</w:t>
            </w:r>
          </w:p>
        </w:tc>
        <w:tc>
          <w:tcPr>
            <w:tcW w:w="1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220" w:type="dxa"/>
            <w:vAlign w:val="bottom"/>
            <w:gridSpan w:val="2"/>
          </w:tcPr>
          <w:p>
            <w:pPr>
              <w:ind w:left="7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0.2</w:t>
            </w:r>
          </w:p>
        </w:tc>
        <w:tc>
          <w:tcPr>
            <w:tcW w:w="380" w:type="dxa"/>
            <w:vAlign w:val="bottom"/>
          </w:tcPr>
          <w:p>
            <w:pPr>
              <w:spacing w:after="0"/>
              <w:rPr>
                <w:sz w:val="13"/>
                <w:szCs w:val="13"/>
                <w:color w:val="auto"/>
              </w:rPr>
            </w:pPr>
          </w:p>
        </w:tc>
        <w:tc>
          <w:tcPr>
            <w:tcW w:w="2480" w:type="dxa"/>
            <w:vAlign w:val="bottom"/>
            <w:gridSpan w:val="2"/>
          </w:tcPr>
          <w:p>
            <w:pPr>
              <w:ind w:left="86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Derivatives not designated as hedging instruments:</w:t>
            </w:r>
          </w:p>
        </w:tc>
        <w:tc>
          <w:tcPr>
            <w:tcW w:w="1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Foreign exchange forward contracts</w:t>
            </w:r>
          </w:p>
        </w:tc>
        <w:tc>
          <w:tcPr>
            <w:tcW w:w="2220" w:type="dxa"/>
            <w:vAlign w:val="bottom"/>
            <w:gridSpan w:val="2"/>
          </w:tcPr>
          <w:p>
            <w:pPr>
              <w:ind w:left="78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80" w:type="dxa"/>
            <w:vAlign w:val="bottom"/>
            <w:gridSpan w:val="2"/>
          </w:tcPr>
          <w:p>
            <w:pPr>
              <w:ind w:left="86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1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r>
      <w:tr>
        <w:trPr>
          <w:trHeight w:val="29"/>
        </w:trPr>
        <w:tc>
          <w:tcPr>
            <w:tcW w:w="3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fiscal 2010 and 2009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20" w:type="dxa"/>
            <w:vAlign w:val="bottom"/>
            <w:gridSpan w:val="2"/>
          </w:tcPr>
          <w:p>
            <w:pPr>
              <w:spacing w:after="0"/>
              <w:rPr>
                <w:sz w:val="20"/>
                <w:szCs w:val="20"/>
                <w:color w:val="auto"/>
              </w:rPr>
            </w:pPr>
            <w:r>
              <w:rPr>
                <w:rFonts w:ascii="Arial" w:cs="Arial" w:eastAsia="Arial" w:hAnsi="Arial"/>
                <w:sz w:val="10"/>
                <w:szCs w:val="10"/>
                <w:b w:val="1"/>
                <w:bCs w:val="1"/>
                <w:color w:val="auto"/>
              </w:rPr>
              <w:t>Locations of Gains (Losses) Recorded From Derivatives Designated as Cash Flow Hedges</w:t>
            </w:r>
          </w:p>
        </w:tc>
        <w:tc>
          <w:tcPr>
            <w:tcW w:w="400" w:type="dxa"/>
            <w:vAlign w:val="bottom"/>
          </w:tcPr>
          <w:p>
            <w:pPr>
              <w:jc w:val="right"/>
              <w:ind w:right="38"/>
              <w:spacing w:after="0"/>
              <w:rPr>
                <w:sz w:val="20"/>
                <w:szCs w:val="20"/>
                <w:color w:val="auto"/>
              </w:rPr>
            </w:pPr>
            <w:r>
              <w:rPr>
                <w:rFonts w:ascii="Arial" w:cs="Arial" w:eastAsia="Arial" w:hAnsi="Arial"/>
                <w:sz w:val="10"/>
                <w:szCs w:val="10"/>
                <w:b w:val="1"/>
                <w:bCs w:val="1"/>
                <w:color w:val="auto"/>
              </w:rPr>
              <w:t>2010</w:t>
            </w:r>
          </w:p>
        </w:tc>
        <w:tc>
          <w:tcPr>
            <w:tcW w:w="66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2009</w:t>
            </w:r>
          </w:p>
        </w:tc>
      </w:tr>
      <w:tr>
        <w:trPr>
          <w:trHeight w:val="20"/>
        </w:trPr>
        <w:tc>
          <w:tcPr>
            <w:tcW w:w="10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31"/>
        </w:trPr>
        <w:tc>
          <w:tcPr>
            <w:tcW w:w="10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60" w:type="dxa"/>
            <w:vAlign w:val="bottom"/>
            <w:gridSpan w:val="2"/>
          </w:tcPr>
          <w:p>
            <w:pPr>
              <w:jc w:val="right"/>
              <w:ind w:right="194"/>
              <w:spacing w:after="0"/>
              <w:rPr>
                <w:sz w:val="20"/>
                <w:szCs w:val="20"/>
                <w:color w:val="auto"/>
              </w:rPr>
            </w:pPr>
            <w:r>
              <w:rPr>
                <w:rFonts w:ascii="Arial" w:cs="Arial" w:eastAsia="Arial" w:hAnsi="Arial"/>
                <w:sz w:val="10"/>
                <w:szCs w:val="10"/>
                <w:b w:val="1"/>
                <w:bCs w:val="1"/>
                <w:color w:val="auto"/>
                <w:w w:val="92"/>
              </w:rPr>
              <w:t>millions)</w:t>
            </w:r>
          </w:p>
        </w:tc>
      </w:tr>
      <w:tr>
        <w:trPr>
          <w:trHeight w:val="163"/>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of gain (loss) of effective hedges recognized in Other Comprehensive Income</w:t>
            </w: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6"/>
              </w:rPr>
              <w:t>$ 0.6</w:t>
            </w: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$2.6</w:t>
            </w:r>
          </w:p>
        </w:tc>
      </w:tr>
      <w:tr>
        <w:trPr>
          <w:trHeight w:val="157"/>
        </w:trPr>
        <w:tc>
          <w:tcPr>
            <w:tcW w:w="8920" w:type="dxa"/>
            <w:vAlign w:val="bottom"/>
            <w:gridSpan w:val="2"/>
          </w:tcPr>
          <w:p>
            <w:pPr>
              <w:spacing w:after="0"/>
              <w:rPr>
                <w:sz w:val="20"/>
                <w:szCs w:val="20"/>
                <w:color w:val="auto"/>
              </w:rPr>
            </w:pPr>
            <w:r>
              <w:rPr>
                <w:rFonts w:ascii="Arial" w:cs="Arial" w:eastAsia="Arial" w:hAnsi="Arial"/>
                <w:sz w:val="13"/>
                <w:szCs w:val="13"/>
                <w:color w:val="auto"/>
              </w:rPr>
              <w:t>Amount of gain (loss) of effective hedges reclassified from Other Comprehensive Income into:</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7"/>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$(0.2)</w:t>
            </w: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$2.6</w:t>
            </w:r>
          </w:p>
        </w:tc>
      </w:tr>
      <w:tr>
        <w:trPr>
          <w:trHeight w:val="157"/>
        </w:trPr>
        <w:tc>
          <w:tcPr>
            <w:tcW w:w="8920" w:type="dxa"/>
            <w:vAlign w:val="bottom"/>
            <w:gridSpan w:val="2"/>
          </w:tcPr>
          <w:p>
            <w:pPr>
              <w:spacing w:after="0"/>
              <w:rPr>
                <w:sz w:val="20"/>
                <w:szCs w:val="20"/>
                <w:color w:val="auto"/>
              </w:rPr>
            </w:pPr>
            <w:r>
              <w:rPr>
                <w:rFonts w:ascii="Arial" w:cs="Arial" w:eastAsia="Arial" w:hAnsi="Arial"/>
                <w:sz w:val="13"/>
                <w:szCs w:val="13"/>
                <w:color w:val="auto"/>
              </w:rPr>
              <w:t>Cost of Products Sold</w:t>
            </w: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96"/>
              </w:rPr>
              <w:t>$ 0.2</w:t>
            </w:r>
          </w:p>
        </w:tc>
        <w:tc>
          <w:tcPr>
            <w:tcW w:w="300" w:type="dxa"/>
            <w:vAlign w:val="bottom"/>
          </w:tcPr>
          <w:p>
            <w:pPr>
              <w:spacing w:after="0"/>
              <w:rPr>
                <w:sz w:val="13"/>
                <w:szCs w:val="13"/>
                <w:color w:val="auto"/>
              </w:rPr>
            </w:pP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 —</w:t>
            </w:r>
          </w:p>
        </w:tc>
      </w:tr>
      <w:tr>
        <w:trPr>
          <w:trHeight w:val="157"/>
        </w:trPr>
        <w:tc>
          <w:tcPr>
            <w:tcW w:w="8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recorded into Cost of Products Sold associated with excluded time value</w:t>
            </w:r>
          </w:p>
        </w:tc>
        <w:tc>
          <w:tcPr>
            <w:tcW w:w="4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6"/>
              </w:rPr>
              <w:t>$ 0.2</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 —</w:t>
            </w:r>
          </w:p>
        </w:tc>
      </w:tr>
      <w:tr>
        <w:trPr>
          <w:trHeight w:val="169"/>
        </w:trPr>
        <w:tc>
          <w:tcPr>
            <w:tcW w:w="8920" w:type="dxa"/>
            <w:vAlign w:val="bottom"/>
            <w:gridSpan w:val="2"/>
          </w:tcPr>
          <w:p>
            <w:pPr>
              <w:spacing w:after="0"/>
              <w:rPr>
                <w:sz w:val="20"/>
                <w:szCs w:val="20"/>
                <w:color w:val="auto"/>
              </w:rPr>
            </w:pPr>
            <w:r>
              <w:rPr>
                <w:rFonts w:ascii="Arial" w:cs="Arial" w:eastAsia="Arial" w:hAnsi="Arial"/>
                <w:sz w:val="13"/>
                <w:szCs w:val="13"/>
                <w:color w:val="auto"/>
              </w:rPr>
              <w:t>Amount recorded into Cost of Products Sold due to hedge ineffectiveness</w:t>
            </w: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96"/>
              </w:rPr>
              <w:t>$ 0.1</w:t>
            </w:r>
          </w:p>
        </w:tc>
        <w:tc>
          <w:tcPr>
            <w:tcW w:w="300" w:type="dxa"/>
            <w:vAlign w:val="bottom"/>
          </w:tcPr>
          <w:p>
            <w:pPr>
              <w:spacing w:after="0"/>
              <w:rPr>
                <w:sz w:val="14"/>
                <w:szCs w:val="14"/>
                <w:color w:val="auto"/>
              </w:rPr>
            </w:pPr>
          </w:p>
        </w:tc>
        <w:tc>
          <w:tcPr>
            <w:tcW w:w="360" w:type="dxa"/>
            <w:vAlign w:val="bottom"/>
          </w:tcPr>
          <w:p>
            <w:pPr>
              <w:jc w:val="right"/>
              <w:ind w:right="34"/>
              <w:spacing w:after="0"/>
              <w:rPr>
                <w:sz w:val="20"/>
                <w:szCs w:val="20"/>
                <w:color w:val="auto"/>
              </w:rPr>
            </w:pPr>
            <w:r>
              <w:rPr>
                <w:rFonts w:ascii="Arial" w:cs="Arial" w:eastAsia="Arial" w:hAnsi="Arial"/>
                <w:sz w:val="13"/>
                <w:szCs w:val="13"/>
                <w:color w:val="auto"/>
              </w:rPr>
              <w:t>$ —</w:t>
            </w:r>
          </w:p>
        </w:tc>
      </w:tr>
    </w:tbl>
    <w:p>
      <w:pPr>
        <w:spacing w:after="0" w:line="68"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Refer to Note D — Fair Value Measurements of Assets and Liabilities for a description of how the above financial instruments are valued and Note L — Accumulated Other Comprehensive (Loss) Income for additional information on changes in other comprehensive loss during fiscal 2010 and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 Hedges</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July 2, 2010, hedged transactions included our customer and intercompany backlog and outstanding purchase commitments denominated primarily in the Canadian dollar, Euro, Philippine peso, Polish zloty, Singapore dollar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7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product sales, respectively, when the underlying hedged transaction is recorded.</w:t>
      </w:r>
    </w:p>
    <w:p>
      <w:pPr>
        <w:spacing w:after="0" w:line="55"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As of July 2, 2010, there was $0.3 million of deferred net gains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July 2, 2010, the maximum term over which we are hedging cash flow exposures is six months.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product sales.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Non-Designated Hedges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mentioned above, the total notional amount of outstanding derivatives as of July 2, 2010 not designated as cash flow hedging instruments was $31.7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and losses on the derivatives in cost of products sold. During fiscal 2010, we recorded in cost of products sold the following amount of net losses recorded on non-designated hedges as follows,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80" w:type="dxa"/>
            <w:vAlign w:val="bottom"/>
          </w:tcPr>
          <w:p>
            <w:pPr>
              <w:jc w:val="center"/>
              <w:spacing w:after="0"/>
              <w:rPr>
                <w:sz w:val="20"/>
                <w:szCs w:val="20"/>
                <w:color w:val="auto"/>
              </w:rPr>
            </w:pPr>
            <w:r>
              <w:rPr>
                <w:rFonts w:ascii="Arial" w:cs="Arial" w:eastAsia="Arial" w:hAnsi="Arial"/>
                <w:sz w:val="10"/>
                <w:szCs w:val="10"/>
                <w:b w:val="1"/>
                <w:bCs w:val="1"/>
                <w:color w:val="auto"/>
                <w:w w:val="96"/>
              </w:rPr>
              <w:t>Location of Gain</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(Loss) Recognized in</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42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2010</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9"/>
                <w:szCs w:val="9"/>
                <w:color w:val="auto"/>
              </w:rPr>
            </w:pPr>
          </w:p>
        </w:tc>
        <w:tc>
          <w:tcPr>
            <w:tcW w:w="2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Income on</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680" w:type="dxa"/>
            <w:vAlign w:val="bottom"/>
          </w:tcPr>
          <w:p>
            <w:pPr>
              <w:jc w:val="center"/>
              <w:spacing w:after="0"/>
              <w:rPr>
                <w:sz w:val="20"/>
                <w:szCs w:val="20"/>
                <w:color w:val="auto"/>
              </w:rPr>
            </w:pPr>
            <w:r>
              <w:rPr>
                <w:rFonts w:ascii="Arial" w:cs="Arial" w:eastAsia="Arial" w:hAnsi="Arial"/>
                <w:sz w:val="10"/>
                <w:szCs w:val="10"/>
                <w:b w:val="1"/>
                <w:bCs w:val="1"/>
                <w:color w:val="auto"/>
                <w:w w:val="93"/>
              </w:rPr>
              <w:t>Derivatives</w:t>
            </w:r>
          </w:p>
        </w:tc>
        <w:tc>
          <w:tcPr>
            <w:tcW w:w="0" w:type="dxa"/>
            <w:vAlign w:val="bottom"/>
          </w:tcPr>
          <w:p>
            <w:pPr>
              <w:spacing w:after="0"/>
              <w:rPr>
                <w:sz w:val="1"/>
                <w:szCs w:val="1"/>
                <w:color w:val="auto"/>
              </w:rPr>
            </w:pPr>
          </w:p>
        </w:tc>
      </w:tr>
      <w:tr>
        <w:trPr>
          <w:trHeight w:val="178"/>
        </w:trPr>
        <w:tc>
          <w:tcPr>
            <w:tcW w:w="6000" w:type="dxa"/>
            <w:vAlign w:val="bottom"/>
          </w:tcPr>
          <w:p>
            <w:pPr>
              <w:spacing w:after="0"/>
              <w:rPr>
                <w:sz w:val="20"/>
                <w:szCs w:val="20"/>
                <w:color w:val="auto"/>
              </w:rPr>
            </w:pPr>
            <w:r>
              <w:rPr>
                <w:rFonts w:ascii="Arial" w:cs="Arial" w:eastAsia="Arial" w:hAnsi="Arial"/>
                <w:sz w:val="13"/>
                <w:szCs w:val="13"/>
                <w:color w:val="auto"/>
              </w:rPr>
              <w:t>Derivatives not designated as hedging instruments:</w:t>
            </w:r>
          </w:p>
        </w:tc>
        <w:tc>
          <w:tcPr>
            <w:tcW w:w="420" w:type="dxa"/>
            <w:vAlign w:val="bottom"/>
            <w:tcBorders>
              <w:top w:val="single" w:sz="8" w:color="auto"/>
            </w:tcBorders>
            <w:vMerge w:val="restart"/>
          </w:tcPr>
          <w:p>
            <w:pPr>
              <w:ind w:left="120"/>
              <w:spacing w:after="0"/>
              <w:rPr>
                <w:sz w:val="20"/>
                <w:szCs w:val="20"/>
                <w:color w:val="auto"/>
              </w:rPr>
            </w:pPr>
            <w:r>
              <w:rPr>
                <w:rFonts w:ascii="Arial" w:cs="Arial" w:eastAsia="Arial" w:hAnsi="Arial"/>
                <w:sz w:val="13"/>
                <w:szCs w:val="13"/>
                <w:b w:val="1"/>
                <w:bCs w:val="1"/>
                <w:color w:val="auto"/>
              </w:rPr>
              <w:t>(0.4)</w:t>
            </w:r>
          </w:p>
        </w:tc>
        <w:tc>
          <w:tcPr>
            <w:tcW w:w="2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00" w:type="dxa"/>
            <w:vAlign w:val="bottom"/>
          </w:tcPr>
          <w:p>
            <w:pPr>
              <w:spacing w:after="0"/>
              <w:rPr>
                <w:sz w:val="20"/>
                <w:szCs w:val="20"/>
                <w:color w:val="auto"/>
              </w:rPr>
            </w:pPr>
            <w:r>
              <w:rPr>
                <w:rFonts w:ascii="Arial" w:cs="Arial" w:eastAsia="Arial" w:hAnsi="Arial"/>
                <w:sz w:val="13"/>
                <w:szCs w:val="13"/>
                <w:color w:val="auto"/>
              </w:rPr>
              <w:t>Gains (losses) on foreign exchange forward contracts</w:t>
            </w:r>
          </w:p>
        </w:tc>
        <w:tc>
          <w:tcPr>
            <w:tcW w:w="420" w:type="dxa"/>
            <w:vAlign w:val="bottom"/>
            <w:vMerge w:val="continue"/>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26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color w:val="auto"/>
                <w:w w:val="90"/>
              </w:rPr>
              <w:t>Cost of products sold</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Credit Risk</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5"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R —</w:t>
      </w:r>
      <w:r>
        <w:rPr>
          <w:sz w:val="20"/>
          <w:szCs w:val="20"/>
          <w:color w:val="auto"/>
        </w:rPr>
        <w:tab/>
      </w:r>
      <w:r>
        <w:rPr>
          <w:rFonts w:ascii="Arial" w:cs="Arial" w:eastAsia="Arial" w:hAnsi="Arial"/>
          <w:sz w:val="11"/>
          <w:szCs w:val="11"/>
          <w:b w:val="1"/>
          <w:bCs w:val="1"/>
          <w:color w:val="auto"/>
        </w:rPr>
        <w:t>Legal Proceedings</w:t>
      </w:r>
    </w:p>
    <w:p>
      <w:pPr>
        <w:spacing w:after="0" w:line="100"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On July 27, 2010, the Court denied the motions to dismiss that we and the officer and director defendants had filed. We believe that we have meritorious defenses and intend to defend ourselves vigorously.</w:t>
      </w:r>
    </w:p>
    <w:p>
      <w:pPr>
        <w:spacing w:after="0" w:line="6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S —</w:t>
      </w:r>
      <w:r>
        <w:rPr>
          <w:sz w:val="20"/>
          <w:szCs w:val="20"/>
          <w:color w:val="auto"/>
        </w:rPr>
        <w:tab/>
      </w:r>
      <w:r>
        <w:rPr>
          <w:rFonts w:ascii="Arial" w:cs="Arial" w:eastAsia="Arial" w:hAnsi="Arial"/>
          <w:sz w:val="12"/>
          <w:szCs w:val="12"/>
          <w:b w:val="1"/>
          <w:bCs w:val="1"/>
          <w:color w:val="auto"/>
        </w:rPr>
        <w:t>Quarterly Financial Data (Unaudited)</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2010 and 2009 are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ind w:left="260"/>
              <w:spacing w:after="0"/>
              <w:rPr>
                <w:sz w:val="20"/>
                <w:szCs w:val="20"/>
                <w:color w:val="auto"/>
              </w:rPr>
            </w:pPr>
            <w:r>
              <w:rPr>
                <w:rFonts w:ascii="Arial" w:cs="Arial" w:eastAsia="Arial" w:hAnsi="Arial"/>
                <w:sz w:val="10"/>
                <w:szCs w:val="10"/>
                <w:b w:val="1"/>
                <w:bCs w:val="1"/>
                <w:color w:val="auto"/>
              </w:rPr>
              <w:t>1st Quarter</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jc w:val="right"/>
              <w:ind w:right="157"/>
              <w:spacing w:after="0"/>
              <w:rPr>
                <w:sz w:val="20"/>
                <w:szCs w:val="20"/>
                <w:color w:val="auto"/>
              </w:rPr>
            </w:pPr>
            <w:r>
              <w:rPr>
                <w:rFonts w:ascii="Arial" w:cs="Arial" w:eastAsia="Arial" w:hAnsi="Arial"/>
                <w:sz w:val="10"/>
                <w:szCs w:val="10"/>
                <w:b w:val="1"/>
                <w:bCs w:val="1"/>
                <w:color w:val="auto"/>
              </w:rPr>
              <w:t>2nd Quarter</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b w:val="1"/>
                <w:bCs w:val="1"/>
                <w:color w:val="auto"/>
              </w:rPr>
              <w:t>3rd Quarter</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4th Quarter</w:t>
            </w:r>
          </w:p>
        </w:tc>
      </w:tr>
      <w:tr>
        <w:trPr>
          <w:trHeight w:val="125"/>
        </w:trPr>
        <w:tc>
          <w:tcPr>
            <w:tcW w:w="13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tcPr>
          <w:p>
            <w:pPr>
              <w:ind w:left="260"/>
              <w:spacing w:after="0"/>
              <w:rPr>
                <w:sz w:val="20"/>
                <w:szCs w:val="20"/>
                <w:color w:val="auto"/>
              </w:rPr>
            </w:pPr>
            <w:r>
              <w:rPr>
                <w:rFonts w:ascii="Arial" w:cs="Arial" w:eastAsia="Arial" w:hAnsi="Arial"/>
                <w:sz w:val="10"/>
                <w:szCs w:val="10"/>
                <w:b w:val="1"/>
                <w:bCs w:val="1"/>
                <w:color w:val="auto"/>
              </w:rPr>
              <w:t>10-02-2009</w:t>
            </w:r>
          </w:p>
        </w:tc>
        <w:tc>
          <w:tcPr>
            <w:tcW w:w="20" w:type="dxa"/>
            <w:vAlign w:val="bottom"/>
          </w:tcPr>
          <w:p>
            <w:pPr>
              <w:spacing w:after="0"/>
              <w:rPr>
                <w:sz w:val="10"/>
                <w:szCs w:val="10"/>
                <w:color w:val="auto"/>
              </w:rPr>
            </w:pPr>
          </w:p>
        </w:tc>
        <w:tc>
          <w:tcPr>
            <w:tcW w:w="1300" w:type="dxa"/>
            <w:vAlign w:val="bottom"/>
            <w:gridSpan w:val="4"/>
          </w:tcPr>
          <w:p>
            <w:pPr>
              <w:ind w:left="540"/>
              <w:spacing w:after="0"/>
              <w:rPr>
                <w:sz w:val="20"/>
                <w:szCs w:val="20"/>
                <w:color w:val="auto"/>
              </w:rPr>
            </w:pPr>
            <w:r>
              <w:rPr>
                <w:rFonts w:ascii="Arial" w:cs="Arial" w:eastAsia="Arial" w:hAnsi="Arial"/>
                <w:sz w:val="10"/>
                <w:szCs w:val="10"/>
                <w:b w:val="1"/>
                <w:bCs w:val="1"/>
                <w:color w:val="auto"/>
              </w:rPr>
              <w:t>01-01-2010</w:t>
            </w:r>
          </w:p>
        </w:tc>
        <w:tc>
          <w:tcPr>
            <w:tcW w:w="1340" w:type="dxa"/>
            <w:vAlign w:val="bottom"/>
            <w:gridSpan w:val="4"/>
          </w:tcPr>
          <w:p>
            <w:pPr>
              <w:ind w:left="580"/>
              <w:spacing w:after="0"/>
              <w:rPr>
                <w:sz w:val="20"/>
                <w:szCs w:val="20"/>
                <w:color w:val="auto"/>
              </w:rPr>
            </w:pPr>
            <w:r>
              <w:rPr>
                <w:rFonts w:ascii="Arial" w:cs="Arial" w:eastAsia="Arial" w:hAnsi="Arial"/>
                <w:sz w:val="10"/>
                <w:szCs w:val="10"/>
                <w:b w:val="1"/>
                <w:bCs w:val="1"/>
                <w:color w:val="auto"/>
              </w:rPr>
              <w:t>04-02-2010</w:t>
            </w:r>
          </w:p>
        </w:tc>
        <w:tc>
          <w:tcPr>
            <w:tcW w:w="1340" w:type="dxa"/>
            <w:vAlign w:val="bottom"/>
            <w:gridSpan w:val="4"/>
          </w:tcPr>
          <w:p>
            <w:pPr>
              <w:jc w:val="center"/>
              <w:ind w:left="215"/>
              <w:spacing w:after="0"/>
              <w:rPr>
                <w:sz w:val="20"/>
                <w:szCs w:val="20"/>
                <w:color w:val="auto"/>
              </w:rPr>
            </w:pPr>
            <w:r>
              <w:rPr>
                <w:rFonts w:ascii="Arial" w:cs="Arial" w:eastAsia="Arial" w:hAnsi="Arial"/>
                <w:sz w:val="10"/>
                <w:szCs w:val="10"/>
                <w:b w:val="1"/>
                <w:bCs w:val="1"/>
                <w:color w:val="auto"/>
                <w:w w:val="97"/>
              </w:rPr>
              <w:t>07-02-2010</w:t>
            </w:r>
          </w:p>
        </w:tc>
      </w:tr>
      <w:tr>
        <w:trPr>
          <w:trHeight w:val="131"/>
        </w:trPr>
        <w:tc>
          <w:tcPr>
            <w:tcW w:w="13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80" w:type="dxa"/>
            <w:vAlign w:val="bottom"/>
            <w:gridSpan w:val="2"/>
          </w:tcPr>
          <w:p>
            <w:pPr>
              <w:spacing w:after="0"/>
              <w:rPr>
                <w:sz w:val="20"/>
                <w:szCs w:val="20"/>
                <w:color w:val="auto"/>
              </w:rPr>
            </w:pPr>
            <w:r>
              <w:rPr>
                <w:rFonts w:ascii="Arial" w:cs="Arial" w:eastAsia="Arial" w:hAnsi="Arial"/>
                <w:sz w:val="10"/>
                <w:szCs w:val="10"/>
                <w:b w:val="1"/>
                <w:bCs w:val="1"/>
                <w:color w:val="auto"/>
                <w:w w:val="81"/>
              </w:rPr>
              <w:t>except</w:t>
            </w:r>
          </w:p>
        </w:tc>
        <w:tc>
          <w:tcPr>
            <w:tcW w:w="1060" w:type="dxa"/>
            <w:vAlign w:val="bottom"/>
            <w:tcBorders>
              <w:top w:val="single" w:sz="8" w:color="auto"/>
            </w:tcBorders>
            <w:gridSpan w:val="2"/>
          </w:tcPr>
          <w:p>
            <w:pPr>
              <w:jc w:val="right"/>
              <w:ind w:right="328"/>
              <w:spacing w:after="0"/>
              <w:rPr>
                <w:sz w:val="20"/>
                <w:szCs w:val="20"/>
                <w:color w:val="auto"/>
              </w:rPr>
            </w:pPr>
            <w:r>
              <w:rPr>
                <w:rFonts w:ascii="Arial" w:cs="Arial" w:eastAsia="Arial" w:hAnsi="Arial"/>
                <w:sz w:val="10"/>
                <w:szCs w:val="10"/>
                <w:b w:val="1"/>
                <w:bCs w:val="1"/>
                <w:color w:val="auto"/>
                <w:w w:val="88"/>
              </w:rPr>
              <w:t>share amounts)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63"/>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Fiscal 2010</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Revenue</w:t>
            </w:r>
          </w:p>
        </w:tc>
        <w:tc>
          <w:tcPr>
            <w:tcW w:w="1020" w:type="dxa"/>
            <w:vAlign w:val="bottom"/>
            <w:gridSpan w:val="2"/>
          </w:tcPr>
          <w:p>
            <w:pPr>
              <w:jc w:val="right"/>
              <w:ind w:right="294"/>
              <w:spacing w:after="0"/>
              <w:rPr>
                <w:sz w:val="20"/>
                <w:szCs w:val="20"/>
                <w:color w:val="auto"/>
              </w:rPr>
            </w:pPr>
            <w:r>
              <w:rPr>
                <w:rFonts w:ascii="Arial" w:cs="Arial" w:eastAsia="Arial" w:hAnsi="Arial"/>
                <w:sz w:val="13"/>
                <w:szCs w:val="13"/>
                <w:color w:val="auto"/>
              </w:rPr>
              <w:t>$120.0</w:t>
            </w:r>
          </w:p>
        </w:tc>
        <w:tc>
          <w:tcPr>
            <w:tcW w:w="20" w:type="dxa"/>
            <w:vAlign w:val="bottom"/>
          </w:tcPr>
          <w:p>
            <w:pPr>
              <w:spacing w:after="0"/>
              <w:rPr>
                <w:sz w:val="13"/>
                <w:szCs w:val="13"/>
                <w:color w:val="auto"/>
              </w:rPr>
            </w:pPr>
          </w:p>
        </w:tc>
        <w:tc>
          <w:tcPr>
            <w:tcW w:w="1300" w:type="dxa"/>
            <w:vAlign w:val="bottom"/>
            <w:gridSpan w:val="4"/>
          </w:tcPr>
          <w:p>
            <w:pPr>
              <w:jc w:val="right"/>
              <w:ind w:right="297"/>
              <w:spacing w:after="0"/>
              <w:rPr>
                <w:sz w:val="20"/>
                <w:szCs w:val="20"/>
                <w:color w:val="auto"/>
              </w:rPr>
            </w:pPr>
            <w:r>
              <w:rPr>
                <w:rFonts w:ascii="Arial" w:cs="Arial" w:eastAsia="Arial" w:hAnsi="Arial"/>
                <w:sz w:val="13"/>
                <w:szCs w:val="13"/>
                <w:color w:val="auto"/>
              </w:rPr>
              <w:t>$122.6</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$120.0</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$116.3</w:t>
            </w:r>
          </w:p>
        </w:tc>
      </w:tr>
      <w:tr>
        <w:trPr>
          <w:trHeight w:val="157"/>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Gross margin</w:t>
            </w:r>
          </w:p>
        </w:tc>
        <w:tc>
          <w:tcPr>
            <w:tcW w:w="1020" w:type="dxa"/>
            <w:vAlign w:val="bottom"/>
            <w:gridSpan w:val="2"/>
            <w:shd w:val="clear" w:color="auto" w:fill="CCEEFF"/>
          </w:tcPr>
          <w:p>
            <w:pPr>
              <w:jc w:val="right"/>
              <w:ind w:right="294"/>
              <w:spacing w:after="0"/>
              <w:rPr>
                <w:sz w:val="20"/>
                <w:szCs w:val="20"/>
                <w:color w:val="auto"/>
              </w:rPr>
            </w:pPr>
            <w:r>
              <w:rPr>
                <w:rFonts w:ascii="Arial" w:cs="Arial" w:eastAsia="Arial" w:hAnsi="Arial"/>
                <w:sz w:val="13"/>
                <w:szCs w:val="13"/>
                <w:color w:val="auto"/>
              </w:rPr>
              <w:t>$ 37.7</w:t>
            </w:r>
          </w:p>
        </w:tc>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jc w:val="right"/>
              <w:ind w:right="297"/>
              <w:spacing w:after="0"/>
              <w:rPr>
                <w:sz w:val="20"/>
                <w:szCs w:val="20"/>
                <w:color w:val="auto"/>
              </w:rPr>
            </w:pPr>
            <w:r>
              <w:rPr>
                <w:rFonts w:ascii="Arial" w:cs="Arial" w:eastAsia="Arial" w:hAnsi="Arial"/>
                <w:sz w:val="13"/>
                <w:szCs w:val="13"/>
                <w:color w:val="auto"/>
              </w:rPr>
              <w:t>$ 42.3</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$ 18.2</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$ 35.2</w:t>
            </w: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Loss from operations</w:t>
            </w:r>
          </w:p>
        </w:tc>
        <w:tc>
          <w:tcPr>
            <w:tcW w:w="380" w:type="dxa"/>
            <w:vAlign w:val="bottom"/>
          </w:tcPr>
          <w:p>
            <w:pPr>
              <w:ind w:left="30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254"/>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57"/>
              <w:spacing w:after="0"/>
              <w:rPr>
                <w:sz w:val="20"/>
                <w:szCs w:val="20"/>
                <w:color w:val="auto"/>
              </w:rPr>
            </w:pPr>
            <w:r>
              <w:rPr>
                <w:rFonts w:ascii="Arial" w:cs="Arial" w:eastAsia="Arial" w:hAnsi="Arial"/>
                <w:sz w:val="13"/>
                <w:szCs w:val="13"/>
                <w:color w:val="auto"/>
              </w:rPr>
              <w:t>(6.2)</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(29.0)</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(91.7)</w:t>
            </w:r>
          </w:p>
        </w:tc>
      </w:tr>
      <w:tr>
        <w:trPr>
          <w:trHeight w:val="157"/>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loss</w:t>
            </w:r>
          </w:p>
        </w:tc>
        <w:tc>
          <w:tcPr>
            <w:tcW w:w="3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(7.8)</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(7.9)</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(25.7)</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(88.8)</w:t>
            </w: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Per share data(1):</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7"/>
        </w:trPr>
        <w:tc>
          <w:tcPr>
            <w:tcW w:w="49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Basic and diluted net loss per share of Common Stock(2)</w:t>
            </w:r>
          </w:p>
        </w:tc>
        <w:tc>
          <w:tcPr>
            <w:tcW w:w="102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 (0.13)</w:t>
            </w:r>
          </w:p>
        </w:tc>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jc w:val="right"/>
              <w:ind w:right="257"/>
              <w:spacing w:after="0"/>
              <w:rPr>
                <w:sz w:val="20"/>
                <w:szCs w:val="20"/>
                <w:color w:val="auto"/>
              </w:rPr>
            </w:pPr>
            <w:r>
              <w:rPr>
                <w:rFonts w:ascii="Arial" w:cs="Arial" w:eastAsia="Arial" w:hAnsi="Arial"/>
                <w:sz w:val="13"/>
                <w:szCs w:val="13"/>
                <w:color w:val="auto"/>
              </w:rPr>
              <w:t>$ (0.13)</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(0.43)</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(1.49)</w:t>
            </w: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Market price range of one share of Common Stock:</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7"/>
        </w:trPr>
        <w:tc>
          <w:tcPr>
            <w:tcW w:w="49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1020" w:type="dxa"/>
            <w:vAlign w:val="bottom"/>
            <w:gridSpan w:val="2"/>
            <w:shd w:val="clear" w:color="auto" w:fill="CCEEFF"/>
          </w:tcPr>
          <w:p>
            <w:pPr>
              <w:jc w:val="right"/>
              <w:ind w:right="294"/>
              <w:spacing w:after="0"/>
              <w:rPr>
                <w:sz w:val="20"/>
                <w:szCs w:val="20"/>
                <w:color w:val="auto"/>
              </w:rPr>
            </w:pPr>
            <w:r>
              <w:rPr>
                <w:rFonts w:ascii="Arial" w:cs="Arial" w:eastAsia="Arial" w:hAnsi="Arial"/>
                <w:sz w:val="13"/>
                <w:szCs w:val="13"/>
                <w:color w:val="auto"/>
              </w:rPr>
              <w:t>$ 7.79</w:t>
            </w:r>
          </w:p>
        </w:tc>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jc w:val="right"/>
              <w:ind w:right="297"/>
              <w:spacing w:after="0"/>
              <w:rPr>
                <w:sz w:val="20"/>
                <w:szCs w:val="20"/>
                <w:color w:val="auto"/>
              </w:rPr>
            </w:pPr>
            <w:r>
              <w:rPr>
                <w:rFonts w:ascii="Arial" w:cs="Arial" w:eastAsia="Arial" w:hAnsi="Arial"/>
                <w:sz w:val="13"/>
                <w:szCs w:val="13"/>
                <w:color w:val="auto"/>
              </w:rPr>
              <w:t>$ 7.49</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$ 8.25</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$ 7.42</w:t>
            </w:r>
          </w:p>
        </w:tc>
      </w:tr>
      <w:tr>
        <w:trPr>
          <w:trHeight w:val="165"/>
        </w:trPr>
        <w:tc>
          <w:tcPr>
            <w:tcW w:w="4960" w:type="dxa"/>
            <w:vAlign w:val="bottom"/>
            <w:gridSpan w:val="3"/>
          </w:tcPr>
          <w:p>
            <w:pPr>
              <w:ind w:left="140"/>
              <w:spacing w:after="0"/>
              <w:rPr>
                <w:sz w:val="20"/>
                <w:szCs w:val="20"/>
                <w:color w:val="auto"/>
              </w:rPr>
            </w:pPr>
            <w:r>
              <w:rPr>
                <w:rFonts w:ascii="Arial" w:cs="Arial" w:eastAsia="Arial" w:hAnsi="Arial"/>
                <w:sz w:val="13"/>
                <w:szCs w:val="13"/>
                <w:color w:val="auto"/>
              </w:rPr>
              <w:t>Low</w:t>
            </w:r>
          </w:p>
        </w:tc>
        <w:tc>
          <w:tcPr>
            <w:tcW w:w="1020" w:type="dxa"/>
            <w:vAlign w:val="bottom"/>
            <w:gridSpan w:val="2"/>
          </w:tcPr>
          <w:p>
            <w:pPr>
              <w:jc w:val="right"/>
              <w:ind w:right="294"/>
              <w:spacing w:after="0"/>
              <w:rPr>
                <w:sz w:val="20"/>
                <w:szCs w:val="20"/>
                <w:color w:val="auto"/>
              </w:rPr>
            </w:pPr>
            <w:r>
              <w:rPr>
                <w:rFonts w:ascii="Arial" w:cs="Arial" w:eastAsia="Arial" w:hAnsi="Arial"/>
                <w:sz w:val="13"/>
                <w:szCs w:val="13"/>
                <w:color w:val="auto"/>
              </w:rPr>
              <w:t>$ 5.65</w:t>
            </w:r>
          </w:p>
        </w:tc>
        <w:tc>
          <w:tcPr>
            <w:tcW w:w="20" w:type="dxa"/>
            <w:vAlign w:val="bottom"/>
          </w:tcPr>
          <w:p>
            <w:pPr>
              <w:spacing w:after="0"/>
              <w:rPr>
                <w:sz w:val="14"/>
                <w:szCs w:val="14"/>
                <w:color w:val="auto"/>
              </w:rPr>
            </w:pPr>
          </w:p>
        </w:tc>
        <w:tc>
          <w:tcPr>
            <w:tcW w:w="1300" w:type="dxa"/>
            <w:vAlign w:val="bottom"/>
            <w:gridSpan w:val="4"/>
          </w:tcPr>
          <w:p>
            <w:pPr>
              <w:jc w:val="right"/>
              <w:ind w:right="297"/>
              <w:spacing w:after="0"/>
              <w:rPr>
                <w:sz w:val="20"/>
                <w:szCs w:val="20"/>
                <w:color w:val="auto"/>
              </w:rPr>
            </w:pPr>
            <w:r>
              <w:rPr>
                <w:rFonts w:ascii="Arial" w:cs="Arial" w:eastAsia="Arial" w:hAnsi="Arial"/>
                <w:sz w:val="13"/>
                <w:szCs w:val="13"/>
                <w:color w:val="auto"/>
              </w:rPr>
              <w:t>$ 5.81</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$ 5.85</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$ 3.46</w:t>
            </w:r>
          </w:p>
        </w:tc>
      </w:tr>
      <w:tr>
        <w:trPr>
          <w:trHeight w:val="261"/>
        </w:trPr>
        <w:tc>
          <w:tcPr>
            <w:tcW w:w="13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3"/>
          </w:tcPr>
          <w:p>
            <w:pPr>
              <w:ind w:left="240"/>
              <w:spacing w:after="0"/>
              <w:rPr>
                <w:sz w:val="20"/>
                <w:szCs w:val="20"/>
                <w:color w:val="auto"/>
              </w:rPr>
            </w:pPr>
            <w:r>
              <w:rPr>
                <w:rFonts w:ascii="Arial" w:cs="Arial" w:eastAsia="Arial" w:hAnsi="Arial"/>
                <w:sz w:val="10"/>
                <w:szCs w:val="10"/>
                <w:b w:val="1"/>
                <w:bCs w:val="1"/>
                <w:color w:val="auto"/>
              </w:rPr>
              <w:t>1st Quarter</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ind w:right="157"/>
              <w:spacing w:after="0"/>
              <w:rPr>
                <w:sz w:val="20"/>
                <w:szCs w:val="20"/>
                <w:color w:val="auto"/>
              </w:rPr>
            </w:pPr>
            <w:r>
              <w:rPr>
                <w:rFonts w:ascii="Arial" w:cs="Arial" w:eastAsia="Arial" w:hAnsi="Arial"/>
                <w:sz w:val="10"/>
                <w:szCs w:val="10"/>
                <w:b w:val="1"/>
                <w:bCs w:val="1"/>
                <w:color w:val="auto"/>
              </w:rPr>
              <w:t>2nd Quarter</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ind w:left="240"/>
              <w:spacing w:after="0"/>
              <w:rPr>
                <w:sz w:val="20"/>
                <w:szCs w:val="20"/>
                <w:color w:val="auto"/>
              </w:rPr>
            </w:pPr>
            <w:r>
              <w:rPr>
                <w:rFonts w:ascii="Arial" w:cs="Arial" w:eastAsia="Arial" w:hAnsi="Arial"/>
                <w:sz w:val="10"/>
                <w:szCs w:val="10"/>
                <w:b w:val="1"/>
                <w:bCs w:val="1"/>
                <w:color w:val="auto"/>
              </w:rPr>
              <w:t>3rd Quarter</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6"/>
              </w:rPr>
              <w:t>4th Quarter</w:t>
            </w:r>
          </w:p>
        </w:tc>
      </w:tr>
      <w:tr>
        <w:trPr>
          <w:trHeight w:val="125"/>
        </w:trPr>
        <w:tc>
          <w:tcPr>
            <w:tcW w:w="13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09-26-2008</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rPr>
              <w:t>01-02-2009</w:t>
            </w:r>
          </w:p>
        </w:tc>
        <w:tc>
          <w:tcPr>
            <w:tcW w:w="40" w:type="dxa"/>
            <w:vAlign w:val="bottom"/>
            <w:tcBorders>
              <w:bottom w:val="single" w:sz="8" w:color="auto"/>
            </w:tcBorders>
          </w:tcPr>
          <w:p>
            <w:pPr>
              <w:spacing w:after="0"/>
              <w:rPr>
                <w:sz w:val="10"/>
                <w:szCs w:val="10"/>
                <w:color w:val="auto"/>
              </w:rPr>
            </w:pPr>
          </w:p>
        </w:tc>
        <w:tc>
          <w:tcPr>
            <w:tcW w:w="280" w:type="dxa"/>
            <w:vAlign w:val="bottom"/>
            <w:gridSpan w:val="2"/>
          </w:tcPr>
          <w:p>
            <w:pPr>
              <w:spacing w:after="0"/>
              <w:rPr>
                <w:sz w:val="10"/>
                <w:szCs w:val="10"/>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04-03-2009</w:t>
            </w:r>
          </w:p>
        </w:tc>
        <w:tc>
          <w:tcPr>
            <w:tcW w:w="20" w:type="dxa"/>
            <w:vAlign w:val="bottom"/>
            <w:tcBorders>
              <w:bottom w:val="single" w:sz="8" w:color="auto"/>
            </w:tcBorders>
          </w:tcPr>
          <w:p>
            <w:pPr>
              <w:spacing w:after="0"/>
              <w:rPr>
                <w:sz w:val="10"/>
                <w:szCs w:val="10"/>
                <w:color w:val="auto"/>
              </w:rPr>
            </w:pPr>
          </w:p>
        </w:tc>
        <w:tc>
          <w:tcPr>
            <w:tcW w:w="280" w:type="dxa"/>
            <w:vAlign w:val="bottom"/>
            <w:gridSpan w:val="2"/>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07-03-2009</w:t>
            </w:r>
          </w:p>
        </w:tc>
      </w:tr>
      <w:tr>
        <w:trPr>
          <w:trHeight w:val="131"/>
        </w:trPr>
        <w:tc>
          <w:tcPr>
            <w:tcW w:w="13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gridSpan w:val="5"/>
          </w:tcPr>
          <w:p>
            <w:pPr>
              <w:ind w:left="20"/>
              <w:spacing w:after="0"/>
              <w:rPr>
                <w:sz w:val="20"/>
                <w:szCs w:val="20"/>
                <w:color w:val="auto"/>
              </w:rPr>
            </w:pPr>
            <w:r>
              <w:rPr>
                <w:rFonts w:ascii="Arial" w:cs="Arial" w:eastAsia="Arial" w:hAnsi="Arial"/>
                <w:sz w:val="10"/>
                <w:szCs w:val="10"/>
                <w:b w:val="1"/>
                <w:bCs w:val="1"/>
                <w:color w:val="auto"/>
              </w:rPr>
              <w:t>(In millions, except share amounts)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3"/>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Fiscal 2009</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Revenue</w:t>
            </w:r>
          </w:p>
        </w:tc>
        <w:tc>
          <w:tcPr>
            <w:tcW w:w="1020" w:type="dxa"/>
            <w:vAlign w:val="bottom"/>
            <w:gridSpan w:val="2"/>
          </w:tcPr>
          <w:p>
            <w:pPr>
              <w:jc w:val="right"/>
              <w:ind w:right="314"/>
              <w:spacing w:after="0"/>
              <w:rPr>
                <w:sz w:val="20"/>
                <w:szCs w:val="20"/>
                <w:color w:val="auto"/>
              </w:rPr>
            </w:pPr>
            <w:r>
              <w:rPr>
                <w:rFonts w:ascii="Arial" w:cs="Arial" w:eastAsia="Arial" w:hAnsi="Arial"/>
                <w:sz w:val="13"/>
                <w:szCs w:val="13"/>
                <w:color w:val="auto"/>
              </w:rPr>
              <w:t>$195.8</w:t>
            </w:r>
          </w:p>
        </w:tc>
        <w:tc>
          <w:tcPr>
            <w:tcW w:w="20" w:type="dxa"/>
            <w:vAlign w:val="bottom"/>
          </w:tcPr>
          <w:p>
            <w:pPr>
              <w:spacing w:after="0"/>
              <w:rPr>
                <w:sz w:val="13"/>
                <w:szCs w:val="13"/>
                <w:color w:val="auto"/>
              </w:rPr>
            </w:pPr>
          </w:p>
        </w:tc>
        <w:tc>
          <w:tcPr>
            <w:tcW w:w="1300" w:type="dxa"/>
            <w:vAlign w:val="bottom"/>
            <w:gridSpan w:val="4"/>
          </w:tcPr>
          <w:p>
            <w:pPr>
              <w:jc w:val="right"/>
              <w:ind w:right="277"/>
              <w:spacing w:after="0"/>
              <w:rPr>
                <w:sz w:val="20"/>
                <w:szCs w:val="20"/>
                <w:color w:val="auto"/>
              </w:rPr>
            </w:pPr>
            <w:r>
              <w:rPr>
                <w:rFonts w:ascii="Arial" w:cs="Arial" w:eastAsia="Arial" w:hAnsi="Arial"/>
                <w:sz w:val="13"/>
                <w:szCs w:val="13"/>
                <w:color w:val="auto"/>
              </w:rPr>
              <w:t>$ 190.9</w:t>
            </w:r>
          </w:p>
        </w:tc>
        <w:tc>
          <w:tcPr>
            <w:tcW w:w="1340" w:type="dxa"/>
            <w:vAlign w:val="bottom"/>
            <w:gridSpan w:val="4"/>
          </w:tcPr>
          <w:p>
            <w:pPr>
              <w:ind w:left="620"/>
              <w:spacing w:after="0"/>
              <w:rPr>
                <w:sz w:val="20"/>
                <w:szCs w:val="20"/>
                <w:color w:val="auto"/>
              </w:rPr>
            </w:pPr>
            <w:r>
              <w:rPr>
                <w:rFonts w:ascii="Arial" w:cs="Arial" w:eastAsia="Arial" w:hAnsi="Arial"/>
                <w:sz w:val="13"/>
                <w:szCs w:val="13"/>
                <w:color w:val="auto"/>
              </w:rPr>
              <w:t>$158.0</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$135.2</w:t>
            </w:r>
          </w:p>
        </w:tc>
      </w:tr>
      <w:tr>
        <w:trPr>
          <w:trHeight w:val="157"/>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Gross margin</w:t>
            </w:r>
          </w:p>
        </w:tc>
        <w:tc>
          <w:tcPr>
            <w:tcW w:w="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94"/>
              </w:rPr>
              <w:t>59.1</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51.1</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3"/>
                <w:szCs w:val="13"/>
                <w:color w:val="auto"/>
              </w:rPr>
              <w:t>$ 16.5</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$ 47.7</w:t>
            </w: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Income (loss) from operations</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14"/>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3"/>
                <w:szCs w:val="13"/>
                <w:color w:val="auto"/>
              </w:rPr>
            </w:pPr>
          </w:p>
        </w:tc>
        <w:tc>
          <w:tcPr>
            <w:tcW w:w="1300" w:type="dxa"/>
            <w:vAlign w:val="bottom"/>
            <w:gridSpan w:val="4"/>
          </w:tcPr>
          <w:p>
            <w:pPr>
              <w:jc w:val="right"/>
              <w:ind w:right="217"/>
              <w:spacing w:after="0"/>
              <w:rPr>
                <w:sz w:val="20"/>
                <w:szCs w:val="20"/>
                <w:color w:val="auto"/>
              </w:rPr>
            </w:pPr>
            <w:r>
              <w:rPr>
                <w:rFonts w:ascii="Arial" w:cs="Arial" w:eastAsia="Arial" w:hAnsi="Arial"/>
                <w:sz w:val="13"/>
                <w:szCs w:val="13"/>
                <w:color w:val="auto"/>
              </w:rPr>
              <w:t>$(294.8)</w:t>
            </w:r>
          </w:p>
        </w:tc>
        <w:tc>
          <w:tcPr>
            <w:tcW w:w="1340" w:type="dxa"/>
            <w:vAlign w:val="bottom"/>
            <w:gridSpan w:val="4"/>
          </w:tcPr>
          <w:p>
            <w:pPr>
              <w:ind w:left="620"/>
              <w:spacing w:after="0"/>
              <w:rPr>
                <w:sz w:val="20"/>
                <w:szCs w:val="20"/>
                <w:color w:val="auto"/>
              </w:rPr>
            </w:pPr>
            <w:r>
              <w:rPr>
                <w:rFonts w:ascii="Arial" w:cs="Arial" w:eastAsia="Arial" w:hAnsi="Arial"/>
                <w:sz w:val="13"/>
                <w:szCs w:val="13"/>
                <w:color w:val="auto"/>
              </w:rPr>
              <w:t>$ (35.2)</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(13.0)</w:t>
            </w:r>
          </w:p>
        </w:tc>
      </w:tr>
      <w:tr>
        <w:trPr>
          <w:trHeight w:val="157"/>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6.5</w:t>
            </w:r>
          </w:p>
        </w:tc>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jc w:val="right"/>
              <w:ind w:right="217"/>
              <w:spacing w:after="0"/>
              <w:rPr>
                <w:sz w:val="20"/>
                <w:szCs w:val="20"/>
                <w:color w:val="auto"/>
              </w:rPr>
            </w:pPr>
            <w:r>
              <w:rPr>
                <w:rFonts w:ascii="Arial" w:cs="Arial" w:eastAsia="Arial" w:hAnsi="Arial"/>
                <w:sz w:val="13"/>
                <w:szCs w:val="13"/>
                <w:color w:val="auto"/>
              </w:rPr>
              <w:t>$(318.7)</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3"/>
                <w:szCs w:val="13"/>
                <w:color w:val="auto"/>
              </w:rPr>
              <w:t>$ (39.4)</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(3.4)</w:t>
            </w:r>
          </w:p>
        </w:tc>
      </w:tr>
      <w:tr>
        <w:trPr>
          <w:trHeight w:val="157"/>
        </w:trPr>
        <w:tc>
          <w:tcPr>
            <w:tcW w:w="4960" w:type="dxa"/>
            <w:vAlign w:val="bottom"/>
            <w:gridSpan w:val="3"/>
          </w:tcPr>
          <w:p>
            <w:pPr>
              <w:spacing w:after="0"/>
              <w:rPr>
                <w:sz w:val="20"/>
                <w:szCs w:val="20"/>
                <w:color w:val="auto"/>
              </w:rPr>
            </w:pPr>
            <w:r>
              <w:rPr>
                <w:rFonts w:ascii="Arial" w:cs="Arial" w:eastAsia="Arial" w:hAnsi="Arial"/>
                <w:sz w:val="13"/>
                <w:szCs w:val="13"/>
                <w:color w:val="auto"/>
              </w:rPr>
              <w:t>Per share data(1):</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7"/>
        </w:trPr>
        <w:tc>
          <w:tcPr>
            <w:tcW w:w="49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Basic net income (loss) per share of Class A and Class B Common Stock</w:t>
            </w:r>
          </w:p>
        </w:tc>
        <w:tc>
          <w:tcPr>
            <w:tcW w:w="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94"/>
              </w:rPr>
              <w:t>0.11</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9"/>
              </w:rPr>
              <w:t>(5.43)</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3"/>
                <w:szCs w:val="13"/>
                <w:color w:val="auto"/>
              </w:rPr>
              <w:t>$ (0.67)</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(0.06)</w:t>
            </w:r>
          </w:p>
        </w:tc>
      </w:tr>
      <w:tr>
        <w:trPr>
          <w:trHeight w:val="157"/>
        </w:trPr>
        <w:tc>
          <w:tcPr>
            <w:tcW w:w="4960" w:type="dxa"/>
            <w:vAlign w:val="bottom"/>
            <w:gridSpan w:val="3"/>
          </w:tcPr>
          <w:p>
            <w:pPr>
              <w:ind w:left="140"/>
              <w:spacing w:after="0"/>
              <w:rPr>
                <w:sz w:val="20"/>
                <w:szCs w:val="20"/>
                <w:color w:val="auto"/>
              </w:rPr>
            </w:pPr>
            <w:r>
              <w:rPr>
                <w:rFonts w:ascii="Arial" w:cs="Arial" w:eastAsia="Arial" w:hAnsi="Arial"/>
                <w:sz w:val="13"/>
                <w:szCs w:val="13"/>
                <w:color w:val="auto"/>
              </w:rPr>
              <w:t>Diluted net income (loss) per share of Class A and Class B Common Stock</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14"/>
              <w:spacing w:after="0"/>
              <w:rPr>
                <w:sz w:val="20"/>
                <w:szCs w:val="20"/>
                <w:color w:val="auto"/>
              </w:rPr>
            </w:pPr>
            <w:r>
              <w:rPr>
                <w:rFonts w:ascii="Arial" w:cs="Arial" w:eastAsia="Arial" w:hAnsi="Arial"/>
                <w:sz w:val="13"/>
                <w:szCs w:val="13"/>
                <w:color w:val="auto"/>
                <w:w w:val="94"/>
              </w:rPr>
              <w:t>0.10</w:t>
            </w:r>
          </w:p>
        </w:tc>
        <w:tc>
          <w:tcPr>
            <w:tcW w:w="20" w:type="dxa"/>
            <w:vAlign w:val="bottom"/>
          </w:tcPr>
          <w:p>
            <w:pPr>
              <w:spacing w:after="0"/>
              <w:rPr>
                <w:sz w:val="13"/>
                <w:szCs w:val="13"/>
                <w:color w:val="auto"/>
              </w:rPr>
            </w:pPr>
          </w:p>
        </w:tc>
        <w:tc>
          <w:tcPr>
            <w:tcW w:w="66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color w:val="auto"/>
                <w:w w:val="99"/>
              </w:rPr>
              <w:t>(5.43)</w:t>
            </w:r>
          </w:p>
        </w:tc>
        <w:tc>
          <w:tcPr>
            <w:tcW w:w="1340" w:type="dxa"/>
            <w:vAlign w:val="bottom"/>
            <w:gridSpan w:val="4"/>
          </w:tcPr>
          <w:p>
            <w:pPr>
              <w:ind w:left="620"/>
              <w:spacing w:after="0"/>
              <w:rPr>
                <w:sz w:val="20"/>
                <w:szCs w:val="20"/>
                <w:color w:val="auto"/>
              </w:rPr>
            </w:pPr>
            <w:r>
              <w:rPr>
                <w:rFonts w:ascii="Arial" w:cs="Arial" w:eastAsia="Arial" w:hAnsi="Arial"/>
                <w:sz w:val="13"/>
                <w:szCs w:val="13"/>
                <w:color w:val="auto"/>
              </w:rPr>
              <w:t>$ (0.67)</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(0.06)</w:t>
            </w:r>
          </w:p>
        </w:tc>
      </w:tr>
      <w:tr>
        <w:trPr>
          <w:trHeight w:val="157"/>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Market price range of one share of Class A Common Stock:</w:t>
            </w: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7"/>
        </w:trPr>
        <w:tc>
          <w:tcPr>
            <w:tcW w:w="4960" w:type="dxa"/>
            <w:vAlign w:val="bottom"/>
            <w:gridSpan w:val="3"/>
          </w:tcPr>
          <w:p>
            <w:pPr>
              <w:ind w:left="140"/>
              <w:spacing w:after="0"/>
              <w:rPr>
                <w:sz w:val="20"/>
                <w:szCs w:val="20"/>
                <w:color w:val="auto"/>
              </w:rPr>
            </w:pPr>
            <w:r>
              <w:rPr>
                <w:rFonts w:ascii="Arial" w:cs="Arial" w:eastAsia="Arial" w:hAnsi="Arial"/>
                <w:sz w:val="13"/>
                <w:szCs w:val="13"/>
                <w:color w:val="auto"/>
              </w:rPr>
              <w:t>High</w:t>
            </w:r>
          </w:p>
        </w:tc>
        <w:tc>
          <w:tcPr>
            <w:tcW w:w="1020" w:type="dxa"/>
            <w:vAlign w:val="bottom"/>
            <w:gridSpan w:val="2"/>
          </w:tcPr>
          <w:p>
            <w:pPr>
              <w:jc w:val="right"/>
              <w:ind w:right="314"/>
              <w:spacing w:after="0"/>
              <w:rPr>
                <w:sz w:val="20"/>
                <w:szCs w:val="20"/>
                <w:color w:val="auto"/>
              </w:rPr>
            </w:pPr>
            <w:r>
              <w:rPr>
                <w:rFonts w:ascii="Arial" w:cs="Arial" w:eastAsia="Arial" w:hAnsi="Arial"/>
                <w:sz w:val="13"/>
                <w:szCs w:val="13"/>
                <w:color w:val="auto"/>
              </w:rPr>
              <w:t>$11.45</w:t>
            </w:r>
          </w:p>
        </w:tc>
        <w:tc>
          <w:tcPr>
            <w:tcW w:w="20" w:type="dxa"/>
            <w:vAlign w:val="bottom"/>
          </w:tcPr>
          <w:p>
            <w:pPr>
              <w:spacing w:after="0"/>
              <w:rPr>
                <w:sz w:val="13"/>
                <w:szCs w:val="13"/>
                <w:color w:val="auto"/>
              </w:rPr>
            </w:pPr>
          </w:p>
        </w:tc>
        <w:tc>
          <w:tcPr>
            <w:tcW w:w="66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77"/>
              <w:spacing w:after="0"/>
              <w:rPr>
                <w:sz w:val="20"/>
                <w:szCs w:val="20"/>
                <w:color w:val="auto"/>
              </w:rPr>
            </w:pPr>
            <w:r>
              <w:rPr>
                <w:rFonts w:ascii="Arial" w:cs="Arial" w:eastAsia="Arial" w:hAnsi="Arial"/>
                <w:sz w:val="13"/>
                <w:szCs w:val="13"/>
                <w:color w:val="auto"/>
              </w:rPr>
              <w:t>7.85</w:t>
            </w:r>
          </w:p>
        </w:tc>
        <w:tc>
          <w:tcPr>
            <w:tcW w:w="1340" w:type="dxa"/>
            <w:vAlign w:val="bottom"/>
            <w:gridSpan w:val="4"/>
          </w:tcPr>
          <w:p>
            <w:pPr>
              <w:ind w:left="620"/>
              <w:spacing w:after="0"/>
              <w:rPr>
                <w:sz w:val="20"/>
                <w:szCs w:val="20"/>
                <w:color w:val="auto"/>
              </w:rPr>
            </w:pPr>
            <w:r>
              <w:rPr>
                <w:rFonts w:ascii="Arial" w:cs="Arial" w:eastAsia="Arial" w:hAnsi="Arial"/>
                <w:sz w:val="13"/>
                <w:szCs w:val="13"/>
                <w:color w:val="auto"/>
              </w:rPr>
              <w:t>$ 7.24</w:t>
            </w:r>
          </w:p>
        </w:tc>
        <w:tc>
          <w:tcPr>
            <w:tcW w:w="1340" w:type="dxa"/>
            <w:vAlign w:val="bottom"/>
            <w:gridSpan w:val="4"/>
          </w:tcPr>
          <w:p>
            <w:pPr>
              <w:ind w:left="600"/>
              <w:spacing w:after="0"/>
              <w:rPr>
                <w:sz w:val="20"/>
                <w:szCs w:val="20"/>
                <w:color w:val="auto"/>
              </w:rPr>
            </w:pPr>
            <w:r>
              <w:rPr>
                <w:rFonts w:ascii="Arial" w:cs="Arial" w:eastAsia="Arial" w:hAnsi="Arial"/>
                <w:sz w:val="13"/>
                <w:szCs w:val="13"/>
                <w:color w:val="auto"/>
              </w:rPr>
              <w:t>$ 6.75</w:t>
            </w:r>
          </w:p>
        </w:tc>
      </w:tr>
      <w:tr>
        <w:trPr>
          <w:trHeight w:val="157"/>
        </w:trPr>
        <w:tc>
          <w:tcPr>
            <w:tcW w:w="49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Low</w:t>
            </w:r>
          </w:p>
        </w:tc>
        <w:tc>
          <w:tcPr>
            <w:tcW w:w="102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$ 6.85</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3.26</w:t>
            </w:r>
          </w:p>
        </w:tc>
        <w:tc>
          <w:tcPr>
            <w:tcW w:w="1340" w:type="dxa"/>
            <w:vAlign w:val="bottom"/>
            <w:gridSpan w:val="4"/>
            <w:shd w:val="clear" w:color="auto" w:fill="CCEEFF"/>
          </w:tcPr>
          <w:p>
            <w:pPr>
              <w:ind w:left="620"/>
              <w:spacing w:after="0"/>
              <w:rPr>
                <w:sz w:val="20"/>
                <w:szCs w:val="20"/>
                <w:color w:val="auto"/>
              </w:rPr>
            </w:pPr>
            <w:r>
              <w:rPr>
                <w:rFonts w:ascii="Arial" w:cs="Arial" w:eastAsia="Arial" w:hAnsi="Arial"/>
                <w:sz w:val="13"/>
                <w:szCs w:val="13"/>
                <w:color w:val="auto"/>
              </w:rPr>
              <w:t>$ 3.00</w:t>
            </w:r>
          </w:p>
        </w:tc>
        <w:tc>
          <w:tcPr>
            <w:tcW w:w="1340" w:type="dxa"/>
            <w:vAlign w:val="bottom"/>
            <w:gridSpan w:val="4"/>
            <w:shd w:val="clear" w:color="auto" w:fill="CCEEFF"/>
          </w:tcPr>
          <w:p>
            <w:pPr>
              <w:ind w:left="600"/>
              <w:spacing w:after="0"/>
              <w:rPr>
                <w:sz w:val="20"/>
                <w:szCs w:val="20"/>
                <w:color w:val="auto"/>
              </w:rPr>
            </w:pPr>
            <w:r>
              <w:rPr>
                <w:rFonts w:ascii="Arial" w:cs="Arial" w:eastAsia="Arial" w:hAnsi="Arial"/>
                <w:sz w:val="13"/>
                <w:szCs w:val="13"/>
                <w:color w:val="auto"/>
              </w:rPr>
              <w:t>$ 3.91</w:t>
            </w:r>
          </w:p>
        </w:tc>
      </w:tr>
      <w:tr>
        <w:trPr>
          <w:trHeight w:val="98"/>
        </w:trPr>
        <w:tc>
          <w:tcPr>
            <w:tcW w:w="130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40" w:lineRule="exact"/>
        <w:rPr>
          <w:sz w:val="20"/>
          <w:szCs w:val="20"/>
          <w:color w:val="auto"/>
        </w:rPr>
      </w:pPr>
    </w:p>
    <w:p>
      <w:pPr>
        <w:ind w:left="1000" w:right="20" w:hanging="259"/>
        <w:spacing w:after="0" w:line="289" w:lineRule="auto"/>
        <w:tabs>
          <w:tab w:leader="none" w:pos="10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 fiscal 2009, we had Class A and Class B shares of common stock outstanding. The net loss per common share amounts were the same for Class A and Class B because the holders of each class were legally entitled to equal per share distributions whether through dividends or in liquidation. Subsequent to May 27, 2009, Class B Common Stock converted automatically into shares of Class A Common Stock. There were no shares of Class B common stock outstanding during fiscal 2010. Effective November 19, 2009, under a change to our certificate of incorporation approved by shareholders, all shares of our Class A common stock were reclassified on a</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one-to-one basis to shares of Common Stock without a class designation; we no longer have Class A or Class B common stock authorized, issued or outstanding.</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tables summarize certain charges and expenses included in our results of operations for each of the fiscal quarters during the most recent two fiscal years in the period ended July 2, 2010.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1st Quarter</w:t>
            </w:r>
          </w:p>
        </w:tc>
        <w:tc>
          <w:tcPr>
            <w:tcW w:w="120" w:type="dxa"/>
            <w:vAlign w:val="bottom"/>
          </w:tcPr>
          <w:p>
            <w:pPr>
              <w:spacing w:after="0"/>
              <w:rPr>
                <w:sz w:val="10"/>
                <w:szCs w:val="10"/>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2nd Quarter</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3rd Quarter</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4th Quarter</w:t>
            </w:r>
          </w:p>
        </w:tc>
      </w:tr>
      <w:tr>
        <w:trPr>
          <w:trHeight w:val="125"/>
        </w:trPr>
        <w:tc>
          <w:tcPr>
            <w:tcW w:w="5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10-02-2009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3"/>
              </w:rPr>
              <w:t>01-01-2010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7"/>
              </w:rPr>
              <w:t>04-02-2010</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7"/>
              </w:rPr>
              <w:t>07-02-2010</w:t>
            </w:r>
          </w:p>
        </w:tc>
        <w:tc>
          <w:tcPr>
            <w:tcW w:w="100" w:type="dxa"/>
            <w:vAlign w:val="bottom"/>
          </w:tcPr>
          <w:p>
            <w:pPr>
              <w:spacing w:after="0"/>
              <w:rPr>
                <w:sz w:val="10"/>
                <w:szCs w:val="10"/>
                <w:color w:val="auto"/>
              </w:rPr>
            </w:pPr>
          </w:p>
        </w:tc>
      </w:tr>
      <w:tr>
        <w:trPr>
          <w:trHeight w:val="29"/>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Property, plant and equipment impairment charges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8.7</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Other impairment charges and rebranding expenses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Charges for product transition</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purchased technology</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trade names and customer relationships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Executive severance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fair value adjustments to fixed assets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Costs of rebranding and transition from Harris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building and Telsima acquisition purchase price settlement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r>
      <w:tr>
        <w:trPr>
          <w:trHeight w:val="20"/>
        </w:trPr>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r>
      <w:tr>
        <w:trPr>
          <w:trHeight w:val="278"/>
        </w:trPr>
        <w:tc>
          <w:tcPr>
            <w:tcW w:w="5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rPr>
              <w:t>1st Quarter</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8"/>
              </w:rPr>
              <w:t>2nd Quarter</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9"/>
              </w:rPr>
              <w:t>3rd Quarter</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16"/>
              <w:spacing w:after="0"/>
              <w:rPr>
                <w:sz w:val="20"/>
                <w:szCs w:val="20"/>
                <w:color w:val="auto"/>
              </w:rPr>
            </w:pPr>
            <w:r>
              <w:rPr>
                <w:rFonts w:ascii="Arial" w:cs="Arial" w:eastAsia="Arial" w:hAnsi="Arial"/>
                <w:sz w:val="10"/>
                <w:szCs w:val="10"/>
                <w:b w:val="1"/>
                <w:bCs w:val="1"/>
                <w:color w:val="auto"/>
              </w:rPr>
              <w:t>4th Quarter</w:t>
            </w:r>
          </w:p>
        </w:tc>
        <w:tc>
          <w:tcPr>
            <w:tcW w:w="100" w:type="dxa"/>
            <w:vAlign w:val="bottom"/>
          </w:tcPr>
          <w:p>
            <w:pPr>
              <w:spacing w:after="0"/>
              <w:rPr>
                <w:sz w:val="24"/>
                <w:szCs w:val="24"/>
                <w:color w:val="auto"/>
              </w:rPr>
            </w:pPr>
          </w:p>
        </w:tc>
      </w:tr>
      <w:tr>
        <w:trPr>
          <w:trHeight w:val="125"/>
        </w:trPr>
        <w:tc>
          <w:tcPr>
            <w:tcW w:w="5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09-26-2008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3"/>
              </w:rPr>
              <w:t>01-02-2009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7"/>
              </w:rPr>
              <w:t>04-03-2009</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7"/>
              </w:rPr>
              <w:t>07-03-2009</w:t>
            </w:r>
          </w:p>
        </w:tc>
        <w:tc>
          <w:tcPr>
            <w:tcW w:w="100" w:type="dxa"/>
            <w:vAlign w:val="bottom"/>
          </w:tcPr>
          <w:p>
            <w:pPr>
              <w:spacing w:after="0"/>
              <w:rPr>
                <w:sz w:val="10"/>
                <w:szCs w:val="10"/>
                <w:color w:val="auto"/>
              </w:rPr>
            </w:pPr>
          </w:p>
        </w:tc>
      </w:tr>
      <w:tr>
        <w:trPr>
          <w:trHeight w:val="29"/>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Impairment charges for the trade name “Stratex”</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 and product discontinuances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Charge to increase deferred tax valuation allowance</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trade names and customer relationships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Software impairment charges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Amortization of fair value adjustments to fixed assets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r>
      <w:tr>
        <w:trPr>
          <w:trHeight w:val="20"/>
        </w:trPr>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3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327.1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39.6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18.9</w:t>
            </w:r>
          </w:p>
        </w:tc>
      </w:tr>
      <w:tr>
        <w:trPr>
          <w:trHeight w:val="30"/>
        </w:trPr>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not paid cash dividends on our Common Stock and do not intend to pay cash dividends in the foreseeable future.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T —</w:t>
      </w:r>
      <w:r>
        <w:rPr>
          <w:sz w:val="20"/>
          <w:szCs w:val="20"/>
          <w:color w:val="auto"/>
        </w:rPr>
        <w:tab/>
      </w:r>
      <w:r>
        <w:rPr>
          <w:rFonts w:ascii="Arial" w:cs="Arial" w:eastAsia="Arial" w:hAnsi="Arial"/>
          <w:sz w:val="11"/>
          <w:szCs w:val="11"/>
          <w:b w:val="1"/>
          <w:bCs w:val="1"/>
          <w:color w:val="auto"/>
        </w:rPr>
        <w:t>Preferred Share Purchase Rights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April 20, 2009, our board of directors adopted a rights plan. The terms of the rights and the rights plan are set forth in a Rights Agreement dated as of April 20, 2009 (the “Rights Plan”). The Rights Plan was intended to act as a deterrent to any person or group acquiring 15% or more of our outstanding common stock without the approval of our board of directors. The Rights Plan expired by its own terms on January 20, 2010.</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U —</w:t>
      </w:r>
      <w:r>
        <w:rPr>
          <w:sz w:val="20"/>
          <w:szCs w:val="20"/>
          <w:color w:val="auto"/>
        </w:rPr>
        <w:tab/>
      </w:r>
      <w:r>
        <w:rPr>
          <w:rFonts w:ascii="Arial" w:cs="Arial" w:eastAsia="Arial" w:hAnsi="Arial"/>
          <w:sz w:val="11"/>
          <w:szCs w:val="11"/>
          <w:b w:val="1"/>
          <w:bCs w:val="1"/>
          <w:color w:val="auto"/>
        </w:rPr>
        <w:t>Subsequent Event</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On September 7, 2010, we sold our NetBoss assets consisting of intellectual property and certain equipment to a third party named NetBoss Technologies, Inc. NetBoss Technologies Inc. is a new company formed by its management team, our former development partner for NetBoss, and private investors. As part of the terms of the sale, we will assign our customer contracts for NetBoss software and maintenance to NetBoss Technologies, Inc. We will continue to license NetBoss to operate our Network Operations Centers.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 Based on this evaluation, the Chief Executive Officer and Chief Financial Officer concluded that our disclosure controls and procedures were effective as of July 2, 2010.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Under the supervision and with the participation of management, including our Chief Executive Officer and Chief Financial Officer, management has assessed the effectiveness of the Company’s internal control over financial reporting based on the framework in Internal Control — Integrated Framework issued by the Committee of Sponsoring Organizations of the Treadway Commission.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our assessment, management has concluded that our internal control over financial reporting was effective as of July 2, 2010.</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Ernst &amp; Young LLP, the independent registered public accounting firm that audited the financial statements included in this report has issued an attestation report on our internal control over financial reporting which appears in Item 8. Financial Statements and Supplementary Data in this Annual Report on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PART III</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Certain information required by Part III is omitted from this Annual Report on Form 10-K because we will file a Definitive Proxy Statement with the Securities and Exchange Commission within 120 days after the end of our fiscal year ended July 2, 2010.</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jc w:val="both"/>
        <w:ind w:left="680" w:right="220" w:firstLine="399"/>
        <w:spacing w:after="0" w:line="260" w:lineRule="auto"/>
        <w:rPr>
          <w:sz w:val="20"/>
          <w:szCs w:val="20"/>
          <w:color w:val="auto"/>
        </w:rPr>
      </w:pPr>
      <w:r>
        <w:rPr>
          <w:rFonts w:ascii="Arial" w:cs="Arial" w:eastAsia="Arial" w:hAnsi="Arial"/>
          <w:sz w:val="13"/>
          <w:szCs w:val="13"/>
          <w:color w:val="auto"/>
        </w:rPr>
        <w:t xml:space="preserve">We adopted a Code of Business Ethics, that is available at </w:t>
      </w:r>
      <w:r>
        <w:rPr>
          <w:rFonts w:ascii="Arial" w:cs="Arial" w:eastAsia="Arial" w:hAnsi="Arial"/>
          <w:sz w:val="13"/>
          <w:szCs w:val="13"/>
          <w:u w:val="single" w:color="auto"/>
          <w:color w:val="auto"/>
        </w:rPr>
        <w:t>www.aviatnetworks.com.</w:t>
      </w:r>
      <w:r>
        <w:rPr>
          <w:rFonts w:ascii="Arial" w:cs="Arial" w:eastAsia="Arial" w:hAnsi="Arial"/>
          <w:sz w:val="13"/>
          <w:szCs w:val="13"/>
          <w:color w:val="auto"/>
        </w:rPr>
        <w:t xml:space="preserve"> No amendments to our Code of Business Ethics, or waivers from our Code of Business Ethics with respect to any of our executive officers or directors have been made. If, in the future, we amend our Code of Business Ethics or grant waivers from our code of Business Ethics with respect to any of our executive officers or directors, we will make information regarding such amendments or waivers available on our corporate website (</w:t>
      </w:r>
      <w:r>
        <w:rPr>
          <w:rFonts w:ascii="Arial" w:cs="Arial" w:eastAsia="Arial" w:hAnsi="Arial"/>
          <w:sz w:val="13"/>
          <w:szCs w:val="13"/>
          <w:u w:val="single" w:color="auto"/>
          <w:color w:val="auto"/>
        </w:rPr>
        <w:t>www.aviatnetworks.com</w:t>
      </w:r>
      <w:r>
        <w:rPr>
          <w:rFonts w:ascii="Arial" w:cs="Arial" w:eastAsia="Arial" w:hAnsi="Arial"/>
          <w:sz w:val="13"/>
          <w:szCs w:val="13"/>
          <w:color w:val="auto"/>
        </w:rPr>
        <w:t>) for a period of at least 12 months.</w:t>
      </w:r>
    </w:p>
    <w:p>
      <w:pPr>
        <w:spacing w:after="0" w:line="7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Information regarding our directors and compliance with Section 16(a) of the Securities and Exchange Act of 1934, as amended, by our directors and executive officers will appear in our definitive Proxy Statement for our 2010 Annual Meeting of Shareholders to be held on or about November 9, 2010 and is incorporated herein by reference.</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Information regarding our executive compensation will appear in our definitive Proxy Statement for our 2010 Annual Meeting of Shareholders to be held on or about November 9, 2010 and is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Summary</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following table provides information as of July 2, 2010,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3"/>
            <w:vMerge w:val="restart"/>
          </w:tcPr>
          <w:p>
            <w:pPr>
              <w:ind w:left="540"/>
              <w:spacing w:after="0"/>
              <w:rPr>
                <w:sz w:val="20"/>
                <w:szCs w:val="20"/>
                <w:color w:val="auto"/>
              </w:rPr>
            </w:pPr>
            <w:r>
              <w:rPr>
                <w:rFonts w:ascii="Arial" w:cs="Arial" w:eastAsia="Arial" w:hAnsi="Arial"/>
                <w:sz w:val="10"/>
                <w:szCs w:val="10"/>
                <w:b w:val="1"/>
                <w:bCs w:val="1"/>
                <w:color w:val="auto"/>
              </w:rPr>
              <w:t>Number of Securities to</w:t>
            </w: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6"/>
              </w:rPr>
              <w:t>Further Issuance Under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3"/>
          </w:tcPr>
          <w:p>
            <w:pPr>
              <w:ind w:left="520"/>
              <w:spacing w:after="0" w:line="108" w:lineRule="exact"/>
              <w:rPr>
                <w:sz w:val="20"/>
                <w:szCs w:val="20"/>
                <w:color w:val="auto"/>
              </w:rPr>
            </w:pPr>
            <w:r>
              <w:rPr>
                <w:rFonts w:ascii="Arial" w:cs="Arial" w:eastAsia="Arial" w:hAnsi="Arial"/>
                <w:sz w:val="10"/>
                <w:szCs w:val="10"/>
                <w:b w:val="1"/>
                <w:bCs w:val="1"/>
                <w:color w:val="auto"/>
              </w:rPr>
              <w:t>be Issued Upon Exercise</w:t>
            </w:r>
          </w:p>
        </w:tc>
        <w:tc>
          <w:tcPr>
            <w:tcW w:w="260" w:type="dxa"/>
            <w:vAlign w:val="bottom"/>
          </w:tcPr>
          <w:p>
            <w:pPr>
              <w:spacing w:after="0"/>
              <w:rPr>
                <w:sz w:val="9"/>
                <w:szCs w:val="9"/>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260" w:type="dxa"/>
            <w:vAlign w:val="bottom"/>
          </w:tcPr>
          <w:p>
            <w:pPr>
              <w:spacing w:after="0"/>
              <w:rPr>
                <w:sz w:val="9"/>
                <w:szCs w:val="9"/>
                <w:color w:val="auto"/>
              </w:rPr>
            </w:pPr>
          </w:p>
        </w:tc>
        <w:tc>
          <w:tcPr>
            <w:tcW w:w="19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5"/>
              </w:rPr>
              <w:t>Equity Compensation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16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2"/>
              </w:rPr>
              <w:t>of Options and Vesting of</w:t>
            </w:r>
          </w:p>
        </w:tc>
        <w:tc>
          <w:tcPr>
            <w:tcW w:w="2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35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16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4"/>
              </w:rPr>
              <w:t>Restricted Stock and</w:t>
            </w:r>
          </w:p>
        </w:tc>
        <w:tc>
          <w:tcPr>
            <w:tcW w:w="260" w:type="dxa"/>
            <w:vAlign w:val="bottom"/>
          </w:tcPr>
          <w:p>
            <w:pPr>
              <w:spacing w:after="0"/>
              <w:rPr>
                <w:sz w:val="10"/>
                <w:szCs w:val="10"/>
                <w:color w:val="auto"/>
              </w:rPr>
            </w:pPr>
          </w:p>
        </w:tc>
        <w:tc>
          <w:tcPr>
            <w:tcW w:w="17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Exercise Price of</w:t>
            </w:r>
          </w:p>
        </w:tc>
        <w:tc>
          <w:tcPr>
            <w:tcW w:w="260" w:type="dxa"/>
            <w:vAlign w:val="bottom"/>
          </w:tcPr>
          <w:p>
            <w:pPr>
              <w:spacing w:after="0"/>
              <w:rPr>
                <w:sz w:val="10"/>
                <w:szCs w:val="10"/>
                <w:color w:val="auto"/>
              </w:rPr>
            </w:pPr>
          </w:p>
        </w:tc>
        <w:tc>
          <w:tcPr>
            <w:tcW w:w="19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1"/>
              </w:rPr>
              <w:t>Securities Reflected in</w:t>
            </w:r>
          </w:p>
        </w:tc>
        <w:tc>
          <w:tcPr>
            <w:tcW w:w="0" w:type="dxa"/>
            <w:vAlign w:val="bottom"/>
          </w:tcPr>
          <w:p>
            <w:pPr>
              <w:spacing w:after="0"/>
              <w:rPr>
                <w:sz w:val="1"/>
                <w:szCs w:val="1"/>
                <w:color w:val="auto"/>
              </w:rPr>
            </w:pPr>
          </w:p>
        </w:tc>
      </w:tr>
      <w:tr>
        <w:trPr>
          <w:trHeight w:val="125"/>
        </w:trPr>
        <w:tc>
          <w:tcPr>
            <w:tcW w:w="3540" w:type="dxa"/>
            <w:vAlign w:val="bottom"/>
            <w:gridSpan w:val="2"/>
            <w:vMerge w:val="continue"/>
          </w:tcPr>
          <w:p>
            <w:pPr>
              <w:spacing w:after="0"/>
              <w:rPr>
                <w:sz w:val="10"/>
                <w:szCs w:val="1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Performance Shares</w:t>
            </w:r>
          </w:p>
        </w:tc>
        <w:tc>
          <w:tcPr>
            <w:tcW w:w="260" w:type="dxa"/>
            <w:vAlign w:val="bottom"/>
          </w:tcPr>
          <w:p>
            <w:pPr>
              <w:spacing w:after="0"/>
              <w:rPr>
                <w:sz w:val="10"/>
                <w:szCs w:val="10"/>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Outstanding Options(1)</w:t>
            </w:r>
          </w:p>
        </w:tc>
        <w:tc>
          <w:tcPr>
            <w:tcW w:w="260" w:type="dxa"/>
            <w:vAlign w:val="bottom"/>
          </w:tcPr>
          <w:p>
            <w:pPr>
              <w:spacing w:after="0"/>
              <w:rPr>
                <w:sz w:val="10"/>
                <w:szCs w:val="1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6"/>
              </w:rPr>
              <w:t>the First Column)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 approved by security holders(2)</w:t>
            </w:r>
          </w:p>
        </w:tc>
        <w:tc>
          <w:tcPr>
            <w:tcW w:w="21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89"/>
              </w:rPr>
              <w:t>3,573,878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6.92</w:t>
            </w:r>
          </w:p>
        </w:tc>
        <w:tc>
          <w:tcPr>
            <w:tcW w:w="2240" w:type="dxa"/>
            <w:vAlign w:val="bottom"/>
            <w:gridSpan w:val="4"/>
            <w:shd w:val="clear" w:color="auto" w:fill="CCEEFF"/>
          </w:tcPr>
          <w:p>
            <w:pPr>
              <w:jc w:val="right"/>
              <w:ind w:right="720"/>
              <w:spacing w:after="0"/>
              <w:rPr>
                <w:sz w:val="20"/>
                <w:szCs w:val="20"/>
                <w:color w:val="auto"/>
              </w:rPr>
            </w:pPr>
            <w:r>
              <w:rPr>
                <w:rFonts w:ascii="Arial" w:cs="Arial" w:eastAsia="Arial" w:hAnsi="Arial"/>
                <w:sz w:val="13"/>
                <w:szCs w:val="13"/>
                <w:color w:val="auto"/>
              </w:rPr>
              <w:t>6,593,588</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w w:val="96"/>
              </w:rPr>
              <w:t>Equity Compensation plans not approved by security holders(3)</w:t>
            </w:r>
          </w:p>
        </w:tc>
        <w:tc>
          <w:tcPr>
            <w:tcW w:w="2160" w:type="dxa"/>
            <w:vAlign w:val="bottom"/>
            <w:gridSpan w:val="3"/>
          </w:tcPr>
          <w:p>
            <w:pPr>
              <w:jc w:val="center"/>
              <w:spacing w:after="0"/>
              <w:rPr>
                <w:sz w:val="20"/>
                <w:szCs w:val="20"/>
                <w:color w:val="auto"/>
              </w:rPr>
            </w:pPr>
            <w:r>
              <w:rPr>
                <w:rFonts w:ascii="Arial" w:cs="Arial" w:eastAsia="Arial" w:hAnsi="Arial"/>
                <w:sz w:val="13"/>
                <w:szCs w:val="13"/>
                <w:color w:val="auto"/>
                <w:w w:val="89"/>
              </w:rPr>
              <w:t>1,150,751</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674"/>
              <w:spacing w:after="0"/>
              <w:rPr>
                <w:sz w:val="20"/>
                <w:szCs w:val="20"/>
                <w:color w:val="auto"/>
              </w:rPr>
            </w:pPr>
            <w:r>
              <w:rPr>
                <w:rFonts w:ascii="Arial" w:cs="Arial" w:eastAsia="Arial" w:hAnsi="Arial"/>
                <w:sz w:val="13"/>
                <w:szCs w:val="13"/>
                <w:color w:val="auto"/>
                <w:w w:val="85"/>
              </w:rPr>
              <w:t>18.12</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1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89"/>
              </w:rPr>
              <w:t>4,724,629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9.65</w:t>
            </w:r>
          </w:p>
        </w:tc>
        <w:tc>
          <w:tcPr>
            <w:tcW w:w="2240" w:type="dxa"/>
            <w:vAlign w:val="bottom"/>
            <w:gridSpan w:val="4"/>
            <w:shd w:val="clear" w:color="auto" w:fill="CCEEFF"/>
          </w:tcPr>
          <w:p>
            <w:pPr>
              <w:jc w:val="right"/>
              <w:ind w:right="720"/>
              <w:spacing w:after="0"/>
              <w:rPr>
                <w:sz w:val="20"/>
                <w:szCs w:val="20"/>
                <w:color w:val="auto"/>
              </w:rPr>
            </w:pPr>
            <w:r>
              <w:rPr>
                <w:rFonts w:ascii="Arial" w:cs="Arial" w:eastAsia="Arial" w:hAnsi="Arial"/>
                <w:sz w:val="13"/>
                <w:szCs w:val="13"/>
                <w:color w:val="auto"/>
              </w:rPr>
              <w:t>6,593,588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Excludes weighted average fair value of restricted stock and performance shares at issuance date.</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Consists solely of our 2007 Stock Equity Plan, as amended and restated effective November 19, 2009.</w:t>
      </w:r>
    </w:p>
    <w:p>
      <w:pPr>
        <w:spacing w:after="0" w:line="47" w:lineRule="exact"/>
        <w:rPr>
          <w:rFonts w:ascii="Arial" w:cs="Arial" w:eastAsia="Arial" w:hAnsi="Arial"/>
          <w:sz w:val="13"/>
          <w:szCs w:val="13"/>
          <w:color w:val="auto"/>
        </w:rPr>
      </w:pPr>
    </w:p>
    <w:p>
      <w:pPr>
        <w:ind w:left="1000" w:right="420" w:hanging="259"/>
        <w:spacing w:after="0" w:line="27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Consists of common stock that may be issued pursuant to option plans and agreements assumed pursuant to the Stratex acquisition. The Stratex plans were duly approved by the shareholders of Stratex prior to the merger with us. No shares are available for further issuance.</w:t>
      </w:r>
    </w:p>
    <w:p>
      <w:pPr>
        <w:spacing w:after="0" w:line="10" w:lineRule="exact"/>
        <w:rPr>
          <w:rFonts w:ascii="Arial" w:cs="Arial" w:eastAsia="Arial" w:hAnsi="Arial"/>
          <w:sz w:val="13"/>
          <w:szCs w:val="13"/>
          <w:color w:val="auto"/>
        </w:rPr>
      </w:pPr>
    </w:p>
    <w:p>
      <w:pPr>
        <w:ind w:left="1000" w:right="440" w:hanging="259"/>
        <w:spacing w:after="0" w:line="276" w:lineRule="auto"/>
        <w:tabs>
          <w:tab w:leader="none" w:pos="10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For further information on our equity compensation plans see “Note B — Significant Accounting Policies and New Accounting Pronouncements” and “Note M — Share-Based Compensation” in the Notes to Consolidated Financial Statements included in Item 8.</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other information required by this item will appear in our definitive Proxy Statement for our 2010 Annual Meeting of Shareholders to be held on or about November 9, 2010 and is incorporated herein by reference.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Information regarding certain relationships and related transactions, and director independence will appear under “Transactions with Related Persons” and “Corporate Governance” in our definitive Proxy Statement for our</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 Annual Meeting of Shareholders to be held on or about November 9, 2010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Information regarding our principal accountant fees and services will appear in our definitive Proxy Statement for our 2010 Annual Meeting of Shareholders to be held on or about November 9, 2010 and is incorporated herein by reference.</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1"/>
          <w:numId w:val="48"/>
        </w:numPr>
        <w:rPr>
          <w:rFonts w:ascii="Arial" w:cs="Arial" w:eastAsia="Arial" w:hAnsi="Arial"/>
          <w:sz w:val="13"/>
          <w:szCs w:val="13"/>
          <w:color w:val="auto"/>
        </w:rPr>
      </w:pPr>
      <w:r>
        <w:rPr>
          <w:rFonts w:ascii="Arial" w:cs="Arial" w:eastAsia="Arial" w:hAnsi="Arial"/>
          <w:sz w:val="13"/>
          <w:szCs w:val="13"/>
          <w:color w:val="auto"/>
        </w:rPr>
        <w:t>The following documents are filed as part of this report.</w:t>
      </w:r>
    </w:p>
    <w:p>
      <w:pPr>
        <w:spacing w:after="0" w:line="170" w:lineRule="exact"/>
        <w:rPr>
          <w:rFonts w:ascii="Arial" w:cs="Arial" w:eastAsia="Arial" w:hAnsi="Arial"/>
          <w:sz w:val="13"/>
          <w:szCs w:val="13"/>
          <w:color w:val="auto"/>
        </w:rPr>
      </w:pPr>
    </w:p>
    <w:p>
      <w:pPr>
        <w:ind w:left="1000" w:hanging="313"/>
        <w:spacing w:after="0"/>
        <w:tabs>
          <w:tab w:leader="none" w:pos="100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of Aviat Networks, Inc. are set forth in Item 8 of this Annual Report on Form 10-K.</w:t>
      </w:r>
    </w:p>
    <w:p>
      <w:pPr>
        <w:spacing w:after="0" w:line="171" w:lineRule="exact"/>
        <w:rPr>
          <w:sz w:val="20"/>
          <w:szCs w:val="20"/>
          <w:color w:val="auto"/>
        </w:rPr>
      </w:pPr>
    </w:p>
    <w:p>
      <w:pPr>
        <w:ind w:left="1000" w:hanging="313"/>
        <w:spacing w:after="0"/>
        <w:tabs>
          <w:tab w:leader="none" w:pos="100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Schedule II — Valuation and Qualifying Accounts for the three fiscal years ended July 2, 2010</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2(b). Exhibits.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exhibits are filed herewith or are incorporated herein by reference to exhibits previously filed with the SEC:</w:t>
      </w:r>
    </w:p>
    <w:p>
      <w:pPr>
        <w:spacing w:after="0" w:line="98" w:lineRule="exact"/>
        <w:rPr>
          <w:sz w:val="20"/>
          <w:szCs w:val="20"/>
          <w:color w:val="auto"/>
        </w:rPr>
      </w:pPr>
    </w:p>
    <w:p>
      <w:pPr>
        <w:ind w:left="1020"/>
        <w:spacing w:after="0"/>
        <w:tabs>
          <w:tab w:leader="none" w:pos="6060" w:val="left"/>
        </w:tabs>
        <w:rPr>
          <w:sz w:val="20"/>
          <w:szCs w:val="20"/>
          <w:color w:val="auto"/>
        </w:rPr>
      </w:pPr>
      <w:r>
        <w:rPr>
          <w:rFonts w:ascii="Arial" w:cs="Arial" w:eastAsia="Arial" w:hAnsi="Arial"/>
          <w:sz w:val="10"/>
          <w:szCs w:val="10"/>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12700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580" w:right="100" w:hanging="556"/>
        <w:spacing w:after="0" w:line="277" w:lineRule="auto"/>
        <w:tabs>
          <w:tab w:leader="none" w:pos="156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Amended and Restated Formation, Contribution and Merger Agreement, dated as of December 18, 2006, among Harris Corporation, Stratex Networks, Inc., Harris Stratex Networks, Inc. and Stratex Merger Corp. (incorporated by reference to Appendix A to the proxy statement/prospectus forming a part of the Registration Statement on Form S-4 of Harris Stratex Networks, Inc. filed with the Securities and Exchange Commission on January 3, 2007, File No. 333-137980)</w:t>
      </w:r>
    </w:p>
    <w:p>
      <w:pPr>
        <w:spacing w:after="0" w:line="1" w:lineRule="exact"/>
        <w:rPr>
          <w:sz w:val="20"/>
          <w:szCs w:val="20"/>
          <w:color w:val="auto"/>
        </w:rPr>
      </w:pPr>
    </w:p>
    <w:p>
      <w:pPr>
        <w:ind w:left="1580" w:hanging="556"/>
        <w:spacing w:after="0" w:line="273" w:lineRule="auto"/>
        <w:tabs>
          <w:tab w:leader="none" w:pos="156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Letter Agreement, dated as of January 26, 2007, among Harris Corporation, Stratex Networks, Inc., Harris Stratex Networks, Inc. and Stratex Merger Corp. (incorporated by reference to Exhibit 2.1.1 to the Report on Form 8-K filed with the Securities and Exchange Commission on February 1, 2007, File No. 001-33278)</w:t>
      </w:r>
    </w:p>
    <w:p>
      <w:pPr>
        <w:spacing w:after="0" w:line="1" w:lineRule="exact"/>
        <w:rPr>
          <w:sz w:val="20"/>
          <w:szCs w:val="20"/>
          <w:color w:val="auto"/>
        </w:rPr>
      </w:pPr>
    </w:p>
    <w:p>
      <w:pPr>
        <w:jc w:val="both"/>
        <w:ind w:left="1580" w:right="180" w:hanging="556"/>
        <w:spacing w:after="0" w:line="252" w:lineRule="auto"/>
        <w:tabs>
          <w:tab w:leader="none" w:pos="156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Agreement and Plan of Merger by and among Harris Stratex Networks Operating Corporation, Eagle Networks Merger Corporation, Telsima Corporation and the Holder Representative dated as of February 27, 2009 (incorporated by reference to Exhibit 2.1 to the Report on Form 8-K filed with the Securities and Exchange Commission on March 6, 2009, File No. 001-33278)</w:t>
      </w:r>
    </w:p>
    <w:p>
      <w:pPr>
        <w:spacing w:after="0" w:line="1" w:lineRule="exact"/>
        <w:rPr>
          <w:sz w:val="20"/>
          <w:szCs w:val="20"/>
          <w:color w:val="auto"/>
        </w:rPr>
      </w:pPr>
    </w:p>
    <w:p>
      <w:pPr>
        <w:ind w:left="1580" w:right="280" w:hanging="556"/>
        <w:spacing w:after="0" w:line="298" w:lineRule="auto"/>
        <w:tabs>
          <w:tab w:leader="none" w:pos="15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 of Harris Stratex Networks, Inc. as filed with the Secretary of State of the State of Delaware on November 19, 2009 (incorporated by reference to Exhibit 3.1 to the Report on Form 8-K filed with the Securities and Exchange Commission on November 20, 2009, File No. 001-33278)</w:t>
      </w:r>
    </w:p>
    <w:p>
      <w:pPr>
        <w:ind w:left="1580" w:right="60" w:hanging="556"/>
        <w:spacing w:after="0" w:line="252" w:lineRule="auto"/>
        <w:tabs>
          <w:tab w:leader="none" w:pos="15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Harris Stratex Networks, Inc. (incorporated by reference to Exhibit 3.2 to the Report on Form 8-K filed with the Securities and Exchange Commission on November 20, 2009, File No. 001-33278)</w:t>
      </w:r>
    </w:p>
    <w:p>
      <w:pPr>
        <w:spacing w:after="0" w:line="1" w:lineRule="exact"/>
        <w:rPr>
          <w:sz w:val="20"/>
          <w:szCs w:val="20"/>
          <w:color w:val="auto"/>
        </w:rPr>
      </w:pPr>
    </w:p>
    <w:p>
      <w:pPr>
        <w:ind w:left="1580" w:right="60" w:hanging="556"/>
        <w:spacing w:after="0" w:line="258" w:lineRule="auto"/>
        <w:tabs>
          <w:tab w:leader="none" w:pos="156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Certificate of Ownership and Merger Merging Aviat Networks, Inc. into Harris Stratex Networks, Inc., effective January 27, 2010, as filed with the Secretary of State of the State of Delaware on January 27, 2010 (incorporated by reference to Exhibit 3.1 to the Report on Form 8-K filed with the Securities and Exchange Commission on January 28, 2010, File No. 001-33278)</w:t>
      </w: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Pr>
          <w:p>
            <w:pPr>
              <w:ind w:left="1060"/>
              <w:spacing w:after="0"/>
              <w:rPr>
                <w:sz w:val="20"/>
                <w:szCs w:val="20"/>
                <w:color w:val="auto"/>
              </w:rPr>
            </w:pPr>
            <w:r>
              <w:rPr>
                <w:rFonts w:ascii="Arial" w:cs="Arial" w:eastAsia="Arial" w:hAnsi="Arial"/>
                <w:sz w:val="10"/>
                <w:szCs w:val="10"/>
                <w:b w:val="1"/>
                <w:bCs w:val="1"/>
                <w:color w:val="auto"/>
              </w:rPr>
              <w:t>Ex. #</w:t>
            </w:r>
          </w:p>
        </w:tc>
        <w:tc>
          <w:tcPr>
            <w:tcW w:w="4580" w:type="dxa"/>
            <w:vAlign w:val="bottom"/>
          </w:tcPr>
          <w:p>
            <w:pPr>
              <w:spacing w:after="0"/>
              <w:rPr>
                <w:sz w:val="11"/>
                <w:szCs w:val="11"/>
                <w:color w:val="auto"/>
              </w:rPr>
            </w:pPr>
          </w:p>
        </w:tc>
        <w:tc>
          <w:tcPr>
            <w:tcW w:w="53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178"/>
        </w:trPr>
        <w:tc>
          <w:tcPr>
            <w:tcW w:w="1540" w:type="dxa"/>
            <w:vAlign w:val="bottom"/>
          </w:tcPr>
          <w:p>
            <w:pPr>
              <w:ind w:left="1060"/>
              <w:spacing w:after="0"/>
              <w:rPr>
                <w:sz w:val="20"/>
                <w:szCs w:val="20"/>
                <w:color w:val="auto"/>
              </w:rPr>
            </w:pPr>
            <w:r>
              <w:rPr>
                <w:rFonts w:ascii="Arial" w:cs="Arial" w:eastAsia="Arial" w:hAnsi="Arial"/>
                <w:sz w:val="13"/>
                <w:szCs w:val="13"/>
                <w:color w:val="auto"/>
              </w:rPr>
              <w:t>4.1</w:t>
            </w:r>
          </w:p>
        </w:tc>
        <w:tc>
          <w:tcPr>
            <w:tcW w:w="4580" w:type="dxa"/>
            <w:vAlign w:val="bottom"/>
          </w:tcPr>
          <w:p>
            <w:pPr>
              <w:ind w:left="120"/>
              <w:spacing w:after="0"/>
              <w:rPr>
                <w:sz w:val="20"/>
                <w:szCs w:val="20"/>
                <w:color w:val="auto"/>
              </w:rPr>
            </w:pPr>
            <w:r>
              <w:rPr>
                <w:rFonts w:ascii="Arial" w:cs="Arial" w:eastAsia="Arial" w:hAnsi="Arial"/>
                <w:sz w:val="13"/>
                <w:szCs w:val="13"/>
                <w:color w:val="auto"/>
              </w:rPr>
              <w:t>Intentionally omitted.</w:t>
            </w:r>
          </w:p>
        </w:tc>
        <w:tc>
          <w:tcPr>
            <w:tcW w:w="80" w:type="dxa"/>
            <w:vAlign w:val="bottom"/>
            <w:tcBorders>
              <w:top w:val="single" w:sz="8" w:color="auto"/>
            </w:tcBorders>
          </w:tcPr>
          <w:p>
            <w:pPr>
              <w:spacing w:after="0"/>
              <w:rPr>
                <w:sz w:val="15"/>
                <w:szCs w:val="15"/>
                <w:color w:val="auto"/>
              </w:rPr>
            </w:pPr>
          </w:p>
        </w:tc>
        <w:tc>
          <w:tcPr>
            <w:tcW w:w="5260" w:type="dxa"/>
            <w:vAlign w:val="bottom"/>
          </w:tcPr>
          <w:p>
            <w:pPr>
              <w:spacing w:after="0"/>
              <w:rPr>
                <w:sz w:val="15"/>
                <w:szCs w:val="15"/>
                <w:color w:val="auto"/>
              </w:rPr>
            </w:pPr>
          </w:p>
        </w:tc>
      </w:tr>
      <w:tr>
        <w:trPr>
          <w:trHeight w:val="157"/>
        </w:trPr>
        <w:tc>
          <w:tcPr>
            <w:tcW w:w="1540" w:type="dxa"/>
            <w:vAlign w:val="bottom"/>
          </w:tcPr>
          <w:p>
            <w:pPr>
              <w:ind w:left="1060"/>
              <w:spacing w:after="0"/>
              <w:rPr>
                <w:sz w:val="20"/>
                <w:szCs w:val="20"/>
                <w:color w:val="auto"/>
              </w:rPr>
            </w:pPr>
            <w:r>
              <w:rPr>
                <w:rFonts w:ascii="Arial" w:cs="Arial" w:eastAsia="Arial" w:hAnsi="Arial"/>
                <w:sz w:val="13"/>
                <w:szCs w:val="13"/>
                <w:color w:val="auto"/>
              </w:rPr>
              <w:t>4.1.1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Specimen common stock certificate, adopted as of January 29, 2010</w:t>
            </w:r>
          </w:p>
        </w:tc>
      </w:tr>
      <w:tr>
        <w:trPr>
          <w:trHeight w:val="157"/>
        </w:trPr>
        <w:tc>
          <w:tcPr>
            <w:tcW w:w="1540" w:type="dxa"/>
            <w:vAlign w:val="bottom"/>
          </w:tcPr>
          <w:p>
            <w:pPr>
              <w:ind w:left="1060"/>
              <w:spacing w:after="0"/>
              <w:rPr>
                <w:sz w:val="20"/>
                <w:szCs w:val="20"/>
                <w:color w:val="auto"/>
              </w:rPr>
            </w:pPr>
            <w:r>
              <w:rPr>
                <w:rFonts w:ascii="Arial" w:cs="Arial" w:eastAsia="Arial" w:hAnsi="Arial"/>
                <w:sz w:val="13"/>
                <w:szCs w:val="13"/>
                <w:color w:val="auto"/>
              </w:rPr>
              <w:t>4.2</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1060"/>
              <w:spacing w:after="0"/>
              <w:rPr>
                <w:sz w:val="20"/>
                <w:szCs w:val="20"/>
                <w:color w:val="auto"/>
              </w:rPr>
            </w:pPr>
            <w:r>
              <w:rPr>
                <w:rFonts w:ascii="Arial" w:cs="Arial" w:eastAsia="Arial" w:hAnsi="Arial"/>
                <w:sz w:val="13"/>
                <w:szCs w:val="13"/>
                <w:color w:val="auto"/>
              </w:rPr>
              <w:t>4.3</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10.2</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Non-Competition Agreement among Harris Stratex Networks, Inc., Harris Corporation and Stratex Networks, Inc. dated January 26, 2007 (incorporated by reference to</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Exhibit 10.2 to the 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10.3</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Intellectual Property Agreement between Harris Stratex Networks, Inc. and Harris Corporation dated January 26, 2007 (incorporated by reference to Exhibit 10.4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10.4</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Trademark and Trade Name License Agreement between Harris Stratex Networks, Inc. and Harris Corporation dated January 26, 2007 (incorporated by reference to</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Exhibit 10.5 to the 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10.5</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10.6</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Transition Services Agreement between Harris Stratex Networks, Inc. and Harris Corporation dated January 26, 2007 (incorporated by reference to Exhibit 10.7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10.6.1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Amendment to Transition Services Agreement between Harris Stratex Networks, Inc. and Harris Corporation dated December 12, 2008 (incorporated by reference to</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Exhibit 10.1 to the Company’s Quarterly Report on Form 10-Q for the fiscal quarter ended January 2, 2009 filed with the Securities and Exchange Commission on</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February 10, 2009,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10.7</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10.8</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w w:val="99"/>
              </w:rPr>
              <w:t>NetBoss Service Agreement between Harris Stratex Networks, Inc. and Harris Corporation dated January 26, 2007 (incorporated by reference to Exhibit 10.9 to the Report</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10.9</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10.10</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w w:val="99"/>
              </w:rPr>
              <w:t>Tax Sharing Agreement between Harris Stratex Networks, Inc. and Harris Corporation dated January 26, 2007 (incorporated by reference to Exhibit 10.11 to the Report on</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10.12*</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Employment Agreement, effective as of April 8, 2008, between Harris Stratex Networks, Inc. and Harald J. Braun (incorporated by reference to Exhibit 10.15.1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Company’s Quarterly Report on Form 10-Q for the quarter ended March 28, 2008 filed with the Securities and Exchange Commission on May 6, 2008, File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10.13*</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Restated Employment Agreement, dated as of May 14, 2002, by and between Stratex Networks, Inc. and Charles D. Kissner (incorporated by reference to Exhibit 10.7 to</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the Annual Report on Form 10-K of Stratex Networks, Inc. for the Fiscal Year Ended March 31, 2003 filed with the Securities and Exchange Commission on May 19,</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2003, File No. 000-15895)</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10.13.1*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Third Amendment to Employment Agreement, dated as of December 15, 2006, by and between Stratex Networks, Inc. and Charles D. Kissner (incorporated by reference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to Exhibit 10.29 to Amendment No. 2 to the Registration Statement on Form S-4 filed with the Securities and Exchange Commission on December 19, 2006, File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 333-137980)</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10.14*</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Standard Form of Executive Employment Agreement between Harris Stratex Networks, Inc. and certain executives (incorporated by reference to Exhibit 10.16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10.15</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Form of Indemnification Agreement between Harris Stratex Networks, Inc. and its directors and certain officers (incorporated by reference to Exhibit 10.16 to the</w:t>
            </w:r>
          </w:p>
        </w:tc>
      </w:tr>
      <w:tr>
        <w:trPr>
          <w:trHeight w:val="165"/>
        </w:trPr>
        <w:tc>
          <w:tcPr>
            <w:tcW w:w="154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Registration Statement on Form S-1 of Stratex Networks, Inc., File No. 33-13431)</w:t>
            </w:r>
          </w:p>
        </w:tc>
      </w:tr>
      <w:tr>
        <w:trPr>
          <w:trHeight w:val="295"/>
        </w:trPr>
        <w:tc>
          <w:tcPr>
            <w:tcW w:w="154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3"/>
        </w:trPr>
        <w:tc>
          <w:tcPr>
            <w:tcW w:w="154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-4028440</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60"/>
        <w:spacing w:after="0"/>
        <w:tabs>
          <w:tab w:leader="none" w:pos="6100" w:val="left"/>
        </w:tabs>
        <w:rPr>
          <w:sz w:val="20"/>
          <w:szCs w:val="20"/>
          <w:color w:val="auto"/>
        </w:rPr>
      </w:pPr>
      <w:r>
        <w:rPr>
          <w:rFonts w:ascii="Arial" w:cs="Arial" w:eastAsia="Arial" w:hAnsi="Arial"/>
          <w:sz w:val="10"/>
          <w:szCs w:val="10"/>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12700</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60" w:right="120" w:hanging="661"/>
        <w:spacing w:after="0" w:line="256" w:lineRule="auto"/>
        <w:tabs>
          <w:tab w:leader="none" w:pos="164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Sublicense Agreement, effective as of January 26, 2007, between Harris Stratex Networks, Inc. and Harris Stratex Networks Operating Corporation (incorporated by reference to Exhibit 10.22 to the Company’s Annual Report on Form 10-K for the fiscal year ended June 29, 2007 filed with the Securities and Exchange Commission on August 27, 2007, File No. 001-33278)</w:t>
      </w:r>
    </w:p>
    <w:p>
      <w:pPr>
        <w:spacing w:after="0" w:line="1" w:lineRule="exact"/>
        <w:rPr>
          <w:sz w:val="20"/>
          <w:szCs w:val="20"/>
          <w:color w:val="auto"/>
        </w:rPr>
      </w:pPr>
    </w:p>
    <w:p>
      <w:pPr>
        <w:ind w:left="1660" w:right="120" w:hanging="661"/>
        <w:spacing w:after="0" w:line="252" w:lineRule="auto"/>
        <w:tabs>
          <w:tab w:leader="none" w:pos="164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Harris Stratex Networks, Inc. Annual Incentive Plan (incorporated by reference to Exhibit 10.17 to the Company’s Annual Report on Form 10-K for the fiscal year ended June 27, 2008 filed with the Securities and Exchange Commission on September 25, 2008, File No. 001-33278)</w:t>
      </w:r>
    </w:p>
    <w:p>
      <w:pPr>
        <w:spacing w:after="0" w:line="1" w:lineRule="exact"/>
        <w:rPr>
          <w:sz w:val="20"/>
          <w:szCs w:val="20"/>
          <w:color w:val="auto"/>
        </w:rPr>
      </w:pPr>
    </w:p>
    <w:p>
      <w:pPr>
        <w:ind w:left="1660" w:right="260" w:hanging="661"/>
        <w:spacing w:after="0" w:line="252" w:lineRule="auto"/>
        <w:tabs>
          <w:tab w:leader="none" w:pos="164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Harris Stratex Networks, Inc. 2007 Stock Equity Plan (incorporated by reference to Exhibit 4.9 to the Registration Statement on Form S-8 filed with the Securities and Exchange Commission on February 5, 2007, File No. 333-140442)</w:t>
      </w:r>
    </w:p>
    <w:p>
      <w:pPr>
        <w:spacing w:after="0" w:line="1" w:lineRule="exact"/>
        <w:rPr>
          <w:sz w:val="20"/>
          <w:szCs w:val="20"/>
          <w:color w:val="auto"/>
        </w:rPr>
      </w:pPr>
    </w:p>
    <w:p>
      <w:pPr>
        <w:ind w:left="1660" w:right="540" w:hanging="661"/>
        <w:spacing w:after="0" w:line="252" w:lineRule="auto"/>
        <w:tabs>
          <w:tab w:leader="none" w:pos="1640" w:val="left"/>
        </w:tabs>
        <w:rPr>
          <w:sz w:val="20"/>
          <w:szCs w:val="20"/>
          <w:color w:val="auto"/>
        </w:rPr>
      </w:pPr>
      <w:r>
        <w:rPr>
          <w:rFonts w:ascii="Arial" w:cs="Arial" w:eastAsia="Arial" w:hAnsi="Arial"/>
          <w:sz w:val="13"/>
          <w:szCs w:val="13"/>
          <w:color w:val="auto"/>
        </w:rPr>
        <w:t>10.18.1</w:t>
      </w:r>
      <w:r>
        <w:rPr>
          <w:sz w:val="20"/>
          <w:szCs w:val="20"/>
          <w:color w:val="auto"/>
        </w:rPr>
        <w:tab/>
      </w:r>
      <w:r>
        <w:rPr>
          <w:rFonts w:ascii="Arial" w:cs="Arial" w:eastAsia="Arial" w:hAnsi="Arial"/>
          <w:sz w:val="13"/>
          <w:szCs w:val="13"/>
          <w:color w:val="auto"/>
        </w:rPr>
        <w:t>Harris Stratex Networks, Inc. 2007 Stock Equity Plan (As Amended and Restated Effective November 19, 2009) (incorporated by reference to Appendix B to the Registrant’s Schedule 14A filed with the Securities and Exchange Commission on October 7, 2009, File No. 001-33278)</w:t>
      </w:r>
    </w:p>
    <w:p>
      <w:pPr>
        <w:spacing w:after="0" w:line="1" w:lineRule="exact"/>
        <w:rPr>
          <w:sz w:val="20"/>
          <w:szCs w:val="20"/>
          <w:color w:val="auto"/>
        </w:rPr>
      </w:pPr>
    </w:p>
    <w:p>
      <w:pPr>
        <w:ind w:left="1660" w:hanging="661"/>
        <w:spacing w:after="0" w:line="273" w:lineRule="auto"/>
        <w:tabs>
          <w:tab w:leader="none" w:pos="164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2"/>
          <w:szCs w:val="12"/>
          <w:color w:val="auto"/>
        </w:rPr>
        <w:t>Credit Agreement between Harris Stratex Networks, Inc., Harris Stratex Networks Operating Corporation, Harris Stratex Networks(S) Pte. Ltd., Bank of America, N.A., Silicon Valley Bank, Banc of America Securities Asia Limited and Banc of America Securities LLC, dated June 30, 2008 (incorporated by reference to Exhibit 10.19 to the Company’s Annual Report on Form 10-K for the fiscal year ended June 27, 2008 filed with the Securities and Exchange Commission on September 25, 2008, File</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No. 001-33278)</w:t>
      </w:r>
    </w:p>
    <w:p>
      <w:pPr>
        <w:spacing w:after="0" w:line="8" w:lineRule="exact"/>
        <w:rPr>
          <w:sz w:val="20"/>
          <w:szCs w:val="20"/>
          <w:color w:val="auto"/>
        </w:rPr>
      </w:pPr>
    </w:p>
    <w:p>
      <w:pPr>
        <w:ind w:left="1660" w:right="20" w:hanging="661"/>
        <w:spacing w:after="0" w:line="252" w:lineRule="auto"/>
        <w:tabs>
          <w:tab w:leader="none" w:pos="1640" w:val="left"/>
        </w:tabs>
        <w:rPr>
          <w:sz w:val="20"/>
          <w:szCs w:val="20"/>
          <w:color w:val="auto"/>
        </w:rPr>
      </w:pPr>
      <w:r>
        <w:rPr>
          <w:rFonts w:ascii="Arial" w:cs="Arial" w:eastAsia="Arial" w:hAnsi="Arial"/>
          <w:sz w:val="13"/>
          <w:szCs w:val="13"/>
          <w:color w:val="auto"/>
        </w:rPr>
        <w:t>10.19.1</w:t>
      </w:r>
      <w:r>
        <w:rPr>
          <w:sz w:val="20"/>
          <w:szCs w:val="20"/>
          <w:color w:val="auto"/>
        </w:rPr>
        <w:tab/>
      </w:r>
      <w:r>
        <w:rPr>
          <w:rFonts w:ascii="Arial" w:cs="Arial" w:eastAsia="Arial" w:hAnsi="Arial"/>
          <w:sz w:val="13"/>
          <w:szCs w:val="13"/>
          <w:color w:val="auto"/>
        </w:rPr>
        <w:t>Amendment No. 1 to Credit Agreement between Aviat Networks, Inc., Aviat U.S., Inc., Aviat Networks(S) Pte. Ltd., Bank of America, N.A., Bank of America, N.A. Hong Kong Branch, and Silicon Valley Bank, dated August 23, 2010</w:t>
      </w:r>
    </w:p>
    <w:p>
      <w:pPr>
        <w:spacing w:after="0" w:line="1" w:lineRule="exact"/>
        <w:rPr>
          <w:sz w:val="20"/>
          <w:szCs w:val="20"/>
          <w:color w:val="auto"/>
        </w:rPr>
      </w:pPr>
    </w:p>
    <w:p>
      <w:pPr>
        <w:ind w:left="1660" w:right="360" w:hanging="661"/>
        <w:spacing w:after="0" w:line="252" w:lineRule="auto"/>
        <w:tabs>
          <w:tab w:leader="none" w:pos="164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Amended and Restated Loan and Security Agreement between Stratex Networks, Inc. and Silicon Valley Bank, dated January 21, 2004 (incorporated by reference to Exhibit 10.1 to the Report on Form 8-K of Stratex Networks, Inc. on January 22, 2004, File No. 000-15895)</w:t>
      </w:r>
    </w:p>
    <w:p>
      <w:pPr>
        <w:spacing w:after="0" w:line="1" w:lineRule="exact"/>
        <w:rPr>
          <w:sz w:val="20"/>
          <w:szCs w:val="20"/>
          <w:color w:val="auto"/>
        </w:rPr>
      </w:pPr>
    </w:p>
    <w:p>
      <w:pPr>
        <w:ind w:left="1660" w:right="80" w:hanging="661"/>
        <w:spacing w:after="0" w:line="252" w:lineRule="auto"/>
        <w:tabs>
          <w:tab w:leader="none" w:pos="1640" w:val="left"/>
        </w:tabs>
        <w:rPr>
          <w:sz w:val="20"/>
          <w:szCs w:val="20"/>
          <w:color w:val="auto"/>
        </w:rPr>
      </w:pPr>
      <w:r>
        <w:rPr>
          <w:rFonts w:ascii="Arial" w:cs="Arial" w:eastAsia="Arial" w:hAnsi="Arial"/>
          <w:sz w:val="13"/>
          <w:szCs w:val="13"/>
          <w:color w:val="auto"/>
        </w:rPr>
        <w:t>10.20.1</w:t>
      </w:r>
      <w:r>
        <w:rPr>
          <w:sz w:val="20"/>
          <w:szCs w:val="20"/>
          <w:color w:val="auto"/>
        </w:rPr>
        <w:tab/>
      </w:r>
      <w:r>
        <w:rPr>
          <w:rFonts w:ascii="Arial" w:cs="Arial" w:eastAsia="Arial" w:hAnsi="Arial"/>
          <w:sz w:val="13"/>
          <w:szCs w:val="13"/>
          <w:color w:val="auto"/>
        </w:rPr>
        <w:t>Amendment No. 5 to Amended and Restated Loan and Security Agreement between Harris Stratex Networks Operating Corporation, a wholly owned subsidiary of Harris Stratex Networks, Inc. and the successor to Stratex Networks, Inc. and Silicon Valley Bank, dated February 23, 2007 (incorporated herein by reference to Exhibit 10.28.5 to the Company’s Annual Report on Form 10-K for the fiscal year ended June 29, 2007 filed with the Securities and Exchange Commission on August 27, 2007, File No. 001-33278)</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1660" w:right="180" w:hanging="661"/>
        <w:spacing w:after="0" w:line="252" w:lineRule="auto"/>
        <w:tabs>
          <w:tab w:leader="none" w:pos="164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Employment Agreement, effective as of May 4, 2009, between Harris Stratex Networks, Inc. and Thomas L. Cronan III (incorporated by reference to Exhibit 10.1 to the Report on Form 8-K filed with the Securities and Exchange Commission on May 5, 2009, File No. 001-33278)</w:t>
      </w:r>
    </w:p>
    <w:p>
      <w:pPr>
        <w:spacing w:after="0" w:line="1" w:lineRule="exact"/>
        <w:rPr>
          <w:sz w:val="20"/>
          <w:szCs w:val="20"/>
          <w:color w:val="auto"/>
        </w:rPr>
      </w:pPr>
    </w:p>
    <w:p>
      <w:pPr>
        <w:jc w:val="both"/>
        <w:ind w:left="1660" w:right="500" w:hanging="661"/>
        <w:spacing w:after="0" w:line="252" w:lineRule="auto"/>
        <w:tabs>
          <w:tab w:leader="none" w:pos="164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Employment Agreement, dated as of April 1, 2006, between Harris Stratex Networks, Inc. and Heinz Stumpe (incorporation by reference to Exhibit 10.15.2 to the Company’s Quarterly Report on Form 10-Q for the fiscal quarter ended March 30, 2007 filed with the Securities and Exchange Commission on May 8, 2007, File No. 001-33278)</w:t>
      </w:r>
    </w:p>
    <w:p>
      <w:pPr>
        <w:spacing w:after="0" w:line="1" w:lineRule="exact"/>
        <w:rPr>
          <w:sz w:val="20"/>
          <w:szCs w:val="20"/>
          <w:color w:val="auto"/>
        </w:rPr>
      </w:pPr>
    </w:p>
    <w:p>
      <w:pPr>
        <w:ind w:left="1660" w:hanging="661"/>
        <w:spacing w:after="0" w:line="298" w:lineRule="auto"/>
        <w:tabs>
          <w:tab w:leader="none" w:pos="164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1"/>
          <w:szCs w:val="11"/>
          <w:color w:val="auto"/>
        </w:rPr>
        <w:t>Employment Agreement, dated as of May 14, 2002, between Stratex Networks, Inc. and Paul Kennard (incorporated by reference to Exhibit 10.1 to the Stratex Networks, Inc. Quarterly Report on Form 10-Q for the fiscal quarter ended June 30, 2006 filed with the Securities and Exchange Commission on August 9, 2006, File No. 000-15895)</w:t>
      </w:r>
    </w:p>
    <w:p>
      <w:pPr>
        <w:ind w:left="1660" w:right="200" w:hanging="661"/>
        <w:spacing w:after="0" w:line="252" w:lineRule="auto"/>
        <w:tabs>
          <w:tab w:leader="none" w:pos="1640" w:val="left"/>
        </w:tabs>
        <w:rPr>
          <w:sz w:val="20"/>
          <w:szCs w:val="20"/>
          <w:color w:val="auto"/>
        </w:rPr>
      </w:pPr>
      <w:r>
        <w:rPr>
          <w:rFonts w:ascii="Arial" w:cs="Arial" w:eastAsia="Arial" w:hAnsi="Arial"/>
          <w:sz w:val="13"/>
          <w:szCs w:val="13"/>
          <w:color w:val="auto"/>
        </w:rPr>
        <w:t>10.24.1*</w:t>
      </w:r>
      <w:r>
        <w:rPr>
          <w:sz w:val="20"/>
          <w:szCs w:val="20"/>
          <w:color w:val="auto"/>
        </w:rPr>
        <w:tab/>
      </w:r>
      <w:r>
        <w:rPr>
          <w:rFonts w:ascii="Arial" w:cs="Arial" w:eastAsia="Arial" w:hAnsi="Arial"/>
          <w:sz w:val="13"/>
          <w:szCs w:val="13"/>
          <w:color w:val="auto"/>
        </w:rPr>
        <w:t>Amendment A, effective as of April 1, 2006, to Employment Agreement, dated May 14, 2002, between Stratex Networks, Inc. and Paul Kennard (incorporated by reference to Exhibit 10.2 to the Stratex Networks, Inc. Quarterly Report on Form 10-Q for the fiscal quarter ended June 30, 2006 filed with the Securities and Exchange Commission on August 9, 2006, File No. 000-15895)</w:t>
      </w:r>
    </w:p>
    <w:p>
      <w:pPr>
        <w:spacing w:after="0" w:line="1" w:lineRule="exact"/>
        <w:rPr>
          <w:sz w:val="20"/>
          <w:szCs w:val="20"/>
          <w:color w:val="auto"/>
        </w:rPr>
      </w:pPr>
    </w:p>
    <w:p>
      <w:pPr>
        <w:ind w:left="1660" w:right="200" w:hanging="661"/>
        <w:spacing w:after="0" w:line="258" w:lineRule="auto"/>
        <w:tabs>
          <w:tab w:leader="none" w:pos="1640" w:val="left"/>
        </w:tabs>
        <w:rPr>
          <w:sz w:val="20"/>
          <w:szCs w:val="20"/>
          <w:color w:val="auto"/>
        </w:rPr>
      </w:pPr>
      <w:r>
        <w:rPr>
          <w:rFonts w:ascii="Arial" w:cs="Arial" w:eastAsia="Arial" w:hAnsi="Arial"/>
          <w:sz w:val="13"/>
          <w:szCs w:val="13"/>
          <w:color w:val="auto"/>
        </w:rPr>
        <w:t>10.24.2*</w:t>
      </w:r>
      <w:r>
        <w:rPr>
          <w:sz w:val="20"/>
          <w:szCs w:val="20"/>
          <w:color w:val="auto"/>
        </w:rPr>
        <w:tab/>
      </w:r>
      <w:r>
        <w:rPr>
          <w:rFonts w:ascii="Arial" w:cs="Arial" w:eastAsia="Arial" w:hAnsi="Arial"/>
          <w:sz w:val="13"/>
          <w:szCs w:val="13"/>
          <w:color w:val="auto"/>
        </w:rPr>
        <w:t>Amendment B, effective as of April 1, 2006, to Employment Agreement, dated May 14, 2002, between Stratex Networks, Inc. and Paul Kennard (incorporated by reference to Exhibit 10.3 to the Stratex Networks, Inc. Quarterly Report on Form 10-Q for the fiscal quarter ended June 30, 2006 filed with the Securities and Exchange Commission on August 9, 2006, File No. 000-15895)</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135"/>
        </w:trPr>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Ex. #</w:t>
            </w:r>
          </w:p>
        </w:tc>
        <w:tc>
          <w:tcPr>
            <w:tcW w:w="4580" w:type="dxa"/>
            <w:vAlign w:val="bottom"/>
          </w:tcPr>
          <w:p>
            <w:pPr>
              <w:spacing w:after="0"/>
              <w:rPr>
                <w:sz w:val="11"/>
                <w:szCs w:val="11"/>
                <w:color w:val="auto"/>
              </w:rPr>
            </w:pPr>
          </w:p>
        </w:tc>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78"/>
        </w:trPr>
        <w:tc>
          <w:tcPr>
            <w:tcW w:w="560" w:type="dxa"/>
            <w:vAlign w:val="bottom"/>
          </w:tcPr>
          <w:p>
            <w:pPr>
              <w:spacing w:after="0"/>
              <w:rPr>
                <w:sz w:val="20"/>
                <w:szCs w:val="20"/>
                <w:color w:val="auto"/>
              </w:rPr>
            </w:pPr>
            <w:r>
              <w:rPr>
                <w:rFonts w:ascii="Arial" w:cs="Arial" w:eastAsia="Arial" w:hAnsi="Arial"/>
                <w:sz w:val="13"/>
                <w:szCs w:val="13"/>
                <w:color w:val="auto"/>
              </w:rPr>
              <w:t>10.25*</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w w:val="94"/>
              </w:rPr>
              <w:t>Employment Agreement, dated as of May 14, 2002, between Stratex Networks, Inc. and Shaun McFall (incorporated by reference to Exhibit 10.25 to the Company’s</w:t>
            </w:r>
          </w:p>
        </w:tc>
      </w:tr>
      <w:tr>
        <w:trPr>
          <w:trHeight w:val="157"/>
        </w:trPr>
        <w:tc>
          <w:tcPr>
            <w:tcW w:w="560" w:type="dxa"/>
            <w:vAlign w:val="bottom"/>
          </w:tcPr>
          <w:p>
            <w:pPr>
              <w:spacing w:after="0"/>
              <w:rPr>
                <w:sz w:val="13"/>
                <w:szCs w:val="13"/>
                <w:color w:val="auto"/>
              </w:rPr>
            </w:pP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w w:val="95"/>
              </w:rPr>
              <w:t>Annual Report on Form 10-K for the fiscal year ended July 3, 2009 filed with the Securities and Exchange Commission on September 4, 2009,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10.25.1*</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w w:val="93"/>
              </w:rPr>
              <w:t>Amendment, effective April 1, 2006, to Employment Agreement, dated May 14, 2002, between Stratex Networks, Inc. and Shaun McFall (incorporated by reference to</w:t>
            </w:r>
          </w:p>
        </w:tc>
      </w:tr>
      <w:tr>
        <w:trPr>
          <w:trHeight w:val="157"/>
        </w:trPr>
        <w:tc>
          <w:tcPr>
            <w:tcW w:w="560" w:type="dxa"/>
            <w:vAlign w:val="bottom"/>
          </w:tcPr>
          <w:p>
            <w:pPr>
              <w:spacing w:after="0"/>
              <w:rPr>
                <w:sz w:val="13"/>
                <w:szCs w:val="13"/>
                <w:color w:val="auto"/>
              </w:rPr>
            </w:pP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w w:val="91"/>
              </w:rPr>
              <w:t>Exhibit 10.25.1 to the Company’s Annual Report on Form 10-K for the fiscal year ended July 3, 2009 filed with the Securities and Exchange Commission on September 4,</w:t>
            </w:r>
          </w:p>
        </w:tc>
      </w:tr>
      <w:tr>
        <w:trPr>
          <w:trHeight w:val="157"/>
        </w:trPr>
        <w:tc>
          <w:tcPr>
            <w:tcW w:w="560" w:type="dxa"/>
            <w:vAlign w:val="bottom"/>
          </w:tcPr>
          <w:p>
            <w:pPr>
              <w:spacing w:after="0"/>
              <w:rPr>
                <w:sz w:val="13"/>
                <w:szCs w:val="13"/>
                <w:color w:val="auto"/>
              </w:rPr>
            </w:pP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2009,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10.26</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w w:val="91"/>
              </w:rPr>
              <w:t>Employment Agreement, dated June 28, 2010, between Aviat Networks, Inc. and Charles D. Kissner (incorporated by reference to Exhibit 10.1 to the Report on Form 8-K</w:t>
            </w:r>
          </w:p>
        </w:tc>
      </w:tr>
      <w:tr>
        <w:trPr>
          <w:trHeight w:val="157"/>
        </w:trPr>
        <w:tc>
          <w:tcPr>
            <w:tcW w:w="560" w:type="dxa"/>
            <w:vAlign w:val="bottom"/>
          </w:tcPr>
          <w:p>
            <w:pPr>
              <w:spacing w:after="0"/>
              <w:rPr>
                <w:sz w:val="13"/>
                <w:szCs w:val="13"/>
                <w:color w:val="auto"/>
              </w:rPr>
            </w:pP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filed with the Securities and Exchange Commission on July 1, 2010,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21</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List of Subsidiaries of Aviat Networks, Inc.</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23</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Consent of Independent Registered Public Accounting Firm</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31.1</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Rule 13a-14(a)/15d-14(a) Certification of Chief Executive Officer.</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31.2</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Rule 13a-14(a)/15d-14(a) Certification of Chief Financial Officer.</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32.1</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Section 1350 Certification of Chief Executive Officer.</w:t>
            </w:r>
          </w:p>
        </w:tc>
      </w:tr>
      <w:tr>
        <w:trPr>
          <w:trHeight w:val="165"/>
        </w:trPr>
        <w:tc>
          <w:tcPr>
            <w:tcW w:w="560" w:type="dxa"/>
            <w:vAlign w:val="bottom"/>
          </w:tcPr>
          <w:p>
            <w:pPr>
              <w:spacing w:after="0"/>
              <w:rPr>
                <w:sz w:val="20"/>
                <w:szCs w:val="20"/>
                <w:color w:val="auto"/>
              </w:rPr>
            </w:pPr>
            <w:r>
              <w:rPr>
                <w:rFonts w:ascii="Arial" w:cs="Arial" w:eastAsia="Arial" w:hAnsi="Arial"/>
                <w:sz w:val="13"/>
                <w:szCs w:val="13"/>
                <w:color w:val="auto"/>
              </w:rPr>
              <w:t>32.2</w:t>
            </w:r>
          </w:p>
        </w:tc>
        <w:tc>
          <w:tcPr>
            <w:tcW w:w="9080" w:type="dxa"/>
            <w:vAlign w:val="bottom"/>
            <w:gridSpan w:val="3"/>
          </w:tcPr>
          <w:p>
            <w:pPr>
              <w:ind w:left="120"/>
              <w:spacing w:after="0"/>
              <w:rPr>
                <w:sz w:val="20"/>
                <w:szCs w:val="20"/>
                <w:color w:val="auto"/>
              </w:rPr>
            </w:pPr>
            <w:r>
              <w:rPr>
                <w:rFonts w:ascii="Arial" w:cs="Arial" w:eastAsia="Arial" w:hAnsi="Arial"/>
                <w:sz w:val="13"/>
                <w:szCs w:val="13"/>
                <w:color w:val="auto"/>
              </w:rPr>
              <w:t>Section 1350 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-1327785</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5580" w:right="3020" w:hanging="4893"/>
        <w:spacing w:after="0" w:line="482" w:lineRule="auto"/>
        <w:tabs>
          <w:tab w:leader="none" w:pos="895" w:val="left"/>
        </w:tabs>
        <w:numPr>
          <w:ilvl w:val="0"/>
          <w:numId w:val="51"/>
        </w:numPr>
        <w:rPr>
          <w:rFonts w:ascii="Arial" w:cs="Arial" w:eastAsia="Arial" w:hAnsi="Arial"/>
          <w:sz w:val="13"/>
          <w:szCs w:val="13"/>
          <w:color w:val="auto"/>
        </w:rPr>
      </w:pPr>
      <w:r>
        <w:rPr>
          <w:rFonts w:ascii="Arial" w:cs="Arial" w:eastAsia="Arial" w:hAnsi="Arial"/>
          <w:sz w:val="13"/>
          <w:szCs w:val="13"/>
          <w:color w:val="auto"/>
        </w:rPr>
        <w:t>Management compensatory contract, arrangement or plan required to be filed as an exhibit pursuant to Item 15(b) of this report.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0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AVIAT NETWORKS,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Charles D. Kissner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 and Chairman of the Board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September 9, 2010</w:t>
      </w:r>
    </w:p>
    <w:p>
      <w:pPr>
        <w:spacing w:after="0" w:line="89"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900" w:val="left"/>
          <w:tab w:leader="none" w:pos="98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12700</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Charles D. Kissner</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3"/>
              </w:rPr>
              <w:t>Chief Executive Officer and Chairman of the Board</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Charles D. Kissner</w:t>
            </w:r>
          </w:p>
        </w:tc>
        <w:tc>
          <w:tcPr>
            <w:tcW w:w="4180" w:type="dxa"/>
            <w:vAlign w:val="bottom"/>
          </w:tcPr>
          <w:p>
            <w:pPr>
              <w:jc w:val="center"/>
              <w:ind w:left="34"/>
              <w:spacing w:after="0" w:line="145" w:lineRule="exact"/>
              <w:rPr>
                <w:sz w:val="20"/>
                <w:szCs w:val="20"/>
                <w:color w:val="auto"/>
              </w:rPr>
            </w:pPr>
            <w:r>
              <w:rPr>
                <w:rFonts w:ascii="Arial" w:cs="Arial" w:eastAsia="Arial" w:hAnsi="Arial"/>
                <w:sz w:val="13"/>
                <w:szCs w:val="13"/>
                <w:color w:val="auto"/>
                <w:w w:val="94"/>
              </w:rPr>
              <w:t>(Principal Executive Officer)</w:t>
            </w: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Thomas L. Cronan III</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2"/>
              </w:rPr>
              <w:t>Senior Vice President and Chief Financial Officer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6"/>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4"/>
              </w:rPr>
              <w:t>Thomas L. Cronan III</w:t>
            </w:r>
          </w:p>
        </w:tc>
        <w:tc>
          <w:tcPr>
            <w:tcW w:w="4180" w:type="dxa"/>
            <w:vAlign w:val="bottom"/>
          </w:tcPr>
          <w:p>
            <w:pPr>
              <w:jc w:val="center"/>
              <w:ind w:left="34"/>
              <w:spacing w:after="0" w:line="145" w:lineRule="exact"/>
              <w:rPr>
                <w:sz w:val="20"/>
                <w:szCs w:val="20"/>
                <w:color w:val="auto"/>
              </w:rPr>
            </w:pPr>
            <w:r>
              <w:rPr>
                <w:rFonts w:ascii="Arial" w:cs="Arial" w:eastAsia="Arial" w:hAnsi="Arial"/>
                <w:sz w:val="13"/>
                <w:szCs w:val="13"/>
                <w:color w:val="auto"/>
                <w:w w:val="94"/>
              </w:rPr>
              <w:t>(Principal Financial Officer)</w:t>
            </w: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J. Russell Mincey</w:t>
            </w:r>
          </w:p>
        </w:tc>
        <w:tc>
          <w:tcPr>
            <w:tcW w:w="4180" w:type="dxa"/>
            <w:vAlign w:val="bottom"/>
          </w:tcPr>
          <w:p>
            <w:pPr>
              <w:jc w:val="center"/>
              <w:ind w:left="14"/>
              <w:spacing w:after="0"/>
              <w:rPr>
                <w:sz w:val="20"/>
                <w:szCs w:val="20"/>
                <w:color w:val="auto"/>
              </w:rPr>
            </w:pPr>
            <w:r>
              <w:rPr>
                <w:rFonts w:ascii="Arial" w:cs="Arial" w:eastAsia="Arial" w:hAnsi="Arial"/>
                <w:sz w:val="13"/>
                <w:szCs w:val="13"/>
                <w:color w:val="auto"/>
                <w:w w:val="92"/>
              </w:rPr>
              <w:t>Vice President, Corporate Controller and Principal Accounting</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2"/>
              </w:rPr>
              <w:t>J. Russell Mincey</w:t>
            </w:r>
          </w:p>
        </w:tc>
        <w:tc>
          <w:tcPr>
            <w:tcW w:w="4180" w:type="dxa"/>
            <w:vAlign w:val="bottom"/>
          </w:tcPr>
          <w:p>
            <w:pPr>
              <w:jc w:val="center"/>
              <w:ind w:left="14"/>
              <w:spacing w:after="0" w:line="130" w:lineRule="exact"/>
              <w:rPr>
                <w:sz w:val="20"/>
                <w:szCs w:val="20"/>
                <w:color w:val="auto"/>
              </w:rPr>
            </w:pPr>
            <w:r>
              <w:rPr>
                <w:rFonts w:ascii="Arial" w:cs="Arial" w:eastAsia="Arial" w:hAnsi="Arial"/>
                <w:sz w:val="13"/>
                <w:szCs w:val="13"/>
                <w:color w:val="auto"/>
                <w:w w:val="99"/>
              </w:rPr>
              <w:t>Officer</w:t>
            </w:r>
          </w:p>
        </w:tc>
        <w:tc>
          <w:tcPr>
            <w:tcW w:w="248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180" w:type="dxa"/>
            <w:vAlign w:val="bottom"/>
          </w:tcPr>
          <w:p>
            <w:pPr>
              <w:jc w:val="center"/>
              <w:ind w:left="14"/>
              <w:spacing w:after="0"/>
              <w:rPr>
                <w:sz w:val="20"/>
                <w:szCs w:val="20"/>
                <w:color w:val="auto"/>
              </w:rPr>
            </w:pPr>
            <w:r>
              <w:rPr>
                <w:rFonts w:ascii="Arial" w:cs="Arial" w:eastAsia="Arial" w:hAnsi="Arial"/>
                <w:sz w:val="13"/>
                <w:szCs w:val="13"/>
                <w:color w:val="auto"/>
                <w:w w:val="96"/>
              </w:rPr>
              <w:t>(Principal Accounting Officer)</w:t>
            </w:r>
          </w:p>
        </w:tc>
        <w:tc>
          <w:tcPr>
            <w:tcW w:w="248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Eric C. Evans</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Eric C. Evans</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William A. Hasler</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William A. Hasler</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Clifford H. Higgerson</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Clifford H. Higgerson</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Dr. Mohsen Sohi</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Dr. Mohsen Sohi</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 James C. Stoffel</w:t>
            </w:r>
          </w:p>
        </w:tc>
        <w:tc>
          <w:tcPr>
            <w:tcW w:w="4180" w:type="dxa"/>
            <w:vAlign w:val="bottom"/>
          </w:tcPr>
          <w:p>
            <w:pPr>
              <w:jc w:val="center"/>
              <w:ind w:left="14"/>
              <w:spacing w:after="0"/>
              <w:rPr>
                <w:sz w:val="20"/>
                <w:szCs w:val="20"/>
                <w:color w:val="auto"/>
              </w:rPr>
            </w:pPr>
            <w:r>
              <w:rPr>
                <w:rFonts w:ascii="Arial" w:cs="Arial" w:eastAsia="Arial" w:hAnsi="Arial"/>
                <w:sz w:val="13"/>
                <w:szCs w:val="13"/>
                <w:color w:val="auto"/>
                <w:w w:val="92"/>
              </w:rPr>
              <w:t>Lead Independent 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James C. Stoffel</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Edward F. Thompson</w:t>
            </w:r>
          </w:p>
        </w:tc>
        <w:tc>
          <w:tcPr>
            <w:tcW w:w="41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2480" w:type="dxa"/>
            <w:vAlign w:val="bottom"/>
          </w:tcPr>
          <w:p>
            <w:pPr>
              <w:ind w:left="400"/>
              <w:spacing w:after="0"/>
              <w:rPr>
                <w:sz w:val="20"/>
                <w:szCs w:val="20"/>
                <w:color w:val="auto"/>
              </w:rPr>
            </w:pPr>
            <w:r>
              <w:rPr>
                <w:rFonts w:ascii="Arial" w:cs="Arial" w:eastAsia="Arial" w:hAnsi="Arial"/>
                <w:sz w:val="13"/>
                <w:szCs w:val="13"/>
                <w:color w:val="auto"/>
              </w:rPr>
              <w:t>September 9, 2010</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Edward F. Thompson</w:t>
            </w:r>
          </w:p>
        </w:tc>
        <w:tc>
          <w:tcPr>
            <w:tcW w:w="41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80" w:type="dxa"/>
            <w:vAlign w:val="bottom"/>
          </w:tcPr>
          <w:p>
            <w:pPr>
              <w:jc w:val="right"/>
              <w:ind w:right="3134"/>
              <w:spacing w:after="0"/>
              <w:rPr>
                <w:sz w:val="20"/>
                <w:szCs w:val="20"/>
                <w:color w:val="auto"/>
              </w:rPr>
            </w:pPr>
            <w:r>
              <w:rPr>
                <w:rFonts w:ascii="Arial" w:cs="Arial" w:eastAsia="Arial" w:hAnsi="Arial"/>
                <w:sz w:val="13"/>
                <w:szCs w:val="13"/>
                <w:color w:val="auto"/>
              </w:rPr>
              <w:t>108</w:t>
            </w:r>
          </w:p>
        </w:tc>
        <w:tc>
          <w:tcPr>
            <w:tcW w:w="24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SCHEDULE II — VALUATION AND QUALIFYING ACCOUNTS AND RESERVES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AVIAT NETWORKS, INC.</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Years Ended July 2, 2010, July 3, 2009 and June 27,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0"/>
                <w:szCs w:val="10"/>
                <w:b w:val="1"/>
                <w:bCs w:val="1"/>
                <w:color w:val="auto"/>
                <w:w w:val="95"/>
              </w:rPr>
              <w:t>Additions</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5"/>
              </w:rPr>
              <w:t>Balance at</w:t>
            </w:r>
          </w:p>
        </w:tc>
        <w:tc>
          <w:tcPr>
            <w:tcW w:w="660" w:type="dxa"/>
            <w:vAlign w:val="bottom"/>
            <w:vMerge w:val="restart"/>
          </w:tcPr>
          <w:p>
            <w:pPr>
              <w:jc w:val="center"/>
              <w:ind w:left="60"/>
              <w:spacing w:after="0"/>
              <w:rPr>
                <w:sz w:val="20"/>
                <w:szCs w:val="20"/>
                <w:color w:val="auto"/>
              </w:rPr>
            </w:pPr>
            <w:r>
              <w:rPr>
                <w:rFonts w:ascii="Arial" w:cs="Arial" w:eastAsia="Arial" w:hAnsi="Arial"/>
                <w:sz w:val="10"/>
                <w:szCs w:val="10"/>
                <w:b w:val="1"/>
                <w:bCs w:val="1"/>
                <w:color w:val="auto"/>
                <w:w w:val="94"/>
              </w:rPr>
              <w:t>Charged to</w:t>
            </w: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Charged to</w:t>
            </w:r>
          </w:p>
        </w:tc>
        <w:tc>
          <w:tcPr>
            <w:tcW w:w="2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(Additions)</w:t>
            </w:r>
          </w:p>
        </w:tc>
        <w:tc>
          <w:tcPr>
            <w:tcW w:w="2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Balance</w:t>
            </w: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Other</w:t>
            </w:r>
          </w:p>
        </w:tc>
        <w:tc>
          <w:tcPr>
            <w:tcW w:w="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3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660" w:type="dxa"/>
            <w:vAlign w:val="bottom"/>
          </w:tcPr>
          <w:p>
            <w:pPr>
              <w:jc w:val="center"/>
              <w:ind w:left="40"/>
              <w:spacing w:after="0" w:line="108" w:lineRule="exact"/>
              <w:rPr>
                <w:sz w:val="20"/>
                <w:szCs w:val="20"/>
                <w:color w:val="auto"/>
              </w:rPr>
            </w:pPr>
            <w:r>
              <w:rPr>
                <w:rFonts w:ascii="Arial" w:cs="Arial" w:eastAsia="Arial" w:hAnsi="Arial"/>
                <w:sz w:val="10"/>
                <w:szCs w:val="10"/>
                <w:b w:val="1"/>
                <w:bCs w:val="1"/>
                <w:color w:val="auto"/>
                <w:w w:val="90"/>
              </w:rPr>
              <w:t>Costs and</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Accounts</w:t>
            </w:r>
          </w:p>
        </w:tc>
        <w:tc>
          <w:tcPr>
            <w:tcW w:w="2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Deductions</w:t>
            </w:r>
          </w:p>
        </w:tc>
        <w:tc>
          <w:tcPr>
            <w:tcW w:w="28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at End</w:t>
            </w:r>
          </w:p>
        </w:tc>
        <w:tc>
          <w:tcPr>
            <w:tcW w:w="0" w:type="dxa"/>
            <w:vAlign w:val="bottom"/>
          </w:tcPr>
          <w:p>
            <w:pPr>
              <w:spacing w:after="0"/>
              <w:rPr>
                <w:sz w:val="1"/>
                <w:szCs w:val="1"/>
                <w:color w:val="auto"/>
              </w:rPr>
            </w:pPr>
          </w:p>
        </w:tc>
      </w:tr>
      <w:tr>
        <w:trPr>
          <w:trHeight w:val="125"/>
        </w:trPr>
        <w:tc>
          <w:tcPr>
            <w:tcW w:w="4760" w:type="dxa"/>
            <w:vAlign w:val="bottom"/>
          </w:tcPr>
          <w:p>
            <w:pPr>
              <w:spacing w:after="0"/>
              <w:rPr>
                <w:sz w:val="10"/>
                <w:szCs w:val="1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Period</w:t>
            </w:r>
          </w:p>
        </w:tc>
        <w:tc>
          <w:tcPr>
            <w:tcW w:w="660" w:type="dxa"/>
            <w:vAlign w:val="bottom"/>
          </w:tcPr>
          <w:p>
            <w:pPr>
              <w:jc w:val="center"/>
              <w:ind w:left="60"/>
              <w:spacing w:after="0"/>
              <w:rPr>
                <w:sz w:val="20"/>
                <w:szCs w:val="20"/>
                <w:color w:val="auto"/>
              </w:rPr>
            </w:pPr>
            <w:r>
              <w:rPr>
                <w:rFonts w:ascii="Arial" w:cs="Arial" w:eastAsia="Arial" w:hAnsi="Arial"/>
                <w:sz w:val="10"/>
                <w:szCs w:val="10"/>
                <w:b w:val="1"/>
                <w:bCs w:val="1"/>
                <w:color w:val="auto"/>
                <w:w w:val="89"/>
              </w:rPr>
              <w:t>Expenses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4"/>
              </w:rPr>
              <w:t>Describe</w:t>
            </w: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89"/>
              </w:rPr>
              <w:t>Describe</w:t>
            </w:r>
          </w:p>
        </w:tc>
        <w:tc>
          <w:tcPr>
            <w:tcW w:w="28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2"/>
              </w:rPr>
              <w:t>of Period</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0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660" w:type="dxa"/>
            <w:vAlign w:val="bottom"/>
            <w:tcBorders>
              <w:top w:val="single" w:sz="8" w:color="auto"/>
            </w:tcBorders>
          </w:tcPr>
          <w:p>
            <w:pPr>
              <w:jc w:val="center"/>
              <w:ind w:left="80"/>
              <w:spacing w:after="0" w:line="81" w:lineRule="exact"/>
              <w:rPr>
                <w:sz w:val="20"/>
                <w:szCs w:val="20"/>
                <w:color w:val="auto"/>
              </w:rPr>
            </w:pPr>
            <w:r>
              <w:rPr>
                <w:rFonts w:ascii="Arial" w:cs="Arial" w:eastAsia="Arial" w:hAnsi="Arial"/>
                <w:sz w:val="9"/>
                <w:szCs w:val="9"/>
                <w:b w:val="1"/>
                <w:bCs w:val="1"/>
                <w:color w:val="auto"/>
              </w:rPr>
              <w:t>($)</w:t>
            </w:r>
          </w:p>
        </w:tc>
        <w:tc>
          <w:tcPr>
            <w:tcW w:w="1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8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Allowances for collection losses:</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60" w:type="dxa"/>
            <w:vAlign w:val="bottom"/>
          </w:tcPr>
          <w:p>
            <w:pPr>
              <w:spacing w:after="0"/>
              <w:rPr>
                <w:sz w:val="20"/>
                <w:szCs w:val="20"/>
                <w:color w:val="auto"/>
              </w:rPr>
            </w:pPr>
            <w:r>
              <w:rPr>
                <w:rFonts w:ascii="Arial" w:cs="Arial" w:eastAsia="Arial" w:hAnsi="Arial"/>
                <w:sz w:val="13"/>
                <w:szCs w:val="13"/>
                <w:color w:val="auto"/>
              </w:rPr>
              <w:t>Year ended July 2, 2010</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27.0</w:t>
            </w:r>
          </w:p>
        </w:tc>
        <w:tc>
          <w:tcPr>
            <w:tcW w:w="28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4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60"/>
              <w:spacing w:after="0"/>
              <w:rPr>
                <w:sz w:val="20"/>
                <w:szCs w:val="20"/>
                <w:color w:val="auto"/>
              </w:rPr>
            </w:pPr>
            <w:r>
              <w:rPr>
                <w:rFonts w:ascii="Arial" w:cs="Arial" w:eastAsia="Arial" w:hAnsi="Arial"/>
                <w:sz w:val="13"/>
                <w:szCs w:val="13"/>
                <w:color w:val="auto"/>
              </w:rPr>
              <w:t>16.3(A)</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 2009</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12.6</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4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(4.5)(B)</w:t>
            </w:r>
          </w:p>
        </w:tc>
        <w:tc>
          <w:tcPr>
            <w:tcW w:w="96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57"/>
        </w:trPr>
        <w:tc>
          <w:tcPr>
            <w:tcW w:w="4760" w:type="dxa"/>
            <w:vAlign w:val="bottom"/>
          </w:tcPr>
          <w:p>
            <w:pPr>
              <w:spacing w:after="0"/>
              <w:rPr>
                <w:sz w:val="20"/>
                <w:szCs w:val="20"/>
                <w:color w:val="auto"/>
              </w:rPr>
            </w:pPr>
            <w:r>
              <w:rPr>
                <w:rFonts w:ascii="Arial" w:cs="Arial" w:eastAsia="Arial" w:hAnsi="Arial"/>
                <w:sz w:val="13"/>
                <w:szCs w:val="13"/>
                <w:color w:val="auto"/>
              </w:rPr>
              <w:t>Year ended June 27, 2008</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8.5</w:t>
            </w:r>
          </w:p>
        </w:tc>
        <w:tc>
          <w:tcPr>
            <w:tcW w:w="28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4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Arial" w:cs="Arial" w:eastAsia="Arial" w:hAnsi="Arial"/>
                <w:sz w:val="13"/>
                <w:szCs w:val="13"/>
                <w:color w:val="auto"/>
              </w:rPr>
              <w:t>(0.4)(C)</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 valuation allowance(D):</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60" w:type="dxa"/>
            <w:vAlign w:val="bottom"/>
          </w:tcPr>
          <w:p>
            <w:pPr>
              <w:spacing w:after="0"/>
              <w:rPr>
                <w:sz w:val="20"/>
                <w:szCs w:val="20"/>
                <w:color w:val="auto"/>
              </w:rPr>
            </w:pPr>
            <w:r>
              <w:rPr>
                <w:rFonts w:ascii="Arial" w:cs="Arial" w:eastAsia="Arial" w:hAnsi="Arial"/>
                <w:sz w:val="13"/>
                <w:szCs w:val="13"/>
                <w:color w:val="auto"/>
              </w:rPr>
              <w:t>Year ended July 2, 2010</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168.9</w:t>
            </w:r>
          </w:p>
        </w:tc>
        <w:tc>
          <w:tcPr>
            <w:tcW w:w="28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4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183.4</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 2009</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3"/>
                <w:szCs w:val="13"/>
                <w:color w:val="auto"/>
              </w:rPr>
              <w:t>116.9</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50.8</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1.2(E)</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168.9</w:t>
            </w:r>
          </w:p>
        </w:tc>
        <w:tc>
          <w:tcPr>
            <w:tcW w:w="0" w:type="dxa"/>
            <w:vAlign w:val="bottom"/>
          </w:tcPr>
          <w:p>
            <w:pPr>
              <w:spacing w:after="0"/>
              <w:rPr>
                <w:sz w:val="1"/>
                <w:szCs w:val="1"/>
                <w:color w:val="auto"/>
              </w:rPr>
            </w:pPr>
          </w:p>
        </w:tc>
      </w:tr>
      <w:tr>
        <w:trPr>
          <w:trHeight w:val="165"/>
        </w:trPr>
        <w:tc>
          <w:tcPr>
            <w:tcW w:w="4760" w:type="dxa"/>
            <w:vAlign w:val="bottom"/>
          </w:tcPr>
          <w:p>
            <w:pPr>
              <w:spacing w:after="0"/>
              <w:rPr>
                <w:sz w:val="20"/>
                <w:szCs w:val="20"/>
                <w:color w:val="auto"/>
              </w:rPr>
            </w:pPr>
            <w:r>
              <w:rPr>
                <w:rFonts w:ascii="Arial" w:cs="Arial" w:eastAsia="Arial" w:hAnsi="Arial"/>
                <w:sz w:val="13"/>
                <w:szCs w:val="13"/>
                <w:color w:val="auto"/>
              </w:rPr>
              <w:t>Year ended June 27, 2008</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96.9</w:t>
            </w:r>
          </w:p>
        </w:tc>
        <w:tc>
          <w:tcPr>
            <w:tcW w:w="28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3"/>
                <w:szCs w:val="13"/>
                <w:color w:val="auto"/>
              </w:rPr>
              <w:t>15.6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61"/>
              <w:spacing w:after="0"/>
              <w:rPr>
                <w:sz w:val="20"/>
                <w:szCs w:val="20"/>
                <w:color w:val="auto"/>
              </w:rPr>
            </w:pPr>
            <w:r>
              <w:rPr>
                <w:rFonts w:ascii="Arial" w:cs="Arial" w:eastAsia="Arial" w:hAnsi="Arial"/>
                <w:sz w:val="13"/>
                <w:szCs w:val="13"/>
                <w:color w:val="auto"/>
              </w:rPr>
              <w:t>4.4(E)</w:t>
            </w:r>
          </w:p>
        </w:tc>
        <w:tc>
          <w:tcPr>
            <w:tcW w:w="28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9"/>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40" w:type="dxa"/>
            <w:vAlign w:val="bottom"/>
          </w:tcPr>
          <w:p>
            <w:pPr>
              <w:ind w:left="680"/>
              <w:spacing w:after="0"/>
              <w:rPr>
                <w:sz w:val="20"/>
                <w:szCs w:val="20"/>
                <w:color w:val="auto"/>
              </w:rPr>
            </w:pPr>
            <w:r>
              <w:rPr>
                <w:rFonts w:ascii="Arial" w:cs="Arial" w:eastAsia="Arial" w:hAnsi="Arial"/>
                <w:sz w:val="13"/>
                <w:szCs w:val="13"/>
                <w:color w:val="auto"/>
              </w:rPr>
              <w:t>Note A</w:t>
            </w:r>
          </w:p>
        </w:tc>
        <w:tc>
          <w:tcPr>
            <w:tcW w:w="10120" w:type="dxa"/>
            <w:vAlign w:val="bottom"/>
          </w:tcPr>
          <w:p>
            <w:pPr>
              <w:ind w:left="260"/>
              <w:spacing w:after="0"/>
              <w:rPr>
                <w:sz w:val="20"/>
                <w:szCs w:val="20"/>
                <w:color w:val="auto"/>
              </w:rPr>
            </w:pPr>
            <w:r>
              <w:rPr>
                <w:rFonts w:ascii="Arial" w:cs="Arial" w:eastAsia="Arial" w:hAnsi="Arial"/>
                <w:sz w:val="13"/>
                <w:szCs w:val="13"/>
                <w:color w:val="auto"/>
              </w:rPr>
              <w:t>Consists of changes to allowance for collection losses of $16.3 million for uncollectible accounts charged off, net of recoveries on accounts previously charged off.</w:t>
            </w:r>
          </w:p>
        </w:tc>
      </w:tr>
      <w:tr>
        <w:trPr>
          <w:trHeight w:val="189"/>
        </w:trPr>
        <w:tc>
          <w:tcPr>
            <w:tcW w:w="1340" w:type="dxa"/>
            <w:vAlign w:val="bottom"/>
          </w:tcPr>
          <w:p>
            <w:pPr>
              <w:ind w:left="680"/>
              <w:spacing w:after="0"/>
              <w:rPr>
                <w:sz w:val="20"/>
                <w:szCs w:val="20"/>
                <w:color w:val="auto"/>
              </w:rPr>
            </w:pPr>
            <w:r>
              <w:rPr>
                <w:rFonts w:ascii="Arial" w:cs="Arial" w:eastAsia="Arial" w:hAnsi="Arial"/>
                <w:sz w:val="13"/>
                <w:szCs w:val="13"/>
                <w:color w:val="auto"/>
              </w:rPr>
              <w:t>Note B</w:t>
            </w:r>
          </w:p>
        </w:tc>
        <w:tc>
          <w:tcPr>
            <w:tcW w:w="10120" w:type="dxa"/>
            <w:vAlign w:val="bottom"/>
          </w:tcPr>
          <w:p>
            <w:pPr>
              <w:ind w:left="260"/>
              <w:spacing w:after="0"/>
              <w:rPr>
                <w:sz w:val="20"/>
                <w:szCs w:val="20"/>
                <w:color w:val="auto"/>
              </w:rPr>
            </w:pPr>
            <w:r>
              <w:rPr>
                <w:rFonts w:ascii="Arial" w:cs="Arial" w:eastAsia="Arial" w:hAnsi="Arial"/>
                <w:sz w:val="13"/>
                <w:szCs w:val="13"/>
                <w:color w:val="auto"/>
              </w:rPr>
              <w:t>Consists of changes to allowance for collection losses of $0.1 million for foreign currency translation losses, $6.4 million in additions from the acquisition of Telsima and</w:t>
            </w:r>
          </w:p>
        </w:tc>
      </w:tr>
      <w:tr>
        <w:trPr>
          <w:trHeight w:val="165"/>
        </w:trPr>
        <w:tc>
          <w:tcPr>
            <w:tcW w:w="1340" w:type="dxa"/>
            <w:vAlign w:val="bottom"/>
          </w:tcPr>
          <w:p>
            <w:pPr>
              <w:spacing w:after="0"/>
              <w:rPr>
                <w:sz w:val="14"/>
                <w:szCs w:val="14"/>
                <w:color w:val="auto"/>
              </w:rPr>
            </w:pPr>
          </w:p>
        </w:tc>
        <w:tc>
          <w:tcPr>
            <w:tcW w:w="10120" w:type="dxa"/>
            <w:vAlign w:val="bottom"/>
          </w:tcPr>
          <w:p>
            <w:pPr>
              <w:ind w:left="260"/>
              <w:spacing w:after="0"/>
              <w:rPr>
                <w:sz w:val="20"/>
                <w:szCs w:val="20"/>
                <w:color w:val="auto"/>
              </w:rPr>
            </w:pPr>
            <w:r>
              <w:rPr>
                <w:rFonts w:ascii="Arial" w:cs="Arial" w:eastAsia="Arial" w:hAnsi="Arial"/>
                <w:sz w:val="13"/>
                <w:szCs w:val="13"/>
                <w:color w:val="auto"/>
              </w:rPr>
              <w:t>$1.8 million for uncollectible accounts charged off, net of recoveries on accounts previously charged off.</w:t>
            </w:r>
          </w:p>
        </w:tc>
      </w:tr>
      <w:tr>
        <w:trPr>
          <w:trHeight w:val="189"/>
        </w:trPr>
        <w:tc>
          <w:tcPr>
            <w:tcW w:w="1340" w:type="dxa"/>
            <w:vAlign w:val="bottom"/>
          </w:tcPr>
          <w:p>
            <w:pPr>
              <w:ind w:left="680"/>
              <w:spacing w:after="0"/>
              <w:rPr>
                <w:sz w:val="20"/>
                <w:szCs w:val="20"/>
                <w:color w:val="auto"/>
              </w:rPr>
            </w:pPr>
            <w:r>
              <w:rPr>
                <w:rFonts w:ascii="Arial" w:cs="Arial" w:eastAsia="Arial" w:hAnsi="Arial"/>
                <w:sz w:val="13"/>
                <w:szCs w:val="13"/>
                <w:color w:val="auto"/>
              </w:rPr>
              <w:t>Note C</w:t>
            </w:r>
          </w:p>
        </w:tc>
        <w:tc>
          <w:tcPr>
            <w:tcW w:w="10120" w:type="dxa"/>
            <w:vAlign w:val="bottom"/>
          </w:tcPr>
          <w:p>
            <w:pPr>
              <w:ind w:left="260"/>
              <w:spacing w:after="0"/>
              <w:rPr>
                <w:sz w:val="20"/>
                <w:szCs w:val="20"/>
                <w:color w:val="auto"/>
              </w:rPr>
            </w:pPr>
            <w:r>
              <w:rPr>
                <w:rFonts w:ascii="Arial" w:cs="Arial" w:eastAsia="Arial" w:hAnsi="Arial"/>
                <w:sz w:val="13"/>
                <w:szCs w:val="13"/>
                <w:color w:val="auto"/>
              </w:rPr>
              <w:t>Consists of additions to allowance for collection losses of $0.5 million for foreign currency translation gains and $0.1 million for uncollectible accounts charged off, net of</w:t>
            </w:r>
          </w:p>
        </w:tc>
      </w:tr>
      <w:tr>
        <w:trPr>
          <w:trHeight w:val="165"/>
        </w:trPr>
        <w:tc>
          <w:tcPr>
            <w:tcW w:w="1340" w:type="dxa"/>
            <w:vAlign w:val="bottom"/>
          </w:tcPr>
          <w:p>
            <w:pPr>
              <w:spacing w:after="0"/>
              <w:rPr>
                <w:sz w:val="14"/>
                <w:szCs w:val="14"/>
                <w:color w:val="auto"/>
              </w:rPr>
            </w:pPr>
          </w:p>
        </w:tc>
        <w:tc>
          <w:tcPr>
            <w:tcW w:w="10120" w:type="dxa"/>
            <w:vAlign w:val="bottom"/>
          </w:tcPr>
          <w:p>
            <w:pPr>
              <w:ind w:left="260"/>
              <w:spacing w:after="0"/>
              <w:rPr>
                <w:sz w:val="20"/>
                <w:szCs w:val="20"/>
                <w:color w:val="auto"/>
              </w:rPr>
            </w:pPr>
            <w:r>
              <w:rPr>
                <w:rFonts w:ascii="Arial" w:cs="Arial" w:eastAsia="Arial" w:hAnsi="Arial"/>
                <w:sz w:val="13"/>
                <w:szCs w:val="13"/>
                <w:color w:val="auto"/>
              </w:rPr>
              <w:t>recoveries on accounts previously charged off.</w:t>
            </w:r>
          </w:p>
        </w:tc>
      </w:tr>
      <w:tr>
        <w:trPr>
          <w:trHeight w:val="197"/>
        </w:trPr>
        <w:tc>
          <w:tcPr>
            <w:tcW w:w="1340" w:type="dxa"/>
            <w:vAlign w:val="bottom"/>
          </w:tcPr>
          <w:p>
            <w:pPr>
              <w:ind w:left="680"/>
              <w:spacing w:after="0"/>
              <w:rPr>
                <w:sz w:val="20"/>
                <w:szCs w:val="20"/>
                <w:color w:val="auto"/>
              </w:rPr>
            </w:pPr>
            <w:r>
              <w:rPr>
                <w:rFonts w:ascii="Arial" w:cs="Arial" w:eastAsia="Arial" w:hAnsi="Arial"/>
                <w:sz w:val="13"/>
                <w:szCs w:val="13"/>
                <w:color w:val="auto"/>
              </w:rPr>
              <w:t>Note D</w:t>
            </w:r>
          </w:p>
        </w:tc>
        <w:tc>
          <w:tcPr>
            <w:tcW w:w="10120" w:type="dxa"/>
            <w:vAlign w:val="bottom"/>
          </w:tcPr>
          <w:p>
            <w:pPr>
              <w:ind w:left="260"/>
              <w:spacing w:after="0"/>
              <w:rPr>
                <w:sz w:val="20"/>
                <w:szCs w:val="20"/>
                <w:color w:val="auto"/>
              </w:rPr>
            </w:pPr>
            <w:r>
              <w:rPr>
                <w:rFonts w:ascii="Arial" w:cs="Arial" w:eastAsia="Arial" w:hAnsi="Arial"/>
                <w:sz w:val="13"/>
                <w:szCs w:val="13"/>
                <w:color w:val="auto"/>
              </w:rPr>
              <w:t>Additions to deferred tax valuation allowance are recorded as expense.</w:t>
            </w:r>
          </w:p>
        </w:tc>
      </w:tr>
      <w:tr>
        <w:trPr>
          <w:trHeight w:val="189"/>
        </w:trPr>
        <w:tc>
          <w:tcPr>
            <w:tcW w:w="1340" w:type="dxa"/>
            <w:vAlign w:val="bottom"/>
          </w:tcPr>
          <w:p>
            <w:pPr>
              <w:ind w:left="680"/>
              <w:spacing w:after="0"/>
              <w:rPr>
                <w:sz w:val="20"/>
                <w:szCs w:val="20"/>
                <w:color w:val="auto"/>
              </w:rPr>
            </w:pPr>
            <w:r>
              <w:rPr>
                <w:rFonts w:ascii="Arial" w:cs="Arial" w:eastAsia="Arial" w:hAnsi="Arial"/>
                <w:sz w:val="13"/>
                <w:szCs w:val="13"/>
                <w:color w:val="auto"/>
              </w:rPr>
              <w:t>Note E</w:t>
            </w:r>
          </w:p>
        </w:tc>
        <w:tc>
          <w:tcPr>
            <w:tcW w:w="10120" w:type="dxa"/>
            <w:vAlign w:val="bottom"/>
          </w:tcPr>
          <w:p>
            <w:pPr>
              <w:ind w:left="260"/>
              <w:spacing w:after="0"/>
              <w:rPr>
                <w:sz w:val="20"/>
                <w:szCs w:val="20"/>
                <w:color w:val="auto"/>
              </w:rPr>
            </w:pPr>
            <w:r>
              <w:rPr>
                <w:rFonts w:ascii="Arial" w:cs="Arial" w:eastAsia="Arial" w:hAnsi="Arial"/>
                <w:sz w:val="13"/>
                <w:szCs w:val="13"/>
                <w:color w:val="auto"/>
                <w:w w:val="98"/>
              </w:rPr>
              <w:t>Deferred tax asset recorded as an adjustment to goodwill and identified intangible assets under purchase accounting and reclass of Harris Corporation Intercompany deferred</w:t>
            </w:r>
          </w:p>
        </w:tc>
      </w:tr>
      <w:tr>
        <w:trPr>
          <w:trHeight w:val="165"/>
        </w:trPr>
        <w:tc>
          <w:tcPr>
            <w:tcW w:w="1340" w:type="dxa"/>
            <w:vAlign w:val="bottom"/>
          </w:tcPr>
          <w:p>
            <w:pPr>
              <w:spacing w:after="0"/>
              <w:rPr>
                <w:sz w:val="14"/>
                <w:szCs w:val="14"/>
                <w:color w:val="auto"/>
              </w:rPr>
            </w:pPr>
          </w:p>
        </w:tc>
        <w:tc>
          <w:tcPr>
            <w:tcW w:w="10120" w:type="dxa"/>
            <w:vAlign w:val="bottom"/>
          </w:tcPr>
          <w:p>
            <w:pPr>
              <w:ind w:left="260"/>
              <w:spacing w:after="0"/>
              <w:rPr>
                <w:sz w:val="20"/>
                <w:szCs w:val="20"/>
                <w:color w:val="auto"/>
              </w:rPr>
            </w:pPr>
            <w:r>
              <w:rPr>
                <w:rFonts w:ascii="Arial" w:cs="Arial" w:eastAsia="Arial" w:hAnsi="Arial"/>
                <w:sz w:val="13"/>
                <w:szCs w:val="13"/>
                <w:color w:val="auto"/>
              </w:rPr>
              <w:t>tax assets.</w:t>
            </w:r>
          </w:p>
        </w:tc>
      </w:tr>
      <w:tr>
        <w:trPr>
          <w:trHeight w:val="442"/>
        </w:trPr>
        <w:tc>
          <w:tcPr>
            <w:tcW w:w="1340" w:type="dxa"/>
            <w:vAlign w:val="bottom"/>
          </w:tcPr>
          <w:p>
            <w:pPr>
              <w:spacing w:after="0"/>
              <w:rPr>
                <w:sz w:val="24"/>
                <w:szCs w:val="24"/>
                <w:color w:val="auto"/>
              </w:rPr>
            </w:pPr>
          </w:p>
        </w:tc>
        <w:tc>
          <w:tcPr>
            <w:tcW w:w="10120" w:type="dxa"/>
            <w:vAlign w:val="bottom"/>
          </w:tcPr>
          <w:p>
            <w:pPr>
              <w:ind w:left="4240"/>
              <w:spacing w:after="0"/>
              <w:rPr>
                <w:sz w:val="20"/>
                <w:szCs w:val="20"/>
                <w:color w:val="auto"/>
              </w:rPr>
            </w:pPr>
            <w:r>
              <w:rPr>
                <w:rFonts w:ascii="Arial" w:cs="Arial" w:eastAsia="Arial" w:hAnsi="Arial"/>
                <w:sz w:val="13"/>
                <w:szCs w:val="13"/>
                <w:color w:val="auto"/>
              </w:rPr>
              <w:t>109</w:t>
            </w:r>
          </w:p>
        </w:tc>
      </w:tr>
      <w:tr>
        <w:trPr>
          <w:trHeight w:val="163"/>
        </w:trPr>
        <w:tc>
          <w:tcPr>
            <w:tcW w:w="1340" w:type="dxa"/>
            <w:vAlign w:val="bottom"/>
            <w:tcBorders>
              <w:bottom w:val="single" w:sz="8" w:color="808080"/>
            </w:tcBorders>
          </w:tcPr>
          <w:p>
            <w:pPr>
              <w:spacing w:after="0"/>
              <w:rPr>
                <w:sz w:val="14"/>
                <w:szCs w:val="14"/>
                <w:color w:val="auto"/>
              </w:rPr>
            </w:pPr>
          </w:p>
        </w:tc>
        <w:tc>
          <w:tcPr>
            <w:tcW w:w="10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exhibits are filed herewith or are incorporated herein by reference to exhibits previously filed with the SEC:</w:t>
      </w:r>
    </w:p>
    <w:p>
      <w:pPr>
        <w:spacing w:after="0" w:line="98" w:lineRule="exact"/>
        <w:rPr>
          <w:sz w:val="20"/>
          <w:szCs w:val="20"/>
          <w:color w:val="auto"/>
        </w:rPr>
      </w:pPr>
    </w:p>
    <w:p>
      <w:pPr>
        <w:ind w:left="1040"/>
        <w:spacing w:after="0"/>
        <w:tabs>
          <w:tab w:leader="none" w:pos="6080" w:val="left"/>
        </w:tabs>
        <w:rPr>
          <w:sz w:val="20"/>
          <w:szCs w:val="20"/>
          <w:color w:val="auto"/>
        </w:rPr>
      </w:pPr>
      <w:r>
        <w:rPr>
          <w:rFonts w:ascii="Arial" w:cs="Arial" w:eastAsia="Arial" w:hAnsi="Arial"/>
          <w:sz w:val="10"/>
          <w:szCs w:val="10"/>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12700</wp:posOffset>
            </wp:positionV>
            <wp:extent cx="63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20" w:right="40" w:hanging="556"/>
        <w:spacing w:after="0" w:line="277" w:lineRule="auto"/>
        <w:tabs>
          <w:tab w:leader="none" w:pos="16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Amended and Restated Formation, Contribution and Merger Agreement, dated as of December 18, 2006, among Harris Corporation, Stratex Networks, Inc., Harris Stratex Networks, Inc. and Stratex Merger Corp. (incorporated by reference to Appendix A to the proxy statement/prospectus forming a part of the Registration Statement on Form S-4 of Harris Stratex Networks, Inc. filed with the Securities and Exchange Commission on January 3, 2007, File No. 333-137980)</w:t>
      </w:r>
    </w:p>
    <w:p>
      <w:pPr>
        <w:spacing w:after="0" w:line="1" w:lineRule="exact"/>
        <w:rPr>
          <w:sz w:val="20"/>
          <w:szCs w:val="20"/>
          <w:color w:val="auto"/>
        </w:rPr>
      </w:pPr>
    </w:p>
    <w:p>
      <w:pPr>
        <w:jc w:val="both"/>
        <w:ind w:left="1620" w:right="120" w:hanging="556"/>
        <w:spacing w:after="0" w:line="273" w:lineRule="auto"/>
        <w:tabs>
          <w:tab w:leader="none" w:pos="16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Letter Agreement, dated as of January 26, 2007, among Harris Corporation, Stratex Networks, Inc., Harris Stratex Networks, Inc. and Stratex Merger Corp. (incorporated by reference to Exhibit 2.1.1 to the Report on Form 8-K filed with the Securities and Exchange Commission on February 1, 2007, File No. 001-33278)</w:t>
      </w:r>
    </w:p>
    <w:p>
      <w:pPr>
        <w:spacing w:after="0" w:line="1" w:lineRule="exact"/>
        <w:rPr>
          <w:sz w:val="20"/>
          <w:szCs w:val="20"/>
          <w:color w:val="auto"/>
        </w:rPr>
      </w:pPr>
    </w:p>
    <w:p>
      <w:pPr>
        <w:jc w:val="both"/>
        <w:ind w:left="1620" w:right="120" w:hanging="556"/>
        <w:spacing w:after="0" w:line="252" w:lineRule="auto"/>
        <w:tabs>
          <w:tab w:leader="none" w:pos="16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Agreement and Plan of Merger by and among Harris Stratex Networks Operating Corporation, Eagle Networks Merger Corporation, Telsima Corporation and the Holder Representative dated as of February 27, 2009 (incorporated by reference to Exhibit 2.1 to the Report on Form 8-K filed with the Securities and Exchange Commission on March 6, 2009, File No. 001-33278)</w:t>
      </w:r>
    </w:p>
    <w:p>
      <w:pPr>
        <w:spacing w:after="0" w:line="1" w:lineRule="exact"/>
        <w:rPr>
          <w:sz w:val="20"/>
          <w:szCs w:val="20"/>
          <w:color w:val="auto"/>
        </w:rPr>
      </w:pPr>
    </w:p>
    <w:p>
      <w:pPr>
        <w:ind w:left="1620" w:right="220" w:hanging="556"/>
        <w:spacing w:after="0" w:line="298" w:lineRule="auto"/>
        <w:tabs>
          <w:tab w:leader="none" w:pos="16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 of Harris Stratex Networks, Inc. as filed with the Secretary of State of the State of Delaware on November 19, 2009 (incorporated by reference to Exhibit 3.1 to the Report on Form 8-K filed with the Securities and Exchange Commission on November 20, 2009, File No. 001-33278)</w:t>
      </w:r>
    </w:p>
    <w:p>
      <w:pPr>
        <w:ind w:left="1620" w:hanging="556"/>
        <w:spacing w:after="0" w:line="252" w:lineRule="auto"/>
        <w:tabs>
          <w:tab w:leader="none" w:pos="16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Harris Stratex Networks, Inc. (incorporated by reference to Exhibit 3.2 to the Report on Form 8-K filed with the Securities and Exchange Commission on November 20, 2009, File No. 001-33278)</w:t>
      </w:r>
    </w:p>
    <w:p>
      <w:pPr>
        <w:spacing w:after="0" w:line="1" w:lineRule="exact"/>
        <w:rPr>
          <w:sz w:val="20"/>
          <w:szCs w:val="20"/>
          <w:color w:val="auto"/>
        </w:rPr>
      </w:pPr>
    </w:p>
    <w:p>
      <w:pPr>
        <w:ind w:left="1620" w:hanging="556"/>
        <w:spacing w:after="0" w:line="252" w:lineRule="auto"/>
        <w:tabs>
          <w:tab w:leader="none" w:pos="16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Certificate of Ownership and Merger Merging Aviat Networks, Inc. into Harris Stratex Networks, Inc., effective January 27, 2010, as filed with the Secretary of State of the State of Delaware on January 27, 2010 (incorporated by reference to Exhibit 3.1 to the Report on Form 8-K filed with the Securities and Exchange Commission on January 28, 2010, File No. 001-33278)</w:t>
      </w:r>
    </w:p>
    <w:p>
      <w:pPr>
        <w:spacing w:after="0" w:line="1"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1"/>
          <w:szCs w:val="11"/>
          <w:color w:val="auto"/>
        </w:rPr>
        <w:t>Specimen common stock certificate, adopted as of January 29, 2010</w:t>
      </w:r>
    </w:p>
    <w:p>
      <w:pPr>
        <w:spacing w:after="0" w:line="8"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1060"/>
        <w:spacing w:after="0"/>
        <w:tabs>
          <w:tab w:leader="none" w:pos="16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1620" w:right="220" w:hanging="622"/>
        <w:spacing w:after="0" w:line="252" w:lineRule="auto"/>
        <w:tabs>
          <w:tab w:leader="none" w:pos="1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Non-Competition Agreement among Harris Stratex Networks, Inc., Harris Corporation and Stratex Networks, Inc. dated January 26, 2007 (incorporated by reference to Exhibit 10.2 to the Report on Form 8-K filed with the Securities and Exchange Commission on February 1, 2007, File No. 001-33278)</w:t>
      </w:r>
    </w:p>
    <w:p>
      <w:pPr>
        <w:spacing w:after="0" w:line="1" w:lineRule="exact"/>
        <w:rPr>
          <w:sz w:val="20"/>
          <w:szCs w:val="20"/>
          <w:color w:val="auto"/>
        </w:rPr>
      </w:pPr>
    </w:p>
    <w:p>
      <w:pPr>
        <w:ind w:left="1620" w:right="220" w:hanging="622"/>
        <w:spacing w:after="0" w:line="252" w:lineRule="auto"/>
        <w:tabs>
          <w:tab w:leader="none" w:pos="16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Intellectual Property Agreement between Harris Stratex Networks, Inc. and Harris Corporation dated January 26, 2007 (incorporated by reference to Exhibit 10.4 to the Report on Form 8-K filed with the Securities and Exchange Commission on February 1, 2007, File No. 001-33278)</w:t>
      </w:r>
    </w:p>
    <w:p>
      <w:pPr>
        <w:spacing w:after="0" w:line="1" w:lineRule="exact"/>
        <w:rPr>
          <w:sz w:val="20"/>
          <w:szCs w:val="20"/>
          <w:color w:val="auto"/>
        </w:rPr>
      </w:pPr>
    </w:p>
    <w:p>
      <w:pPr>
        <w:ind w:left="1620" w:right="380" w:hanging="622"/>
        <w:spacing w:after="0" w:line="252" w:lineRule="auto"/>
        <w:tabs>
          <w:tab w:leader="none" w:pos="16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Trademark and Trade Name License Agreement between Harris Stratex Networks, Inc. and Harris Corporation dated January 26, 2007 (incorporated by reference to Exhibit 10.5 to the Report on Form 8-K filed with the Securities and Exchange Commission on February 1, 2007, File No. 001-33278)</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Intentionally omitted.</w:t>
      </w:r>
    </w:p>
    <w:p>
      <w:pPr>
        <w:spacing w:after="0" w:line="8" w:lineRule="exact"/>
        <w:rPr>
          <w:sz w:val="20"/>
          <w:szCs w:val="20"/>
          <w:color w:val="auto"/>
        </w:rPr>
      </w:pPr>
    </w:p>
    <w:p>
      <w:pPr>
        <w:ind w:left="1620" w:right="280" w:hanging="622"/>
        <w:spacing w:after="0" w:line="252" w:lineRule="auto"/>
        <w:tabs>
          <w:tab w:leader="none" w:pos="16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Transition Services Agreement between Harris Stratex Networks, Inc. and Harris Corporation dated January 26, 2007 (incorporated by reference to Exhibit 10.7 to the Report on Form 8-K filed with the Securities and Exchange Commission on February 1, 2007, File No. 001-33278)</w:t>
      </w:r>
    </w:p>
    <w:p>
      <w:pPr>
        <w:spacing w:after="0" w:line="1" w:lineRule="exact"/>
        <w:rPr>
          <w:sz w:val="20"/>
          <w:szCs w:val="20"/>
          <w:color w:val="auto"/>
        </w:rPr>
      </w:pPr>
    </w:p>
    <w:p>
      <w:pPr>
        <w:ind w:left="1620" w:right="340" w:hanging="622"/>
        <w:spacing w:after="0" w:line="252" w:lineRule="auto"/>
        <w:tabs>
          <w:tab w:leader="none" w:pos="1600" w:val="left"/>
        </w:tabs>
        <w:rPr>
          <w:sz w:val="20"/>
          <w:szCs w:val="20"/>
          <w:color w:val="auto"/>
        </w:rPr>
      </w:pPr>
      <w:r>
        <w:rPr>
          <w:rFonts w:ascii="Arial" w:cs="Arial" w:eastAsia="Arial" w:hAnsi="Arial"/>
          <w:sz w:val="13"/>
          <w:szCs w:val="13"/>
          <w:color w:val="auto"/>
        </w:rPr>
        <w:t>10.6.1</w:t>
      </w:r>
      <w:r>
        <w:rPr>
          <w:sz w:val="20"/>
          <w:szCs w:val="20"/>
          <w:color w:val="auto"/>
        </w:rPr>
        <w:tab/>
      </w:r>
      <w:r>
        <w:rPr>
          <w:rFonts w:ascii="Arial" w:cs="Arial" w:eastAsia="Arial" w:hAnsi="Arial"/>
          <w:sz w:val="13"/>
          <w:szCs w:val="13"/>
          <w:color w:val="auto"/>
        </w:rPr>
        <w:t>Amendment to Transition Services Agreement between Harris Stratex Networks, Inc. and Harris Corporation dated December 12, 2008 (incorporated by reference to Exhibit 10.1 to the Company’s Quarterly Report on Form 10-Q for the fiscal quarter ended January 2, 2009 filed with the Securities and Exchange Commission on February 10, 2009, File No. 001-33278)</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Intentionally omitted.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Pr>
          <w:p>
            <w:pPr>
              <w:ind w:left="1060"/>
              <w:spacing w:after="0"/>
              <w:rPr>
                <w:sz w:val="20"/>
                <w:szCs w:val="20"/>
                <w:color w:val="auto"/>
              </w:rPr>
            </w:pPr>
            <w:r>
              <w:rPr>
                <w:rFonts w:ascii="Arial" w:cs="Arial" w:eastAsia="Arial" w:hAnsi="Arial"/>
                <w:sz w:val="10"/>
                <w:szCs w:val="10"/>
                <w:b w:val="1"/>
                <w:bCs w:val="1"/>
                <w:color w:val="auto"/>
              </w:rPr>
              <w:t>Ex. #</w:t>
            </w:r>
          </w:p>
        </w:tc>
        <w:tc>
          <w:tcPr>
            <w:tcW w:w="4580" w:type="dxa"/>
            <w:vAlign w:val="bottom"/>
          </w:tcPr>
          <w:p>
            <w:pPr>
              <w:spacing w:after="0"/>
              <w:rPr>
                <w:sz w:val="11"/>
                <w:szCs w:val="11"/>
                <w:color w:val="auto"/>
              </w:rPr>
            </w:pPr>
          </w:p>
        </w:tc>
        <w:tc>
          <w:tcPr>
            <w:tcW w:w="53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5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78"/>
        </w:trPr>
        <w:tc>
          <w:tcPr>
            <w:tcW w:w="1540" w:type="dxa"/>
            <w:vAlign w:val="bottom"/>
          </w:tcPr>
          <w:p>
            <w:pPr>
              <w:ind w:left="980"/>
              <w:spacing w:after="0"/>
              <w:rPr>
                <w:sz w:val="20"/>
                <w:szCs w:val="20"/>
                <w:color w:val="auto"/>
              </w:rPr>
            </w:pPr>
            <w:r>
              <w:rPr>
                <w:rFonts w:ascii="Arial" w:cs="Arial" w:eastAsia="Arial" w:hAnsi="Arial"/>
                <w:sz w:val="13"/>
                <w:szCs w:val="13"/>
                <w:color w:val="auto"/>
              </w:rPr>
              <w:t>10.8</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w w:val="99"/>
              </w:rPr>
              <w:t>NetBoss Service Agreement between Harris Stratex Networks, Inc. and Harris Corporation dated January 26, 2007 (incorporated by reference to Exhibit 10.9 to the Report</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10.9</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10.10</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w w:val="99"/>
              </w:rPr>
              <w:t>Tax Sharing Agreement between Harris Stratex Networks, Inc. and Harris Corporation dated January 26, 2007 (incorporated by reference to Exhibit 10.11 to the Report on</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10.12*</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Employment Agreement, effective as of April 8, 2008, between Harris Stratex Networks, Inc. and Harald J. Braun (incorporated by reference to Exhibit 10.15.1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Company’s Quarterly Report on Form 10-Q for the quarter ended March 28, 2008 filed with the Securities and Exchange Commission on May 6, 2008, File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10.13*</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Restated Employment Agreement, dated as of May 14, 2002, by and between Stratex Networks, Inc. and Charles D. Kissner (incorporated by reference to Exhibit 10.7 to</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the Annual Report on Form 10-K of Stratex Networks, Inc. for the Fiscal Year Ended March 31, 2003 filed with the Securities and Exchange Commission on May 19,</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2003, File No. 000-15895)</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10.13.1*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Third Amendment to Employment Agreement, dated as of December 15, 2006, by and between Stratex Networks, Inc. and Charles D. Kissner (incorporated by reference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to Exhibit 10.29 to Amendment No. 2 to the Registration Statement on Form S-4 filed with the Securities and Exchange Commission on December 19, 2006, File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 333-137980)</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10.14*</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Standard Form of Executive Employment Agreement between Harris Stratex Networks, Inc. and certain executives (incorporated by reference to Exhibit 10.16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Report on Form 8-K filed with the Securities and Exchange Commission on February 1,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10.15</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Form of Indemnification Agreement between Harris Stratex Networks, Inc. and its directors and certain officers (incorporated by reference to Exhibit 10.16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Registration Statement on Form S-1 of Stratex Networks, Inc., File No. 33-13431)</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10.16</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Sublicense Agreement, effective as of January 26, 2007, between Harris Stratex Networks, Inc. and Harris Stratex Networks Operating Corporation (incorporated by</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reference to Exhibit 10.22 to the Company’s Annual Report on Form 10-K for the fiscal year ended June 29, 2007 filed with the Securities and Exchange Commission on</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August 27, 2007,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10.17*</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Harris Stratex Networks, Inc. Annual Incentive Plan (incorporated by reference to Exhibit 10.17 to the Company’s Annual Report on Form 10-K for the fiscal year ended</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June 27, 2008 filed with the Securities and Exchange Commission on September 25, 2008,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10.18*</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Harris Stratex Networks, Inc. 2007 Stock Equity Plan (incorporated by reference to Exhibit 4.9 to the Registration Statement on Form S-8 filed with the Securities and</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Exchange Commission on February 5, 2007, File No. 333-140442)</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10.18.1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Harris Stratex Networks, Inc. 2007 Stock Equity Plan (As Amended and Restated Effective November 19, 2009) (incorporated by reference to Appendix B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Registrant’s Schedule 14A filed with the Securities and Exchange Commission on October 7, 2009, File 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10.19</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Credit Agreement between Harris Stratex Networks, Inc., Harris Stratex Networks Operating Corporation, Harris Stratex Networks(S) Pte. Ltd., Bank of America, N.A.,</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Silicon Valley Bank, Banc of America Securities Asia Limited and Banc of America Securities LLC, dated June 30, 2008 (incorporated by reference to Exhibit 10.19 to the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Company’s Annual Report on Form 10-K for the fiscal year ended June 27, 2008 filed with the Securities and Exchange Commission on September 25, 2008, File</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No. 001-33278)</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10.19.1</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Amendment No. 1 to Credit Agreement between Aviat Networks, Inc., Aviat U.S., Inc., Aviat Networks(S) Pte. Ltd., Bank of America, N.A., Bank of America, N.A. Hong</w:t>
            </w:r>
          </w:p>
        </w:tc>
      </w:tr>
      <w:tr>
        <w:trPr>
          <w:trHeight w:val="157"/>
        </w:trPr>
        <w:tc>
          <w:tcPr>
            <w:tcW w:w="1540" w:type="dxa"/>
            <w:vAlign w:val="bottom"/>
          </w:tcPr>
          <w:p>
            <w:pPr>
              <w:spacing w:after="0"/>
              <w:rPr>
                <w:sz w:val="13"/>
                <w:szCs w:val="13"/>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Kong Branch, and Silicon Valley Bank, dated August 23, 2010</w:t>
            </w:r>
          </w:p>
        </w:tc>
      </w:tr>
      <w:tr>
        <w:trPr>
          <w:trHeight w:val="157"/>
        </w:trPr>
        <w:tc>
          <w:tcPr>
            <w:tcW w:w="1540" w:type="dxa"/>
            <w:vAlign w:val="bottom"/>
          </w:tcPr>
          <w:p>
            <w:pPr>
              <w:ind w:left="980"/>
              <w:spacing w:after="0"/>
              <w:rPr>
                <w:sz w:val="20"/>
                <w:szCs w:val="20"/>
                <w:color w:val="auto"/>
              </w:rPr>
            </w:pPr>
            <w:r>
              <w:rPr>
                <w:rFonts w:ascii="Arial" w:cs="Arial" w:eastAsia="Arial" w:hAnsi="Arial"/>
                <w:sz w:val="13"/>
                <w:szCs w:val="13"/>
                <w:color w:val="auto"/>
              </w:rPr>
              <w:t>10.20</w:t>
            </w: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Amended and Restated Loan and Security Agreement between Stratex Networks, Inc. and Silicon Valley Bank, dated January 21, 2004 (incorporated by reference to</w:t>
            </w:r>
          </w:p>
        </w:tc>
      </w:tr>
      <w:tr>
        <w:trPr>
          <w:trHeight w:val="165"/>
        </w:trPr>
        <w:tc>
          <w:tcPr>
            <w:tcW w:w="1540" w:type="dxa"/>
            <w:vAlign w:val="bottom"/>
          </w:tcPr>
          <w:p>
            <w:pPr>
              <w:spacing w:after="0"/>
              <w:rPr>
                <w:sz w:val="14"/>
                <w:szCs w:val="14"/>
                <w:color w:val="auto"/>
              </w:rPr>
            </w:pPr>
          </w:p>
        </w:tc>
        <w:tc>
          <w:tcPr>
            <w:tcW w:w="9920" w:type="dxa"/>
            <w:vAlign w:val="bottom"/>
            <w:gridSpan w:val="3"/>
          </w:tcPr>
          <w:p>
            <w:pPr>
              <w:ind w:left="120"/>
              <w:spacing w:after="0"/>
              <w:rPr>
                <w:sz w:val="20"/>
                <w:szCs w:val="20"/>
                <w:color w:val="auto"/>
              </w:rPr>
            </w:pPr>
            <w:r>
              <w:rPr>
                <w:rFonts w:ascii="Arial" w:cs="Arial" w:eastAsia="Arial" w:hAnsi="Arial"/>
                <w:sz w:val="13"/>
                <w:szCs w:val="13"/>
                <w:color w:val="auto"/>
              </w:rPr>
              <w:t>Exhibit 10.1 to the Report on Form 8-K of Stratex Networks, Inc. on January 22, 2004, File No. 000-15895)</w:t>
            </w:r>
          </w:p>
        </w:tc>
      </w:tr>
      <w:tr>
        <w:trPr>
          <w:trHeight w:val="295"/>
        </w:trPr>
        <w:tc>
          <w:tcPr>
            <w:tcW w:w="1540" w:type="dxa"/>
            <w:vAlign w:val="bottom"/>
          </w:tcPr>
          <w:p>
            <w:pPr>
              <w:spacing w:after="0"/>
              <w:rPr>
                <w:sz w:val="24"/>
                <w:szCs w:val="24"/>
                <w:color w:val="auto"/>
              </w:rPr>
            </w:pPr>
          </w:p>
        </w:tc>
        <w:tc>
          <w:tcPr>
            <w:tcW w:w="4580" w:type="dxa"/>
            <w:vAlign w:val="bottom"/>
          </w:tcPr>
          <w:p>
            <w:pPr>
              <w:ind w:left="4040"/>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3"/>
        </w:trPr>
        <w:tc>
          <w:tcPr>
            <w:tcW w:w="154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-3928745</wp:posOffset>
            </wp:positionV>
            <wp:extent cx="63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135"/>
        </w:trPr>
        <w:tc>
          <w:tcPr>
            <w:tcW w:w="560" w:type="dxa"/>
            <w:vAlign w:val="bottom"/>
          </w:tcPr>
          <w:p>
            <w:pPr>
              <w:ind w:left="80"/>
              <w:spacing w:after="0"/>
              <w:rPr>
                <w:sz w:val="20"/>
                <w:szCs w:val="20"/>
                <w:color w:val="auto"/>
              </w:rPr>
            </w:pPr>
            <w:r>
              <w:rPr>
                <w:rFonts w:ascii="Arial" w:cs="Arial" w:eastAsia="Arial" w:hAnsi="Arial"/>
                <w:sz w:val="10"/>
                <w:szCs w:val="10"/>
                <w:b w:val="1"/>
                <w:bCs w:val="1"/>
                <w:color w:val="auto"/>
              </w:rPr>
              <w:t>Ex. #</w:t>
            </w:r>
          </w:p>
        </w:tc>
        <w:tc>
          <w:tcPr>
            <w:tcW w:w="4580" w:type="dxa"/>
            <w:vAlign w:val="bottom"/>
          </w:tcPr>
          <w:p>
            <w:pPr>
              <w:spacing w:after="0"/>
              <w:rPr>
                <w:sz w:val="11"/>
                <w:szCs w:val="11"/>
                <w:color w:val="auto"/>
              </w:rPr>
            </w:pPr>
          </w:p>
        </w:tc>
        <w:tc>
          <w:tcPr>
            <w:tcW w:w="45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78"/>
        </w:trPr>
        <w:tc>
          <w:tcPr>
            <w:tcW w:w="560" w:type="dxa"/>
            <w:vAlign w:val="bottom"/>
          </w:tcPr>
          <w:p>
            <w:pPr>
              <w:spacing w:after="0"/>
              <w:rPr>
                <w:sz w:val="20"/>
                <w:szCs w:val="20"/>
                <w:color w:val="auto"/>
              </w:rPr>
            </w:pPr>
            <w:r>
              <w:rPr>
                <w:rFonts w:ascii="Arial" w:cs="Arial" w:eastAsia="Arial" w:hAnsi="Arial"/>
                <w:sz w:val="13"/>
                <w:szCs w:val="13"/>
                <w:color w:val="auto"/>
              </w:rPr>
              <w:t>10.20.1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2"/>
              </w:rPr>
              <w:t>Amendment No. 5 to Amended and Restated Loan and Security Agreement between Harris Stratex Networks Operating Corporation, a wholly owned subsidiary of Harris</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2"/>
              </w:rPr>
              <w:t>Stratex Networks, Inc. and the successor to Stratex Networks, Inc. and Silicon Valley Bank, dated February 23, 2007 (incorporated herein by reference to Exhibit 10.28.5</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5"/>
              </w:rPr>
              <w:t>to the Company’s Annual Report on Form 10-K for the fiscal year ended June 29, 2007 filed with the Securities and Exchange Commission on August 27, 2007, File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Intentionally omitted.</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10.22*</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3"/>
              </w:rPr>
              <w:t>Employment Agreement, effective as of May 4, 2009, between Harris Stratex Networks, Inc. and Thomas L. Cronan III (incorporated by reference to Exhibit 10.1 to the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Report on Form 8-K filed with the Securities and Exchange Commission on May 5, 2009,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10.23*</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7"/>
              </w:rPr>
              <w:t>Employment Agreement, dated as of April 1, 2006, between Harris Stratex Networks, Inc. and Heinz Stumpe (incorporation by reference to Exhibit 10.15.2 to the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7"/>
              </w:rPr>
              <w:t>Company’s Quarterly Report on Form 10-Q for the fiscal quarter ended March 30, 2007 filed with the Securities and Exchange Commission on May 8, 2007, File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10.24*</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2"/>
              </w:rPr>
              <w:t>Employment Agreement, dated as of May 14, 2002, between Stratex Networks, Inc. and Paul Kennard (incorporated by reference to Exhibit 10.1 to the Stratex Networks,</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1"/>
              </w:rPr>
              <w:t>Inc. Quarterly Report on Form 10-Q for the fiscal quarter ended June 30, 2006 filed with the Securities and Exchange Commission on August 9, 2006, File No. 000-15895)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10.24.1*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7"/>
              </w:rPr>
              <w:t>Amendment A, effective as of April 1, 2006, to Employment Agreement, dated May 14, 2002, between Stratex Networks, Inc. and Paul Kennard (incorporated by</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3"/>
              </w:rPr>
              <w:t>reference to Exhibit 10.2 to the Stratex Networks, Inc. Quarterly Report on Form 10-Q for the fiscal quarter ended June 30, 2006 filed with the Securities and Exchange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Commission on August 9, 2006, File No. 000-15895)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10.24.2*</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7"/>
              </w:rPr>
              <w:t>Amendment B, effective as of April 1, 2006, to Employment Agreement, dated May 14, 2002, between Stratex Networks, Inc. and Paul Kennard (incorporated by</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3"/>
              </w:rPr>
              <w:t>reference to Exhibit 10.3 to the Stratex Networks, Inc. Quarterly Report on Form 10-Q for the fiscal quarter ended June 30, 2006 filed with the Securities and Exchange</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Commission on August 9, 2006, File No. 000-15895)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10.25*</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5"/>
              </w:rPr>
              <w:t>Employment Agreement, dated as of May 14, 2002, between Stratex Networks, Inc. and Shaun McFall (incorporated by reference to Exhibit 10.25 to the Company’s</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6"/>
              </w:rPr>
              <w:t>Annual Report on Form 10-K for the fiscal year ended July 3, 2009 filed with the Securities and Exchange Commission on September 4, 2009,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10.25.1*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4"/>
              </w:rPr>
              <w:t>Amendment, effective April 1, 2006, to Employment Agreement, dated May 14, 2002, between Stratex Networks, Inc. and Shaun McFall (incorporated by reference to</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2"/>
              </w:rPr>
              <w:t>Exhibit 10.25.1 to the Company’s Annual Report on Form 10-K for the fiscal year ended July 3, 2009 filed with the Securities and Exchange Commission on September 4,</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2009,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10.26</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w w:val="92"/>
              </w:rPr>
              <w:t>Employment Agreement, dated June 28, 2010, between Aviat Networks, Inc. and Charles D. Kissner (incorporated by reference to Exhibit 10.1 to the Report on Form 8-K</w:t>
            </w:r>
          </w:p>
        </w:tc>
      </w:tr>
      <w:tr>
        <w:trPr>
          <w:trHeight w:val="157"/>
        </w:trPr>
        <w:tc>
          <w:tcPr>
            <w:tcW w:w="560" w:type="dxa"/>
            <w:vAlign w:val="bottom"/>
          </w:tcPr>
          <w:p>
            <w:pPr>
              <w:spacing w:after="0"/>
              <w:rPr>
                <w:sz w:val="13"/>
                <w:szCs w:val="13"/>
                <w:color w:val="auto"/>
              </w:rPr>
            </w:pP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filed with the Securities and Exchange Commission on July 1, 2010, File No. 001-33278)</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List of Subsidiaries of Aviat Networks, Inc.</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23</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Consent of Independent Registered Public Accounting Firm</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Rule 13a-14(a)/15d-14(a) Certification of Chief Executive Officer.</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31.2</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Rule 13a-14(a)/15d-14(a) Certification of Chief Financial Officer.</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32.1</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Section 1350 Certification of Chief Executive Officer.</w:t>
            </w:r>
          </w:p>
        </w:tc>
      </w:tr>
      <w:tr>
        <w:trPr>
          <w:trHeight w:val="165"/>
        </w:trPr>
        <w:tc>
          <w:tcPr>
            <w:tcW w:w="560" w:type="dxa"/>
            <w:vAlign w:val="bottom"/>
          </w:tcPr>
          <w:p>
            <w:pPr>
              <w:spacing w:after="0"/>
              <w:rPr>
                <w:sz w:val="20"/>
                <w:szCs w:val="20"/>
                <w:color w:val="auto"/>
              </w:rPr>
            </w:pPr>
            <w:r>
              <w:rPr>
                <w:rFonts w:ascii="Arial" w:cs="Arial" w:eastAsia="Arial" w:hAnsi="Arial"/>
                <w:sz w:val="13"/>
                <w:szCs w:val="13"/>
                <w:color w:val="auto"/>
              </w:rPr>
              <w:t>32.2</w:t>
            </w:r>
          </w:p>
        </w:tc>
        <w:tc>
          <w:tcPr>
            <w:tcW w:w="9120" w:type="dxa"/>
            <w:vAlign w:val="bottom"/>
            <w:gridSpan w:val="3"/>
          </w:tcPr>
          <w:p>
            <w:pPr>
              <w:ind w:left="120"/>
              <w:spacing w:after="0"/>
              <w:rPr>
                <w:sz w:val="20"/>
                <w:szCs w:val="20"/>
                <w:color w:val="auto"/>
              </w:rPr>
            </w:pPr>
            <w:r>
              <w:rPr>
                <w:rFonts w:ascii="Arial" w:cs="Arial" w:eastAsia="Arial" w:hAnsi="Arial"/>
                <w:sz w:val="13"/>
                <w:szCs w:val="13"/>
                <w:color w:val="auto"/>
              </w:rPr>
              <w:t>Section 1350 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-3125470</wp:posOffset>
            </wp:positionV>
            <wp:extent cx="63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5580" w:right="3060" w:hanging="4893"/>
        <w:spacing w:after="0" w:line="482" w:lineRule="auto"/>
        <w:tabs>
          <w:tab w:leader="none" w:pos="892" w:val="left"/>
        </w:tabs>
        <w:numPr>
          <w:ilvl w:val="0"/>
          <w:numId w:val="52"/>
        </w:numPr>
        <w:rPr>
          <w:rFonts w:ascii="Arial" w:cs="Arial" w:eastAsia="Arial" w:hAnsi="Arial"/>
          <w:sz w:val="13"/>
          <w:szCs w:val="13"/>
          <w:color w:val="auto"/>
        </w:rPr>
      </w:pPr>
      <w:r>
        <w:rPr>
          <w:rFonts w:ascii="Arial" w:cs="Arial" w:eastAsia="Arial" w:hAnsi="Arial"/>
          <w:sz w:val="13"/>
          <w:szCs w:val="13"/>
          <w:color w:val="auto"/>
        </w:rPr>
        <w:t>Management compensatory contract, arrangement or plan required to be filed as an exhibit pursuant to Item 15(b) of this report. 112</w:t>
      </w:r>
    </w:p>
    <w:p>
      <w:pPr>
        <w:sectPr>
          <w:pgSz w:w="11900" w:h="16838" w:orient="portrait"/>
          <w:cols w:equalWidth="0" w:num="1">
            <w:col w:w="10660"/>
          </w:cols>
          <w:pgMar w:left="220" w:top="343" w:right="1019" w:bottom="1440" w:gutter="0" w:footer="0" w:header="0"/>
        </w:sectPr>
      </w:pPr>
    </w:p>
    <w:bookmarkStart w:id="114" w:name="page115"/>
    <w:bookmarkEnd w:id="114"/>
    <w:p>
      <w:pPr>
        <w:ind w:left="9540"/>
        <w:spacing w:after="0"/>
        <w:rPr>
          <w:sz w:val="20"/>
          <w:szCs w:val="20"/>
          <w:color w:val="auto"/>
        </w:rPr>
      </w:pPr>
      <w:r>
        <w:rPr>
          <w:rFonts w:ascii="Arial" w:cs="Arial" w:eastAsia="Arial" w:hAnsi="Arial"/>
          <w:sz w:val="11"/>
          <w:szCs w:val="11"/>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177165</wp:posOffset>
            </wp:positionV>
            <wp:extent cx="7290435" cy="52895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52895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1861820</wp:posOffset>
            </wp:positionH>
            <wp:positionV relativeFrom="page">
              <wp:posOffset>475615</wp:posOffset>
            </wp:positionV>
            <wp:extent cx="3838575" cy="5361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838575" cy="5361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10.19.1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CREDIT AGREEMENT</w:t>
      </w:r>
    </w:p>
    <w:p>
      <w:pPr>
        <w:spacing w:after="0" w:line="81" w:lineRule="exact"/>
        <w:rPr>
          <w:sz w:val="20"/>
          <w:szCs w:val="20"/>
          <w:color w:val="auto"/>
        </w:rPr>
      </w:pPr>
    </w:p>
    <w:p>
      <w:pPr>
        <w:ind w:right="300" w:firstLine="164"/>
        <w:spacing w:after="0" w:line="231" w:lineRule="auto"/>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MENDMENT</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w:t>
      </w:r>
      <w:r>
        <w:rPr>
          <w:rFonts w:ascii="Arial" w:cs="Arial" w:eastAsia="Arial" w:hAnsi="Arial"/>
          <w:sz w:val="13"/>
          <w:szCs w:val="13"/>
          <w:b w:val="1"/>
          <w:bCs w:val="1"/>
          <w:color w:val="auto"/>
        </w:rPr>
        <w:t xml:space="preserve">. 1 </w:t>
      </w:r>
      <w:r>
        <w:rPr>
          <w:rFonts w:ascii="Arial" w:cs="Arial" w:eastAsia="Arial" w:hAnsi="Arial"/>
          <w:sz w:val="8"/>
          <w:szCs w:val="8"/>
          <w:b w:val="1"/>
          <w:bCs w:val="1"/>
          <w:color w:val="auto"/>
        </w:rPr>
        <w:t>TO</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REDIT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t>
      </w:r>
      <w:r>
        <w:rPr>
          <w:rFonts w:ascii="Arial" w:cs="Arial" w:eastAsia="Arial" w:hAnsi="Arial"/>
          <w:sz w:val="13"/>
          <w:szCs w:val="13"/>
          <w:b w:val="1"/>
          <w:bCs w:val="1"/>
          <w:i w:val="1"/>
          <w:iCs w:val="1"/>
          <w:color w:val="auto"/>
        </w:rPr>
        <w:t>Amendment</w:t>
      </w:r>
      <w:r>
        <w:rPr>
          <w:rFonts w:ascii="Arial" w:cs="Arial" w:eastAsia="Arial" w:hAnsi="Arial"/>
          <w:sz w:val="13"/>
          <w:szCs w:val="13"/>
          <w:color w:val="auto"/>
        </w:rPr>
        <w:t>”) is entered into this 23</w:t>
      </w:r>
      <w:r>
        <w:rPr>
          <w:rFonts w:ascii="Arial" w:cs="Arial" w:eastAsia="Arial" w:hAnsi="Arial"/>
          <w:sz w:val="21"/>
          <w:szCs w:val="21"/>
          <w:color w:val="auto"/>
          <w:vertAlign w:val="superscript"/>
        </w:rPr>
        <w:t>rd</w:t>
      </w:r>
      <w:r>
        <w:rPr>
          <w:rFonts w:ascii="Arial" w:cs="Arial" w:eastAsia="Arial" w:hAnsi="Arial"/>
          <w:sz w:val="13"/>
          <w:szCs w:val="13"/>
          <w:b w:val="1"/>
          <w:bCs w:val="1"/>
          <w:color w:val="auto"/>
        </w:rPr>
        <w:t xml:space="preserve"> </w:t>
      </w:r>
      <w:r>
        <w:rPr>
          <w:rFonts w:ascii="Arial" w:cs="Arial" w:eastAsia="Arial" w:hAnsi="Arial"/>
          <w:sz w:val="13"/>
          <w:szCs w:val="13"/>
          <w:color w:val="auto"/>
        </w:rPr>
        <w:t>day of August, 2010, by and among</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VIAT</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ETWORKS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r>
        <w:rPr>
          <w:rFonts w:ascii="Arial" w:cs="Arial" w:eastAsia="Arial" w:hAnsi="Arial"/>
          <w:sz w:val="13"/>
          <w:szCs w:val="13"/>
          <w:color w:val="auto"/>
        </w:rPr>
        <w:t>, a Delaware corporation (“</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VIAT</w:t>
      </w:r>
      <w:r>
        <w:rPr>
          <w:rFonts w:ascii="Arial" w:cs="Arial" w:eastAsia="Arial" w:hAnsi="Arial"/>
          <w:sz w:val="13"/>
          <w:szCs w:val="13"/>
          <w:b w:val="1"/>
          <w:bCs w:val="1"/>
          <w:color w:val="auto"/>
        </w:rPr>
        <w:t xml:space="preserve"> U.S.,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r>
        <w:rPr>
          <w:rFonts w:ascii="Arial" w:cs="Arial" w:eastAsia="Arial" w:hAnsi="Arial"/>
          <w:sz w:val="13"/>
          <w:szCs w:val="13"/>
          <w:color w:val="auto"/>
        </w:rPr>
        <w:t>,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Delaware corporation, and </w:t>
      </w:r>
      <w:r>
        <w:rPr>
          <w:rFonts w:ascii="Arial" w:cs="Arial" w:eastAsia="Arial" w:hAnsi="Arial"/>
          <w:sz w:val="13"/>
          <w:szCs w:val="13"/>
          <w:b w:val="1"/>
          <w:bCs w:val="1"/>
          <w:color w:val="auto"/>
        </w:rPr>
        <w:t>A</w:t>
      </w:r>
      <w:r>
        <w:rPr>
          <w:rFonts w:ascii="Arial" w:cs="Arial" w:eastAsia="Arial" w:hAnsi="Arial"/>
          <w:sz w:val="8"/>
          <w:szCs w:val="8"/>
          <w:b w:val="1"/>
          <w:bCs w:val="1"/>
          <w:color w:val="auto"/>
        </w:rPr>
        <w:t>VIAT</w:t>
      </w:r>
      <w:r>
        <w:rPr>
          <w:rFonts w:ascii="Arial" w:cs="Arial" w:eastAsia="Arial" w:hAnsi="Arial"/>
          <w:sz w:val="13"/>
          <w:szCs w:val="13"/>
          <w:color w:val="auto"/>
        </w:rPr>
        <w:t xml:space="preserve"> </w:t>
      </w:r>
      <w:r>
        <w:rPr>
          <w:rFonts w:ascii="Arial" w:cs="Arial" w:eastAsia="Arial" w:hAnsi="Arial"/>
          <w:sz w:val="13"/>
          <w:szCs w:val="13"/>
          <w:b w:val="1"/>
          <w:bCs w:val="1"/>
          <w:color w:val="auto"/>
        </w:rPr>
        <w:t>N</w:t>
      </w:r>
      <w:r>
        <w:rPr>
          <w:rFonts w:ascii="Arial" w:cs="Arial" w:eastAsia="Arial" w:hAnsi="Arial"/>
          <w:sz w:val="8"/>
          <w:szCs w:val="8"/>
          <w:b w:val="1"/>
          <w:bCs w:val="1"/>
          <w:color w:val="auto"/>
        </w:rPr>
        <w:t>ETWORKS</w:t>
      </w:r>
      <w:r>
        <w:rPr>
          <w:rFonts w:ascii="Arial" w:cs="Arial" w:eastAsia="Arial" w:hAnsi="Arial"/>
          <w:sz w:val="13"/>
          <w:szCs w:val="13"/>
          <w:color w:val="auto"/>
        </w:rPr>
        <w:t xml:space="preserve"> </w:t>
      </w:r>
      <w:r>
        <w:rPr>
          <w:rFonts w:ascii="Arial" w:cs="Arial" w:eastAsia="Arial" w:hAnsi="Arial"/>
          <w:sz w:val="13"/>
          <w:szCs w:val="13"/>
          <w:b w:val="1"/>
          <w:bCs w:val="1"/>
          <w:color w:val="auto"/>
        </w:rPr>
        <w:t>(S) PTE. LTD</w:t>
      </w:r>
      <w:r>
        <w:rPr>
          <w:rFonts w:ascii="Arial" w:cs="Arial" w:eastAsia="Arial" w:hAnsi="Arial"/>
          <w:sz w:val="13"/>
          <w:szCs w:val="13"/>
          <w:color w:val="auto"/>
        </w:rPr>
        <w:t>., a company organized under the laws of Singapore (each, a “</w:t>
      </w:r>
      <w:r>
        <w:rPr>
          <w:rFonts w:ascii="Arial" w:cs="Arial" w:eastAsia="Arial" w:hAnsi="Arial"/>
          <w:sz w:val="13"/>
          <w:szCs w:val="13"/>
          <w:b w:val="1"/>
          <w:bCs w:val="1"/>
          <w:i w:val="1"/>
          <w:iCs w:val="1"/>
          <w:color w:val="auto"/>
        </w:rPr>
        <w:t>Borrower</w:t>
      </w:r>
      <w:r>
        <w:rPr>
          <w:rFonts w:ascii="Arial" w:cs="Arial" w:eastAsia="Arial" w:hAnsi="Arial"/>
          <w:sz w:val="13"/>
          <w:szCs w:val="13"/>
          <w:color w:val="auto"/>
        </w:rPr>
        <w:t xml:space="preserve">”), </w:t>
      </w:r>
      <w:r>
        <w:rPr>
          <w:rFonts w:ascii="Arial" w:cs="Arial" w:eastAsia="Arial" w:hAnsi="Arial"/>
          <w:sz w:val="13"/>
          <w:szCs w:val="13"/>
          <w:b w:val="1"/>
          <w:bCs w:val="1"/>
          <w:color w:val="auto"/>
        </w:rPr>
        <w:t>B</w:t>
      </w:r>
      <w:r>
        <w:rPr>
          <w:rFonts w:ascii="Arial" w:cs="Arial" w:eastAsia="Arial" w:hAnsi="Arial"/>
          <w:sz w:val="8"/>
          <w:szCs w:val="8"/>
          <w:b w:val="1"/>
          <w:bCs w:val="1"/>
          <w:color w:val="auto"/>
        </w:rPr>
        <w:t>ANK OF</w:t>
      </w:r>
      <w:r>
        <w:rPr>
          <w:rFonts w:ascii="Arial" w:cs="Arial" w:eastAsia="Arial" w:hAnsi="Arial"/>
          <w:sz w:val="13"/>
          <w:szCs w:val="13"/>
          <w:color w:val="auto"/>
        </w:rPr>
        <w:t xml:space="preserve"> </w:t>
      </w:r>
      <w:r>
        <w:rPr>
          <w:rFonts w:ascii="Arial" w:cs="Arial" w:eastAsia="Arial" w:hAnsi="Arial"/>
          <w:sz w:val="13"/>
          <w:szCs w:val="13"/>
          <w:b w:val="1"/>
          <w:bCs w:val="1"/>
          <w:color w:val="auto"/>
        </w:rPr>
        <w:t>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N.A.</w:t>
      </w:r>
      <w:r>
        <w:rPr>
          <w:rFonts w:ascii="Arial" w:cs="Arial" w:eastAsia="Arial" w:hAnsi="Arial"/>
          <w:sz w:val="13"/>
          <w:szCs w:val="13"/>
          <w:color w:val="auto"/>
        </w:rPr>
        <w:t xml:space="preserve">, as Administrative Agent (in such capacity, </w:t>
      </w:r>
      <w:r>
        <w:rPr>
          <w:rFonts w:ascii="Arial" w:cs="Arial" w:eastAsia="Arial" w:hAnsi="Arial"/>
          <w:sz w:val="13"/>
          <w:szCs w:val="13"/>
          <w:b w:val="1"/>
          <w:bCs w:val="1"/>
          <w:i w:val="1"/>
          <w:iCs w:val="1"/>
          <w:color w:val="auto"/>
        </w:rPr>
        <w:t>“Agent”</w:t>
      </w:r>
      <w:r>
        <w:rPr>
          <w:rFonts w:ascii="Arial" w:cs="Arial" w:eastAsia="Arial" w:hAnsi="Arial"/>
          <w:sz w:val="13"/>
          <w:szCs w:val="13"/>
          <w:color w:val="auto"/>
        </w:rPr>
        <w:t xml:space="preserve">), </w:t>
      </w:r>
      <w:r>
        <w:rPr>
          <w:rFonts w:ascii="Arial" w:cs="Arial" w:eastAsia="Arial" w:hAnsi="Arial"/>
          <w:sz w:val="13"/>
          <w:szCs w:val="13"/>
          <w:b w:val="1"/>
          <w:bCs w:val="1"/>
          <w:color w:val="auto"/>
        </w:rPr>
        <w:t>B</w:t>
      </w:r>
      <w:r>
        <w:rPr>
          <w:rFonts w:ascii="Arial" w:cs="Arial" w:eastAsia="Arial" w:hAnsi="Arial"/>
          <w:sz w:val="8"/>
          <w:szCs w:val="8"/>
          <w:b w:val="1"/>
          <w:bCs w:val="1"/>
          <w:color w:val="auto"/>
        </w:rPr>
        <w:t>ANK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N.A., H</w:t>
      </w:r>
      <w:r>
        <w:rPr>
          <w:rFonts w:ascii="Arial" w:cs="Arial" w:eastAsia="Arial" w:hAnsi="Arial"/>
          <w:sz w:val="8"/>
          <w:szCs w:val="8"/>
          <w:b w:val="1"/>
          <w:bCs w:val="1"/>
          <w:color w:val="auto"/>
        </w:rPr>
        <w:t>ONG</w:t>
      </w:r>
      <w:r>
        <w:rPr>
          <w:rFonts w:ascii="Arial" w:cs="Arial" w:eastAsia="Arial" w:hAnsi="Arial"/>
          <w:sz w:val="13"/>
          <w:szCs w:val="13"/>
          <w:b w:val="1"/>
          <w:bCs w:val="1"/>
          <w:color w:val="auto"/>
        </w:rPr>
        <w:t xml:space="preserve"> K</w:t>
      </w:r>
      <w:r>
        <w:rPr>
          <w:rFonts w:ascii="Arial" w:cs="Arial" w:eastAsia="Arial" w:hAnsi="Arial"/>
          <w:sz w:val="8"/>
          <w:szCs w:val="8"/>
          <w:b w:val="1"/>
          <w:bCs w:val="1"/>
          <w:color w:val="auto"/>
        </w:rPr>
        <w:t>ONG</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RANCH</w:t>
      </w:r>
      <w:r>
        <w:rPr>
          <w:rFonts w:ascii="Arial" w:cs="Arial" w:eastAsia="Arial" w:hAnsi="Arial"/>
          <w:sz w:val="13"/>
          <w:szCs w:val="13"/>
          <w:color w:val="auto"/>
        </w:rPr>
        <w:t>, as Singapore Loan Agent, and</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ANK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xml:space="preserve">, N.A. </w:t>
      </w:r>
      <w:r>
        <w:rPr>
          <w:rFonts w:ascii="Arial" w:cs="Arial" w:eastAsia="Arial" w:hAnsi="Arial"/>
          <w:sz w:val="13"/>
          <w:szCs w:val="13"/>
          <w:color w:val="auto"/>
        </w:rPr>
        <w:t>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ILICON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ALLEY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ANK</w:t>
      </w:r>
      <w:r>
        <w:rPr>
          <w:rFonts w:ascii="Arial" w:cs="Arial" w:eastAsia="Arial" w:hAnsi="Arial"/>
          <w:sz w:val="13"/>
          <w:szCs w:val="13"/>
          <w:color w:val="auto"/>
        </w:rPr>
        <w:t>, (each, a “</w:t>
      </w:r>
      <w:r>
        <w:rPr>
          <w:rFonts w:ascii="Arial" w:cs="Arial" w:eastAsia="Arial" w:hAnsi="Arial"/>
          <w:sz w:val="13"/>
          <w:szCs w:val="13"/>
          <w:b w:val="1"/>
          <w:bCs w:val="1"/>
          <w:i w:val="1"/>
          <w:iCs w:val="1"/>
          <w:color w:val="auto"/>
        </w:rPr>
        <w:t>Lender</w:t>
      </w:r>
      <w:r>
        <w:rPr>
          <w:rFonts w:ascii="Arial" w:cs="Arial" w:eastAsia="Arial" w:hAnsi="Arial"/>
          <w:sz w:val="13"/>
          <w:szCs w:val="13"/>
          <w:color w:val="auto"/>
        </w:rPr>
        <w:t>”). Aviat Networks, Inc. was formerly known as Harris Stratex</w:t>
      </w:r>
      <w:r>
        <w:rPr>
          <w:rFonts w:ascii="Arial" w:cs="Arial" w:eastAsia="Arial" w:hAnsi="Arial"/>
          <w:sz w:val="13"/>
          <w:szCs w:val="13"/>
          <w:b w:val="1"/>
          <w:bCs w:val="1"/>
          <w:color w:val="auto"/>
        </w:rPr>
        <w:t xml:space="preserve"> </w:t>
      </w:r>
      <w:r>
        <w:rPr>
          <w:rFonts w:ascii="Arial" w:cs="Arial" w:eastAsia="Arial" w:hAnsi="Arial"/>
          <w:sz w:val="13"/>
          <w:szCs w:val="13"/>
          <w:color w:val="auto"/>
        </w:rPr>
        <w:t>Networks, Inc. Capitalized terms used herein without definition shall have the same meanings given them in the Credit Agreement (as defined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ECITALS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Borrowers, Agents and Lenders have entered into that certain Credit Agreement dated as of June 30, 2008 (the “</w:t>
      </w:r>
      <w:r>
        <w:rPr>
          <w:rFonts w:ascii="Arial" w:cs="Arial" w:eastAsia="Arial" w:hAnsi="Arial"/>
          <w:sz w:val="13"/>
          <w:szCs w:val="13"/>
          <w:b w:val="1"/>
          <w:bCs w:val="1"/>
          <w:i w:val="1"/>
          <w:iCs w:val="1"/>
          <w:color w:val="auto"/>
        </w:rPr>
        <w:t>Credit Agreement</w:t>
      </w:r>
      <w:r>
        <w:rPr>
          <w:rFonts w:ascii="Arial" w:cs="Arial" w:eastAsia="Arial" w:hAnsi="Arial"/>
          <w:sz w:val="13"/>
          <w:szCs w:val="13"/>
          <w:color w:val="auto"/>
        </w:rPr>
        <w:t>”), pursuant to which the Lenders have agreed to extend and make available to</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Borrowers certain advances of money.</w:t>
      </w:r>
    </w:p>
    <w:p>
      <w:pPr>
        <w:spacing w:after="0" w:line="41"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 xml:space="preserve">B. </w:t>
      </w:r>
      <w:r>
        <w:rPr>
          <w:rFonts w:ascii="Arial" w:cs="Arial" w:eastAsia="Arial" w:hAnsi="Arial"/>
          <w:sz w:val="13"/>
          <w:szCs w:val="13"/>
          <w:color w:val="auto"/>
        </w:rPr>
        <w:t>Borrowers desire to modify the financial covenants contained in the Credit Agreement, with such modification to be effective as of July 2, 2010, and to make certain other modifications to the Credit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which other modifications will become effective on the effective date of this Amendment.</w:t>
      </w:r>
    </w:p>
    <w:p>
      <w:pPr>
        <w:spacing w:after="0" w:line="41"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 xml:space="preserve">C. </w:t>
      </w:r>
      <w:r>
        <w:rPr>
          <w:rFonts w:ascii="Arial" w:cs="Arial" w:eastAsia="Arial" w:hAnsi="Arial"/>
          <w:sz w:val="13"/>
          <w:szCs w:val="13"/>
          <w:color w:val="auto"/>
        </w:rPr>
        <w:t>Subject to the representations and warranties of Borrowers herein and with the amendments and upon the terms and conditions set forth below, Agents and Lenders are willing to modify the Credit Agreement as</w:t>
      </w:r>
      <w:r>
        <w:rPr>
          <w:rFonts w:ascii="Arial" w:cs="Arial" w:eastAsia="Arial" w:hAnsi="Arial"/>
          <w:sz w:val="13"/>
          <w:szCs w:val="13"/>
          <w:b w:val="1"/>
          <w:bCs w:val="1"/>
          <w:color w:val="auto"/>
        </w:rPr>
        <w:t xml:space="preserve"> </w:t>
      </w:r>
      <w:r>
        <w:rPr>
          <w:rFonts w:ascii="Arial" w:cs="Arial" w:eastAsia="Arial" w:hAnsi="Arial"/>
          <w:sz w:val="13"/>
          <w:szCs w:val="13"/>
          <w:color w:val="auto"/>
        </w:rPr>
        <w:t>requested by Borrowers.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AGREEMENT</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foregoing Recitals and intending to be legally bound, the parties hereto agree as follows:</w:t>
      </w:r>
    </w:p>
    <w:p>
      <w:pPr>
        <w:spacing w:after="0" w:line="82" w:lineRule="exact"/>
        <w:rPr>
          <w:sz w:val="20"/>
          <w:szCs w:val="20"/>
          <w:color w:val="auto"/>
        </w:rPr>
      </w:pPr>
    </w:p>
    <w:p>
      <w:pPr>
        <w:ind w:left="300" w:hanging="138"/>
        <w:spacing w:after="0"/>
        <w:tabs>
          <w:tab w:leader="none" w:pos="3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MENDMENTS TO</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b w:val="1"/>
          <w:bCs w:val="1"/>
          <w:color w:val="auto"/>
        </w:rPr>
        <w:t>Section 1.01 (Definitions).</w:t>
      </w:r>
      <w:r>
        <w:rPr>
          <w:rFonts w:ascii="Arial" w:cs="Arial" w:eastAsia="Arial" w:hAnsi="Arial"/>
          <w:sz w:val="13"/>
          <w:szCs w:val="13"/>
          <w:color w:val="auto"/>
        </w:rPr>
        <w:t xml:space="preserve"> The definition of “Applicable Margin” in Section 1.01 is hereby amended as follows: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Margin</w:t>
      </w:r>
      <w:r>
        <w:rPr>
          <w:rFonts w:ascii="Arial" w:cs="Arial" w:eastAsia="Arial" w:hAnsi="Arial"/>
          <w:sz w:val="13"/>
          <w:szCs w:val="13"/>
          <w:color w:val="auto"/>
        </w:rPr>
        <w:t>” means the following percentages per annum: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40" w:type="dxa"/>
            <w:vAlign w:val="bottom"/>
          </w:tcPr>
          <w:p>
            <w:pPr>
              <w:jc w:val="center"/>
              <w:spacing w:after="0"/>
              <w:rPr>
                <w:sz w:val="20"/>
                <w:szCs w:val="20"/>
                <w:color w:val="auto"/>
              </w:rPr>
            </w:pPr>
            <w:r>
              <w:rPr>
                <w:rFonts w:ascii="Arial" w:cs="Arial" w:eastAsia="Arial" w:hAnsi="Arial"/>
                <w:sz w:val="10"/>
                <w:szCs w:val="10"/>
                <w:color w:val="auto"/>
                <w:w w:val="96"/>
              </w:rPr>
              <w:t>Eurodollar Rate Loans</w:t>
            </w:r>
          </w:p>
        </w:tc>
        <w:tc>
          <w:tcPr>
            <w:tcW w:w="560" w:type="dxa"/>
            <w:vAlign w:val="bottom"/>
          </w:tcPr>
          <w:p>
            <w:pPr>
              <w:spacing w:after="0"/>
              <w:rPr>
                <w:sz w:val="10"/>
                <w:szCs w:val="10"/>
                <w:color w:val="auto"/>
              </w:rPr>
            </w:pPr>
          </w:p>
        </w:tc>
        <w:tc>
          <w:tcPr>
            <w:tcW w:w="3440" w:type="dxa"/>
            <w:vAlign w:val="bottom"/>
          </w:tcPr>
          <w:p>
            <w:pPr>
              <w:spacing w:after="0"/>
              <w:rPr>
                <w:sz w:val="10"/>
                <w:szCs w:val="10"/>
                <w:color w:val="auto"/>
              </w:rPr>
            </w:pPr>
          </w:p>
        </w:tc>
      </w:tr>
      <w:tr>
        <w:trPr>
          <w:trHeight w:val="12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Commitment Fee</w:t>
            </w:r>
          </w:p>
        </w:tc>
        <w:tc>
          <w:tcPr>
            <w:tcW w:w="580" w:type="dxa"/>
            <w:vAlign w:val="bottom"/>
          </w:tcPr>
          <w:p>
            <w:pPr>
              <w:spacing w:after="0"/>
              <w:rPr>
                <w:sz w:val="10"/>
                <w:szCs w:val="1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Letters of Credit</w:t>
            </w:r>
          </w:p>
        </w:tc>
        <w:tc>
          <w:tcPr>
            <w:tcW w:w="560" w:type="dxa"/>
            <w:vAlign w:val="bottom"/>
          </w:tcPr>
          <w:p>
            <w:pPr>
              <w:spacing w:after="0"/>
              <w:rPr>
                <w:sz w:val="10"/>
                <w:szCs w:val="1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Base Rate Loans</w:t>
            </w:r>
          </w:p>
        </w:tc>
      </w:tr>
      <w:tr>
        <w:trPr>
          <w:trHeight w:val="155"/>
        </w:trPr>
        <w:tc>
          <w:tcPr>
            <w:tcW w:w="3440" w:type="dxa"/>
            <w:vAlign w:val="bottom"/>
          </w:tcPr>
          <w:p>
            <w:pPr>
              <w:jc w:val="right"/>
              <w:ind w:right="1521"/>
              <w:spacing w:after="0"/>
              <w:rPr>
                <w:sz w:val="20"/>
                <w:szCs w:val="20"/>
                <w:color w:val="auto"/>
              </w:rPr>
            </w:pPr>
            <w:r>
              <w:rPr>
                <w:rFonts w:ascii="Arial" w:cs="Arial" w:eastAsia="Arial" w:hAnsi="Arial"/>
                <w:sz w:val="13"/>
                <w:szCs w:val="13"/>
                <w:color w:val="auto"/>
              </w:rPr>
              <w:t>.50%</w:t>
            </w:r>
          </w:p>
        </w:tc>
        <w:tc>
          <w:tcPr>
            <w:tcW w:w="580" w:type="dxa"/>
            <w:vAlign w:val="bottom"/>
          </w:tcPr>
          <w:p>
            <w:pPr>
              <w:spacing w:after="0"/>
              <w:rPr>
                <w:sz w:val="13"/>
                <w:szCs w:val="13"/>
                <w:color w:val="auto"/>
              </w:rPr>
            </w:pPr>
          </w:p>
        </w:tc>
        <w:tc>
          <w:tcPr>
            <w:tcW w:w="3440" w:type="dxa"/>
            <w:vAlign w:val="bottom"/>
          </w:tcPr>
          <w:p>
            <w:pPr>
              <w:jc w:val="center"/>
              <w:spacing w:after="0"/>
              <w:rPr>
                <w:sz w:val="20"/>
                <w:szCs w:val="20"/>
                <w:color w:val="auto"/>
              </w:rPr>
            </w:pPr>
            <w:r>
              <w:rPr>
                <w:rFonts w:ascii="Arial" w:cs="Arial" w:eastAsia="Arial" w:hAnsi="Arial"/>
                <w:sz w:val="13"/>
                <w:szCs w:val="13"/>
                <w:color w:val="auto"/>
                <w:w w:val="92"/>
              </w:rPr>
              <w:t>1.00%</w:t>
            </w:r>
          </w:p>
        </w:tc>
        <w:tc>
          <w:tcPr>
            <w:tcW w:w="560" w:type="dxa"/>
            <w:vAlign w:val="bottom"/>
          </w:tcPr>
          <w:p>
            <w:pPr>
              <w:spacing w:after="0"/>
              <w:rPr>
                <w:sz w:val="13"/>
                <w:szCs w:val="13"/>
                <w:color w:val="auto"/>
              </w:rPr>
            </w:pPr>
          </w:p>
        </w:tc>
        <w:tc>
          <w:tcPr>
            <w:tcW w:w="3440" w:type="dxa"/>
            <w:vAlign w:val="bottom"/>
          </w:tcPr>
          <w:p>
            <w:pPr>
              <w:jc w:val="right"/>
              <w:ind w:right="1481"/>
              <w:spacing w:after="0"/>
              <w:rPr>
                <w:sz w:val="20"/>
                <w:szCs w:val="20"/>
                <w:color w:val="auto"/>
              </w:rPr>
            </w:pPr>
            <w:r>
              <w:rPr>
                <w:rFonts w:ascii="Arial" w:cs="Arial" w:eastAsia="Arial" w:hAnsi="Arial"/>
                <w:sz w:val="13"/>
                <w:szCs w:val="13"/>
                <w:color w:val="auto"/>
              </w:rPr>
              <w:t>0.00%</w:t>
            </w:r>
          </w:p>
        </w:tc>
      </w:tr>
      <w:tr>
        <w:trPr>
          <w:trHeight w:val="440"/>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Section 1.01 (Definitions).</w:t>
      </w:r>
      <w:r>
        <w:rPr>
          <w:rFonts w:ascii="Arial" w:cs="Arial" w:eastAsia="Arial" w:hAnsi="Arial"/>
          <w:sz w:val="13"/>
          <w:szCs w:val="13"/>
          <w:color w:val="auto"/>
        </w:rPr>
        <w:t xml:space="preserve"> A new definition is inserted in Section 1.01 in proper alphabetical order as follows: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Quick Ratio</w:t>
      </w:r>
      <w:r>
        <w:rPr>
          <w:rFonts w:ascii="Arial" w:cs="Arial" w:eastAsia="Arial" w:hAnsi="Arial"/>
          <w:sz w:val="12"/>
          <w:szCs w:val="12"/>
          <w:color w:val="auto"/>
        </w:rPr>
        <w:t>” means, as of any date, calculated for Parent and its Subsidiaries on a consolidated basis, (a) the sum of (i) unrestricted cash and cash equivalents and short-term marketable debt securities plus</w:t>
      </w:r>
    </w:p>
    <w:p>
      <w:pPr>
        <w:spacing w:after="0" w:line="27" w:lineRule="exact"/>
        <w:rPr>
          <w:sz w:val="20"/>
          <w:szCs w:val="20"/>
          <w:color w:val="auto"/>
        </w:rPr>
      </w:pPr>
    </w:p>
    <w:p>
      <w:pPr>
        <w:ind w:left="60" w:right="240" w:firstLine="8"/>
        <w:spacing w:after="0" w:line="264" w:lineRule="auto"/>
        <w:tabs>
          <w:tab w:leader="none" w:pos="246" w:val="left"/>
        </w:tabs>
        <w:numPr>
          <w:ilvl w:val="0"/>
          <w:numId w:val="54"/>
        </w:numPr>
        <w:rPr>
          <w:rFonts w:ascii="Arial" w:cs="Arial" w:eastAsia="Arial" w:hAnsi="Arial"/>
          <w:sz w:val="13"/>
          <w:szCs w:val="13"/>
          <w:color w:val="auto"/>
        </w:rPr>
      </w:pPr>
      <w:r>
        <w:rPr>
          <w:rFonts w:ascii="Arial" w:cs="Arial" w:eastAsia="Arial" w:hAnsi="Arial"/>
          <w:sz w:val="13"/>
          <w:szCs w:val="13"/>
          <w:color w:val="auto"/>
        </w:rPr>
        <w:t>Accounts, divided by (b) current liabilities (determined in accordance with GAAP) less the aggregate amount of (x) outstanding Loans secured by Loan Collateral and, to the extent they constitute liabilities under GAAP, (y) L/C Obligations secured by Cash Collateral.”</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Section 2.01 (Committed Loans).</w:t>
      </w:r>
      <w:r>
        <w:rPr>
          <w:rFonts w:ascii="Arial" w:cs="Arial" w:eastAsia="Arial" w:hAnsi="Arial"/>
          <w:sz w:val="13"/>
          <w:szCs w:val="13"/>
          <w:color w:val="auto"/>
        </w:rPr>
        <w:t xml:space="preserve"> Section 2.01 is hereby amended and restated in its entirety as follows:</w:t>
      </w:r>
    </w:p>
    <w:p>
      <w:pPr>
        <w:spacing w:after="0" w:line="86" w:lineRule="exact"/>
        <w:rPr>
          <w:sz w:val="20"/>
          <w:szCs w:val="20"/>
          <w:color w:val="auto"/>
        </w:rPr>
      </w:pPr>
    </w:p>
    <w:p>
      <w:pPr>
        <w:ind w:left="60" w:firstLine="164"/>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Committed Loans</w:t>
      </w:r>
      <w:r>
        <w:rPr>
          <w:rFonts w:ascii="Arial" w:cs="Arial" w:eastAsia="Arial" w:hAnsi="Arial"/>
          <w:sz w:val="12"/>
          <w:szCs w:val="12"/>
          <w:color w:val="auto"/>
        </w:rPr>
        <w:t>. Subject to the terms and conditions set forth herein, each Lender severally agrees to make loans (each such loan, a ‘</w:t>
      </w:r>
      <w:r>
        <w:rPr>
          <w:rFonts w:ascii="Arial" w:cs="Arial" w:eastAsia="Arial" w:hAnsi="Arial"/>
          <w:sz w:val="12"/>
          <w:szCs w:val="12"/>
          <w:u w:val="single" w:color="auto"/>
          <w:color w:val="auto"/>
        </w:rPr>
        <w:t>Committed Loan</w:t>
      </w:r>
      <w:r>
        <w:rPr>
          <w:rFonts w:ascii="Arial" w:cs="Arial" w:eastAsia="Arial" w:hAnsi="Arial"/>
          <w:sz w:val="12"/>
          <w:szCs w:val="12"/>
          <w:color w:val="auto"/>
        </w:rPr>
        <w:t xml:space="preserve">’) as follows: (a) each U.S. Lender severally agrees to make loans to the Parent and each other U.S. Borrower from time to time, on any Business Day during the Availability Period in an aggregate amount not to exceed at any time outstanding the amount of such Lender’s Commitment, and (b) each Singapore Lender agrees to make loans to Harris Singapore from time to time in an aggregate amount not to exceed at any time outstanding the Singapore Sublimit;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after giving effect to any Committed Borrowing, (i) the Total Outstandings shall not exceed the Aggregate Commitments, (ii) the aggregate Outstanding Amount of the Committed Loans of any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Applicable Percentage of the Outstanding Amount of all L/C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Applicable Percentage of the Outstanding Amount of all Swing Line Loans shall not exceed such Lender’s Commitment, and (iii) the Singapore Loans shall not exceed the Singapore Sublimit,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Borrowers shall pledge and deposit with or deliver to the Administrative Agent, for the benefit of the Lenders, as collateral for the Committed Loans, cash or deposit account balances pursuant to documentation in form and substance satisfactory to the Administrative Agent (which documents are hereby consented to by the Lenders) in an amount no less than 100% of all outstanding Committed Loans, to be maintained in a blocked, interest-bearing deposit account at Bank of America. The Borrowers hereby grant to the Administrative Agent, for the benefit of the Lenders, a security interest in all such cash, deposit accounts and all balances therein and all proceeds of the foregoing (collectively, the ‘</w:t>
      </w:r>
      <w:r>
        <w:rPr>
          <w:rFonts w:ascii="Arial" w:cs="Arial" w:eastAsia="Arial" w:hAnsi="Arial"/>
          <w:sz w:val="12"/>
          <w:szCs w:val="12"/>
          <w:u w:val="single" w:color="auto"/>
          <w:color w:val="auto"/>
        </w:rPr>
        <w:t>Loan Collateral</w:t>
      </w:r>
      <w:r>
        <w:rPr>
          <w:rFonts w:ascii="Arial" w:cs="Arial" w:eastAsia="Arial" w:hAnsi="Arial"/>
          <w:sz w:val="12"/>
          <w:szCs w:val="12"/>
          <w:color w:val="auto"/>
        </w:rPr>
        <w:t xml:space="preserve">’). Within the limits of each Lender’s Commitment, and subject to the other terms and conditions hereof, the Borrowers may borrow under this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prepay under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reborrow under this </w:t>
      </w:r>
      <w:r>
        <w:rPr>
          <w:rFonts w:ascii="Arial" w:cs="Arial" w:eastAsia="Arial" w:hAnsi="Arial"/>
          <w:sz w:val="12"/>
          <w:szCs w:val="12"/>
          <w:u w:val="single" w:color="auto"/>
          <w:color w:val="auto"/>
        </w:rPr>
        <w:t>Section 2.01</w:t>
      </w:r>
      <w:r>
        <w:rPr>
          <w:rFonts w:ascii="Arial" w:cs="Arial" w:eastAsia="Arial" w:hAnsi="Arial"/>
          <w:sz w:val="12"/>
          <w:szCs w:val="12"/>
          <w:color w:val="auto"/>
        </w:rPr>
        <w:t>. Committed Loans may be Base Rate Loans or Eurodollar Rate Loans, as further provided herein.”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Section 2.03 (Letters of Credit).</w:t>
      </w:r>
      <w:r>
        <w:rPr>
          <w:rFonts w:ascii="Arial" w:cs="Arial" w:eastAsia="Arial" w:hAnsi="Arial"/>
          <w:sz w:val="13"/>
          <w:szCs w:val="13"/>
          <w:color w:val="auto"/>
        </w:rPr>
        <w:t xml:space="preserve"> Sub-section (g) (Cash Collateral) of Section 2.03 is hereby amended and restated in its entirety as follows:</w:t>
      </w:r>
    </w:p>
    <w:p>
      <w:pPr>
        <w:spacing w:after="0" w:line="90" w:lineRule="exact"/>
        <w:rPr>
          <w:sz w:val="20"/>
          <w:szCs w:val="20"/>
          <w:color w:val="auto"/>
        </w:rPr>
      </w:pPr>
    </w:p>
    <w:p>
      <w:pPr>
        <w:ind w:left="60" w:right="60" w:firstLine="164"/>
        <w:spacing w:after="0" w:line="264" w:lineRule="auto"/>
        <w:rPr>
          <w:sz w:val="20"/>
          <w:szCs w:val="20"/>
          <w:color w:val="auto"/>
        </w:rPr>
      </w:pPr>
      <w:r>
        <w:rPr>
          <w:rFonts w:ascii="Arial" w:cs="Arial" w:eastAsia="Arial" w:hAnsi="Arial"/>
          <w:sz w:val="13"/>
          <w:szCs w:val="13"/>
          <w:color w:val="auto"/>
        </w:rPr>
        <w:t xml:space="preserve">“(g) </w:t>
      </w:r>
      <w:r>
        <w:rPr>
          <w:rFonts w:ascii="Arial" w:cs="Arial" w:eastAsia="Arial" w:hAnsi="Arial"/>
          <w:sz w:val="13"/>
          <w:szCs w:val="13"/>
          <w:u w:val="single" w:color="auto"/>
          <w:color w:val="auto"/>
        </w:rPr>
        <w:t>Cash Collateral</w:t>
      </w:r>
      <w:r>
        <w:rPr>
          <w:rFonts w:ascii="Arial" w:cs="Arial" w:eastAsia="Arial" w:hAnsi="Arial"/>
          <w:sz w:val="13"/>
          <w:szCs w:val="13"/>
          <w:color w:val="auto"/>
        </w:rPr>
        <w:t xml:space="preserve">. The Borrowers shall immediately Cash Collateralize the Outstanding Amount of all L/C Obligations and maintain such Cash Collateral at all times in an amount no less than 100% of the face amount of all outstanding Dollar-denominated Letters of Credit and 105% of the face amount of all outstanding non-Dollar-denominated Letters of Credit. </w:t>
      </w:r>
      <w:r>
        <w:rPr>
          <w:rFonts w:ascii="Arial" w:cs="Arial" w:eastAsia="Arial" w:hAnsi="Arial"/>
          <w:sz w:val="13"/>
          <w:szCs w:val="13"/>
          <w:u w:val="single" w:color="auto"/>
          <w:color w:val="auto"/>
        </w:rPr>
        <w:t>Sections 2.05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8.02(c)</w:t>
      </w:r>
      <w:r>
        <w:rPr>
          <w:rFonts w:ascii="Arial" w:cs="Arial" w:eastAsia="Arial" w:hAnsi="Arial"/>
          <w:sz w:val="13"/>
          <w:szCs w:val="13"/>
          <w:color w:val="auto"/>
        </w:rPr>
        <w:t xml:space="preserve"> set forth certain additional requirements to deliver Cash Collateral hereunder. For purposes of this</w:t>
      </w:r>
    </w:p>
    <w:p>
      <w:pPr>
        <w:spacing w:after="0" w:line="116"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16" w:right="259" w:bottom="1440" w:gutter="0" w:footer="0" w:header="0"/>
        </w:sectPr>
      </w:pPr>
    </w:p>
    <w:bookmarkStart w:id="118" w:name="page119"/>
    <w:bookmarkEnd w:id="118"/>
    <w:p>
      <w:pPr>
        <w:ind w:left="220" w:right="140"/>
        <w:spacing w:after="0" w:line="289" w:lineRule="auto"/>
        <w:rPr>
          <w:sz w:val="20"/>
          <w:szCs w:val="20"/>
          <w:color w:val="auto"/>
        </w:rPr>
      </w:pP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8.02(c)</w:t>
      </w:r>
      <w:r>
        <w:rPr>
          <w:rFonts w:ascii="Arial" w:cs="Arial" w:eastAsia="Arial" w:hAnsi="Arial"/>
          <w:sz w:val="12"/>
          <w:szCs w:val="12"/>
          <w:color w:val="auto"/>
        </w:rPr>
        <w:t>, “</w:t>
      </w:r>
      <w:r>
        <w:rPr>
          <w:rFonts w:ascii="Arial" w:cs="Arial" w:eastAsia="Arial" w:hAnsi="Arial"/>
          <w:sz w:val="12"/>
          <w:szCs w:val="12"/>
          <w:u w:val="single" w:color="auto"/>
          <w:color w:val="auto"/>
        </w:rPr>
        <w:t>Cash Collateralize</w:t>
      </w:r>
      <w:r>
        <w:rPr>
          <w:rFonts w:ascii="Arial" w:cs="Arial" w:eastAsia="Arial" w:hAnsi="Arial"/>
          <w:sz w:val="12"/>
          <w:szCs w:val="12"/>
          <w:color w:val="auto"/>
        </w:rPr>
        <w:t>” means to pledge and deposit with or deliver to the Administrative Agent, for the benefit of the L/C Issuer and the Lenders, as collateral for the L/C Obligations, cash or deposit account balances pursuant to documentation in form and substance satisfactory to the Administrative Agent and the L/C Issuer (which documents are hereby consented to by the Lenders). Derivatives of such term have corresponding meanings. The Borrowers hereby grant to the Administrative Agent, for the benefit of the L/C Issuer and the Lenders, a security interest in all such cash, deposit accounts and all balances therein and all proceeds of the foregoing. Cash Collateral shall be maintained in a blocked, interest-bearing deposit account at Bank of America.”</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Section 7.11 (Financial Covenants).</w:t>
      </w:r>
      <w:r>
        <w:rPr>
          <w:rFonts w:ascii="Arial" w:cs="Arial" w:eastAsia="Arial" w:hAnsi="Arial"/>
          <w:sz w:val="13"/>
          <w:szCs w:val="13"/>
          <w:color w:val="auto"/>
        </w:rPr>
        <w:t xml:space="preserve"> Section 7.11 of the Credit Agreement is hereby amended in its entirety, beginning with the fiscal quarter of Parent ending July 2, 2010, as follows: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7.11 Financial Covenant</w:t>
      </w:r>
      <w:r>
        <w:rPr>
          <w:rFonts w:ascii="Arial" w:cs="Arial" w:eastAsia="Arial" w:hAnsi="Arial"/>
          <w:sz w:val="13"/>
          <w:szCs w:val="13"/>
          <w:color w:val="auto"/>
        </w:rPr>
        <w:t>. Permit the Quick Ratio as of the end of any fiscal quarter of Parent to be less than 1.25:1.”</w:t>
      </w:r>
    </w:p>
    <w:p>
      <w:pPr>
        <w:spacing w:after="0" w:line="86" w:lineRule="exact"/>
        <w:rPr>
          <w:sz w:val="20"/>
          <w:szCs w:val="20"/>
          <w:color w:val="auto"/>
        </w:rPr>
      </w:pPr>
    </w:p>
    <w:p>
      <w:pPr>
        <w:ind w:firstLine="162"/>
        <w:spacing w:after="0" w:line="262" w:lineRule="auto"/>
        <w:tabs>
          <w:tab w:leader="none" w:pos="295"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IMITATION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MENDMENT</w:t>
      </w:r>
      <w:r>
        <w:rPr>
          <w:rFonts w:ascii="Arial" w:cs="Arial" w:eastAsia="Arial" w:hAnsi="Arial"/>
          <w:sz w:val="13"/>
          <w:szCs w:val="13"/>
          <w:color w:val="auto"/>
        </w:rPr>
        <w:t>. The amendments set forth in</w:t>
      </w:r>
      <w:r>
        <w:rPr>
          <w:rFonts w:ascii="Arial" w:cs="Arial" w:eastAsia="Arial" w:hAnsi="Arial"/>
          <w:sz w:val="13"/>
          <w:szCs w:val="13"/>
          <w:b w:val="1"/>
          <w:bCs w:val="1"/>
          <w:color w:val="auto"/>
        </w:rPr>
        <w:t xml:space="preserve"> Section 1 </w:t>
      </w:r>
      <w:r>
        <w:rPr>
          <w:rFonts w:ascii="Arial" w:cs="Arial" w:eastAsia="Arial" w:hAnsi="Arial"/>
          <w:sz w:val="13"/>
          <w:szCs w:val="13"/>
          <w:color w:val="auto"/>
        </w:rPr>
        <w:t>above, are effective for the purposes set forth herein and shall be limited precisely as written and shall not be deemed to be (a) a waiver or</w:t>
      </w:r>
      <w:r>
        <w:rPr>
          <w:rFonts w:ascii="Arial" w:cs="Arial" w:eastAsia="Arial" w:hAnsi="Arial"/>
          <w:sz w:val="13"/>
          <w:szCs w:val="13"/>
          <w:b w:val="1"/>
          <w:bCs w:val="1"/>
          <w:color w:val="auto"/>
        </w:rPr>
        <w:t xml:space="preserve"> </w:t>
      </w:r>
      <w:r>
        <w:rPr>
          <w:rFonts w:ascii="Arial" w:cs="Arial" w:eastAsia="Arial" w:hAnsi="Arial"/>
          <w:sz w:val="13"/>
          <w:szCs w:val="13"/>
          <w:color w:val="auto"/>
        </w:rPr>
        <w:t>modification of any other term or condition of the Credit Agreement or of any other instrument or agreement referred to therein or to prejudice any right or remedy which any Agent or Lender may now have or may have in the future under or in connection with the Credit Agreement or any instrument or agreement referred to therein; or (b) a consent to any future waiver to any instrument or agreement the execution and delivery of which is consented to hereby, or to any waiver of any of the provisions thereof.</w:t>
      </w:r>
    </w:p>
    <w:p>
      <w:pPr>
        <w:spacing w:after="0" w:line="5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9" w:name="page120"/>
    <w:bookmarkEnd w:id="119"/>
    <w:p>
      <w:pPr>
        <w:ind w:left="301" w:hanging="138"/>
        <w:spacing w:after="0"/>
        <w:tabs>
          <w:tab w:leader="none" w:pos="301"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ORROWERS</w:t>
      </w:r>
      <w:r>
        <w:rPr>
          <w:rFonts w:ascii="Arial" w:cs="Arial" w:eastAsia="Arial" w:hAnsi="Arial"/>
          <w:sz w:val="13"/>
          <w:szCs w:val="13"/>
          <w:b w:val="1"/>
          <w:bCs w:val="1"/>
          <w:color w:val="auto"/>
        </w:rPr>
        <w:t>’ R</w:t>
      </w:r>
      <w:r>
        <w:rPr>
          <w:rFonts w:ascii="Arial" w:cs="Arial" w:eastAsia="Arial" w:hAnsi="Arial"/>
          <w:sz w:val="8"/>
          <w:szCs w:val="8"/>
          <w:b w:val="1"/>
          <w:bCs w:val="1"/>
          <w:color w:val="auto"/>
        </w:rPr>
        <w:t>EPRESENTATIONS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ND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ARRANTIES</w:t>
      </w:r>
      <w:r>
        <w:rPr>
          <w:rFonts w:ascii="Arial" w:cs="Arial" w:eastAsia="Arial" w:hAnsi="Arial"/>
          <w:sz w:val="13"/>
          <w:szCs w:val="13"/>
          <w:color w:val="auto"/>
        </w:rPr>
        <w:t>. Each Borrower represents and warrants that:</w:t>
      </w:r>
    </w:p>
    <w:p>
      <w:pPr>
        <w:spacing w:after="0" w:line="90" w:lineRule="exact"/>
        <w:rPr>
          <w:sz w:val="20"/>
          <w:szCs w:val="20"/>
          <w:color w:val="auto"/>
        </w:rPr>
      </w:pPr>
    </w:p>
    <w:p>
      <w:pPr>
        <w:ind w:left="1" w:right="80" w:firstLine="164"/>
        <w:spacing w:after="0" w:line="320" w:lineRule="auto"/>
        <w:rPr>
          <w:sz w:val="20"/>
          <w:szCs w:val="20"/>
          <w:color w:val="auto"/>
        </w:rPr>
      </w:pPr>
      <w:r>
        <w:rPr>
          <w:rFonts w:ascii="Arial" w:cs="Arial" w:eastAsia="Arial" w:hAnsi="Arial"/>
          <w:sz w:val="12"/>
          <w:szCs w:val="12"/>
          <w:color w:val="auto"/>
        </w:rPr>
        <w:t>3.1. immediately upon giving effect to this Amendment (i)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(ii) no Event of Default has occurred and is continuing;</w:t>
      </w:r>
    </w:p>
    <w:p>
      <w:pPr>
        <w:spacing w:after="0" w:line="25"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color w:val="auto"/>
        </w:rPr>
        <w:t>3.2. the certificate of incorporation, bylaws and other organizational documents of Borrowers delivered to Agent pursuant to the Credit Agreement: remain true, accurate and complete; except as disclosed to Agent, have not been amended, supplemented or restated; and continue to be in full force and effect;</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3.3. Borrower has the power and authority to execute and deliver this Amendment and to perform its obligations under the Credit Agreement, as amended by this Amendment;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3.4. The execution and delivery by Borrower of this Amendment and the performance by Borrower of the obligations under the Credit Agreement, as amended by this Amendment, have been duly authorized;</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2"/>
          <w:szCs w:val="12"/>
          <w:color w:val="auto"/>
        </w:rPr>
        <w:t>3.5. The execution and delivery by Borrower of this Amendment and the performance by Borrower of the obligations under the Credit Agreement, as amended by this Amendment, do not and will not contravene</w:t>
      </w:r>
    </w:p>
    <w:p>
      <w:pPr>
        <w:spacing w:after="0" w:line="27" w:lineRule="exact"/>
        <w:rPr>
          <w:sz w:val="20"/>
          <w:szCs w:val="20"/>
          <w:color w:val="auto"/>
        </w:rPr>
      </w:pPr>
    </w:p>
    <w:p>
      <w:pPr>
        <w:ind w:left="1" w:right="300" w:hanging="1"/>
        <w:spacing w:after="0" w:line="264" w:lineRule="auto"/>
        <w:tabs>
          <w:tab w:leader="none" w:pos="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57" w:lineRule="exact"/>
        <w:rPr>
          <w:sz w:val="20"/>
          <w:szCs w:val="20"/>
          <w:color w:val="auto"/>
        </w:rPr>
      </w:pPr>
    </w:p>
    <w:p>
      <w:pPr>
        <w:ind w:left="1" w:firstLine="164"/>
        <w:spacing w:after="0" w:line="264" w:lineRule="auto"/>
        <w:rPr>
          <w:sz w:val="20"/>
          <w:szCs w:val="20"/>
          <w:color w:val="auto"/>
        </w:rPr>
      </w:pPr>
      <w:r>
        <w:rPr>
          <w:rFonts w:ascii="Arial" w:cs="Arial" w:eastAsia="Arial" w:hAnsi="Arial"/>
          <w:sz w:val="13"/>
          <w:szCs w:val="13"/>
          <w:color w:val="auto"/>
        </w:rPr>
        <w:t>3.6. The execution and delivery by Borrower of this Amendment and the performance by Borrower of the obligations under the Credit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57" w:lineRule="exact"/>
        <w:rPr>
          <w:sz w:val="20"/>
          <w:szCs w:val="20"/>
          <w:color w:val="auto"/>
        </w:rPr>
      </w:pPr>
    </w:p>
    <w:p>
      <w:pPr>
        <w:ind w:left="1" w:right="140" w:firstLine="164"/>
        <w:spacing w:after="0" w:line="320" w:lineRule="auto"/>
        <w:rPr>
          <w:sz w:val="20"/>
          <w:szCs w:val="20"/>
          <w:color w:val="auto"/>
        </w:rPr>
      </w:pPr>
      <w:r>
        <w:rPr>
          <w:rFonts w:ascii="Arial" w:cs="Arial" w:eastAsia="Arial" w:hAnsi="Arial"/>
          <w:sz w:val="12"/>
          <w:szCs w:val="12"/>
          <w:color w:val="auto"/>
        </w:rPr>
        <w:t>3.7. 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and</w:t>
      </w:r>
    </w:p>
    <w:p>
      <w:pPr>
        <w:spacing w:after="0" w:line="25" w:lineRule="exact"/>
        <w:rPr>
          <w:sz w:val="20"/>
          <w:szCs w:val="20"/>
          <w:color w:val="auto"/>
        </w:rPr>
      </w:pPr>
    </w:p>
    <w:p>
      <w:pPr>
        <w:ind w:left="1" w:right="500" w:firstLine="164"/>
        <w:spacing w:after="0" w:line="276" w:lineRule="auto"/>
        <w:rPr>
          <w:sz w:val="20"/>
          <w:szCs w:val="20"/>
          <w:color w:val="auto"/>
        </w:rPr>
      </w:pPr>
      <w:r>
        <w:rPr>
          <w:rFonts w:ascii="Arial" w:cs="Arial" w:eastAsia="Arial" w:hAnsi="Arial"/>
          <w:sz w:val="13"/>
          <w:szCs w:val="13"/>
          <w:color w:val="auto"/>
        </w:rPr>
        <w:t>3.8. as of the date hereof, it has no defenses against the obligations to pay any amounts under the Credit Agreement. Each Borrower acknowledges that Agents and Lenders have acted in good faith and have conducted in a commercially reasonable manner their relationships with Borrowers in connection with this Amendment and in connection with the Loan Documents.</w:t>
      </w:r>
    </w:p>
    <w:p>
      <w:pPr>
        <w:spacing w:after="0" w:line="49" w:lineRule="exact"/>
        <w:rPr>
          <w:sz w:val="20"/>
          <w:szCs w:val="20"/>
          <w:color w:val="auto"/>
        </w:rPr>
      </w:pPr>
    </w:p>
    <w:p>
      <w:pPr>
        <w:ind w:left="1" w:right="140" w:firstLine="164"/>
        <w:spacing w:after="0" w:line="276" w:lineRule="auto"/>
        <w:rPr>
          <w:sz w:val="20"/>
          <w:szCs w:val="20"/>
          <w:color w:val="auto"/>
        </w:rPr>
      </w:pPr>
      <w:r>
        <w:rPr>
          <w:rFonts w:ascii="Arial" w:cs="Arial" w:eastAsia="Arial" w:hAnsi="Arial"/>
          <w:sz w:val="13"/>
          <w:szCs w:val="13"/>
          <w:color w:val="auto"/>
        </w:rPr>
        <w:t>Each Borrower understands and acknowledges that Agents and Lenders are entering into this Amendment in reliance upon, and in partial consideration for, the above representations and warranties, and agrees that such reliance is reasonable and appropriate.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20" w:name="page121"/>
    <w:bookmarkEnd w:id="120"/>
    <w:p>
      <w:pPr>
        <w:ind w:right="180" w:firstLine="162"/>
        <w:spacing w:after="0" w:line="283" w:lineRule="auto"/>
        <w:tabs>
          <w:tab w:leader="none" w:pos="295"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FFECTIVENESS</w:t>
      </w:r>
      <w:r>
        <w:rPr>
          <w:rFonts w:ascii="Arial" w:cs="Arial" w:eastAsia="Arial" w:hAnsi="Arial"/>
          <w:sz w:val="13"/>
          <w:szCs w:val="13"/>
          <w:color w:val="auto"/>
        </w:rPr>
        <w:t>. The amendments contained in Sections 1.2 and 1.5 of this Amendment will be effective as of July 2, 2010 and the remaining amendments contained in this Amendment will be effective as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specified in the notice from the Agent described in Section 4.3 below upon the satisfaction of all the following conditions precedent: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Amendment</w:t>
      </w:r>
      <w:r>
        <w:rPr>
          <w:rFonts w:ascii="Arial" w:cs="Arial" w:eastAsia="Arial" w:hAnsi="Arial"/>
          <w:sz w:val="13"/>
          <w:szCs w:val="13"/>
          <w:color w:val="auto"/>
        </w:rPr>
        <w:t>. The due execution and delivery of this Amendment to Agent by all parties thereto.</w:t>
      </w:r>
    </w:p>
    <w:p>
      <w:pPr>
        <w:spacing w:after="0" w:line="86" w:lineRule="exact"/>
        <w:rPr>
          <w:sz w:val="20"/>
          <w:szCs w:val="20"/>
          <w:color w:val="auto"/>
        </w:rPr>
      </w:pPr>
    </w:p>
    <w:p>
      <w:pPr>
        <w:ind w:right="60" w:firstLine="164"/>
        <w:spacing w:after="0" w:line="283"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color w:val="auto"/>
        </w:rPr>
        <w:t>Cash Collateral.</w:t>
      </w:r>
      <w:r>
        <w:rPr>
          <w:rFonts w:ascii="Arial" w:cs="Arial" w:eastAsia="Arial" w:hAnsi="Arial"/>
          <w:sz w:val="13"/>
          <w:szCs w:val="13"/>
          <w:color w:val="auto"/>
        </w:rPr>
        <w:t xml:space="preserve"> All outstanding Loans and Letters of Credit shall be secured by Loan Collateral and Cash Collateral, respectively, in an amount not less than 100% of all Loans and Dollar-denominated Letters of Credit and 105% of all non-Dollar-denominated Letters of Credit.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Amendment Fee.</w:t>
      </w:r>
      <w:r>
        <w:rPr>
          <w:rFonts w:ascii="Arial" w:cs="Arial" w:eastAsia="Arial" w:hAnsi="Arial"/>
          <w:sz w:val="13"/>
          <w:szCs w:val="13"/>
          <w:color w:val="auto"/>
        </w:rPr>
        <w:t xml:space="preserve"> Borrowers shall pay an amendment fee in the amount of $10,000 to Agent for the benefit of Lenders.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Agent shall notify Borrowers and Lenders when the foregoing conditions have been satisfied, and such notice shall be conclusive and binding.</w:t>
      </w:r>
    </w:p>
    <w:p>
      <w:pPr>
        <w:spacing w:after="0" w:line="82" w:lineRule="exact"/>
        <w:rPr>
          <w:sz w:val="20"/>
          <w:szCs w:val="20"/>
          <w:color w:val="auto"/>
        </w:rPr>
      </w:pPr>
    </w:p>
    <w:p>
      <w:pPr>
        <w:ind w:firstLine="162"/>
        <w:spacing w:after="0" w:line="283" w:lineRule="auto"/>
        <w:tabs>
          <w:tab w:leader="none" w:pos="295"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OUNTERPARTS</w:t>
      </w:r>
      <w:r>
        <w:rPr>
          <w:rFonts w:ascii="Arial" w:cs="Arial" w:eastAsia="Arial" w:hAnsi="Arial"/>
          <w:sz w:val="13"/>
          <w:szCs w:val="13"/>
          <w:color w:val="auto"/>
        </w:rPr>
        <w:t>. This Amendment may be signed in any number of counterparts, and by different parties hereto in separate counterparts, with the same effect as if the signatures to each such counterpart were upon a</w:t>
      </w:r>
      <w:r>
        <w:rPr>
          <w:rFonts w:ascii="Arial" w:cs="Arial" w:eastAsia="Arial" w:hAnsi="Arial"/>
          <w:sz w:val="13"/>
          <w:szCs w:val="13"/>
          <w:b w:val="1"/>
          <w:bCs w:val="1"/>
          <w:color w:val="auto"/>
        </w:rPr>
        <w:t xml:space="preserve"> </w:t>
      </w:r>
      <w:r>
        <w:rPr>
          <w:rFonts w:ascii="Arial" w:cs="Arial" w:eastAsia="Arial" w:hAnsi="Arial"/>
          <w:sz w:val="13"/>
          <w:szCs w:val="13"/>
          <w:color w:val="auto"/>
        </w:rPr>
        <w:t>single instrument. All counterparts shall be deemed an original of this Amendment.</w:t>
      </w:r>
    </w:p>
    <w:p>
      <w:pPr>
        <w:spacing w:after="0" w:line="40" w:lineRule="exact"/>
        <w:rPr>
          <w:rFonts w:ascii="Arial" w:cs="Arial" w:eastAsia="Arial" w:hAnsi="Arial"/>
          <w:sz w:val="13"/>
          <w:szCs w:val="13"/>
          <w:b w:val="1"/>
          <w:bCs w:val="1"/>
          <w:color w:val="auto"/>
        </w:rPr>
      </w:pPr>
    </w:p>
    <w:p>
      <w:pPr>
        <w:ind w:right="140" w:firstLine="162"/>
        <w:spacing w:after="0" w:line="267" w:lineRule="auto"/>
        <w:tabs>
          <w:tab w:leader="none" w:pos="295"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NTEGRATION</w:t>
      </w:r>
      <w:r>
        <w:rPr>
          <w:rFonts w:ascii="Arial" w:cs="Arial" w:eastAsia="Arial" w:hAnsi="Arial"/>
          <w:sz w:val="13"/>
          <w:szCs w:val="13"/>
          <w:color w:val="auto"/>
        </w:rPr>
        <w:t>. This Amendment and any documents executed in connection herewith or pursuant hereto contain the entire agreement between the parties with respect to the subject matter hereof and supersede all</w:t>
      </w:r>
      <w:r>
        <w:rPr>
          <w:rFonts w:ascii="Arial" w:cs="Arial" w:eastAsia="Arial" w:hAnsi="Arial"/>
          <w:sz w:val="13"/>
          <w:szCs w:val="13"/>
          <w:b w:val="1"/>
          <w:bCs w:val="1"/>
          <w:color w:val="auto"/>
        </w:rPr>
        <w:t xml:space="preserve"> </w:t>
      </w:r>
      <w:r>
        <w:rPr>
          <w:rFonts w:ascii="Arial" w:cs="Arial" w:eastAsia="Arial" w:hAnsi="Arial"/>
          <w:sz w:val="13"/>
          <w:szCs w:val="13"/>
          <w:color w:val="auto"/>
        </w:rPr>
        <w:t>prior agreements, understandings, offers and negotiations, oral or written, with respect thereto and no extrinsic evidence whatsoever may be introduced in any judicial or arbitration proceeding, if any, involving this Amendment.</w:t>
      </w:r>
    </w:p>
    <w:p>
      <w:pPr>
        <w:spacing w:after="0" w:line="51" w:lineRule="exact"/>
        <w:rPr>
          <w:rFonts w:ascii="Arial" w:cs="Arial" w:eastAsia="Arial" w:hAnsi="Arial"/>
          <w:sz w:val="13"/>
          <w:szCs w:val="13"/>
          <w:b w:val="1"/>
          <w:bCs w:val="1"/>
          <w:color w:val="auto"/>
        </w:rPr>
      </w:pPr>
    </w:p>
    <w:p>
      <w:pPr>
        <w:ind w:left="300" w:hanging="138"/>
        <w:spacing w:after="0"/>
        <w:tabs>
          <w:tab w:leader="none" w:pos="30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OVERNING</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SHALL BE GOVERNED BY AND SHALL BE CONSTRUED AND ENFORCED IN ACCORDANCE WITH THE LAWS OF THE STATE OF NEW YORK.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1" w:name="page122"/>
    <w:bookmarkEnd w:id="121"/>
    <w:p>
      <w:pPr>
        <w:ind w:left="160"/>
        <w:spacing w:after="0"/>
        <w:rPr>
          <w:sz w:val="20"/>
          <w:szCs w:val="20"/>
          <w:color w:val="auto"/>
        </w:rPr>
      </w:pPr>
      <w:r>
        <w:rPr>
          <w:rFonts w:ascii="Arial" w:cs="Arial" w:eastAsia="Arial" w:hAnsi="Arial"/>
          <w:sz w:val="13"/>
          <w:szCs w:val="13"/>
          <w:color w:val="auto"/>
        </w:rPr>
        <w:t>IN WITNESS WHEREOF, the parties hereto have caused this Amendment to be executed as of the date first written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ORROWERS</w:t>
            </w:r>
            <w:r>
              <w:rPr>
                <w:rFonts w:ascii="Arial" w:cs="Arial" w:eastAsia="Arial" w:hAnsi="Arial"/>
                <w:sz w:val="13"/>
                <w:szCs w:val="13"/>
                <w:b w:val="1"/>
                <w:bCs w:val="1"/>
                <w:color w:val="auto"/>
              </w:rPr>
              <w:t>:</w:t>
            </w:r>
          </w:p>
        </w:tc>
        <w:tc>
          <w:tcPr>
            <w:tcW w:w="7000" w:type="dxa"/>
            <w:vAlign w:val="bottom"/>
            <w:gridSpan w:val="3"/>
          </w:tcPr>
          <w:p>
            <w:pPr>
              <w:ind w:left="22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VIAT</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ETWORKS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tc>
        <w:tc>
          <w:tcPr>
            <w:tcW w:w="1580" w:type="dxa"/>
            <w:vAlign w:val="bottom"/>
          </w:tcPr>
          <w:p>
            <w:pPr>
              <w:spacing w:after="0"/>
              <w:rPr>
                <w:sz w:val="14"/>
                <w:szCs w:val="14"/>
                <w:color w:val="auto"/>
              </w:rPr>
            </w:pPr>
          </w:p>
        </w:tc>
      </w:tr>
      <w:tr>
        <w:trPr>
          <w:trHeight w:val="165"/>
        </w:trPr>
        <w:tc>
          <w:tcPr>
            <w:tcW w:w="2880" w:type="dxa"/>
            <w:vAlign w:val="bottom"/>
          </w:tcPr>
          <w:p>
            <w:pPr>
              <w:spacing w:after="0"/>
              <w:rPr>
                <w:sz w:val="14"/>
                <w:szCs w:val="1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a Delaware corporation</w:t>
            </w:r>
          </w:p>
        </w:tc>
        <w:tc>
          <w:tcPr>
            <w:tcW w:w="1580" w:type="dxa"/>
            <w:vAlign w:val="bottom"/>
          </w:tcPr>
          <w:p>
            <w:pPr>
              <w:spacing w:after="0"/>
              <w:rPr>
                <w:sz w:val="14"/>
                <w:szCs w:val="14"/>
                <w:color w:val="auto"/>
              </w:rPr>
            </w:pPr>
          </w:p>
        </w:tc>
      </w:tr>
      <w:tr>
        <w:trPr>
          <w:trHeight w:val="315"/>
        </w:trPr>
        <w:tc>
          <w:tcPr>
            <w:tcW w:w="2880" w:type="dxa"/>
            <w:vAlign w:val="bottom"/>
          </w:tcPr>
          <w:p>
            <w:pPr>
              <w:spacing w:after="0"/>
              <w:rPr>
                <w:sz w:val="24"/>
                <w:szCs w:val="2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By:</w:t>
            </w:r>
          </w:p>
        </w:tc>
        <w:tc>
          <w:tcPr>
            <w:tcW w:w="15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5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Printed Name:</w:t>
            </w:r>
          </w:p>
        </w:tc>
        <w:tc>
          <w:tcPr>
            <w:tcW w:w="1580" w:type="dxa"/>
            <w:vAlign w:val="bottom"/>
          </w:tcPr>
          <w:p>
            <w:pPr>
              <w:spacing w:after="0"/>
              <w:rPr>
                <w:sz w:val="12"/>
                <w:szCs w:val="12"/>
                <w:color w:val="auto"/>
              </w:rPr>
            </w:pPr>
          </w:p>
        </w:tc>
      </w:tr>
      <w:tr>
        <w:trPr>
          <w:trHeight w:val="146"/>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3680" w:type="dxa"/>
            <w:vAlign w:val="bottom"/>
            <w:tcBorders>
              <w:top w:val="single" w:sz="8" w:color="auto"/>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296"/>
        </w:trPr>
        <w:tc>
          <w:tcPr>
            <w:tcW w:w="2880" w:type="dxa"/>
            <w:vAlign w:val="bottom"/>
          </w:tcPr>
          <w:p>
            <w:pPr>
              <w:spacing w:after="0"/>
              <w:rPr>
                <w:sz w:val="24"/>
                <w:szCs w:val="2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VIAT</w:t>
            </w:r>
            <w:r>
              <w:rPr>
                <w:rFonts w:ascii="Arial" w:cs="Arial" w:eastAsia="Arial" w:hAnsi="Arial"/>
                <w:sz w:val="13"/>
                <w:szCs w:val="13"/>
                <w:b w:val="1"/>
                <w:bCs w:val="1"/>
                <w:color w:val="auto"/>
              </w:rPr>
              <w:t xml:space="preserve"> U.S.,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tc>
        <w:tc>
          <w:tcPr>
            <w:tcW w:w="1580" w:type="dxa"/>
            <w:vAlign w:val="bottom"/>
          </w:tcPr>
          <w:p>
            <w:pPr>
              <w:spacing w:after="0"/>
              <w:rPr>
                <w:sz w:val="24"/>
                <w:szCs w:val="24"/>
                <w:color w:val="auto"/>
              </w:rPr>
            </w:pPr>
          </w:p>
        </w:tc>
      </w:tr>
      <w:tr>
        <w:trPr>
          <w:trHeight w:val="165"/>
        </w:trPr>
        <w:tc>
          <w:tcPr>
            <w:tcW w:w="2880" w:type="dxa"/>
            <w:vAlign w:val="bottom"/>
          </w:tcPr>
          <w:p>
            <w:pPr>
              <w:spacing w:after="0"/>
              <w:rPr>
                <w:sz w:val="14"/>
                <w:szCs w:val="1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a Delaware corporation</w:t>
            </w:r>
          </w:p>
        </w:tc>
        <w:tc>
          <w:tcPr>
            <w:tcW w:w="1580" w:type="dxa"/>
            <w:vAlign w:val="bottom"/>
          </w:tcPr>
          <w:p>
            <w:pPr>
              <w:spacing w:after="0"/>
              <w:rPr>
                <w:sz w:val="14"/>
                <w:szCs w:val="14"/>
                <w:color w:val="auto"/>
              </w:rPr>
            </w:pPr>
          </w:p>
        </w:tc>
      </w:tr>
      <w:tr>
        <w:trPr>
          <w:trHeight w:val="315"/>
        </w:trPr>
        <w:tc>
          <w:tcPr>
            <w:tcW w:w="2880" w:type="dxa"/>
            <w:vAlign w:val="bottom"/>
          </w:tcPr>
          <w:p>
            <w:pPr>
              <w:spacing w:after="0"/>
              <w:rPr>
                <w:sz w:val="24"/>
                <w:szCs w:val="2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By:</w:t>
            </w:r>
          </w:p>
        </w:tc>
        <w:tc>
          <w:tcPr>
            <w:tcW w:w="15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5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Printed Name:</w:t>
            </w:r>
          </w:p>
        </w:tc>
        <w:tc>
          <w:tcPr>
            <w:tcW w:w="1580" w:type="dxa"/>
            <w:vAlign w:val="bottom"/>
          </w:tcPr>
          <w:p>
            <w:pPr>
              <w:spacing w:after="0"/>
              <w:rPr>
                <w:sz w:val="12"/>
                <w:szCs w:val="12"/>
                <w:color w:val="auto"/>
              </w:rPr>
            </w:pPr>
          </w:p>
        </w:tc>
      </w:tr>
      <w:tr>
        <w:trPr>
          <w:trHeight w:val="146"/>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3680" w:type="dxa"/>
            <w:vAlign w:val="bottom"/>
            <w:tcBorders>
              <w:top w:val="single" w:sz="8" w:color="auto"/>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296"/>
        </w:trPr>
        <w:tc>
          <w:tcPr>
            <w:tcW w:w="2880" w:type="dxa"/>
            <w:vAlign w:val="bottom"/>
          </w:tcPr>
          <w:p>
            <w:pPr>
              <w:spacing w:after="0"/>
              <w:rPr>
                <w:sz w:val="24"/>
                <w:szCs w:val="2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VIAT</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ETWORKS</w:t>
            </w:r>
            <w:r>
              <w:rPr>
                <w:rFonts w:ascii="Arial" w:cs="Arial" w:eastAsia="Arial" w:hAnsi="Arial"/>
                <w:sz w:val="13"/>
                <w:szCs w:val="13"/>
                <w:b w:val="1"/>
                <w:bCs w:val="1"/>
                <w:color w:val="auto"/>
              </w:rPr>
              <w:t xml:space="preserve"> (S) PTE. LTD.</w:t>
            </w:r>
          </w:p>
        </w:tc>
        <w:tc>
          <w:tcPr>
            <w:tcW w:w="1580" w:type="dxa"/>
            <w:vAlign w:val="bottom"/>
          </w:tcPr>
          <w:p>
            <w:pPr>
              <w:spacing w:after="0"/>
              <w:rPr>
                <w:sz w:val="24"/>
                <w:szCs w:val="24"/>
                <w:color w:val="auto"/>
              </w:rPr>
            </w:pPr>
          </w:p>
        </w:tc>
      </w:tr>
      <w:tr>
        <w:trPr>
          <w:trHeight w:val="165"/>
        </w:trPr>
        <w:tc>
          <w:tcPr>
            <w:tcW w:w="2880" w:type="dxa"/>
            <w:vAlign w:val="bottom"/>
          </w:tcPr>
          <w:p>
            <w:pPr>
              <w:spacing w:after="0"/>
              <w:rPr>
                <w:sz w:val="14"/>
                <w:szCs w:val="1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a Singapore corporation</w:t>
            </w:r>
          </w:p>
        </w:tc>
        <w:tc>
          <w:tcPr>
            <w:tcW w:w="1580" w:type="dxa"/>
            <w:vAlign w:val="bottom"/>
          </w:tcPr>
          <w:p>
            <w:pPr>
              <w:spacing w:after="0"/>
              <w:rPr>
                <w:sz w:val="14"/>
                <w:szCs w:val="14"/>
                <w:color w:val="auto"/>
              </w:rPr>
            </w:pPr>
          </w:p>
        </w:tc>
      </w:tr>
      <w:tr>
        <w:trPr>
          <w:trHeight w:val="315"/>
        </w:trPr>
        <w:tc>
          <w:tcPr>
            <w:tcW w:w="2880" w:type="dxa"/>
            <w:vAlign w:val="bottom"/>
          </w:tcPr>
          <w:p>
            <w:pPr>
              <w:spacing w:after="0"/>
              <w:rPr>
                <w:sz w:val="24"/>
                <w:szCs w:val="24"/>
                <w:color w:val="auto"/>
              </w:rPr>
            </w:pPr>
          </w:p>
        </w:tc>
        <w:tc>
          <w:tcPr>
            <w:tcW w:w="7000" w:type="dxa"/>
            <w:vAlign w:val="bottom"/>
            <w:gridSpan w:val="3"/>
          </w:tcPr>
          <w:p>
            <w:pPr>
              <w:ind w:left="2220"/>
              <w:spacing w:after="0"/>
              <w:rPr>
                <w:sz w:val="20"/>
                <w:szCs w:val="20"/>
                <w:color w:val="auto"/>
              </w:rPr>
            </w:pPr>
            <w:r>
              <w:rPr>
                <w:rFonts w:ascii="Arial" w:cs="Arial" w:eastAsia="Arial" w:hAnsi="Arial"/>
                <w:sz w:val="13"/>
                <w:szCs w:val="13"/>
                <w:color w:val="auto"/>
              </w:rPr>
              <w:t>By:</w:t>
            </w:r>
          </w:p>
        </w:tc>
        <w:tc>
          <w:tcPr>
            <w:tcW w:w="15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5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Printed Name:</w:t>
            </w:r>
          </w:p>
        </w:tc>
        <w:tc>
          <w:tcPr>
            <w:tcW w:w="1580" w:type="dxa"/>
            <w:vAlign w:val="bottom"/>
          </w:tcPr>
          <w:p>
            <w:pPr>
              <w:spacing w:after="0"/>
              <w:rPr>
                <w:sz w:val="12"/>
                <w:szCs w:val="12"/>
                <w:color w:val="auto"/>
              </w:rPr>
            </w:pPr>
          </w:p>
        </w:tc>
      </w:tr>
      <w:tr>
        <w:trPr>
          <w:trHeight w:val="146"/>
        </w:trPr>
        <w:tc>
          <w:tcPr>
            <w:tcW w:w="2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3680" w:type="dxa"/>
            <w:vAlign w:val="bottom"/>
            <w:tcBorders>
              <w:top w:val="single" w:sz="8" w:color="auto"/>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285"/>
        </w:trPr>
        <w:tc>
          <w:tcPr>
            <w:tcW w:w="2880" w:type="dxa"/>
            <w:vAlign w:val="bottom"/>
          </w:tcPr>
          <w:p>
            <w:pPr>
              <w:spacing w:after="0"/>
              <w:rPr>
                <w:sz w:val="24"/>
                <w:szCs w:val="24"/>
                <w:color w:val="auto"/>
              </w:rPr>
            </w:pPr>
          </w:p>
        </w:tc>
        <w:tc>
          <w:tcPr>
            <w:tcW w:w="3320" w:type="dxa"/>
            <w:vAlign w:val="bottom"/>
            <w:gridSpan w:val="2"/>
          </w:tcPr>
          <w:p>
            <w:pPr>
              <w:ind w:left="2820"/>
              <w:spacing w:after="0"/>
              <w:rPr>
                <w:sz w:val="20"/>
                <w:szCs w:val="20"/>
                <w:color w:val="auto"/>
              </w:rPr>
            </w:pPr>
            <w:r>
              <w:rPr>
                <w:rFonts w:ascii="Arial" w:cs="Arial" w:eastAsia="Arial" w:hAnsi="Arial"/>
                <w:sz w:val="13"/>
                <w:szCs w:val="13"/>
                <w:color w:val="auto"/>
              </w:rPr>
              <w:t>6</w:t>
            </w:r>
          </w:p>
        </w:tc>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3"/>
        </w:trPr>
        <w:tc>
          <w:tcPr>
            <w:tcW w:w="288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color w:val="auto"/>
        </w:rPr>
        <w:t>AGENTS AND LENDERS:</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ANK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N.A.,</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as Administrative Agent</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10795</wp:posOffset>
            </wp:positionV>
            <wp:extent cx="288353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835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ANK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xml:space="preserve">, N.A., </w:t>
      </w:r>
      <w:r>
        <w:rPr>
          <w:rFonts w:ascii="Arial" w:cs="Arial" w:eastAsia="Arial" w:hAnsi="Arial"/>
          <w:sz w:val="13"/>
          <w:szCs w:val="13"/>
          <w:color w:val="auto"/>
        </w:rPr>
        <w:t>as a Lender,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L/C Issuer and Swing Line Lender</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10795</wp:posOffset>
            </wp:positionV>
            <wp:extent cx="288353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835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ANK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MERICA</w:t>
      </w:r>
      <w:r>
        <w:rPr>
          <w:rFonts w:ascii="Arial" w:cs="Arial" w:eastAsia="Arial" w:hAnsi="Arial"/>
          <w:sz w:val="13"/>
          <w:szCs w:val="13"/>
          <w:b w:val="1"/>
          <w:bCs w:val="1"/>
          <w:color w:val="auto"/>
        </w:rPr>
        <w:t>, N.A., H</w:t>
      </w:r>
      <w:r>
        <w:rPr>
          <w:rFonts w:ascii="Arial" w:cs="Arial" w:eastAsia="Arial" w:hAnsi="Arial"/>
          <w:sz w:val="8"/>
          <w:szCs w:val="8"/>
          <w:b w:val="1"/>
          <w:bCs w:val="1"/>
          <w:color w:val="auto"/>
        </w:rPr>
        <w:t>ONG</w:t>
      </w:r>
      <w:r>
        <w:rPr>
          <w:rFonts w:ascii="Arial" w:cs="Arial" w:eastAsia="Arial" w:hAnsi="Arial"/>
          <w:sz w:val="13"/>
          <w:szCs w:val="13"/>
          <w:b w:val="1"/>
          <w:bCs w:val="1"/>
          <w:color w:val="auto"/>
        </w:rPr>
        <w:t xml:space="preserve"> K</w:t>
      </w:r>
      <w:r>
        <w:rPr>
          <w:rFonts w:ascii="Arial" w:cs="Arial" w:eastAsia="Arial" w:hAnsi="Arial"/>
          <w:sz w:val="8"/>
          <w:szCs w:val="8"/>
          <w:b w:val="1"/>
          <w:bCs w:val="1"/>
          <w:color w:val="auto"/>
        </w:rPr>
        <w:t>ONG</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RANCH</w:t>
      </w:r>
      <w:r>
        <w:rPr>
          <w:rFonts w:ascii="Arial" w:cs="Arial" w:eastAsia="Arial" w:hAnsi="Arial"/>
          <w:sz w:val="13"/>
          <w:szCs w:val="13"/>
          <w:b w:val="1"/>
          <w:bCs w:val="1"/>
          <w:color w:val="auto"/>
        </w:rPr>
        <w:t>,</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as Singapore Loan Agent</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10795</wp:posOffset>
            </wp:positionV>
            <wp:extent cx="288353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835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ILICON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ALLEY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ANK</w:t>
      </w:r>
      <w:r>
        <w:rPr>
          <w:rFonts w:ascii="Arial" w:cs="Arial" w:eastAsia="Arial" w:hAnsi="Arial"/>
          <w:sz w:val="13"/>
          <w:szCs w:val="13"/>
          <w:b w:val="1"/>
          <w:bCs w:val="1"/>
          <w:color w:val="auto"/>
        </w:rPr>
        <w:t xml:space="preserve">, </w:t>
      </w:r>
      <w:r>
        <w:rPr>
          <w:rFonts w:ascii="Arial" w:cs="Arial" w:eastAsia="Arial" w:hAnsi="Arial"/>
          <w:sz w:val="13"/>
          <w:szCs w:val="13"/>
          <w:color w:val="auto"/>
        </w:rPr>
        <w:t>as a Lender and</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L/C Issuer</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10795</wp:posOffset>
            </wp:positionV>
            <wp:extent cx="288353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835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10795</wp:posOffset>
            </wp:positionV>
            <wp:extent cx="235331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53310" cy="6350"/>
                    </a:xfrm>
                    <a:prstGeom prst="rect">
                      <a:avLst/>
                    </a:prstGeom>
                    <a:noFill/>
                  </pic:spPr>
                </pic:pic>
              </a:graphicData>
            </a:graphic>
          </wp:anchor>
        </w:drawing>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39"/>
          </w:cols>
          <w:pgMar w:left="220" w:top="1031"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60" w:type="dxa"/>
            <w:vAlign w:val="bottom"/>
          </w:tcPr>
          <w:p>
            <w:pPr>
              <w:spacing w:after="0"/>
              <w:rPr>
                <w:sz w:val="13"/>
                <w:szCs w:val="13"/>
                <w:color w:val="auto"/>
              </w:rPr>
            </w:pPr>
          </w:p>
        </w:tc>
        <w:tc>
          <w:tcPr>
            <w:tcW w:w="7800" w:type="dxa"/>
            <w:vAlign w:val="bottom"/>
            <w:gridSpan w:val="3"/>
          </w:tcPr>
          <w:p>
            <w:pPr>
              <w:jc w:val="center"/>
              <w:ind w:right="3603"/>
              <w:spacing w:after="0"/>
              <w:rPr>
                <w:sz w:val="20"/>
                <w:szCs w:val="20"/>
                <w:color w:val="auto"/>
              </w:rPr>
            </w:pPr>
            <w:r>
              <w:rPr>
                <w:rFonts w:ascii="Arial" w:cs="Arial" w:eastAsia="Arial" w:hAnsi="Arial"/>
                <w:sz w:val="13"/>
                <w:szCs w:val="13"/>
                <w:b w:val="1"/>
                <w:bCs w:val="1"/>
                <w:color w:val="auto"/>
              </w:rPr>
              <w:t>AVIAT NETWORKS, INC.</w:t>
            </w:r>
          </w:p>
        </w:tc>
      </w:tr>
      <w:tr>
        <w:trPr>
          <w:trHeight w:val="157"/>
        </w:trPr>
        <w:tc>
          <w:tcPr>
            <w:tcW w:w="3660" w:type="dxa"/>
            <w:vAlign w:val="bottom"/>
          </w:tcPr>
          <w:p>
            <w:pPr>
              <w:spacing w:after="0"/>
              <w:rPr>
                <w:sz w:val="13"/>
                <w:szCs w:val="13"/>
                <w:color w:val="auto"/>
              </w:rPr>
            </w:pPr>
          </w:p>
        </w:tc>
        <w:tc>
          <w:tcPr>
            <w:tcW w:w="7800" w:type="dxa"/>
            <w:vAlign w:val="bottom"/>
            <w:gridSpan w:val="3"/>
          </w:tcPr>
          <w:p>
            <w:pPr>
              <w:jc w:val="center"/>
              <w:ind w:right="3603"/>
              <w:spacing w:after="0"/>
              <w:rPr>
                <w:sz w:val="20"/>
                <w:szCs w:val="20"/>
                <w:color w:val="auto"/>
              </w:rPr>
            </w:pPr>
            <w:r>
              <w:rPr>
                <w:rFonts w:ascii="Arial" w:cs="Arial" w:eastAsia="Arial" w:hAnsi="Arial"/>
                <w:sz w:val="13"/>
                <w:szCs w:val="13"/>
                <w:b w:val="1"/>
                <w:bCs w:val="1"/>
                <w:color w:val="auto"/>
                <w:w w:val="97"/>
              </w:rPr>
              <w:t>SUBSIDIARIES AS OF JULY 2, 2010</w:t>
            </w:r>
          </w:p>
        </w:tc>
      </w:tr>
      <w:tr>
        <w:trPr>
          <w:trHeight w:val="169"/>
        </w:trPr>
        <w:tc>
          <w:tcPr>
            <w:tcW w:w="3660" w:type="dxa"/>
            <w:vAlign w:val="bottom"/>
          </w:tcPr>
          <w:p>
            <w:pPr>
              <w:spacing w:after="0"/>
              <w:rPr>
                <w:sz w:val="14"/>
                <w:szCs w:val="14"/>
                <w:color w:val="auto"/>
              </w:rPr>
            </w:pPr>
          </w:p>
        </w:tc>
        <w:tc>
          <w:tcPr>
            <w:tcW w:w="7800" w:type="dxa"/>
            <w:vAlign w:val="bottom"/>
            <w:gridSpan w:val="3"/>
          </w:tcPr>
          <w:p>
            <w:pPr>
              <w:jc w:val="center"/>
              <w:ind w:right="3583"/>
              <w:spacing w:after="0"/>
              <w:rPr>
                <w:sz w:val="20"/>
                <w:szCs w:val="20"/>
                <w:color w:val="auto"/>
              </w:rPr>
            </w:pPr>
            <w:r>
              <w:rPr>
                <w:rFonts w:ascii="Arial" w:cs="Arial" w:eastAsia="Arial" w:hAnsi="Arial"/>
                <w:sz w:val="13"/>
                <w:szCs w:val="13"/>
                <w:b w:val="1"/>
                <w:bCs w:val="1"/>
                <w:color w:val="auto"/>
                <w:w w:val="92"/>
              </w:rPr>
              <w:t>(100% direct or indirect ownership by Aviat Networks, Inc.)</w:t>
            </w:r>
          </w:p>
        </w:tc>
      </w:tr>
      <w:tr>
        <w:trPr>
          <w:trHeight w:val="254"/>
        </w:trPr>
        <w:tc>
          <w:tcPr>
            <w:tcW w:w="36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160" w:type="dxa"/>
            <w:vAlign w:val="bottom"/>
          </w:tcPr>
          <w:p>
            <w:pPr>
              <w:jc w:val="center"/>
              <w:spacing w:after="0"/>
              <w:rPr>
                <w:sz w:val="20"/>
                <w:szCs w:val="20"/>
                <w:color w:val="auto"/>
              </w:rPr>
            </w:pPr>
            <w:r>
              <w:rPr>
                <w:rFonts w:ascii="Arial" w:cs="Arial" w:eastAsia="Arial" w:hAnsi="Arial"/>
                <w:sz w:val="10"/>
                <w:szCs w:val="10"/>
                <w:color w:val="auto"/>
                <w:w w:val="95"/>
              </w:rPr>
              <w:t>State or Other Jurisdiction</w:t>
            </w:r>
          </w:p>
        </w:tc>
      </w:tr>
      <w:tr>
        <w:trPr>
          <w:trHeight w:val="121"/>
        </w:trPr>
        <w:tc>
          <w:tcPr>
            <w:tcW w:w="3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 of Subsidiary</w:t>
            </w:r>
          </w:p>
        </w:tc>
        <w:tc>
          <w:tcPr>
            <w:tcW w:w="20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of Incorporation</w:t>
            </w:r>
          </w:p>
        </w:tc>
      </w:tr>
      <w:tr>
        <w:trPr>
          <w:trHeight w:val="138"/>
        </w:trPr>
        <w:tc>
          <w:tcPr>
            <w:tcW w:w="3660" w:type="dxa"/>
            <w:vAlign w:val="bottom"/>
          </w:tcPr>
          <w:p>
            <w:pPr>
              <w:spacing w:after="0" w:line="139" w:lineRule="exact"/>
              <w:rPr>
                <w:sz w:val="20"/>
                <w:szCs w:val="20"/>
                <w:color w:val="auto"/>
              </w:rPr>
            </w:pPr>
            <w:r>
              <w:rPr>
                <w:rFonts w:ascii="Arial" w:cs="Arial" w:eastAsia="Arial" w:hAnsi="Arial"/>
                <w:sz w:val="13"/>
                <w:szCs w:val="13"/>
                <w:color w:val="auto"/>
              </w:rPr>
              <w:t>Harris Stratex Networks Algeria S.A.R.L.</w:t>
            </w:r>
          </w:p>
        </w:tc>
        <w:tc>
          <w:tcPr>
            <w:tcW w:w="2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60" w:type="dxa"/>
            <w:vAlign w:val="bottom"/>
          </w:tcPr>
          <w:p>
            <w:pPr>
              <w:spacing w:after="0" w:line="139" w:lineRule="exact"/>
              <w:rPr>
                <w:sz w:val="20"/>
                <w:szCs w:val="20"/>
                <w:color w:val="auto"/>
              </w:rPr>
            </w:pPr>
            <w:r>
              <w:rPr>
                <w:rFonts w:ascii="Arial" w:cs="Arial" w:eastAsia="Arial" w:hAnsi="Arial"/>
                <w:sz w:val="13"/>
                <w:szCs w:val="13"/>
                <w:color w:val="auto"/>
              </w:rPr>
              <w:t>Algeria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Harris Communication Argentina SA</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Argentina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(Australia) Pty. Ltd.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Australia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(Bangladesh)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Bangladesh</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Brasil Servicos em Communicacoes Ltda.</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Brazil</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Stratex Networks do Brasil Ltda.</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Brazil</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Canada ULC</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Canada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Communications Technology (Shenzhen) Company Ltd.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The People’s Republic of China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Harris Communication France S.A.S.</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France</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Stratex Networks S.A.R.L.</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France</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Ghana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Ghana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Holland B.V.</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The Netherlands</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HK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Hong Kong</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(India) Private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India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Telsima Communications Private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India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Pt. Aviat Networks Indonesia</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Indonesia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Côte d’Ivoire</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Ivory Coast</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(Kenya)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Kenya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Malaysia Sdn. Bhd.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Malaysia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Digital Microwave (Mauritius) Private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Mauritius</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México S.A. de C.V.</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Mexico</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(NZ)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New Zealand</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Harris Communications Systems Nigeria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Nigeria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Stratex Networks Nigeria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Nigeria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(Clark) Corporation</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The Philippines</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Philippines, Inc.</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The Philippines</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Polska Sp. z.o.o.</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Poland</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(S) Pte. Ltd.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Republic of Singapore</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Telsima storitveno podjetje, d.o.o.</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Slovenia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(South Africa) (Proprietary)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Republic of South Africa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MAS Technology Holdings (Proprietary)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Republic of South Africa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DMC Stratex Networks (South Africa) (Proprietary)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Republic of South Africa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Tanzania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Tanzania</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(Thailand) Ltd.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Thailand</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Networks (UK) Limited</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International Holdings, Inc.</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Aviat U.S., Inc.</w:t>
            </w:r>
          </w:p>
        </w:tc>
        <w:tc>
          <w:tcPr>
            <w:tcW w:w="2080" w:type="dxa"/>
            <w:vAlign w:val="bottom"/>
          </w:tcPr>
          <w:p>
            <w:pPr>
              <w:spacing w:after="0"/>
              <w:rPr>
                <w:sz w:val="13"/>
                <w:szCs w:val="13"/>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65"/>
        </w:trPr>
        <w:tc>
          <w:tcPr>
            <w:tcW w:w="3660" w:type="dxa"/>
            <w:vAlign w:val="bottom"/>
          </w:tcPr>
          <w:p>
            <w:pPr>
              <w:spacing w:after="0"/>
              <w:rPr>
                <w:sz w:val="20"/>
                <w:szCs w:val="20"/>
                <w:color w:val="auto"/>
              </w:rPr>
            </w:pPr>
            <w:r>
              <w:rPr>
                <w:rFonts w:ascii="Arial" w:cs="Arial" w:eastAsia="Arial" w:hAnsi="Arial"/>
                <w:sz w:val="13"/>
                <w:szCs w:val="13"/>
                <w:color w:val="auto"/>
              </w:rPr>
              <w:t>Telsima Corporation</w:t>
            </w:r>
          </w:p>
        </w:tc>
        <w:tc>
          <w:tcPr>
            <w:tcW w:w="2080" w:type="dxa"/>
            <w:vAlign w:val="bottom"/>
          </w:tcPr>
          <w:p>
            <w:pPr>
              <w:spacing w:after="0"/>
              <w:rPr>
                <w:sz w:val="14"/>
                <w:szCs w:val="14"/>
                <w:color w:val="auto"/>
              </w:rPr>
            </w:pPr>
          </w:p>
        </w:tc>
        <w:tc>
          <w:tcPr>
            <w:tcW w:w="57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 of Aviat Networks, Inc.:</w:t>
      </w:r>
    </w:p>
    <w:p>
      <w:pPr>
        <w:spacing w:after="0" w:line="86" w:lineRule="exact"/>
        <w:rPr>
          <w:sz w:val="20"/>
          <w:szCs w:val="20"/>
          <w:color w:val="auto"/>
        </w:rPr>
      </w:pPr>
    </w:p>
    <w:p>
      <w:pPr>
        <w:ind w:left="680" w:hanging="455"/>
        <w:spacing w:after="0"/>
        <w:tabs>
          <w:tab w:leader="none" w:pos="68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Registration Statement on Form S-8 (No. 333-140442) pertaining to the Aviat Networks, Inc. 2007 Stock Equity Plan;</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Registration Statement on Form S-8 (No. 333-163542) pertaining to the Aviat Networks, Inc. 2007 Stock Equity Plan and Aviat Networks, Inc. 2010 Employee Stock Purchase Plan;</w:t>
      </w:r>
    </w:p>
    <w:p>
      <w:pPr>
        <w:spacing w:after="0" w:line="96" w:lineRule="exact"/>
        <w:rPr>
          <w:rFonts w:ascii="Arial" w:cs="Arial" w:eastAsia="Arial" w:hAnsi="Arial"/>
          <w:sz w:val="13"/>
          <w:szCs w:val="13"/>
          <w:b w:val="1"/>
          <w:bCs w:val="1"/>
          <w:color w:val="auto"/>
        </w:rPr>
      </w:pPr>
    </w:p>
    <w:p>
      <w:pPr>
        <w:ind w:left="680" w:hanging="455"/>
        <w:spacing w:after="0"/>
        <w:tabs>
          <w:tab w:leader="none" w:pos="680" w:val="left"/>
        </w:tabs>
        <w:numPr>
          <w:ilvl w:val="0"/>
          <w:numId w:val="60"/>
        </w:numPr>
        <w:rPr>
          <w:rFonts w:ascii="Arial" w:cs="Arial" w:eastAsia="Arial" w:hAnsi="Arial"/>
          <w:sz w:val="13"/>
          <w:szCs w:val="13"/>
          <w:b w:val="1"/>
          <w:bCs w:val="1"/>
          <w:color w:val="auto"/>
        </w:rPr>
      </w:pPr>
      <w:r>
        <w:rPr>
          <w:rFonts w:ascii="Arial" w:cs="Arial" w:eastAsia="Arial" w:hAnsi="Arial"/>
          <w:sz w:val="13"/>
          <w:szCs w:val="13"/>
          <w:color w:val="auto"/>
        </w:rPr>
        <w:t>Registration Statement (Form S-3 No. 333-140193) pertaining to the registration of 520,445 shares of Class A Common Stock issued or issuable by Aviat Networks, Inc.</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of our reports dated September 9, 2010, with respect to the consolidated financial statements and schedule of Aviat Networks, Inc. and the effectiveness of internal control over financial reporting of Aviat Networks, Inc.</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included in this Annual Report (Form 10-K) for the year ended July 2, 2010.</w:t>
      </w:r>
    </w:p>
    <w:p>
      <w:pPr>
        <w:spacing w:after="0" w:line="79" w:lineRule="exact"/>
        <w:rPr>
          <w:sz w:val="20"/>
          <w:szCs w:val="20"/>
          <w:color w:val="auto"/>
        </w:rPr>
      </w:pPr>
    </w:p>
    <w:p>
      <w:pPr>
        <w:ind w:left="606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September 9, 2010</w:t>
      </w:r>
    </w:p>
    <w:p>
      <w:pPr>
        <w:sectPr>
          <w:pgSz w:w="11900" w:h="16838" w:orient="portrait"/>
          <w:cols w:equalWidth="0" w:num="1">
            <w:col w:w="11460"/>
          </w:cols>
          <w:pgMar w:left="220" w:top="127"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Charles D. Kissner, certify that:</w:t>
      </w:r>
    </w:p>
    <w:p>
      <w:pPr>
        <w:spacing w:after="0" w:line="86" w:lineRule="exact"/>
        <w:rPr>
          <w:sz w:val="20"/>
          <w:szCs w:val="20"/>
          <w:color w:val="auto"/>
        </w:rPr>
      </w:pPr>
    </w:p>
    <w:p>
      <w:pPr>
        <w:ind w:left="221" w:hanging="221"/>
        <w:spacing w:after="0"/>
        <w:tabs>
          <w:tab w:leader="none" w:pos="221" w:val="left"/>
        </w:tabs>
        <w:numPr>
          <w:ilvl w:val="0"/>
          <w:numId w:val="61"/>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the fiscal year ended July 2, 2010, of Aviat Networks, Inc.;</w:t>
      </w:r>
    </w:p>
    <w:p>
      <w:pPr>
        <w:spacing w:after="0" w:line="9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221" w:right="240" w:hanging="221"/>
        <w:spacing w:after="0" w:line="276" w:lineRule="auto"/>
        <w:tabs>
          <w:tab w:leader="none" w:pos="221"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20" w:hanging="455"/>
        <w:spacing w:after="0" w:line="320" w:lineRule="auto"/>
        <w:tabs>
          <w:tab w:leader="none" w:pos="681"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hanging="455"/>
        <w:spacing w:after="0" w:line="276" w:lineRule="auto"/>
        <w:tabs>
          <w:tab w:leader="none" w:pos="681" w:val="left"/>
        </w:tabs>
        <w:numPr>
          <w:ilvl w:val="1"/>
          <w:numId w:val="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00" w:hanging="455"/>
        <w:spacing w:after="0" w:line="276" w:lineRule="auto"/>
        <w:tabs>
          <w:tab w:leader="none" w:pos="681" w:val="left"/>
        </w:tabs>
        <w:numPr>
          <w:ilvl w:val="1"/>
          <w:numId w:val="6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681" w:right="240" w:hanging="455"/>
        <w:spacing w:after="0" w:line="276" w:lineRule="auto"/>
        <w:tabs>
          <w:tab w:leader="none" w:pos="681" w:val="left"/>
        </w:tabs>
        <w:numPr>
          <w:ilvl w:val="1"/>
          <w:numId w:val="6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340" w:type="dxa"/>
            <w:vAlign w:val="bottom"/>
          </w:tcPr>
          <w:p>
            <w:pPr>
              <w:spacing w:after="0"/>
              <w:rPr>
                <w:sz w:val="20"/>
                <w:szCs w:val="20"/>
                <w:color w:val="auto"/>
              </w:rPr>
            </w:pPr>
            <w:r>
              <w:rPr>
                <w:rFonts w:ascii="Arial" w:cs="Arial" w:eastAsia="Arial" w:hAnsi="Arial"/>
                <w:sz w:val="13"/>
                <w:szCs w:val="13"/>
                <w:color w:val="auto"/>
              </w:rPr>
              <w:t>Date: September 9, 2010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D. Kissner</w:t>
            </w:r>
          </w:p>
        </w:tc>
      </w:tr>
      <w:tr>
        <w:trPr>
          <w:trHeight w:val="139"/>
        </w:trPr>
        <w:tc>
          <w:tcPr>
            <w:tcW w:w="5340" w:type="dxa"/>
            <w:vAlign w:val="bottom"/>
          </w:tcPr>
          <w:p>
            <w:pPr>
              <w:spacing w:after="0"/>
              <w:rPr>
                <w:sz w:val="12"/>
                <w:szCs w:val="12"/>
                <w:color w:val="auto"/>
              </w:rPr>
            </w:pPr>
          </w:p>
        </w:tc>
        <w:tc>
          <w:tcPr>
            <w:tcW w:w="4440" w:type="dxa"/>
            <w:vAlign w:val="bottom"/>
          </w:tcPr>
          <w:p>
            <w:pPr>
              <w:spacing w:after="0" w:line="139" w:lineRule="exact"/>
              <w:rPr>
                <w:sz w:val="20"/>
                <w:szCs w:val="20"/>
                <w:color w:val="auto"/>
              </w:rPr>
            </w:pPr>
            <w:r>
              <w:rPr>
                <w:rFonts w:ascii="Arial" w:cs="Arial" w:eastAsia="Arial" w:hAnsi="Arial"/>
                <w:sz w:val="13"/>
                <w:szCs w:val="13"/>
                <w:color w:val="auto"/>
              </w:rPr>
              <w:t>Name: Charles D. Kissner</w:t>
            </w:r>
          </w:p>
        </w:tc>
      </w:tr>
      <w:tr>
        <w:trPr>
          <w:trHeight w:val="165"/>
        </w:trPr>
        <w:tc>
          <w:tcPr>
            <w:tcW w:w="53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Chief Executive Officer and Chairman of the Board</w:t>
            </w:r>
          </w:p>
        </w:tc>
      </w:tr>
    </w:tbl>
    <w:p>
      <w:pPr>
        <w:sectPr>
          <w:pgSz w:w="11900" w:h="16838" w:orient="portrait"/>
          <w:cols w:equalWidth="0" w:num="1">
            <w:col w:w="11461"/>
          </w:cols>
          <w:pgMar w:left="219" w:top="127"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Thomas L. Cronan III, certify that:</w:t>
      </w:r>
    </w:p>
    <w:p>
      <w:pPr>
        <w:spacing w:after="0" w:line="86" w:lineRule="exact"/>
        <w:rPr>
          <w:sz w:val="20"/>
          <w:szCs w:val="20"/>
          <w:color w:val="auto"/>
        </w:rPr>
      </w:pPr>
    </w:p>
    <w:p>
      <w:pPr>
        <w:ind w:left="221" w:hanging="221"/>
        <w:spacing w:after="0"/>
        <w:tabs>
          <w:tab w:leader="none" w:pos="2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the fiscal year ended July 2, 2010, of Aviat Networks, Inc.;</w:t>
      </w:r>
    </w:p>
    <w:p>
      <w:pPr>
        <w:spacing w:after="0" w:line="9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221" w:right="240" w:hanging="221"/>
        <w:spacing w:after="0" w:line="276" w:lineRule="auto"/>
        <w:tabs>
          <w:tab w:leader="none" w:pos="2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20" w:hanging="455"/>
        <w:spacing w:after="0" w:line="320" w:lineRule="auto"/>
        <w:tabs>
          <w:tab w:leader="none" w:pos="681"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hanging="455"/>
        <w:spacing w:after="0" w:line="276" w:lineRule="auto"/>
        <w:tabs>
          <w:tab w:leader="none" w:pos="681" w:val="left"/>
        </w:tabs>
        <w:numPr>
          <w:ilvl w:val="1"/>
          <w:numId w:val="6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00" w:hanging="455"/>
        <w:spacing w:after="0" w:line="276" w:lineRule="auto"/>
        <w:tabs>
          <w:tab w:leader="none" w:pos="681" w:val="left"/>
        </w:tabs>
        <w:numPr>
          <w:ilvl w:val="1"/>
          <w:numId w:val="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681" w:right="240" w:hanging="455"/>
        <w:spacing w:after="0" w:line="276" w:lineRule="auto"/>
        <w:tabs>
          <w:tab w:leader="none" w:pos="681" w:val="left"/>
        </w:tabs>
        <w:numPr>
          <w:ilvl w:val="1"/>
          <w:numId w:val="6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340" w:type="dxa"/>
            <w:vAlign w:val="bottom"/>
          </w:tcPr>
          <w:p>
            <w:pPr>
              <w:spacing w:after="0"/>
              <w:rPr>
                <w:sz w:val="20"/>
                <w:szCs w:val="20"/>
                <w:color w:val="auto"/>
              </w:rPr>
            </w:pPr>
            <w:r>
              <w:rPr>
                <w:rFonts w:ascii="Arial" w:cs="Arial" w:eastAsia="Arial" w:hAnsi="Arial"/>
                <w:sz w:val="13"/>
                <w:szCs w:val="13"/>
                <w:color w:val="auto"/>
              </w:rPr>
              <w:t>Date: September 9, 2010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Cronan III</w:t>
            </w:r>
          </w:p>
        </w:tc>
      </w:tr>
      <w:tr>
        <w:trPr>
          <w:trHeight w:val="139"/>
        </w:trPr>
        <w:tc>
          <w:tcPr>
            <w:tcW w:w="5340" w:type="dxa"/>
            <w:vAlign w:val="bottom"/>
          </w:tcPr>
          <w:p>
            <w:pPr>
              <w:spacing w:after="0"/>
              <w:rPr>
                <w:sz w:val="12"/>
                <w:szCs w:val="12"/>
                <w:color w:val="auto"/>
              </w:rPr>
            </w:pPr>
          </w:p>
        </w:tc>
        <w:tc>
          <w:tcPr>
            <w:tcW w:w="4440" w:type="dxa"/>
            <w:vAlign w:val="bottom"/>
          </w:tcPr>
          <w:p>
            <w:pPr>
              <w:spacing w:after="0" w:line="139" w:lineRule="exact"/>
              <w:rPr>
                <w:sz w:val="20"/>
                <w:szCs w:val="20"/>
                <w:color w:val="auto"/>
              </w:rPr>
            </w:pPr>
            <w:r>
              <w:rPr>
                <w:rFonts w:ascii="Arial" w:cs="Arial" w:eastAsia="Arial" w:hAnsi="Arial"/>
                <w:sz w:val="13"/>
                <w:szCs w:val="13"/>
                <w:color w:val="auto"/>
              </w:rPr>
              <w:t>Name: Thomas L. Cronan III</w:t>
            </w:r>
          </w:p>
        </w:tc>
      </w:tr>
      <w:tr>
        <w:trPr>
          <w:trHeight w:val="165"/>
        </w:trPr>
        <w:tc>
          <w:tcPr>
            <w:tcW w:w="53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Senior Vice President and Chief Financial Officer</w:t>
            </w:r>
          </w:p>
        </w:tc>
      </w:tr>
    </w:tbl>
    <w:p>
      <w:pPr>
        <w:sectPr>
          <w:pgSz w:w="11900" w:h="16838" w:orient="portrait"/>
          <w:cols w:equalWidth="0" w:num="1">
            <w:col w:w="11461"/>
          </w:cols>
          <w:pgMar w:left="219" w:top="441"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Section 1350 of Chapter 63 of Title 18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United States Code 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Sarbanes-Oxley Act of 2002</w:t>
      </w:r>
    </w:p>
    <w:p>
      <w:pPr>
        <w:spacing w:after="0" w:line="79" w:lineRule="exact"/>
        <w:rPr>
          <w:sz w:val="20"/>
          <w:szCs w:val="20"/>
          <w:color w:val="auto"/>
        </w:rPr>
      </w:pPr>
    </w:p>
    <w:p>
      <w:pPr>
        <w:ind w:left="1" w:right="60" w:firstLine="164"/>
        <w:spacing w:after="0" w:line="276" w:lineRule="auto"/>
        <w:rPr>
          <w:sz w:val="20"/>
          <w:szCs w:val="20"/>
          <w:color w:val="auto"/>
        </w:rPr>
      </w:pPr>
      <w:r>
        <w:rPr>
          <w:rFonts w:ascii="Arial" w:cs="Arial" w:eastAsia="Arial" w:hAnsi="Arial"/>
          <w:sz w:val="13"/>
          <w:szCs w:val="13"/>
          <w:color w:val="auto"/>
        </w:rPr>
        <w:t>In connection with the filing of the Annual Report on Form 10-K of Aviat Networks, Inc. (“Aviat Networks”) for the fiscal year ended July 2, 2010, as filed with the Securities and Exchange Commission on the date hereof (the “Report”), the undersigned, Charles D. Kissner, hereby certifies, pursuant to Section 906 of the Sarbanes-Oxley Act of 2002, 18 U.S.C. §1350, that:</w:t>
      </w:r>
    </w:p>
    <w:p>
      <w:pPr>
        <w:spacing w:after="0" w:line="49" w:lineRule="exact"/>
        <w:rPr>
          <w:sz w:val="20"/>
          <w:szCs w:val="20"/>
          <w:color w:val="auto"/>
        </w:rPr>
      </w:pPr>
    </w:p>
    <w:p>
      <w:pPr>
        <w:ind w:left="221" w:hanging="221"/>
        <w:spacing w:after="0"/>
        <w:tabs>
          <w:tab w:leader="none" w:pos="22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as amended; and</w:t>
      </w:r>
    </w:p>
    <w:p>
      <w:pPr>
        <w:spacing w:after="0" w:line="96" w:lineRule="exact"/>
        <w:rPr>
          <w:rFonts w:ascii="Arial" w:cs="Arial" w:eastAsia="Arial" w:hAnsi="Arial"/>
          <w:sz w:val="13"/>
          <w:szCs w:val="13"/>
          <w:color w:val="auto"/>
        </w:rPr>
      </w:pPr>
    </w:p>
    <w:p>
      <w:pPr>
        <w:ind w:left="221" w:hanging="221"/>
        <w:spacing w:after="0"/>
        <w:tabs>
          <w:tab w:leader="none" w:pos="221"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Aviat Networks as of the dates and for the periods expressed in the Report.</w:t>
      </w:r>
    </w:p>
    <w:p>
      <w:pPr>
        <w:spacing w:after="0" w:line="334"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340" w:type="dxa"/>
            <w:vAlign w:val="bottom"/>
          </w:tcPr>
          <w:p>
            <w:pPr>
              <w:spacing w:after="0"/>
              <w:rPr>
                <w:sz w:val="20"/>
                <w:szCs w:val="20"/>
                <w:color w:val="auto"/>
              </w:rPr>
            </w:pPr>
            <w:r>
              <w:rPr>
                <w:rFonts w:ascii="Arial" w:cs="Arial" w:eastAsia="Arial" w:hAnsi="Arial"/>
                <w:sz w:val="13"/>
                <w:szCs w:val="13"/>
                <w:color w:val="auto"/>
              </w:rPr>
              <w:t>Date: September 9, 2010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D. Kissner</w:t>
            </w:r>
          </w:p>
        </w:tc>
      </w:tr>
      <w:tr>
        <w:trPr>
          <w:trHeight w:val="139"/>
        </w:trPr>
        <w:tc>
          <w:tcPr>
            <w:tcW w:w="5340" w:type="dxa"/>
            <w:vAlign w:val="bottom"/>
          </w:tcPr>
          <w:p>
            <w:pPr>
              <w:spacing w:after="0"/>
              <w:rPr>
                <w:sz w:val="12"/>
                <w:szCs w:val="12"/>
                <w:color w:val="auto"/>
              </w:rPr>
            </w:pPr>
          </w:p>
        </w:tc>
        <w:tc>
          <w:tcPr>
            <w:tcW w:w="4440" w:type="dxa"/>
            <w:vAlign w:val="bottom"/>
          </w:tcPr>
          <w:p>
            <w:pPr>
              <w:spacing w:after="0" w:line="139" w:lineRule="exact"/>
              <w:rPr>
                <w:sz w:val="20"/>
                <w:szCs w:val="20"/>
                <w:color w:val="auto"/>
              </w:rPr>
            </w:pPr>
            <w:r>
              <w:rPr>
                <w:rFonts w:ascii="Arial" w:cs="Arial" w:eastAsia="Arial" w:hAnsi="Arial"/>
                <w:sz w:val="13"/>
                <w:szCs w:val="13"/>
                <w:color w:val="auto"/>
              </w:rPr>
              <w:t>Name: Charles D. Kissner</w:t>
            </w:r>
          </w:p>
        </w:tc>
      </w:tr>
      <w:tr>
        <w:trPr>
          <w:trHeight w:val="165"/>
        </w:trPr>
        <w:tc>
          <w:tcPr>
            <w:tcW w:w="53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Chief Executive Officer and Chairman of the Board</w:t>
            </w:r>
          </w:p>
        </w:tc>
      </w:tr>
    </w:tbl>
    <w:p>
      <w:pPr>
        <w:sectPr>
          <w:pgSz w:w="11900" w:h="16838" w:orient="portrait"/>
          <w:cols w:equalWidth="0" w:num="1">
            <w:col w:w="11461"/>
          </w:cols>
          <w:pgMar w:left="219" w:top="441"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Section 1350 of Chapter 63 of Title 18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United States Code 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Sarbanes-Oxley Act of 2002</w:t>
      </w:r>
    </w:p>
    <w:p>
      <w:pPr>
        <w:spacing w:after="0" w:line="79" w:lineRule="exact"/>
        <w:rPr>
          <w:sz w:val="20"/>
          <w:szCs w:val="20"/>
          <w:color w:val="auto"/>
        </w:rPr>
      </w:pPr>
    </w:p>
    <w:p>
      <w:pPr>
        <w:ind w:left="1" w:right="60" w:firstLine="164"/>
        <w:spacing w:after="0" w:line="276" w:lineRule="auto"/>
        <w:rPr>
          <w:sz w:val="20"/>
          <w:szCs w:val="20"/>
          <w:color w:val="auto"/>
        </w:rPr>
      </w:pPr>
      <w:r>
        <w:rPr>
          <w:rFonts w:ascii="Arial" w:cs="Arial" w:eastAsia="Arial" w:hAnsi="Arial"/>
          <w:sz w:val="13"/>
          <w:szCs w:val="13"/>
          <w:color w:val="auto"/>
        </w:rPr>
        <w:t>In connection with the filing of the Annual Report on Form 10-K of Aviat Networks, Inc. (“Aviat Networks”) for the fiscal year ended July 2, 2010, as filed with the Securities and Exchange Commission on the date hereof (the “Report”), the undersigned, Thomas L. Cronan III, hereby certifies, pursuant to Section 906 of the Sarbanes-Oxley Act of 2002, 18 U.S.C. §1350, that:</w:t>
      </w:r>
    </w:p>
    <w:p>
      <w:pPr>
        <w:spacing w:after="0" w:line="49" w:lineRule="exact"/>
        <w:rPr>
          <w:sz w:val="20"/>
          <w:szCs w:val="20"/>
          <w:color w:val="auto"/>
        </w:rPr>
      </w:pPr>
    </w:p>
    <w:p>
      <w:pPr>
        <w:ind w:left="221" w:hanging="221"/>
        <w:spacing w:after="0"/>
        <w:tabs>
          <w:tab w:leader="none" w:pos="22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as amended; and</w:t>
      </w:r>
    </w:p>
    <w:p>
      <w:pPr>
        <w:spacing w:after="0" w:line="96" w:lineRule="exact"/>
        <w:rPr>
          <w:rFonts w:ascii="Arial" w:cs="Arial" w:eastAsia="Arial" w:hAnsi="Arial"/>
          <w:sz w:val="13"/>
          <w:szCs w:val="13"/>
          <w:color w:val="auto"/>
        </w:rPr>
      </w:pPr>
    </w:p>
    <w:p>
      <w:pPr>
        <w:ind w:left="221" w:hanging="221"/>
        <w:spacing w:after="0"/>
        <w:tabs>
          <w:tab w:leader="none" w:pos="221"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Aviat Networks as of the dates and for the periods expressed in the Report.</w:t>
      </w:r>
    </w:p>
    <w:p>
      <w:pPr>
        <w:spacing w:after="0" w:line="334"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340" w:type="dxa"/>
            <w:vAlign w:val="bottom"/>
          </w:tcPr>
          <w:p>
            <w:pPr>
              <w:spacing w:after="0"/>
              <w:rPr>
                <w:sz w:val="20"/>
                <w:szCs w:val="20"/>
                <w:color w:val="auto"/>
              </w:rPr>
            </w:pPr>
            <w:r>
              <w:rPr>
                <w:rFonts w:ascii="Arial" w:cs="Arial" w:eastAsia="Arial" w:hAnsi="Arial"/>
                <w:sz w:val="13"/>
                <w:szCs w:val="13"/>
                <w:color w:val="auto"/>
              </w:rPr>
              <w:t>Date: September 9, 2010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Cronan III</w:t>
            </w:r>
          </w:p>
        </w:tc>
      </w:tr>
      <w:tr>
        <w:trPr>
          <w:trHeight w:val="139"/>
        </w:trPr>
        <w:tc>
          <w:tcPr>
            <w:tcW w:w="5340" w:type="dxa"/>
            <w:vAlign w:val="bottom"/>
          </w:tcPr>
          <w:p>
            <w:pPr>
              <w:spacing w:after="0"/>
              <w:rPr>
                <w:sz w:val="12"/>
                <w:szCs w:val="12"/>
                <w:color w:val="auto"/>
              </w:rPr>
            </w:pPr>
          </w:p>
        </w:tc>
        <w:tc>
          <w:tcPr>
            <w:tcW w:w="4440" w:type="dxa"/>
            <w:vAlign w:val="bottom"/>
          </w:tcPr>
          <w:p>
            <w:pPr>
              <w:spacing w:after="0" w:line="139" w:lineRule="exact"/>
              <w:rPr>
                <w:sz w:val="20"/>
                <w:szCs w:val="20"/>
                <w:color w:val="auto"/>
              </w:rPr>
            </w:pPr>
            <w:r>
              <w:rPr>
                <w:rFonts w:ascii="Arial" w:cs="Arial" w:eastAsia="Arial" w:hAnsi="Arial"/>
                <w:sz w:val="13"/>
                <w:szCs w:val="13"/>
                <w:color w:val="auto"/>
              </w:rPr>
              <w:t>Name: Thomas L. Cronan III</w:t>
            </w:r>
          </w:p>
        </w:tc>
      </w:tr>
      <w:tr>
        <w:trPr>
          <w:trHeight w:val="165"/>
        </w:trPr>
        <w:tc>
          <w:tcPr>
            <w:tcW w:w="53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61"/>
      </w:cols>
      <w:pgMar w:left="219"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lvl w:ilvl="1">
      <w:lvlJc w:val="left"/>
      <w:lvlText w:val="(%2)"/>
      <w:numFmt w:val="lowerLetter"/>
      <w:start w:val="1"/>
    </w:lvl>
  </w:abstractNum>
  <w:abstractNum w:abstractNumId="48">
    <w:nsid w:val="39386575"/>
    <w:multiLevelType w:val="hybridMultilevel"/>
    <w:lvl w:ilvl="0">
      <w:lvlJc w:val="left"/>
      <w:lvlText w:val="%1."/>
      <w:numFmt w:val="decimal"/>
      <w:start w:val="1"/>
    </w:lvl>
    <w:lvl w:ilvl="1">
      <w:lvlJc w:val="left"/>
      <w:lvlText w:val="%2"/>
      <w:numFmt w:val="lowerLetter"/>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lowerRoman"/>
      <w:start w:val="2"/>
    </w:lvl>
  </w:abstractNum>
  <w:abstractNum w:abstractNumId="54">
    <w:nsid w:val="15B5AF5C"/>
    <w:multiLevelType w:val="hybridMultilevel"/>
    <w:lvl w:ilvl="0">
      <w:lvlJc w:val="left"/>
      <w:lvlText w:val="%1."/>
      <w:numFmt w:val="decimal"/>
      <w:start w:val="2"/>
    </w:lvl>
  </w:abstractNum>
  <w:abstractNum w:abstractNumId="55">
    <w:nsid w:val="741226BB"/>
    <w:multiLevelType w:val="hybridMultilevel"/>
    <w:lvl w:ilvl="0">
      <w:lvlJc w:val="left"/>
      <w:lvlText w:val="%1."/>
      <w:numFmt w:val="decimal"/>
      <w:start w:val="3"/>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decimal"/>
      <w:start w:val="4"/>
    </w:lvl>
  </w:abstractNum>
  <w:abstractNum w:abstractNumId="58">
    <w:nsid w:val="3F6AB60F"/>
    <w:multiLevelType w:val="hybridMultilevel"/>
    <w:lvl w:ilvl="0">
      <w:lvlJc w:val="left"/>
      <w:lvlText w:val="%1."/>
      <w:numFmt w:val="decimal"/>
      <w:start w:val="5"/>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2019-12-11T04:16:04Z</dcterms:created>
  <dcterms:modified xsi:type="dcterms:W3CDTF">2019-12-11T04:16:04Z</dcterms:modified>
</cp:coreProperties>
</file>