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1"/>
          <w:szCs w:val="11"/>
          <w:b w:val="1"/>
          <w:bCs w:val="1"/>
          <w:u w:val="single" w:color="auto"/>
          <w:color w:val="0000EE"/>
        </w:rPr>
      </w:pPr>
      <w:hyperlink w:anchor="page3">
        <w:r>
          <w:rPr>
            <w:rFonts w:ascii="Arial" w:cs="Arial" w:eastAsia="Arial" w:hAnsi="Arial"/>
            <w:sz w:val="11"/>
            <w:szCs w:val="11"/>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170815</wp:posOffset>
            </wp:positionV>
            <wp:extent cx="6846570" cy="4540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46570" cy="454025"/>
                    </a:xfrm>
                    <a:prstGeom prst="rect">
                      <a:avLst/>
                    </a:prstGeom>
                    <a:noFill/>
                  </pic:spPr>
                </pic:pic>
              </a:graphicData>
            </a:graphic>
          </wp:anchor>
        </w:drawing>
      </w:r>
    </w:p>
    <w:p>
      <w:pPr>
        <w:sectPr>
          <w:pgSz w:w="11900" w:h="16838" w:orient="portrait"/>
          <w:cols w:equalWidth="0" w:num="1">
            <w:col w:w="11120"/>
          </w:cols>
          <w:pgMar w:left="220" w:top="127"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339"/>
        <w:spacing w:after="0"/>
        <w:rPr>
          <w:sz w:val="20"/>
          <w:szCs w:val="20"/>
          <w:color w:val="auto"/>
        </w:rPr>
      </w:pPr>
      <w:r>
        <w:rPr>
          <w:rFonts w:ascii="Arial" w:cs="Arial" w:eastAsia="Arial" w:hAnsi="Arial"/>
          <w:sz w:val="19"/>
          <w:szCs w:val="19"/>
          <w:b w:val="1"/>
          <w:bCs w:val="1"/>
          <w:color w:val="auto"/>
        </w:rPr>
        <w:t>UNITED STATES SECURITIES AND EXCHANGE COMMISSION</w:t>
      </w:r>
    </w:p>
    <w:p>
      <w:pPr>
        <w:spacing w:after="0" w:line="17" w:lineRule="exact"/>
        <w:rPr>
          <w:sz w:val="20"/>
          <w:szCs w:val="20"/>
          <w:color w:val="auto"/>
        </w:rPr>
      </w:pPr>
    </w:p>
    <w:p>
      <w:pPr>
        <w:jc w:val="center"/>
        <w:ind w:right="-339"/>
        <w:spacing w:after="0"/>
        <w:rPr>
          <w:sz w:val="20"/>
          <w:szCs w:val="20"/>
          <w:color w:val="auto"/>
        </w:rPr>
      </w:pPr>
      <w:r>
        <w:rPr>
          <w:rFonts w:ascii="Arial" w:cs="Arial" w:eastAsia="Arial" w:hAnsi="Arial"/>
          <w:sz w:val="16"/>
          <w:szCs w:val="16"/>
          <w:b w:val="1"/>
          <w:bCs w:val="1"/>
          <w:color w:val="auto"/>
        </w:rPr>
        <w:t>Washington, D.C. 20549</w:t>
      </w:r>
    </w:p>
    <w:p>
      <w:pPr>
        <w:spacing w:after="0" w:line="8" w:lineRule="exact"/>
        <w:rPr>
          <w:sz w:val="20"/>
          <w:szCs w:val="20"/>
          <w:color w:val="auto"/>
        </w:rPr>
      </w:pPr>
    </w:p>
    <w:p>
      <w:pPr>
        <w:jc w:val="center"/>
        <w:ind w:right="-339"/>
        <w:spacing w:after="0"/>
        <w:rPr>
          <w:sz w:val="20"/>
          <w:szCs w:val="20"/>
          <w:color w:val="auto"/>
        </w:rPr>
      </w:pPr>
      <w:r>
        <w:rPr>
          <w:rFonts w:ascii="Arial" w:cs="Arial" w:eastAsia="Arial" w:hAnsi="Arial"/>
          <w:sz w:val="24"/>
          <w:szCs w:val="24"/>
          <w:b w:val="1"/>
          <w:bCs w:val="1"/>
          <w:color w:val="auto"/>
        </w:rPr>
        <w:t>Form 10-K</w:t>
      </w:r>
    </w:p>
    <w:p>
      <w:pPr>
        <w:spacing w:after="0" w:line="48" w:lineRule="exact"/>
        <w:rPr>
          <w:sz w:val="20"/>
          <w:szCs w:val="20"/>
          <w:color w:val="auto"/>
        </w:rPr>
      </w:pPr>
    </w:p>
    <w:p>
      <w:pPr>
        <w:ind w:left="620"/>
        <w:spacing w:after="0"/>
        <w:rPr>
          <w:sz w:val="20"/>
          <w:szCs w:val="20"/>
          <w:color w:val="auto"/>
        </w:rPr>
      </w:pPr>
      <w:r>
        <w:rPr>
          <w:rFonts w:ascii="Arial" w:cs="Arial" w:eastAsia="Arial" w:hAnsi="Arial"/>
          <w:sz w:val="13"/>
          <w:szCs w:val="13"/>
          <w:color w:val="auto"/>
        </w:rPr>
        <w:t>(Mark One)</w:t>
      </w:r>
    </w:p>
    <w:p>
      <w:pPr>
        <w:spacing w:after="0" w:line="22" w:lineRule="exact"/>
        <w:rPr>
          <w:sz w:val="20"/>
          <w:szCs w:val="20"/>
          <w:color w:val="auto"/>
        </w:rPr>
      </w:pPr>
    </w:p>
    <w:p>
      <w:pPr>
        <w:ind w:left="1740" w:hanging="863"/>
        <w:spacing w:after="0"/>
        <w:tabs>
          <w:tab w:leader="none" w:pos="1740" w:val="left"/>
        </w:tabs>
        <w:numPr>
          <w:ilvl w:val="0"/>
          <w:numId w:val="1"/>
        </w:numPr>
        <w:rPr>
          <w:rFonts w:ascii="MS PGothic" w:cs="MS PGothic" w:eastAsia="MS PGothic" w:hAnsi="MS PGothic"/>
          <w:sz w:val="15"/>
          <w:szCs w:val="15"/>
          <w:color w:val="auto"/>
          <w:highlight w:val="black"/>
        </w:rPr>
      </w:pPr>
      <w:r>
        <w:rPr>
          <w:rFonts w:ascii="Arial" w:cs="Arial" w:eastAsia="Arial" w:hAnsi="Arial"/>
          <w:sz w:val="15"/>
          <w:szCs w:val="15"/>
          <w:b w:val="1"/>
          <w:bCs w:val="1"/>
          <w:color w:val="auto"/>
        </w:rPr>
        <w:t>ANNUAL REPORT PURSUANT TO SECTION 13 OR 15(d) OF THE SECURITIES EXCHANGE ACT OF 1934</w:t>
      </w:r>
    </w:p>
    <w:p>
      <w:pPr>
        <w:spacing w:after="0" w:line="10" w:lineRule="exact"/>
        <w:rPr>
          <w:rFonts w:ascii="MS PGothic" w:cs="MS PGothic" w:eastAsia="MS PGothic" w:hAnsi="MS PGothic"/>
          <w:sz w:val="15"/>
          <w:szCs w:val="15"/>
          <w:color w:val="auto"/>
          <w:highlight w:val="black"/>
        </w:rPr>
      </w:pPr>
    </w:p>
    <w:p>
      <w:pPr>
        <w:ind w:left="1740"/>
        <w:spacing w:after="0"/>
        <w:rPr>
          <w:rFonts w:ascii="MS PGothic" w:cs="MS PGothic" w:eastAsia="MS PGothic" w:hAnsi="MS PGothic"/>
          <w:sz w:val="15"/>
          <w:szCs w:val="15"/>
          <w:color w:val="auto"/>
          <w:highlight w:val="black"/>
        </w:rPr>
      </w:pPr>
      <w:r>
        <w:rPr>
          <w:rFonts w:ascii="Arial" w:cs="Arial" w:eastAsia="Arial" w:hAnsi="Arial"/>
          <w:sz w:val="13"/>
          <w:szCs w:val="13"/>
          <w:b w:val="1"/>
          <w:bCs w:val="1"/>
          <w:color w:val="auto"/>
        </w:rPr>
        <w:t>For the fiscal year ended July 3, 2009</w:t>
      </w:r>
    </w:p>
    <w:p>
      <w:pPr>
        <w:spacing w:after="0" w:line="10" w:lineRule="exact"/>
        <w:rPr>
          <w:sz w:val="20"/>
          <w:szCs w:val="20"/>
          <w:color w:val="auto"/>
        </w:rPr>
      </w:pPr>
    </w:p>
    <w:p>
      <w:pPr>
        <w:jc w:val="center"/>
        <w:ind w:right="-339"/>
        <w:spacing w:after="0"/>
        <w:rPr>
          <w:sz w:val="20"/>
          <w:szCs w:val="20"/>
          <w:color w:val="auto"/>
        </w:rPr>
      </w:pPr>
      <w:r>
        <w:rPr>
          <w:rFonts w:ascii="Arial" w:cs="Arial" w:eastAsia="Arial" w:hAnsi="Arial"/>
          <w:sz w:val="13"/>
          <w:szCs w:val="13"/>
          <w:b w:val="1"/>
          <w:bCs w:val="1"/>
          <w:color w:val="auto"/>
        </w:rPr>
        <w:t>or</w:t>
      </w:r>
    </w:p>
    <w:p>
      <w:pPr>
        <w:spacing w:after="0" w:line="21" w:lineRule="exact"/>
        <w:rPr>
          <w:sz w:val="20"/>
          <w:szCs w:val="20"/>
          <w:color w:val="auto"/>
        </w:rPr>
      </w:pPr>
    </w:p>
    <w:p>
      <w:pPr>
        <w:ind w:left="1740" w:hanging="834"/>
        <w:spacing w:after="0"/>
        <w:tabs>
          <w:tab w:leader="none" w:pos="1740" w:val="left"/>
        </w:tabs>
        <w:numPr>
          <w:ilvl w:val="0"/>
          <w:numId w:val="2"/>
        </w:numPr>
        <w:rPr>
          <w:rFonts w:ascii="Arial" w:cs="Arial" w:eastAsia="Arial" w:hAnsi="Arial"/>
          <w:sz w:val="15"/>
          <w:szCs w:val="15"/>
          <w:b w:val="1"/>
          <w:bCs w:val="1"/>
          <w:color w:val="auto"/>
        </w:rPr>
      </w:pPr>
      <w:r>
        <w:rPr>
          <w:rFonts w:ascii="Arial" w:cs="Arial" w:eastAsia="Arial" w:hAnsi="Arial"/>
          <w:sz w:val="15"/>
          <w:szCs w:val="15"/>
          <w:b w:val="1"/>
          <w:bCs w:val="1"/>
          <w:color w:val="auto"/>
        </w:rPr>
        <w:t>TRANSITION REPORT PURSUANT TO SECTION 13 OR 15(d) OF THE SECURITIES EXCHANGE ACT OF 1934</w:t>
      </w:r>
    </w:p>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174"/>
        </w:trPr>
        <w:tc>
          <w:tcPr>
            <w:tcW w:w="3140" w:type="dxa"/>
            <w:vAlign w:val="bottom"/>
            <w:gridSpan w:val="2"/>
          </w:tcPr>
          <w:p>
            <w:pPr>
              <w:ind w:left="1080"/>
              <w:spacing w:after="0"/>
              <w:rPr>
                <w:sz w:val="20"/>
                <w:szCs w:val="20"/>
                <w:color w:val="auto"/>
              </w:rPr>
            </w:pPr>
            <w:r>
              <w:rPr>
                <w:rFonts w:ascii="Arial" w:cs="Arial" w:eastAsia="Arial" w:hAnsi="Arial"/>
                <w:sz w:val="13"/>
                <w:szCs w:val="13"/>
                <w:b w:val="1"/>
                <w:bCs w:val="1"/>
                <w:color w:val="auto"/>
              </w:rPr>
              <w:t>For the transition period from</w:t>
            </w:r>
          </w:p>
        </w:tc>
        <w:tc>
          <w:tcPr>
            <w:tcW w:w="3000" w:type="dxa"/>
            <w:vAlign w:val="bottom"/>
          </w:tcPr>
          <w:p>
            <w:pPr>
              <w:ind w:left="20"/>
              <w:spacing w:after="0"/>
              <w:rPr>
                <w:sz w:val="20"/>
                <w:szCs w:val="20"/>
                <w:color w:val="auto"/>
              </w:rPr>
            </w:pPr>
            <w:r>
              <w:rPr>
                <w:rFonts w:ascii="Arial" w:cs="Arial" w:eastAsia="Arial" w:hAnsi="Arial"/>
                <w:sz w:val="13"/>
                <w:szCs w:val="13"/>
                <w:b w:val="1"/>
                <w:bCs w:val="1"/>
                <w:color w:val="auto"/>
              </w:rPr>
              <w:t>to</w:t>
            </w:r>
          </w:p>
        </w:tc>
        <w:tc>
          <w:tcPr>
            <w:tcW w:w="1720" w:type="dxa"/>
            <w:vAlign w:val="bottom"/>
          </w:tcPr>
          <w:p>
            <w:pPr>
              <w:spacing w:after="0"/>
              <w:rPr>
                <w:sz w:val="15"/>
                <w:szCs w:val="15"/>
                <w:color w:val="auto"/>
              </w:rPr>
            </w:pPr>
          </w:p>
        </w:tc>
        <w:tc>
          <w:tcPr>
            <w:tcW w:w="2040" w:type="dxa"/>
            <w:vAlign w:val="bottom"/>
          </w:tcPr>
          <w:p>
            <w:pPr>
              <w:spacing w:after="0"/>
              <w:rPr>
                <w:sz w:val="15"/>
                <w:szCs w:val="15"/>
                <w:color w:val="auto"/>
              </w:rPr>
            </w:pPr>
          </w:p>
        </w:tc>
      </w:tr>
      <w:tr>
        <w:trPr>
          <w:trHeight w:val="177"/>
        </w:trPr>
        <w:tc>
          <w:tcPr>
            <w:tcW w:w="2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0" w:type="dxa"/>
            <w:vAlign w:val="bottom"/>
          </w:tcPr>
          <w:p>
            <w:pPr>
              <w:jc w:val="center"/>
              <w:ind w:left="818"/>
              <w:spacing w:after="0"/>
              <w:rPr>
                <w:sz w:val="20"/>
                <w:szCs w:val="20"/>
                <w:color w:val="auto"/>
              </w:rPr>
            </w:pPr>
            <w:r>
              <w:rPr>
                <w:rFonts w:ascii="Arial" w:cs="Arial" w:eastAsia="Arial" w:hAnsi="Arial"/>
                <w:sz w:val="13"/>
                <w:szCs w:val="13"/>
                <w:b w:val="1"/>
                <w:bCs w:val="1"/>
                <w:color w:val="auto"/>
                <w:w w:val="93"/>
              </w:rPr>
              <w:t>Commission File Number 001-33278</w:t>
            </w:r>
          </w:p>
        </w:tc>
        <w:tc>
          <w:tcPr>
            <w:tcW w:w="1720" w:type="dxa"/>
            <w:vAlign w:val="bottom"/>
          </w:tcPr>
          <w:p>
            <w:pPr>
              <w:spacing w:after="0"/>
              <w:rPr>
                <w:sz w:val="15"/>
                <w:szCs w:val="15"/>
                <w:color w:val="auto"/>
              </w:rPr>
            </w:pPr>
          </w:p>
        </w:tc>
        <w:tc>
          <w:tcPr>
            <w:tcW w:w="2040" w:type="dxa"/>
            <w:vAlign w:val="bottom"/>
          </w:tcPr>
          <w:p>
            <w:pPr>
              <w:spacing w:after="0"/>
              <w:rPr>
                <w:sz w:val="15"/>
                <w:szCs w:val="15"/>
                <w:color w:val="auto"/>
              </w:rPr>
            </w:pPr>
          </w:p>
        </w:tc>
      </w:tr>
      <w:tr>
        <w:trPr>
          <w:trHeight w:val="391"/>
        </w:trPr>
        <w:tc>
          <w:tcPr>
            <w:tcW w:w="9900" w:type="dxa"/>
            <w:vAlign w:val="bottom"/>
            <w:gridSpan w:val="5"/>
          </w:tcPr>
          <w:p>
            <w:pPr>
              <w:jc w:val="center"/>
              <w:ind w:left="195"/>
              <w:spacing w:after="0"/>
              <w:rPr>
                <w:sz w:val="20"/>
                <w:szCs w:val="20"/>
                <w:color w:val="auto"/>
              </w:rPr>
            </w:pPr>
            <w:r>
              <w:rPr>
                <w:rFonts w:ascii="Arial" w:cs="Arial" w:eastAsia="Arial" w:hAnsi="Arial"/>
                <w:sz w:val="32"/>
                <w:szCs w:val="32"/>
                <w:b w:val="1"/>
                <w:bCs w:val="1"/>
                <w:color w:val="auto"/>
              </w:rPr>
              <w:t>HARRIS STRATEX NETWORKS, INC.</w:t>
            </w:r>
          </w:p>
        </w:tc>
      </w:tr>
      <w:tr>
        <w:trPr>
          <w:trHeight w:val="136"/>
        </w:trPr>
        <w:tc>
          <w:tcPr>
            <w:tcW w:w="2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760" w:type="dxa"/>
            <w:vAlign w:val="bottom"/>
            <w:gridSpan w:val="3"/>
          </w:tcPr>
          <w:p>
            <w:pPr>
              <w:jc w:val="center"/>
              <w:ind w:right="2826"/>
              <w:spacing w:after="0"/>
              <w:rPr>
                <w:sz w:val="20"/>
                <w:szCs w:val="20"/>
                <w:color w:val="auto"/>
              </w:rPr>
            </w:pPr>
            <w:r>
              <w:rPr>
                <w:rFonts w:ascii="Arial" w:cs="Arial" w:eastAsia="Arial" w:hAnsi="Arial"/>
                <w:sz w:val="11"/>
                <w:szCs w:val="11"/>
                <w:i w:val="1"/>
                <w:iCs w:val="1"/>
                <w:color w:val="auto"/>
                <w:w w:val="89"/>
              </w:rPr>
              <w:t>(Exact name of registrant as specified in its charter)</w:t>
            </w:r>
          </w:p>
        </w:tc>
      </w:tr>
      <w:tr>
        <w:trPr>
          <w:trHeight w:val="189"/>
        </w:trPr>
        <w:tc>
          <w:tcPr>
            <w:tcW w:w="3140" w:type="dxa"/>
            <w:vAlign w:val="bottom"/>
            <w:gridSpan w:val="2"/>
          </w:tcPr>
          <w:p>
            <w:pPr>
              <w:jc w:val="center"/>
              <w:ind w:left="1555"/>
              <w:spacing w:after="0"/>
              <w:rPr>
                <w:sz w:val="20"/>
                <w:szCs w:val="20"/>
                <w:color w:val="auto"/>
              </w:rPr>
            </w:pPr>
            <w:r>
              <w:rPr>
                <w:rFonts w:ascii="Arial" w:cs="Arial" w:eastAsia="Arial" w:hAnsi="Arial"/>
                <w:sz w:val="12"/>
                <w:szCs w:val="12"/>
                <w:b w:val="1"/>
                <w:bCs w:val="1"/>
                <w:color w:val="auto"/>
                <w:w w:val="91"/>
              </w:rPr>
              <w:t>Delaware</w:t>
            </w:r>
          </w:p>
        </w:tc>
        <w:tc>
          <w:tcPr>
            <w:tcW w:w="3000" w:type="dxa"/>
            <w:vAlign w:val="bottom"/>
          </w:tcPr>
          <w:p>
            <w:pPr>
              <w:spacing w:after="0"/>
              <w:rPr>
                <w:sz w:val="16"/>
                <w:szCs w:val="16"/>
                <w:color w:val="auto"/>
              </w:rPr>
            </w:pPr>
          </w:p>
        </w:tc>
        <w:tc>
          <w:tcPr>
            <w:tcW w:w="3760" w:type="dxa"/>
            <w:vAlign w:val="bottom"/>
            <w:gridSpan w:val="2"/>
          </w:tcPr>
          <w:p>
            <w:pPr>
              <w:jc w:val="right"/>
              <w:ind w:right="1726"/>
              <w:spacing w:after="0"/>
              <w:rPr>
                <w:sz w:val="20"/>
                <w:szCs w:val="20"/>
                <w:color w:val="auto"/>
              </w:rPr>
            </w:pPr>
            <w:r>
              <w:rPr>
                <w:rFonts w:ascii="Arial" w:cs="Arial" w:eastAsia="Arial" w:hAnsi="Arial"/>
                <w:sz w:val="12"/>
                <w:szCs w:val="12"/>
                <w:b w:val="1"/>
                <w:bCs w:val="1"/>
                <w:color w:val="auto"/>
              </w:rPr>
              <w:t>20-5961564</w:t>
            </w:r>
          </w:p>
        </w:tc>
      </w:tr>
      <w:tr>
        <w:trPr>
          <w:trHeight w:val="101"/>
        </w:trPr>
        <w:tc>
          <w:tcPr>
            <w:tcW w:w="3140" w:type="dxa"/>
            <w:vAlign w:val="bottom"/>
            <w:gridSpan w:val="2"/>
          </w:tcPr>
          <w:p>
            <w:pPr>
              <w:jc w:val="center"/>
              <w:ind w:left="1575"/>
              <w:spacing w:after="0" w:line="101" w:lineRule="exact"/>
              <w:rPr>
                <w:sz w:val="20"/>
                <w:szCs w:val="20"/>
                <w:color w:val="auto"/>
              </w:rPr>
            </w:pPr>
            <w:r>
              <w:rPr>
                <w:rFonts w:ascii="Arial" w:cs="Arial" w:eastAsia="Arial" w:hAnsi="Arial"/>
                <w:sz w:val="9"/>
                <w:szCs w:val="9"/>
                <w:i w:val="1"/>
                <w:iCs w:val="1"/>
                <w:color w:val="auto"/>
                <w:w w:val="97"/>
              </w:rPr>
              <w:t>(State or other jurisdiction of</w:t>
            </w:r>
          </w:p>
        </w:tc>
        <w:tc>
          <w:tcPr>
            <w:tcW w:w="3000" w:type="dxa"/>
            <w:vAlign w:val="bottom"/>
          </w:tcPr>
          <w:p>
            <w:pPr>
              <w:spacing w:after="0"/>
              <w:rPr>
                <w:sz w:val="8"/>
                <w:szCs w:val="8"/>
                <w:color w:val="auto"/>
              </w:rPr>
            </w:pPr>
          </w:p>
        </w:tc>
        <w:tc>
          <w:tcPr>
            <w:tcW w:w="3760" w:type="dxa"/>
            <w:vAlign w:val="bottom"/>
            <w:gridSpan w:val="2"/>
          </w:tcPr>
          <w:p>
            <w:pPr>
              <w:jc w:val="center"/>
              <w:ind w:right="326"/>
              <w:spacing w:after="0" w:line="101" w:lineRule="exact"/>
              <w:rPr>
                <w:sz w:val="20"/>
                <w:szCs w:val="20"/>
                <w:color w:val="auto"/>
              </w:rPr>
            </w:pPr>
            <w:r>
              <w:rPr>
                <w:rFonts w:ascii="Arial" w:cs="Arial" w:eastAsia="Arial" w:hAnsi="Arial"/>
                <w:sz w:val="9"/>
                <w:szCs w:val="9"/>
                <w:i w:val="1"/>
                <w:iCs w:val="1"/>
                <w:color w:val="auto"/>
                <w:w w:val="93"/>
              </w:rPr>
              <w:t>(I.R.S. Employer</w:t>
            </w:r>
          </w:p>
        </w:tc>
      </w:tr>
      <w:tr>
        <w:trPr>
          <w:trHeight w:val="101"/>
        </w:trPr>
        <w:tc>
          <w:tcPr>
            <w:tcW w:w="3140" w:type="dxa"/>
            <w:vAlign w:val="bottom"/>
            <w:gridSpan w:val="2"/>
          </w:tcPr>
          <w:p>
            <w:pPr>
              <w:jc w:val="center"/>
              <w:ind w:left="1555"/>
              <w:spacing w:after="0" w:line="101" w:lineRule="exact"/>
              <w:rPr>
                <w:sz w:val="20"/>
                <w:szCs w:val="20"/>
                <w:color w:val="auto"/>
              </w:rPr>
            </w:pPr>
            <w:r>
              <w:rPr>
                <w:rFonts w:ascii="Arial" w:cs="Arial" w:eastAsia="Arial" w:hAnsi="Arial"/>
                <w:sz w:val="9"/>
                <w:szCs w:val="9"/>
                <w:i w:val="1"/>
                <w:iCs w:val="1"/>
                <w:color w:val="auto"/>
                <w:w w:val="99"/>
              </w:rPr>
              <w:t>incorporation or organization)</w:t>
            </w:r>
          </w:p>
        </w:tc>
        <w:tc>
          <w:tcPr>
            <w:tcW w:w="3000" w:type="dxa"/>
            <w:vAlign w:val="bottom"/>
          </w:tcPr>
          <w:p>
            <w:pPr>
              <w:spacing w:after="0"/>
              <w:rPr>
                <w:sz w:val="8"/>
                <w:szCs w:val="8"/>
                <w:color w:val="auto"/>
              </w:rPr>
            </w:pPr>
          </w:p>
        </w:tc>
        <w:tc>
          <w:tcPr>
            <w:tcW w:w="3760" w:type="dxa"/>
            <w:vAlign w:val="bottom"/>
            <w:gridSpan w:val="2"/>
          </w:tcPr>
          <w:p>
            <w:pPr>
              <w:jc w:val="center"/>
              <w:ind w:right="326"/>
              <w:spacing w:after="0" w:line="101" w:lineRule="exact"/>
              <w:rPr>
                <w:sz w:val="20"/>
                <w:szCs w:val="20"/>
                <w:color w:val="auto"/>
              </w:rPr>
            </w:pPr>
            <w:r>
              <w:rPr>
                <w:rFonts w:ascii="Arial" w:cs="Arial" w:eastAsia="Arial" w:hAnsi="Arial"/>
                <w:sz w:val="9"/>
                <w:szCs w:val="9"/>
                <w:i w:val="1"/>
                <w:iCs w:val="1"/>
                <w:color w:val="auto"/>
                <w:w w:val="99"/>
              </w:rPr>
              <w:t>Identification No.)</w:t>
            </w:r>
          </w:p>
        </w:tc>
      </w:tr>
      <w:tr>
        <w:trPr>
          <w:trHeight w:val="151"/>
        </w:trPr>
        <w:tc>
          <w:tcPr>
            <w:tcW w:w="3140" w:type="dxa"/>
            <w:vAlign w:val="bottom"/>
            <w:gridSpan w:val="2"/>
          </w:tcPr>
          <w:p>
            <w:pPr>
              <w:jc w:val="center"/>
              <w:ind w:left="1575"/>
              <w:spacing w:after="0"/>
              <w:rPr>
                <w:sz w:val="20"/>
                <w:szCs w:val="20"/>
                <w:color w:val="auto"/>
              </w:rPr>
            </w:pPr>
            <w:r>
              <w:rPr>
                <w:rFonts w:ascii="Arial" w:cs="Arial" w:eastAsia="Arial" w:hAnsi="Arial"/>
                <w:sz w:val="12"/>
                <w:szCs w:val="12"/>
                <w:b w:val="1"/>
                <w:bCs w:val="1"/>
                <w:color w:val="auto"/>
                <w:w w:val="92"/>
              </w:rPr>
              <w:t>637 Davis Drive</w:t>
            </w:r>
          </w:p>
        </w:tc>
        <w:tc>
          <w:tcPr>
            <w:tcW w:w="3000" w:type="dxa"/>
            <w:vAlign w:val="bottom"/>
          </w:tcPr>
          <w:p>
            <w:pPr>
              <w:spacing w:after="0"/>
              <w:rPr>
                <w:sz w:val="13"/>
                <w:szCs w:val="13"/>
                <w:color w:val="auto"/>
              </w:rPr>
            </w:pPr>
          </w:p>
        </w:tc>
        <w:tc>
          <w:tcPr>
            <w:tcW w:w="3760" w:type="dxa"/>
            <w:vAlign w:val="bottom"/>
            <w:gridSpan w:val="2"/>
          </w:tcPr>
          <w:p>
            <w:pPr>
              <w:jc w:val="right"/>
              <w:ind w:right="1866"/>
              <w:spacing w:after="0"/>
              <w:rPr>
                <w:sz w:val="20"/>
                <w:szCs w:val="20"/>
                <w:color w:val="auto"/>
              </w:rPr>
            </w:pPr>
            <w:r>
              <w:rPr>
                <w:rFonts w:ascii="Arial" w:cs="Arial" w:eastAsia="Arial" w:hAnsi="Arial"/>
                <w:sz w:val="12"/>
                <w:szCs w:val="12"/>
                <w:b w:val="1"/>
                <w:bCs w:val="1"/>
                <w:color w:val="auto"/>
              </w:rPr>
              <w:t>27560</w:t>
            </w:r>
          </w:p>
        </w:tc>
      </w:tr>
      <w:tr>
        <w:trPr>
          <w:trHeight w:val="151"/>
        </w:trPr>
        <w:tc>
          <w:tcPr>
            <w:tcW w:w="3140" w:type="dxa"/>
            <w:vAlign w:val="bottom"/>
            <w:gridSpan w:val="2"/>
          </w:tcPr>
          <w:p>
            <w:pPr>
              <w:jc w:val="center"/>
              <w:ind w:left="1555"/>
              <w:spacing w:after="0"/>
              <w:rPr>
                <w:sz w:val="20"/>
                <w:szCs w:val="20"/>
                <w:color w:val="auto"/>
              </w:rPr>
            </w:pPr>
            <w:r>
              <w:rPr>
                <w:rFonts w:ascii="Arial" w:cs="Arial" w:eastAsia="Arial" w:hAnsi="Arial"/>
                <w:sz w:val="12"/>
                <w:szCs w:val="12"/>
                <w:b w:val="1"/>
                <w:bCs w:val="1"/>
                <w:color w:val="auto"/>
                <w:w w:val="95"/>
              </w:rPr>
              <w:t>Morrisville, North Carolina</w:t>
            </w:r>
          </w:p>
        </w:tc>
        <w:tc>
          <w:tcPr>
            <w:tcW w:w="3000" w:type="dxa"/>
            <w:vAlign w:val="bottom"/>
          </w:tcPr>
          <w:p>
            <w:pPr>
              <w:spacing w:after="0"/>
              <w:rPr>
                <w:sz w:val="13"/>
                <w:szCs w:val="13"/>
                <w:color w:val="auto"/>
              </w:rPr>
            </w:pPr>
          </w:p>
        </w:tc>
        <w:tc>
          <w:tcPr>
            <w:tcW w:w="3760" w:type="dxa"/>
            <w:vAlign w:val="bottom"/>
            <w:gridSpan w:val="2"/>
          </w:tcPr>
          <w:p>
            <w:pPr>
              <w:jc w:val="center"/>
              <w:ind w:right="346"/>
              <w:spacing w:after="0"/>
              <w:rPr>
                <w:sz w:val="20"/>
                <w:szCs w:val="20"/>
                <w:color w:val="auto"/>
              </w:rPr>
            </w:pPr>
            <w:r>
              <w:rPr>
                <w:rFonts w:ascii="Arial" w:cs="Arial" w:eastAsia="Arial" w:hAnsi="Arial"/>
                <w:sz w:val="9"/>
                <w:szCs w:val="9"/>
                <w:i w:val="1"/>
                <w:iCs w:val="1"/>
                <w:color w:val="auto"/>
                <w:w w:val="93"/>
              </w:rPr>
              <w:t>(Zip Code)</w:t>
            </w:r>
          </w:p>
        </w:tc>
      </w:tr>
      <w:tr>
        <w:trPr>
          <w:trHeight w:val="120"/>
        </w:trPr>
        <w:tc>
          <w:tcPr>
            <w:tcW w:w="3140" w:type="dxa"/>
            <w:vAlign w:val="bottom"/>
            <w:gridSpan w:val="2"/>
          </w:tcPr>
          <w:p>
            <w:pPr>
              <w:jc w:val="center"/>
              <w:ind w:left="1555"/>
              <w:spacing w:after="0"/>
              <w:rPr>
                <w:sz w:val="20"/>
                <w:szCs w:val="20"/>
                <w:color w:val="auto"/>
              </w:rPr>
            </w:pPr>
            <w:r>
              <w:rPr>
                <w:rFonts w:ascii="Arial" w:cs="Arial" w:eastAsia="Arial" w:hAnsi="Arial"/>
                <w:sz w:val="9"/>
                <w:szCs w:val="9"/>
                <w:i w:val="1"/>
                <w:iCs w:val="1"/>
                <w:color w:val="auto"/>
                <w:w w:val="96"/>
              </w:rPr>
              <w:t>(Address of principal executive offices)</w:t>
            </w:r>
          </w:p>
        </w:tc>
        <w:tc>
          <w:tcPr>
            <w:tcW w:w="300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2040" w:type="dxa"/>
            <w:vAlign w:val="bottom"/>
          </w:tcPr>
          <w:p>
            <w:pPr>
              <w:spacing w:after="0"/>
              <w:rPr>
                <w:sz w:val="10"/>
                <w:szCs w:val="10"/>
                <w:color w:val="auto"/>
              </w:rPr>
            </w:pPr>
          </w:p>
        </w:tc>
      </w:tr>
      <w:tr>
        <w:trPr>
          <w:trHeight w:val="183"/>
        </w:trPr>
        <w:tc>
          <w:tcPr>
            <w:tcW w:w="2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760" w:type="dxa"/>
            <w:vAlign w:val="bottom"/>
            <w:gridSpan w:val="3"/>
          </w:tcPr>
          <w:p>
            <w:pPr>
              <w:jc w:val="center"/>
              <w:ind w:right="2826"/>
              <w:spacing w:after="0"/>
              <w:rPr>
                <w:sz w:val="20"/>
                <w:szCs w:val="20"/>
                <w:color w:val="auto"/>
              </w:rPr>
            </w:pPr>
            <w:r>
              <w:rPr>
                <w:rFonts w:ascii="Arial" w:cs="Arial" w:eastAsia="Arial" w:hAnsi="Arial"/>
                <w:sz w:val="12"/>
                <w:szCs w:val="12"/>
                <w:b w:val="1"/>
                <w:bCs w:val="1"/>
                <w:color w:val="auto"/>
                <w:w w:val="90"/>
              </w:rPr>
              <w:t>Registrant’s telephone number, including area code: (919) 767-3230</w:t>
            </w:r>
          </w:p>
        </w:tc>
      </w:tr>
      <w:tr>
        <w:trPr>
          <w:trHeight w:val="158"/>
        </w:trPr>
        <w:tc>
          <w:tcPr>
            <w:tcW w:w="2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760" w:type="dxa"/>
            <w:vAlign w:val="bottom"/>
            <w:gridSpan w:val="3"/>
          </w:tcPr>
          <w:p>
            <w:pPr>
              <w:jc w:val="center"/>
              <w:ind w:right="2826"/>
              <w:spacing w:after="0"/>
              <w:rPr>
                <w:sz w:val="20"/>
                <w:szCs w:val="20"/>
                <w:color w:val="auto"/>
              </w:rPr>
            </w:pPr>
            <w:r>
              <w:rPr>
                <w:rFonts w:ascii="Arial" w:cs="Arial" w:eastAsia="Arial" w:hAnsi="Arial"/>
                <w:sz w:val="12"/>
                <w:szCs w:val="12"/>
                <w:b w:val="1"/>
                <w:bCs w:val="1"/>
                <w:color w:val="auto"/>
                <w:w w:val="89"/>
              </w:rPr>
              <w:t>Securities registered pursuant to Section 12(b) of the Act:</w:t>
            </w:r>
          </w:p>
        </w:tc>
      </w:tr>
      <w:tr>
        <w:trPr>
          <w:trHeight w:val="186"/>
        </w:trPr>
        <w:tc>
          <w:tcPr>
            <w:tcW w:w="2420" w:type="dxa"/>
            <w:vAlign w:val="bottom"/>
          </w:tcPr>
          <w:p>
            <w:pPr>
              <w:spacing w:after="0"/>
              <w:rPr>
                <w:sz w:val="16"/>
                <w:szCs w:val="16"/>
                <w:color w:val="auto"/>
              </w:rPr>
            </w:pPr>
          </w:p>
        </w:tc>
        <w:tc>
          <w:tcPr>
            <w:tcW w:w="3720" w:type="dxa"/>
            <w:vAlign w:val="bottom"/>
            <w:gridSpan w:val="2"/>
          </w:tcPr>
          <w:p>
            <w:pPr>
              <w:spacing w:after="0"/>
              <w:rPr>
                <w:sz w:val="20"/>
                <w:szCs w:val="20"/>
                <w:color w:val="auto"/>
              </w:rPr>
            </w:pPr>
            <w:r>
              <w:rPr>
                <w:rFonts w:ascii="Arial" w:cs="Arial" w:eastAsia="Arial" w:hAnsi="Arial"/>
                <w:sz w:val="11"/>
                <w:szCs w:val="11"/>
                <w:b w:val="1"/>
                <w:bCs w:val="1"/>
                <w:color w:val="auto"/>
              </w:rPr>
              <w:t>Title of Each Class</w:t>
            </w:r>
          </w:p>
        </w:tc>
        <w:tc>
          <w:tcPr>
            <w:tcW w:w="1720" w:type="dxa"/>
            <w:vAlign w:val="bottom"/>
          </w:tcPr>
          <w:p>
            <w:pPr>
              <w:spacing w:after="0"/>
              <w:rPr>
                <w:sz w:val="16"/>
                <w:szCs w:val="16"/>
                <w:color w:val="auto"/>
              </w:rPr>
            </w:pPr>
          </w:p>
        </w:tc>
        <w:tc>
          <w:tcPr>
            <w:tcW w:w="2040" w:type="dxa"/>
            <w:vAlign w:val="bottom"/>
          </w:tcPr>
          <w:p>
            <w:pPr>
              <w:spacing w:after="0"/>
              <w:rPr>
                <w:sz w:val="20"/>
                <w:szCs w:val="20"/>
                <w:color w:val="auto"/>
              </w:rPr>
            </w:pPr>
            <w:r>
              <w:rPr>
                <w:rFonts w:ascii="Arial" w:cs="Arial" w:eastAsia="Arial" w:hAnsi="Arial"/>
                <w:sz w:val="11"/>
                <w:szCs w:val="11"/>
                <w:b w:val="1"/>
                <w:bCs w:val="1"/>
                <w:color w:val="auto"/>
                <w:w w:val="84"/>
              </w:rPr>
              <w:t>Name of Each Exchange on Which Registered</w:t>
            </w:r>
          </w:p>
        </w:tc>
      </w:tr>
      <w:tr>
        <w:trPr>
          <w:trHeight w:val="20"/>
        </w:trPr>
        <w:tc>
          <w:tcPr>
            <w:tcW w:w="2420" w:type="dxa"/>
            <w:vAlign w:val="bottom"/>
            <w:tcBorders>
              <w:right w:val="single" w:sz="8" w:color="auto"/>
            </w:tcBorders>
          </w:tcPr>
          <w:p>
            <w:pPr>
              <w:spacing w:after="0" w:line="20" w:lineRule="exact"/>
              <w:rPr>
                <w:sz w:val="1"/>
                <w:szCs w:val="1"/>
                <w:color w:val="auto"/>
              </w:rPr>
            </w:pPr>
          </w:p>
        </w:tc>
        <w:tc>
          <w:tcPr>
            <w:tcW w:w="3720" w:type="dxa"/>
            <w:vAlign w:val="bottom"/>
            <w:gridSpan w:val="2"/>
          </w:tcPr>
          <w:p>
            <w:pPr>
              <w:spacing w:after="0" w:line="20" w:lineRule="exact"/>
              <w:rPr>
                <w:sz w:val="1"/>
                <w:szCs w:val="1"/>
                <w:color w:val="auto"/>
              </w:rPr>
            </w:pPr>
          </w:p>
        </w:tc>
        <w:tc>
          <w:tcPr>
            <w:tcW w:w="1720" w:type="dxa"/>
            <w:vAlign w:val="bottom"/>
            <w:tcBorders>
              <w:right w:val="single" w:sz="8" w:color="auto"/>
            </w:tcBorders>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144"/>
        </w:trPr>
        <w:tc>
          <w:tcPr>
            <w:tcW w:w="6140" w:type="dxa"/>
            <w:vAlign w:val="bottom"/>
            <w:gridSpan w:val="3"/>
          </w:tcPr>
          <w:p>
            <w:pPr>
              <w:jc w:val="center"/>
              <w:ind w:right="1318"/>
              <w:spacing w:after="0"/>
              <w:rPr>
                <w:sz w:val="20"/>
                <w:szCs w:val="20"/>
                <w:color w:val="auto"/>
              </w:rPr>
            </w:pPr>
            <w:r>
              <w:rPr>
                <w:rFonts w:ascii="Arial" w:cs="Arial" w:eastAsia="Arial" w:hAnsi="Arial"/>
                <w:sz w:val="12"/>
                <w:szCs w:val="12"/>
                <w:color w:val="auto"/>
                <w:w w:val="90"/>
              </w:rPr>
              <w:t>Class A Common Stock, par value $0.01 per share</w:t>
            </w:r>
          </w:p>
        </w:tc>
        <w:tc>
          <w:tcPr>
            <w:tcW w:w="3760" w:type="dxa"/>
            <w:vAlign w:val="bottom"/>
            <w:gridSpan w:val="2"/>
          </w:tcPr>
          <w:p>
            <w:pPr>
              <w:jc w:val="center"/>
              <w:ind w:right="326"/>
              <w:spacing w:after="0"/>
              <w:rPr>
                <w:sz w:val="20"/>
                <w:szCs w:val="20"/>
                <w:color w:val="auto"/>
              </w:rPr>
            </w:pPr>
            <w:r>
              <w:rPr>
                <w:rFonts w:ascii="Arial" w:cs="Arial" w:eastAsia="Arial" w:hAnsi="Arial"/>
                <w:sz w:val="12"/>
                <w:szCs w:val="12"/>
                <w:color w:val="auto"/>
                <w:w w:val="95"/>
              </w:rPr>
              <w:t>The NASDAQ Stock Market LLC</w:t>
            </w:r>
          </w:p>
        </w:tc>
      </w:tr>
      <w:tr>
        <w:trPr>
          <w:trHeight w:val="151"/>
        </w:trPr>
        <w:tc>
          <w:tcPr>
            <w:tcW w:w="6140" w:type="dxa"/>
            <w:vAlign w:val="bottom"/>
            <w:gridSpan w:val="3"/>
          </w:tcPr>
          <w:p>
            <w:pPr>
              <w:jc w:val="center"/>
              <w:ind w:right="1318"/>
              <w:spacing w:after="0"/>
              <w:rPr>
                <w:sz w:val="20"/>
                <w:szCs w:val="20"/>
                <w:color w:val="auto"/>
              </w:rPr>
            </w:pPr>
            <w:r>
              <w:rPr>
                <w:rFonts w:ascii="Arial" w:cs="Arial" w:eastAsia="Arial" w:hAnsi="Arial"/>
                <w:sz w:val="12"/>
                <w:szCs w:val="12"/>
                <w:color w:val="auto"/>
                <w:w w:val="90"/>
              </w:rPr>
              <w:t>Class B Common Stock, par value $0.01 per share</w:t>
            </w:r>
          </w:p>
        </w:tc>
        <w:tc>
          <w:tcPr>
            <w:tcW w:w="3760" w:type="dxa"/>
            <w:vAlign w:val="bottom"/>
            <w:gridSpan w:val="2"/>
          </w:tcPr>
          <w:p>
            <w:pPr>
              <w:jc w:val="center"/>
              <w:ind w:right="326"/>
              <w:spacing w:after="0"/>
              <w:rPr>
                <w:sz w:val="20"/>
                <w:szCs w:val="20"/>
                <w:color w:val="auto"/>
              </w:rPr>
            </w:pPr>
            <w:r>
              <w:rPr>
                <w:rFonts w:ascii="Arial" w:cs="Arial" w:eastAsia="Arial" w:hAnsi="Arial"/>
                <w:sz w:val="12"/>
                <w:szCs w:val="12"/>
                <w:color w:val="auto"/>
                <w:w w:val="90"/>
              </w:rPr>
              <w:t>None</w:t>
            </w:r>
          </w:p>
        </w:tc>
      </w:tr>
      <w:tr>
        <w:trPr>
          <w:trHeight w:val="154"/>
        </w:trPr>
        <w:tc>
          <w:tcPr>
            <w:tcW w:w="3140" w:type="dxa"/>
            <w:vAlign w:val="bottom"/>
            <w:gridSpan w:val="2"/>
          </w:tcPr>
          <w:p>
            <w:pPr>
              <w:jc w:val="center"/>
              <w:ind w:left="1555"/>
              <w:spacing w:after="0"/>
              <w:rPr>
                <w:sz w:val="20"/>
                <w:szCs w:val="20"/>
                <w:color w:val="auto"/>
              </w:rPr>
            </w:pPr>
            <w:r>
              <w:rPr>
                <w:rFonts w:ascii="Arial" w:cs="Arial" w:eastAsia="Arial" w:hAnsi="Arial"/>
                <w:sz w:val="12"/>
                <w:szCs w:val="12"/>
                <w:color w:val="auto"/>
                <w:w w:val="90"/>
              </w:rPr>
              <w:t>Warrants</w:t>
            </w:r>
          </w:p>
        </w:tc>
        <w:tc>
          <w:tcPr>
            <w:tcW w:w="3000" w:type="dxa"/>
            <w:vAlign w:val="bottom"/>
          </w:tcPr>
          <w:p>
            <w:pPr>
              <w:spacing w:after="0"/>
              <w:rPr>
                <w:sz w:val="13"/>
                <w:szCs w:val="13"/>
                <w:color w:val="auto"/>
              </w:rPr>
            </w:pPr>
          </w:p>
        </w:tc>
        <w:tc>
          <w:tcPr>
            <w:tcW w:w="3760" w:type="dxa"/>
            <w:vAlign w:val="bottom"/>
            <w:gridSpan w:val="2"/>
          </w:tcPr>
          <w:p>
            <w:pPr>
              <w:jc w:val="center"/>
              <w:ind w:right="326"/>
              <w:spacing w:after="0"/>
              <w:rPr>
                <w:sz w:val="20"/>
                <w:szCs w:val="20"/>
                <w:color w:val="auto"/>
              </w:rPr>
            </w:pPr>
            <w:r>
              <w:rPr>
                <w:rFonts w:ascii="Arial" w:cs="Arial" w:eastAsia="Arial" w:hAnsi="Arial"/>
                <w:sz w:val="12"/>
                <w:szCs w:val="12"/>
                <w:color w:val="auto"/>
                <w:w w:val="90"/>
              </w:rPr>
              <w:t>None</w:t>
            </w:r>
          </w:p>
        </w:tc>
      </w:tr>
      <w:tr>
        <w:trPr>
          <w:trHeight w:val="202"/>
        </w:trPr>
        <w:tc>
          <w:tcPr>
            <w:tcW w:w="2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760" w:type="dxa"/>
            <w:vAlign w:val="bottom"/>
            <w:gridSpan w:val="3"/>
          </w:tcPr>
          <w:p>
            <w:pPr>
              <w:jc w:val="center"/>
              <w:ind w:right="2846"/>
              <w:spacing w:after="0"/>
              <w:rPr>
                <w:sz w:val="20"/>
                <w:szCs w:val="20"/>
                <w:color w:val="auto"/>
              </w:rPr>
            </w:pPr>
            <w:r>
              <w:rPr>
                <w:rFonts w:ascii="Arial" w:cs="Arial" w:eastAsia="Arial" w:hAnsi="Arial"/>
                <w:sz w:val="12"/>
                <w:szCs w:val="12"/>
                <w:b w:val="1"/>
                <w:bCs w:val="1"/>
                <w:color w:val="auto"/>
                <w:w w:val="89"/>
              </w:rPr>
              <w:t>Securities registered pursuant to Section 12(g) of the Act:</w:t>
            </w:r>
          </w:p>
        </w:tc>
      </w:tr>
      <w:tr>
        <w:trPr>
          <w:trHeight w:val="186"/>
        </w:trPr>
        <w:tc>
          <w:tcPr>
            <w:tcW w:w="2420" w:type="dxa"/>
            <w:vAlign w:val="bottom"/>
          </w:tcPr>
          <w:p>
            <w:pPr>
              <w:spacing w:after="0"/>
              <w:rPr>
                <w:sz w:val="16"/>
                <w:szCs w:val="16"/>
                <w:color w:val="auto"/>
              </w:rPr>
            </w:pPr>
          </w:p>
        </w:tc>
        <w:tc>
          <w:tcPr>
            <w:tcW w:w="3720" w:type="dxa"/>
            <w:vAlign w:val="bottom"/>
            <w:gridSpan w:val="2"/>
          </w:tcPr>
          <w:p>
            <w:pPr>
              <w:spacing w:after="0"/>
              <w:rPr>
                <w:sz w:val="20"/>
                <w:szCs w:val="20"/>
                <w:color w:val="auto"/>
              </w:rPr>
            </w:pPr>
            <w:r>
              <w:rPr>
                <w:rFonts w:ascii="Arial" w:cs="Arial" w:eastAsia="Arial" w:hAnsi="Arial"/>
                <w:sz w:val="11"/>
                <w:szCs w:val="11"/>
                <w:b w:val="1"/>
                <w:bCs w:val="1"/>
                <w:color w:val="auto"/>
              </w:rPr>
              <w:t>Title of Each Class</w:t>
            </w:r>
          </w:p>
        </w:tc>
        <w:tc>
          <w:tcPr>
            <w:tcW w:w="1720" w:type="dxa"/>
            <w:vAlign w:val="bottom"/>
          </w:tcPr>
          <w:p>
            <w:pPr>
              <w:spacing w:after="0"/>
              <w:rPr>
                <w:sz w:val="16"/>
                <w:szCs w:val="16"/>
                <w:color w:val="auto"/>
              </w:rPr>
            </w:pPr>
          </w:p>
        </w:tc>
        <w:tc>
          <w:tcPr>
            <w:tcW w:w="2040" w:type="dxa"/>
            <w:vAlign w:val="bottom"/>
          </w:tcPr>
          <w:p>
            <w:pPr>
              <w:spacing w:after="0"/>
              <w:rPr>
                <w:sz w:val="20"/>
                <w:szCs w:val="20"/>
                <w:color w:val="auto"/>
              </w:rPr>
            </w:pPr>
            <w:r>
              <w:rPr>
                <w:rFonts w:ascii="Arial" w:cs="Arial" w:eastAsia="Arial" w:hAnsi="Arial"/>
                <w:sz w:val="11"/>
                <w:szCs w:val="11"/>
                <w:b w:val="1"/>
                <w:bCs w:val="1"/>
                <w:color w:val="auto"/>
                <w:w w:val="84"/>
              </w:rPr>
              <w:t>Name of Each Exchange on Which Registered</w:t>
            </w:r>
          </w:p>
        </w:tc>
      </w:tr>
      <w:tr>
        <w:trPr>
          <w:trHeight w:val="20"/>
        </w:trPr>
        <w:tc>
          <w:tcPr>
            <w:tcW w:w="2420" w:type="dxa"/>
            <w:vAlign w:val="bottom"/>
            <w:tcBorders>
              <w:right w:val="single" w:sz="8" w:color="auto"/>
            </w:tcBorders>
          </w:tcPr>
          <w:p>
            <w:pPr>
              <w:spacing w:after="0" w:line="20" w:lineRule="exact"/>
              <w:rPr>
                <w:sz w:val="1"/>
                <w:szCs w:val="1"/>
                <w:color w:val="auto"/>
              </w:rPr>
            </w:pPr>
          </w:p>
        </w:tc>
        <w:tc>
          <w:tcPr>
            <w:tcW w:w="3720" w:type="dxa"/>
            <w:vAlign w:val="bottom"/>
            <w:gridSpan w:val="2"/>
          </w:tcPr>
          <w:p>
            <w:pPr>
              <w:spacing w:after="0" w:line="20" w:lineRule="exact"/>
              <w:rPr>
                <w:sz w:val="1"/>
                <w:szCs w:val="1"/>
                <w:color w:val="auto"/>
              </w:rPr>
            </w:pPr>
          </w:p>
        </w:tc>
        <w:tc>
          <w:tcPr>
            <w:tcW w:w="1720" w:type="dxa"/>
            <w:vAlign w:val="bottom"/>
            <w:tcBorders>
              <w:right w:val="single" w:sz="8" w:color="auto"/>
            </w:tcBorders>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147"/>
        </w:trPr>
        <w:tc>
          <w:tcPr>
            <w:tcW w:w="6140" w:type="dxa"/>
            <w:vAlign w:val="bottom"/>
            <w:gridSpan w:val="3"/>
          </w:tcPr>
          <w:p>
            <w:pPr>
              <w:jc w:val="center"/>
              <w:ind w:right="1318"/>
              <w:spacing w:after="0"/>
              <w:rPr>
                <w:sz w:val="20"/>
                <w:szCs w:val="20"/>
                <w:color w:val="auto"/>
              </w:rPr>
            </w:pPr>
            <w:r>
              <w:rPr>
                <w:rFonts w:ascii="Arial" w:cs="Arial" w:eastAsia="Arial" w:hAnsi="Arial"/>
                <w:sz w:val="12"/>
                <w:szCs w:val="12"/>
                <w:color w:val="auto"/>
                <w:w w:val="90"/>
              </w:rPr>
              <w:t>Rights to Purchase Series A Junior Participating Stock, par value $0.01 per share</w:t>
            </w:r>
          </w:p>
        </w:tc>
        <w:tc>
          <w:tcPr>
            <w:tcW w:w="3760" w:type="dxa"/>
            <w:vAlign w:val="bottom"/>
            <w:gridSpan w:val="2"/>
          </w:tcPr>
          <w:p>
            <w:pPr>
              <w:jc w:val="center"/>
              <w:ind w:right="326"/>
              <w:spacing w:after="0"/>
              <w:rPr>
                <w:sz w:val="20"/>
                <w:szCs w:val="20"/>
                <w:color w:val="auto"/>
              </w:rPr>
            </w:pPr>
            <w:r>
              <w:rPr>
                <w:rFonts w:ascii="Arial" w:cs="Arial" w:eastAsia="Arial" w:hAnsi="Arial"/>
                <w:sz w:val="12"/>
                <w:szCs w:val="12"/>
                <w:color w:val="auto"/>
                <w:w w:val="90"/>
              </w:rPr>
              <w:t>None</w:t>
            </w:r>
          </w:p>
        </w:tc>
      </w:tr>
      <w:tr>
        <w:trPr>
          <w:trHeight w:val="256"/>
        </w:trPr>
        <w:tc>
          <w:tcPr>
            <w:tcW w:w="6140" w:type="dxa"/>
            <w:vAlign w:val="bottom"/>
            <w:gridSpan w:val="3"/>
          </w:tcPr>
          <w:p>
            <w:pPr>
              <w:spacing w:after="0"/>
              <w:rPr>
                <w:sz w:val="20"/>
                <w:szCs w:val="20"/>
                <w:color w:val="auto"/>
              </w:rPr>
            </w:pPr>
            <w:r>
              <w:rPr>
                <w:rFonts w:ascii="Arial" w:cs="Arial" w:eastAsia="Arial" w:hAnsi="Arial"/>
                <w:sz w:val="12"/>
                <w:szCs w:val="12"/>
                <w:color w:val="auto"/>
                <w:w w:val="93"/>
              </w:rPr>
              <w:t>Indicate by check mark if the registrant is a well-known seasoned issuer, as defined in Rule 405 of the Securities Act. Yes o</w:t>
            </w:r>
          </w:p>
        </w:tc>
        <w:tc>
          <w:tcPr>
            <w:tcW w:w="3760" w:type="dxa"/>
            <w:vAlign w:val="bottom"/>
            <w:gridSpan w:val="2"/>
          </w:tcPr>
          <w:p>
            <w:pPr>
              <w:ind w:left="20"/>
              <w:spacing w:after="0" w:line="138" w:lineRule="exact"/>
              <w:rPr>
                <w:sz w:val="20"/>
                <w:szCs w:val="20"/>
                <w:color w:val="auto"/>
              </w:rPr>
            </w:pPr>
            <w:r>
              <w:rPr>
                <w:rFonts w:ascii="Arial" w:cs="Arial" w:eastAsia="Arial" w:hAnsi="Arial"/>
                <w:sz w:val="12"/>
                <w:szCs w:val="12"/>
                <w:color w:val="auto"/>
              </w:rPr>
              <w:t xml:space="preserve">No </w:t>
            </w:r>
            <w:r>
              <w:rPr>
                <w:rFonts w:ascii="MS PGothic" w:cs="MS PGothic" w:eastAsia="MS PGothic" w:hAnsi="MS PGothic"/>
                <w:sz w:val="12"/>
                <w:szCs w:val="12"/>
                <w:color w:val="auto"/>
              </w:rPr>
              <w:t>☑</w:t>
            </w:r>
          </w:p>
        </w:tc>
      </w:tr>
      <w:tr>
        <w:trPr>
          <w:trHeight w:val="202"/>
        </w:trPr>
        <w:tc>
          <w:tcPr>
            <w:tcW w:w="6140" w:type="dxa"/>
            <w:vAlign w:val="bottom"/>
            <w:gridSpan w:val="3"/>
          </w:tcPr>
          <w:p>
            <w:pPr>
              <w:spacing w:after="0"/>
              <w:rPr>
                <w:sz w:val="20"/>
                <w:szCs w:val="20"/>
                <w:color w:val="auto"/>
              </w:rPr>
            </w:pPr>
            <w:r>
              <w:rPr>
                <w:rFonts w:ascii="Arial" w:cs="Arial" w:eastAsia="Arial" w:hAnsi="Arial"/>
                <w:sz w:val="12"/>
                <w:szCs w:val="12"/>
                <w:color w:val="auto"/>
                <w:w w:val="92"/>
              </w:rPr>
              <w:t>Indicate by check mark if the registrant is not required to file reports pursuant to Section 13 or Section 15(d) of the Act. Yes o</w:t>
            </w:r>
          </w:p>
        </w:tc>
        <w:tc>
          <w:tcPr>
            <w:tcW w:w="3760" w:type="dxa"/>
            <w:vAlign w:val="bottom"/>
            <w:gridSpan w:val="2"/>
          </w:tcPr>
          <w:p>
            <w:pPr>
              <w:ind w:left="120"/>
              <w:spacing w:after="0" w:line="138" w:lineRule="exact"/>
              <w:rPr>
                <w:sz w:val="20"/>
                <w:szCs w:val="20"/>
                <w:color w:val="auto"/>
              </w:rPr>
            </w:pPr>
            <w:r>
              <w:rPr>
                <w:rFonts w:ascii="Arial" w:cs="Arial" w:eastAsia="Arial" w:hAnsi="Arial"/>
                <w:sz w:val="12"/>
                <w:szCs w:val="12"/>
                <w:color w:val="auto"/>
              </w:rPr>
              <w:t xml:space="preserve">No </w:t>
            </w:r>
            <w:r>
              <w:rPr>
                <w:rFonts w:ascii="MS PGothic" w:cs="MS PGothic" w:eastAsia="MS PGothic" w:hAnsi="MS PGothic"/>
                <w:sz w:val="12"/>
                <w:szCs w:val="12"/>
                <w:color w:val="auto"/>
              </w:rPr>
              <w:t>☑</w:t>
            </w:r>
          </w:p>
        </w:tc>
      </w:tr>
    </w:tbl>
    <w:p>
      <w:pPr>
        <w:spacing w:after="0" w:line="34" w:lineRule="exact"/>
        <w:rPr>
          <w:sz w:val="20"/>
          <w:szCs w:val="20"/>
          <w:color w:val="auto"/>
        </w:rPr>
      </w:pPr>
    </w:p>
    <w:p>
      <w:pPr>
        <w:ind w:left="340" w:right="60" w:firstLine="323"/>
        <w:spacing w:after="0" w:line="160" w:lineRule="exact"/>
        <w:rPr>
          <w:sz w:val="20"/>
          <w:szCs w:val="20"/>
          <w:color w:val="auto"/>
        </w:rPr>
      </w:pPr>
      <w:r>
        <w:rPr>
          <w:rFonts w:ascii="Arial" w:cs="Arial" w:eastAsia="Arial" w:hAnsi="Arial"/>
          <w:sz w:val="12"/>
          <w:szCs w:val="12"/>
          <w:color w:val="auto"/>
        </w:rPr>
        <w:t xml:space="preserve">Indicate by check mark whether the registrant (l)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o</w:t>
      </w:r>
    </w:p>
    <w:p>
      <w:pPr>
        <w:spacing w:after="0" w:line="34" w:lineRule="exact"/>
        <w:rPr>
          <w:sz w:val="20"/>
          <w:szCs w:val="20"/>
          <w:color w:val="auto"/>
        </w:rPr>
      </w:pPr>
    </w:p>
    <w:p>
      <w:pPr>
        <w:ind w:left="340" w:right="460" w:firstLine="323"/>
        <w:spacing w:after="0" w:line="290" w:lineRule="auto"/>
        <w:rPr>
          <w:sz w:val="20"/>
          <w:szCs w:val="20"/>
          <w:color w:val="auto"/>
        </w:rPr>
      </w:pPr>
      <w:r>
        <w:rPr>
          <w:rFonts w:ascii="Arial" w:cs="Arial" w:eastAsia="Arial" w:hAnsi="Arial"/>
          <w:sz w:val="12"/>
          <w:szCs w:val="12"/>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o No o</w:t>
      </w:r>
    </w:p>
    <w:p>
      <w:pPr>
        <w:spacing w:after="0" w:line="19" w:lineRule="exact"/>
        <w:rPr>
          <w:sz w:val="20"/>
          <w:szCs w:val="20"/>
          <w:color w:val="auto"/>
        </w:rPr>
      </w:pPr>
    </w:p>
    <w:p>
      <w:pPr>
        <w:ind w:left="340" w:right="60" w:firstLine="323"/>
        <w:spacing w:after="0" w:line="160" w:lineRule="exact"/>
        <w:rPr>
          <w:sz w:val="20"/>
          <w:szCs w:val="20"/>
          <w:color w:val="auto"/>
        </w:rPr>
      </w:pPr>
      <w:r>
        <w:rPr>
          <w:rFonts w:ascii="Arial" w:cs="Arial" w:eastAsia="Arial" w:hAnsi="Arial"/>
          <w:sz w:val="12"/>
          <w:szCs w:val="12"/>
          <w:color w:val="auto"/>
        </w:rPr>
        <w:t xml:space="preserve">Indicate by check mark if disclosure of delinquent filers pursuant to Item 405 of Regulation S-K is not contained herein, and will not be contained, to the best of registrant’s knowledge, in definitive proxy statements incorporated by reference in Part III of this Form 10-K or any amendment to this Form 10-K. </w:t>
      </w:r>
      <w:r>
        <w:rPr>
          <w:rFonts w:ascii="MS PGothic" w:cs="MS PGothic" w:eastAsia="MS PGothic" w:hAnsi="MS PGothic"/>
          <w:sz w:val="12"/>
          <w:szCs w:val="12"/>
          <w:color w:val="auto"/>
        </w:rPr>
        <w:t>☑</w:t>
      </w:r>
    </w:p>
    <w:p>
      <w:pPr>
        <w:spacing w:after="0" w:line="34" w:lineRule="exact"/>
        <w:rPr>
          <w:sz w:val="20"/>
          <w:szCs w:val="20"/>
          <w:color w:val="auto"/>
        </w:rPr>
      </w:pPr>
    </w:p>
    <w:p>
      <w:pPr>
        <w:ind w:left="340" w:right="80" w:firstLine="323"/>
        <w:spacing w:after="0" w:line="290"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7" w:lineRule="exact"/>
        <w:rPr>
          <w:sz w:val="20"/>
          <w:szCs w:val="20"/>
          <w:color w:val="auto"/>
        </w:rPr>
      </w:pPr>
    </w:p>
    <w:p>
      <w:pPr>
        <w:ind w:left="900"/>
        <w:spacing w:after="0" w:line="138" w:lineRule="exact"/>
        <w:tabs>
          <w:tab w:leader="none" w:pos="3480" w:val="left"/>
          <w:tab w:leader="none" w:pos="6240" w:val="left"/>
          <w:tab w:leader="none" w:pos="9320" w:val="left"/>
        </w:tabs>
        <w:rPr>
          <w:sz w:val="20"/>
          <w:szCs w:val="20"/>
          <w:color w:val="auto"/>
        </w:rPr>
      </w:pPr>
      <w:r>
        <w:rPr>
          <w:rFonts w:ascii="Arial" w:cs="Arial" w:eastAsia="Arial" w:hAnsi="Arial"/>
          <w:sz w:val="12"/>
          <w:szCs w:val="12"/>
          <w:color w:val="auto"/>
        </w:rPr>
        <w:t>Large accelerated filer o</w:t>
      </w:r>
      <w:r>
        <w:rPr>
          <w:sz w:val="20"/>
          <w:szCs w:val="20"/>
          <w:color w:val="auto"/>
        </w:rPr>
        <w:tab/>
      </w:r>
      <w:r>
        <w:rPr>
          <w:rFonts w:ascii="Arial" w:cs="Arial" w:eastAsia="Arial" w:hAnsi="Arial"/>
          <w:sz w:val="12"/>
          <w:szCs w:val="12"/>
          <w:color w:val="auto"/>
        </w:rPr>
        <w:t xml:space="preserve">Accelerated filer </w:t>
      </w:r>
      <w:r>
        <w:rPr>
          <w:rFonts w:ascii="MS PGothic" w:cs="MS PGothic" w:eastAsia="MS PGothic" w:hAnsi="MS PGothic"/>
          <w:sz w:val="12"/>
          <w:szCs w:val="12"/>
          <w:color w:val="auto"/>
        </w:rPr>
        <w:t>☑</w:t>
      </w:r>
      <w:r>
        <w:rPr>
          <w:sz w:val="20"/>
          <w:szCs w:val="20"/>
          <w:color w:val="auto"/>
        </w:rPr>
        <w:tab/>
      </w:r>
      <w:r>
        <w:rPr>
          <w:rFonts w:ascii="Arial" w:cs="Arial" w:eastAsia="Arial" w:hAnsi="Arial"/>
          <w:sz w:val="12"/>
          <w:szCs w:val="12"/>
          <w:color w:val="auto"/>
        </w:rPr>
        <w:t>Non-accelerated filer o</w:t>
      </w:r>
      <w:r>
        <w:rPr>
          <w:sz w:val="20"/>
          <w:szCs w:val="20"/>
          <w:color w:val="auto"/>
        </w:rPr>
        <w:tab/>
      </w:r>
      <w:r>
        <w:rPr>
          <w:rFonts w:ascii="Arial" w:cs="Arial" w:eastAsia="Arial" w:hAnsi="Arial"/>
          <w:sz w:val="11"/>
          <w:szCs w:val="11"/>
          <w:color w:val="auto"/>
        </w:rPr>
        <w:t>Smaller reporting company o</w:t>
      </w:r>
    </w:p>
    <w:p>
      <w:pPr>
        <w:spacing w:after="0" w:line="38" w:lineRule="exact"/>
        <w:rPr>
          <w:sz w:val="20"/>
          <w:szCs w:val="20"/>
          <w:color w:val="auto"/>
        </w:rPr>
      </w:pPr>
    </w:p>
    <w:p>
      <w:pPr>
        <w:ind w:left="5820"/>
        <w:spacing w:after="0"/>
        <w:rPr>
          <w:sz w:val="20"/>
          <w:szCs w:val="20"/>
          <w:color w:val="auto"/>
        </w:rPr>
      </w:pPr>
      <w:r>
        <w:rPr>
          <w:rFonts w:ascii="Arial" w:cs="Arial" w:eastAsia="Arial" w:hAnsi="Arial"/>
          <w:sz w:val="11"/>
          <w:szCs w:val="11"/>
          <w:color w:val="auto"/>
        </w:rPr>
        <w:t>(Do not check if a smaller reporting company)</w:t>
      </w:r>
    </w:p>
    <w:p>
      <w:pPr>
        <w:spacing w:after="0" w:line="51" w:lineRule="exact"/>
        <w:rPr>
          <w:sz w:val="20"/>
          <w:szCs w:val="20"/>
          <w:color w:val="auto"/>
        </w:rPr>
      </w:pPr>
    </w:p>
    <w:p>
      <w:pPr>
        <w:ind w:left="660"/>
        <w:spacing w:after="0" w:line="127" w:lineRule="exact"/>
        <w:tabs>
          <w:tab w:leader="none" w:pos="6620" w:val="left"/>
        </w:tabs>
        <w:rPr>
          <w:sz w:val="20"/>
          <w:szCs w:val="20"/>
          <w:color w:val="auto"/>
        </w:rPr>
      </w:pPr>
      <w:r>
        <w:rPr>
          <w:rFonts w:ascii="Arial" w:cs="Arial" w:eastAsia="Arial" w:hAnsi="Arial"/>
          <w:sz w:val="11"/>
          <w:szCs w:val="11"/>
          <w:color w:val="auto"/>
        </w:rPr>
        <w:t>Indicate by check mark whether the registrant is a shell company (as defined in Rule 12b-2 of the Exchange Act). Yes o</w:t>
      </w:r>
      <w:r>
        <w:rPr>
          <w:sz w:val="20"/>
          <w:szCs w:val="20"/>
          <w:color w:val="auto"/>
        </w:rPr>
        <w:tab/>
      </w:r>
      <w:r>
        <w:rPr>
          <w:rFonts w:ascii="Arial" w:cs="Arial" w:eastAsia="Arial" w:hAnsi="Arial"/>
          <w:sz w:val="10"/>
          <w:szCs w:val="10"/>
          <w:color w:val="auto"/>
        </w:rPr>
        <w:t xml:space="preserve">No </w:t>
      </w:r>
      <w:r>
        <w:rPr>
          <w:rFonts w:ascii="MS PGothic" w:cs="MS PGothic" w:eastAsia="MS PGothic" w:hAnsi="MS PGothic"/>
          <w:sz w:val="10"/>
          <w:szCs w:val="10"/>
          <w:color w:val="auto"/>
        </w:rPr>
        <w:t>☑</w:t>
      </w:r>
    </w:p>
    <w:p>
      <w:pPr>
        <w:spacing w:after="0" w:line="138" w:lineRule="exact"/>
        <w:rPr>
          <w:sz w:val="20"/>
          <w:szCs w:val="20"/>
          <w:color w:val="auto"/>
        </w:rPr>
      </w:pPr>
    </w:p>
    <w:p>
      <w:pPr>
        <w:jc w:val="both"/>
        <w:ind w:left="340" w:right="280" w:firstLine="323"/>
        <w:spacing w:after="0" w:line="276" w:lineRule="auto"/>
        <w:rPr>
          <w:sz w:val="20"/>
          <w:szCs w:val="20"/>
          <w:color w:val="auto"/>
        </w:rPr>
      </w:pPr>
      <w:r>
        <w:rPr>
          <w:rFonts w:ascii="Arial" w:cs="Arial" w:eastAsia="Arial" w:hAnsi="Arial"/>
          <w:sz w:val="12"/>
          <w:szCs w:val="12"/>
          <w:color w:val="auto"/>
        </w:rPr>
        <w:t>As of January 2, 2009, the last business day of our most recently completed second fiscal quarter, the aggregate market value of the registrant’s Class A Common Stock and Class B Common Stock held by non-affiliates was approximately $135,276,000 (based upon the quoted closing sale price per share on the NASDAQ Global Market system). For purposes of this calculation, the registrant has assumed that its directors and executive officers as of January 2, 2009 are affiliates.</w:t>
      </w:r>
    </w:p>
    <w:p>
      <w:pPr>
        <w:spacing w:after="0" w:line="25" w:lineRule="exact"/>
        <w:rPr>
          <w:sz w:val="20"/>
          <w:szCs w:val="20"/>
          <w:color w:val="auto"/>
        </w:rPr>
      </w:pPr>
    </w:p>
    <w:tbl>
      <w:tblPr>
        <w:tblLayout w:type="fixed"/>
        <w:tblInd w:w="340" w:type="dxa"/>
        <w:tblCellMar>
          <w:top w:w="0" w:type="dxa"/>
          <w:left w:w="0" w:type="dxa"/>
          <w:bottom w:w="0" w:type="dxa"/>
          <w:right w:w="0" w:type="dxa"/>
        </w:tblCellMar>
      </w:tblPr>
      <w:tr>
        <w:trPr>
          <w:trHeight w:val="40"/>
        </w:trPr>
        <w:tc>
          <w:tcPr>
            <w:tcW w:w="908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64"/>
        </w:trPr>
        <w:tc>
          <w:tcPr>
            <w:tcW w:w="9080" w:type="dxa"/>
            <w:vAlign w:val="bottom"/>
            <w:tcBorders>
              <w:right w:val="single" w:sz="8" w:color="auto"/>
            </w:tcBorders>
            <w:vMerge w:val="restart"/>
          </w:tcPr>
          <w:p>
            <w:pPr>
              <w:ind w:left="4160"/>
              <w:spacing w:after="0"/>
              <w:rPr>
                <w:sz w:val="20"/>
                <w:szCs w:val="20"/>
                <w:color w:val="auto"/>
              </w:rPr>
            </w:pPr>
            <w:r>
              <w:rPr>
                <w:rFonts w:ascii="Arial" w:cs="Arial" w:eastAsia="Arial" w:hAnsi="Arial"/>
                <w:sz w:val="11"/>
                <w:szCs w:val="11"/>
                <w:b w:val="1"/>
                <w:bCs w:val="1"/>
                <w:color w:val="auto"/>
              </w:rPr>
              <w:t>Class of Stock</w:t>
            </w:r>
          </w:p>
        </w:tc>
        <w:tc>
          <w:tcPr>
            <w:tcW w:w="1700" w:type="dxa"/>
            <w:vAlign w:val="bottom"/>
          </w:tcPr>
          <w:p>
            <w:pPr>
              <w:jc w:val="right"/>
              <w:ind w:right="231"/>
              <w:spacing w:after="0" w:line="64" w:lineRule="exact"/>
              <w:rPr>
                <w:sz w:val="20"/>
                <w:szCs w:val="20"/>
                <w:color w:val="auto"/>
              </w:rPr>
            </w:pPr>
            <w:r>
              <w:rPr>
                <w:rFonts w:ascii="Arial" w:cs="Arial" w:eastAsia="Arial" w:hAnsi="Arial"/>
                <w:sz w:val="6"/>
                <w:szCs w:val="6"/>
                <w:b w:val="1"/>
                <w:bCs w:val="1"/>
                <w:color w:val="auto"/>
              </w:rPr>
              <w:t>Shares Outstanding as of</w:t>
            </w:r>
          </w:p>
        </w:tc>
        <w:tc>
          <w:tcPr>
            <w:tcW w:w="0" w:type="dxa"/>
            <w:vAlign w:val="bottom"/>
          </w:tcPr>
          <w:p>
            <w:pPr>
              <w:spacing w:after="0"/>
              <w:rPr>
                <w:sz w:val="1"/>
                <w:szCs w:val="1"/>
                <w:color w:val="auto"/>
              </w:rPr>
            </w:pPr>
          </w:p>
        </w:tc>
      </w:tr>
      <w:tr>
        <w:trPr>
          <w:trHeight w:val="128"/>
        </w:trPr>
        <w:tc>
          <w:tcPr>
            <w:tcW w:w="9080" w:type="dxa"/>
            <w:vAlign w:val="bottom"/>
            <w:tcBorders>
              <w:bottom w:val="single" w:sz="8" w:color="auto"/>
              <w:right w:val="single" w:sz="8" w:color="auto"/>
            </w:tcBorders>
            <w:vMerge w:val="continue"/>
          </w:tcPr>
          <w:p>
            <w:pPr>
              <w:spacing w:after="0"/>
              <w:rPr>
                <w:sz w:val="11"/>
                <w:szCs w:val="11"/>
                <w:color w:val="auto"/>
              </w:rPr>
            </w:pPr>
          </w:p>
        </w:tc>
        <w:tc>
          <w:tcPr>
            <w:tcW w:w="1700" w:type="dxa"/>
            <w:vAlign w:val="bottom"/>
            <w:tcBorders>
              <w:bottom w:val="single" w:sz="8" w:color="auto"/>
            </w:tcBorders>
          </w:tcPr>
          <w:p>
            <w:pPr>
              <w:jc w:val="right"/>
              <w:ind w:right="431"/>
              <w:spacing w:after="0"/>
              <w:rPr>
                <w:sz w:val="20"/>
                <w:szCs w:val="20"/>
                <w:color w:val="auto"/>
              </w:rPr>
            </w:pPr>
            <w:r>
              <w:rPr>
                <w:rFonts w:ascii="Arial" w:cs="Arial" w:eastAsia="Arial" w:hAnsi="Arial"/>
                <w:sz w:val="11"/>
                <w:szCs w:val="11"/>
                <w:b w:val="1"/>
                <w:bCs w:val="1"/>
                <w:color w:val="auto"/>
              </w:rPr>
              <w:t>August 28, 2009</w:t>
            </w:r>
          </w:p>
        </w:tc>
        <w:tc>
          <w:tcPr>
            <w:tcW w:w="0" w:type="dxa"/>
            <w:vAlign w:val="bottom"/>
          </w:tcPr>
          <w:p>
            <w:pPr>
              <w:spacing w:after="0"/>
              <w:rPr>
                <w:sz w:val="1"/>
                <w:szCs w:val="1"/>
                <w:color w:val="auto"/>
              </w:rPr>
            </w:pPr>
          </w:p>
        </w:tc>
      </w:tr>
      <w:tr>
        <w:trPr>
          <w:trHeight w:val="101"/>
        </w:trPr>
        <w:tc>
          <w:tcPr>
            <w:tcW w:w="9080" w:type="dxa"/>
            <w:vAlign w:val="bottom"/>
            <w:tcBorders>
              <w:bottom w:val="single" w:sz="8" w:color="auto"/>
              <w:right w:val="single" w:sz="8" w:color="auto"/>
            </w:tcBorders>
          </w:tcPr>
          <w:p>
            <w:pPr>
              <w:spacing w:after="0" w:line="101" w:lineRule="exact"/>
              <w:rPr>
                <w:sz w:val="20"/>
                <w:szCs w:val="20"/>
                <w:color w:val="auto"/>
              </w:rPr>
            </w:pPr>
            <w:r>
              <w:rPr>
                <w:rFonts w:ascii="Arial" w:cs="Arial" w:eastAsia="Arial" w:hAnsi="Arial"/>
                <w:sz w:val="11"/>
                <w:szCs w:val="11"/>
                <w:color w:val="auto"/>
              </w:rPr>
              <w:t>Class A Common Stock, par value $0.01 per share</w:t>
            </w:r>
          </w:p>
        </w:tc>
        <w:tc>
          <w:tcPr>
            <w:tcW w:w="1700" w:type="dxa"/>
            <w:vAlign w:val="bottom"/>
            <w:tcBorders>
              <w:bottom w:val="single" w:sz="8" w:color="auto"/>
            </w:tcBorders>
          </w:tcPr>
          <w:p>
            <w:pPr>
              <w:jc w:val="right"/>
              <w:ind w:right="51"/>
              <w:spacing w:after="0" w:line="101" w:lineRule="exact"/>
              <w:rPr>
                <w:sz w:val="20"/>
                <w:szCs w:val="20"/>
                <w:color w:val="auto"/>
              </w:rPr>
            </w:pPr>
            <w:r>
              <w:rPr>
                <w:rFonts w:ascii="Arial" w:cs="Arial" w:eastAsia="Arial" w:hAnsi="Arial"/>
                <w:sz w:val="11"/>
                <w:szCs w:val="11"/>
                <w:color w:val="auto"/>
              </w:rPr>
              <w:t>58,987,859</w:t>
            </w:r>
          </w:p>
        </w:tc>
        <w:tc>
          <w:tcPr>
            <w:tcW w:w="0" w:type="dxa"/>
            <w:vAlign w:val="bottom"/>
          </w:tcPr>
          <w:p>
            <w:pPr>
              <w:spacing w:after="0"/>
              <w:rPr>
                <w:sz w:val="1"/>
                <w:szCs w:val="1"/>
                <w:color w:val="auto"/>
              </w:rPr>
            </w:pPr>
          </w:p>
        </w:tc>
      </w:tr>
      <w:tr>
        <w:trPr>
          <w:trHeight w:val="101"/>
        </w:trPr>
        <w:tc>
          <w:tcPr>
            <w:tcW w:w="9080" w:type="dxa"/>
            <w:vAlign w:val="bottom"/>
            <w:tcBorders>
              <w:bottom w:val="single" w:sz="8" w:color="auto"/>
              <w:right w:val="single" w:sz="8" w:color="auto"/>
            </w:tcBorders>
          </w:tcPr>
          <w:p>
            <w:pPr>
              <w:spacing w:after="0" w:line="101" w:lineRule="exact"/>
              <w:rPr>
                <w:sz w:val="20"/>
                <w:szCs w:val="20"/>
                <w:color w:val="auto"/>
              </w:rPr>
            </w:pPr>
            <w:r>
              <w:rPr>
                <w:rFonts w:ascii="Arial" w:cs="Arial" w:eastAsia="Arial" w:hAnsi="Arial"/>
                <w:sz w:val="11"/>
                <w:szCs w:val="11"/>
                <w:color w:val="auto"/>
              </w:rPr>
              <w:t>Class B Common Stock, par value $0.01 per share</w:t>
            </w:r>
          </w:p>
        </w:tc>
        <w:tc>
          <w:tcPr>
            <w:tcW w:w="1700" w:type="dxa"/>
            <w:vAlign w:val="bottom"/>
            <w:tcBorders>
              <w:bottom w:val="single" w:sz="8" w:color="auto"/>
            </w:tcBorders>
          </w:tcPr>
          <w:p>
            <w:pPr>
              <w:jc w:val="right"/>
              <w:ind w:right="51"/>
              <w:spacing w:after="0" w:line="101"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1"/>
        </w:trPr>
        <w:tc>
          <w:tcPr>
            <w:tcW w:w="9080" w:type="dxa"/>
            <w:vAlign w:val="bottom"/>
            <w:tcBorders>
              <w:bottom w:val="single" w:sz="8" w:color="auto"/>
              <w:right w:val="single" w:sz="8" w:color="auto"/>
            </w:tcBorders>
          </w:tcPr>
          <w:p>
            <w:pPr>
              <w:ind w:left="120"/>
              <w:spacing w:after="0" w:line="101" w:lineRule="exact"/>
              <w:rPr>
                <w:sz w:val="20"/>
                <w:szCs w:val="20"/>
                <w:color w:val="auto"/>
              </w:rPr>
            </w:pPr>
            <w:r>
              <w:rPr>
                <w:rFonts w:ascii="Arial" w:cs="Arial" w:eastAsia="Arial" w:hAnsi="Arial"/>
                <w:sz w:val="11"/>
                <w:szCs w:val="11"/>
                <w:color w:val="auto"/>
              </w:rPr>
              <w:t>Total shares of common stock outstanding</w:t>
            </w:r>
          </w:p>
        </w:tc>
        <w:tc>
          <w:tcPr>
            <w:tcW w:w="1700" w:type="dxa"/>
            <w:vAlign w:val="bottom"/>
            <w:tcBorders>
              <w:bottom w:val="single" w:sz="8" w:color="auto"/>
            </w:tcBorders>
          </w:tcPr>
          <w:p>
            <w:pPr>
              <w:jc w:val="right"/>
              <w:ind w:right="51"/>
              <w:spacing w:after="0" w:line="101" w:lineRule="exact"/>
              <w:rPr>
                <w:sz w:val="20"/>
                <w:szCs w:val="20"/>
                <w:color w:val="auto"/>
              </w:rPr>
            </w:pPr>
            <w:r>
              <w:rPr>
                <w:rFonts w:ascii="Arial" w:cs="Arial" w:eastAsia="Arial" w:hAnsi="Arial"/>
                <w:sz w:val="11"/>
                <w:szCs w:val="11"/>
                <w:color w:val="auto"/>
              </w:rPr>
              <w:t>58,987,859</w:t>
            </w:r>
          </w:p>
        </w:tc>
        <w:tc>
          <w:tcPr>
            <w:tcW w:w="0" w:type="dxa"/>
            <w:vAlign w:val="bottom"/>
          </w:tcPr>
          <w:p>
            <w:pPr>
              <w:spacing w:after="0"/>
              <w:rPr>
                <w:sz w:val="1"/>
                <w:szCs w:val="1"/>
                <w:color w:val="auto"/>
              </w:rPr>
            </w:pPr>
          </w:p>
        </w:tc>
      </w:tr>
      <w:tr>
        <w:trPr>
          <w:trHeight w:val="20"/>
        </w:trPr>
        <w:tc>
          <w:tcPr>
            <w:tcW w:w="90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jc w:val="center"/>
        <w:ind w:right="-339"/>
        <w:spacing w:after="0"/>
        <w:rPr>
          <w:sz w:val="20"/>
          <w:szCs w:val="20"/>
          <w:color w:val="auto"/>
        </w:rPr>
      </w:pPr>
      <w:r>
        <w:rPr>
          <w:rFonts w:ascii="Arial" w:cs="Arial" w:eastAsia="Arial" w:hAnsi="Arial"/>
          <w:sz w:val="12"/>
          <w:szCs w:val="12"/>
          <w:b w:val="1"/>
          <w:bCs w:val="1"/>
          <w:color w:val="auto"/>
        </w:rPr>
        <w:t>DOCUMENTS INCORPORATED BY REFERENCE</w:t>
      </w:r>
    </w:p>
    <w:p>
      <w:pPr>
        <w:spacing w:after="0" w:line="108" w:lineRule="exact"/>
        <w:rPr>
          <w:sz w:val="20"/>
          <w:szCs w:val="20"/>
          <w:color w:val="auto"/>
        </w:rPr>
      </w:pPr>
    </w:p>
    <w:p>
      <w:pPr>
        <w:ind w:left="340" w:right="40" w:firstLine="323"/>
        <w:spacing w:after="0" w:line="338" w:lineRule="auto"/>
        <w:rPr>
          <w:sz w:val="20"/>
          <w:szCs w:val="20"/>
          <w:color w:val="auto"/>
        </w:rPr>
      </w:pPr>
      <w:r>
        <w:rPr>
          <w:rFonts w:ascii="Arial" w:cs="Arial" w:eastAsia="Arial" w:hAnsi="Arial"/>
          <w:sz w:val="11"/>
          <w:szCs w:val="11"/>
          <w:color w:val="auto"/>
        </w:rPr>
        <w:t>Portions of the registrant’s definitive Proxy Statement for the Annual Meeting of Shareholders scheduled to be held on or about November 19, 2009, which will be filed with the Securities and Exchange Commission within 120 days after the end of the registrant’s fiscal year ended July 3, 2009, are incorporated by reference into Part III of this Annual Report on Form 10-K to the extent described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21590</wp:posOffset>
            </wp:positionV>
            <wp:extent cx="6846570"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46570" cy="2540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146050</wp:posOffset>
            </wp:positionV>
            <wp:extent cx="7287895"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1120"/>
          </w:cols>
          <w:pgMar w:left="220" w:top="127" w:right="55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174"/>
        </w:trPr>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80" w:type="dxa"/>
            <w:vAlign w:val="bottom"/>
            <w:gridSpan w:val="17"/>
          </w:tcPr>
          <w:p>
            <w:pPr>
              <w:jc w:val="center"/>
              <w:ind w:right="3400"/>
              <w:spacing w:after="0"/>
              <w:rPr>
                <w:sz w:val="20"/>
                <w:szCs w:val="20"/>
                <w:color w:val="auto"/>
              </w:rPr>
            </w:pPr>
            <w:r>
              <w:rPr>
                <w:rFonts w:ascii="Arial" w:cs="Arial" w:eastAsia="Arial" w:hAnsi="Arial"/>
                <w:sz w:val="13"/>
                <w:szCs w:val="13"/>
                <w:b w:val="1"/>
                <w:bCs w:val="1"/>
                <w:color w:val="auto"/>
              </w:rPr>
              <w:t>HARRIS STRATEX NETWORKS, INC.</w:t>
            </w:r>
          </w:p>
        </w:tc>
        <w:tc>
          <w:tcPr>
            <w:tcW w:w="340" w:type="dxa"/>
            <w:vAlign w:val="bottom"/>
          </w:tcPr>
          <w:p>
            <w:pPr>
              <w:spacing w:after="0"/>
              <w:rPr>
                <w:sz w:val="15"/>
                <w:szCs w:val="15"/>
                <w:color w:val="auto"/>
              </w:rPr>
            </w:pPr>
          </w:p>
        </w:tc>
      </w:tr>
      <w:tr>
        <w:trPr>
          <w:trHeight w:val="252"/>
        </w:trPr>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80" w:type="dxa"/>
            <w:vAlign w:val="bottom"/>
            <w:gridSpan w:val="17"/>
          </w:tcPr>
          <w:p>
            <w:pPr>
              <w:jc w:val="center"/>
              <w:ind w:right="3400"/>
              <w:spacing w:after="0"/>
              <w:rPr>
                <w:sz w:val="20"/>
                <w:szCs w:val="20"/>
                <w:color w:val="auto"/>
              </w:rPr>
            </w:pPr>
            <w:r>
              <w:rPr>
                <w:rFonts w:ascii="Arial" w:cs="Arial" w:eastAsia="Arial" w:hAnsi="Arial"/>
                <w:sz w:val="13"/>
                <w:szCs w:val="13"/>
                <w:b w:val="1"/>
                <w:bCs w:val="1"/>
                <w:color w:val="auto"/>
              </w:rPr>
              <w:t>ANNUAL REPORT ON FORM 10-K</w:t>
            </w:r>
          </w:p>
        </w:tc>
        <w:tc>
          <w:tcPr>
            <w:tcW w:w="340" w:type="dxa"/>
            <w:vAlign w:val="bottom"/>
          </w:tcPr>
          <w:p>
            <w:pPr>
              <w:spacing w:after="0"/>
              <w:rPr>
                <w:sz w:val="21"/>
                <w:szCs w:val="21"/>
                <w:color w:val="auto"/>
              </w:rPr>
            </w:pPr>
          </w:p>
        </w:tc>
      </w:tr>
      <w:tr>
        <w:trPr>
          <w:trHeight w:val="252"/>
        </w:trPr>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80" w:type="dxa"/>
            <w:vAlign w:val="bottom"/>
            <w:gridSpan w:val="17"/>
          </w:tcPr>
          <w:p>
            <w:pPr>
              <w:jc w:val="center"/>
              <w:ind w:right="3420"/>
              <w:spacing w:after="0"/>
              <w:rPr>
                <w:sz w:val="20"/>
                <w:szCs w:val="20"/>
                <w:color w:val="auto"/>
              </w:rPr>
            </w:pPr>
            <w:r>
              <w:rPr>
                <w:rFonts w:ascii="Arial" w:cs="Arial" w:eastAsia="Arial" w:hAnsi="Arial"/>
                <w:sz w:val="13"/>
                <w:szCs w:val="13"/>
                <w:b w:val="1"/>
                <w:bCs w:val="1"/>
                <w:color w:val="auto"/>
                <w:w w:val="93"/>
              </w:rPr>
              <w:t>For the Fiscal Year Ended July 3, 2009</w:t>
            </w:r>
          </w:p>
        </w:tc>
        <w:tc>
          <w:tcPr>
            <w:tcW w:w="340" w:type="dxa"/>
            <w:vAlign w:val="bottom"/>
          </w:tcPr>
          <w:p>
            <w:pPr>
              <w:spacing w:after="0"/>
              <w:rPr>
                <w:sz w:val="21"/>
                <w:szCs w:val="21"/>
                <w:color w:val="auto"/>
              </w:rPr>
            </w:pPr>
          </w:p>
        </w:tc>
      </w:tr>
      <w:tr>
        <w:trPr>
          <w:trHeight w:val="252"/>
        </w:trPr>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560" w:type="dxa"/>
            <w:vAlign w:val="bottom"/>
            <w:gridSpan w:val="16"/>
          </w:tcPr>
          <w:p>
            <w:pPr>
              <w:jc w:val="center"/>
              <w:ind w:right="3720"/>
              <w:spacing w:after="0"/>
              <w:rPr>
                <w:sz w:val="20"/>
                <w:szCs w:val="20"/>
                <w:color w:val="auto"/>
              </w:rPr>
            </w:pPr>
            <w:r>
              <w:rPr>
                <w:rFonts w:ascii="Arial" w:cs="Arial" w:eastAsia="Arial" w:hAnsi="Arial"/>
                <w:sz w:val="13"/>
                <w:szCs w:val="13"/>
                <w:b w:val="1"/>
                <w:bCs w:val="1"/>
                <w:color w:val="auto"/>
              </w:rPr>
              <w:t>TABLE OF CONTENTS</w:t>
            </w:r>
          </w:p>
        </w:tc>
        <w:tc>
          <w:tcPr>
            <w:tcW w:w="340" w:type="dxa"/>
            <w:vAlign w:val="bottom"/>
          </w:tcPr>
          <w:p>
            <w:pPr>
              <w:spacing w:after="0"/>
              <w:rPr>
                <w:sz w:val="21"/>
                <w:szCs w:val="21"/>
                <w:color w:val="auto"/>
              </w:rPr>
            </w:pPr>
          </w:p>
        </w:tc>
      </w:tr>
      <w:tr>
        <w:trPr>
          <w:trHeight w:val="293"/>
        </w:trPr>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8"/>
              </w:rPr>
              <w:t>Page</w:t>
            </w:r>
          </w:p>
        </w:tc>
      </w:tr>
      <w:tr>
        <w:trPr>
          <w:trHeight w:val="161"/>
        </w:trPr>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80" w:type="dxa"/>
            <w:vAlign w:val="bottom"/>
            <w:gridSpan w:val="11"/>
          </w:tcPr>
          <w:p>
            <w:pPr>
              <w:jc w:val="center"/>
              <w:ind w:right="4400"/>
              <w:spacing w:after="0"/>
              <w:rPr>
                <w:rFonts w:ascii="Arial" w:cs="Arial" w:eastAsia="Arial" w:hAnsi="Arial"/>
                <w:sz w:val="13"/>
                <w:szCs w:val="13"/>
                <w:b w:val="1"/>
                <w:bCs w:val="1"/>
                <w:color w:val="0000EE"/>
              </w:rPr>
            </w:pPr>
            <w:hyperlink w:anchor="page6">
              <w:r>
                <w:rPr>
                  <w:rFonts w:ascii="Arial" w:cs="Arial" w:eastAsia="Arial" w:hAnsi="Arial"/>
                  <w:sz w:val="13"/>
                  <w:szCs w:val="13"/>
                  <w:b w:val="1"/>
                  <w:bCs w:val="1"/>
                  <w:color w:val="0000EE"/>
                </w:rPr>
                <w:t>PART I</w:t>
              </w:r>
            </w:hyperlink>
          </w:p>
        </w:tc>
        <w:tc>
          <w:tcPr>
            <w:tcW w:w="340" w:type="dxa"/>
            <w:vAlign w:val="bottom"/>
          </w:tcPr>
          <w:p>
            <w:pPr>
              <w:spacing w:after="0"/>
              <w:rPr>
                <w:sz w:val="14"/>
                <w:szCs w:val="14"/>
                <w:color w:val="auto"/>
              </w:rPr>
            </w:pPr>
          </w:p>
        </w:tc>
      </w:tr>
      <w:tr>
        <w:trPr>
          <w:trHeight w:val="141"/>
        </w:trPr>
        <w:tc>
          <w:tcPr>
            <w:tcW w:w="1260" w:type="dxa"/>
            <w:vAlign w:val="bottom"/>
            <w:gridSpan w:val="5"/>
          </w:tcPr>
          <w:p>
            <w:pPr>
              <w:spacing w:after="0" w:line="141" w:lineRule="exact"/>
              <w:rPr>
                <w:rFonts w:ascii="Arial" w:cs="Arial" w:eastAsia="Arial" w:hAnsi="Arial"/>
                <w:sz w:val="13"/>
                <w:szCs w:val="13"/>
                <w:color w:val="0000EE"/>
              </w:rPr>
            </w:pPr>
            <w:hyperlink w:anchor="page6">
              <w:r>
                <w:rPr>
                  <w:rFonts w:ascii="Arial" w:cs="Arial" w:eastAsia="Arial" w:hAnsi="Arial"/>
                  <w:sz w:val="13"/>
                  <w:szCs w:val="13"/>
                  <w:color w:val="0000EE"/>
                </w:rPr>
                <w:t>Item 1.</w:t>
              </w:r>
            </w:hyperlink>
          </w:p>
        </w:tc>
        <w:tc>
          <w:tcPr>
            <w:tcW w:w="3520" w:type="dxa"/>
            <w:vAlign w:val="bottom"/>
            <w:gridSpan w:val="18"/>
          </w:tcPr>
          <w:p>
            <w:pPr>
              <w:spacing w:after="0" w:line="141" w:lineRule="exact"/>
              <w:rPr>
                <w:rFonts w:ascii="Arial" w:cs="Arial" w:eastAsia="Arial" w:hAnsi="Arial"/>
                <w:sz w:val="13"/>
                <w:szCs w:val="13"/>
                <w:color w:val="0000EE"/>
              </w:rPr>
            </w:pPr>
            <w:hyperlink w:anchor="page6">
              <w:r>
                <w:rPr>
                  <w:rFonts w:ascii="Arial" w:cs="Arial" w:eastAsia="Arial" w:hAnsi="Arial"/>
                  <w:sz w:val="13"/>
                  <w:szCs w:val="13"/>
                  <w:color w:val="0000EE"/>
                </w:rPr>
                <w:t>Business</w:t>
              </w:r>
            </w:hyperlink>
          </w:p>
        </w:tc>
        <w:tc>
          <w:tcPr>
            <w:tcW w:w="440" w:type="dxa"/>
            <w:vAlign w:val="bottom"/>
            <w:tcBorders>
              <w:top w:val="single" w:sz="8" w:color="0000EE"/>
            </w:tcBorders>
          </w:tcPr>
          <w:p>
            <w:pPr>
              <w:spacing w:after="0"/>
              <w:rPr>
                <w:sz w:val="12"/>
                <w:szCs w:val="12"/>
                <w:color w:val="auto"/>
              </w:rPr>
            </w:pPr>
          </w:p>
        </w:tc>
        <w:tc>
          <w:tcPr>
            <w:tcW w:w="4420" w:type="dxa"/>
            <w:vAlign w:val="bottom"/>
            <w:gridSpan w:val="9"/>
          </w:tcPr>
          <w:p>
            <w:pPr>
              <w:spacing w:after="0"/>
              <w:rPr>
                <w:sz w:val="12"/>
                <w:szCs w:val="12"/>
                <w:color w:val="auto"/>
              </w:rPr>
            </w:pPr>
          </w:p>
        </w:tc>
        <w:tc>
          <w:tcPr>
            <w:tcW w:w="340" w:type="dxa"/>
            <w:vAlign w:val="bottom"/>
          </w:tcPr>
          <w:p>
            <w:pPr>
              <w:jc w:val="right"/>
              <w:spacing w:after="0" w:line="141" w:lineRule="exact"/>
              <w:rPr>
                <w:sz w:val="20"/>
                <w:szCs w:val="20"/>
                <w:color w:val="auto"/>
              </w:rPr>
            </w:pPr>
            <w:r>
              <w:rPr>
                <w:rFonts w:ascii="Arial" w:cs="Arial" w:eastAsia="Arial" w:hAnsi="Arial"/>
                <w:sz w:val="13"/>
                <w:szCs w:val="13"/>
                <w:color w:val="auto"/>
              </w:rPr>
              <w:t>5</w:t>
            </w:r>
          </w:p>
        </w:tc>
      </w:tr>
      <w:tr>
        <w:trPr>
          <w:trHeight w:val="20"/>
        </w:trPr>
        <w:tc>
          <w:tcPr>
            <w:tcW w:w="3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41"/>
        </w:trPr>
        <w:tc>
          <w:tcPr>
            <w:tcW w:w="500" w:type="dxa"/>
            <w:vAlign w:val="bottom"/>
            <w:gridSpan w:val="3"/>
          </w:tcPr>
          <w:p>
            <w:pPr>
              <w:spacing w:after="0" w:line="141" w:lineRule="exact"/>
              <w:rPr>
                <w:rFonts w:ascii="Arial" w:cs="Arial" w:eastAsia="Arial" w:hAnsi="Arial"/>
                <w:sz w:val="13"/>
                <w:szCs w:val="13"/>
                <w:color w:val="0000EE"/>
                <w:w w:val="94"/>
              </w:rPr>
            </w:pPr>
            <w:hyperlink w:anchor="page19">
              <w:r>
                <w:rPr>
                  <w:rFonts w:ascii="Arial" w:cs="Arial" w:eastAsia="Arial" w:hAnsi="Arial"/>
                  <w:sz w:val="13"/>
                  <w:szCs w:val="13"/>
                  <w:color w:val="0000EE"/>
                  <w:w w:val="94"/>
                </w:rPr>
                <w:t>Item 1A.</w:t>
              </w:r>
            </w:hyperlink>
          </w:p>
        </w:tc>
        <w:tc>
          <w:tcPr>
            <w:tcW w:w="760" w:type="dxa"/>
            <w:vAlign w:val="bottom"/>
            <w:gridSpan w:val="2"/>
          </w:tcPr>
          <w:p>
            <w:pPr>
              <w:spacing w:after="0"/>
              <w:rPr>
                <w:sz w:val="12"/>
                <w:szCs w:val="12"/>
                <w:color w:val="auto"/>
              </w:rPr>
            </w:pPr>
          </w:p>
        </w:tc>
        <w:tc>
          <w:tcPr>
            <w:tcW w:w="8380" w:type="dxa"/>
            <w:vAlign w:val="bottom"/>
            <w:gridSpan w:val="28"/>
          </w:tcPr>
          <w:p>
            <w:pPr>
              <w:spacing w:after="0" w:line="141" w:lineRule="exact"/>
              <w:rPr>
                <w:rFonts w:ascii="Arial" w:cs="Arial" w:eastAsia="Arial" w:hAnsi="Arial"/>
                <w:sz w:val="13"/>
                <w:szCs w:val="13"/>
                <w:color w:val="0000EE"/>
              </w:rPr>
            </w:pPr>
            <w:hyperlink w:anchor="page19">
              <w:r>
                <w:rPr>
                  <w:rFonts w:ascii="Arial" w:cs="Arial" w:eastAsia="Arial" w:hAnsi="Arial"/>
                  <w:sz w:val="13"/>
                  <w:szCs w:val="13"/>
                  <w:color w:val="0000EE"/>
                </w:rPr>
                <w:t>Risk Factors</w:t>
              </w:r>
            </w:hyperlink>
          </w:p>
        </w:tc>
        <w:tc>
          <w:tcPr>
            <w:tcW w:w="340" w:type="dxa"/>
            <w:vAlign w:val="bottom"/>
          </w:tcPr>
          <w:p>
            <w:pPr>
              <w:jc w:val="right"/>
              <w:spacing w:after="0" w:line="141" w:lineRule="exact"/>
              <w:rPr>
                <w:sz w:val="20"/>
                <w:szCs w:val="20"/>
                <w:color w:val="auto"/>
              </w:rPr>
            </w:pPr>
            <w:r>
              <w:rPr>
                <w:rFonts w:ascii="Arial" w:cs="Arial" w:eastAsia="Arial" w:hAnsi="Arial"/>
                <w:sz w:val="13"/>
                <w:szCs w:val="13"/>
                <w:color w:val="auto"/>
              </w:rPr>
              <w:t>18</w:t>
            </w:r>
          </w:p>
        </w:tc>
      </w:tr>
      <w:tr>
        <w:trPr>
          <w:trHeight w:val="20"/>
        </w:trPr>
        <w:tc>
          <w:tcPr>
            <w:tcW w:w="46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41"/>
        </w:trPr>
        <w:tc>
          <w:tcPr>
            <w:tcW w:w="500" w:type="dxa"/>
            <w:vAlign w:val="bottom"/>
            <w:tcBorders>
              <w:bottom w:val="single" w:sz="8" w:color="0000EE"/>
            </w:tcBorders>
            <w:gridSpan w:val="3"/>
          </w:tcPr>
          <w:p>
            <w:pPr>
              <w:spacing w:after="0" w:line="141" w:lineRule="exact"/>
              <w:rPr>
                <w:rFonts w:ascii="Arial" w:cs="Arial" w:eastAsia="Arial" w:hAnsi="Arial"/>
                <w:sz w:val="13"/>
                <w:szCs w:val="13"/>
                <w:color w:val="0000EE"/>
                <w:w w:val="94"/>
              </w:rPr>
            </w:pPr>
            <w:hyperlink w:anchor="page29">
              <w:r>
                <w:rPr>
                  <w:rFonts w:ascii="Arial" w:cs="Arial" w:eastAsia="Arial" w:hAnsi="Arial"/>
                  <w:sz w:val="13"/>
                  <w:szCs w:val="13"/>
                  <w:color w:val="0000EE"/>
                  <w:w w:val="94"/>
                </w:rPr>
                <w:t>Item 1B.</w:t>
              </w:r>
            </w:hyperlink>
          </w:p>
        </w:tc>
        <w:tc>
          <w:tcPr>
            <w:tcW w:w="760" w:type="dxa"/>
            <w:vAlign w:val="bottom"/>
            <w:gridSpan w:val="2"/>
          </w:tcPr>
          <w:p>
            <w:pPr>
              <w:spacing w:after="0"/>
              <w:rPr>
                <w:sz w:val="12"/>
                <w:szCs w:val="12"/>
                <w:color w:val="auto"/>
              </w:rPr>
            </w:pPr>
          </w:p>
        </w:tc>
        <w:tc>
          <w:tcPr>
            <w:tcW w:w="1540" w:type="dxa"/>
            <w:vAlign w:val="bottom"/>
            <w:tcBorders>
              <w:bottom w:val="single" w:sz="8" w:color="0000EE"/>
            </w:tcBorders>
            <w:gridSpan w:val="8"/>
          </w:tcPr>
          <w:p>
            <w:pPr>
              <w:spacing w:after="0" w:line="141" w:lineRule="exact"/>
              <w:rPr>
                <w:rFonts w:ascii="Arial" w:cs="Arial" w:eastAsia="Arial" w:hAnsi="Arial"/>
                <w:sz w:val="13"/>
                <w:szCs w:val="13"/>
                <w:color w:val="0000EE"/>
                <w:w w:val="93"/>
              </w:rPr>
            </w:pPr>
            <w:hyperlink w:anchor="page29">
              <w:r>
                <w:rPr>
                  <w:rFonts w:ascii="Arial" w:cs="Arial" w:eastAsia="Arial" w:hAnsi="Arial"/>
                  <w:sz w:val="13"/>
                  <w:szCs w:val="13"/>
                  <w:color w:val="0000EE"/>
                  <w:w w:val="93"/>
                </w:rPr>
                <w:t>Unresolved Staff Comments</w:t>
              </w:r>
            </w:hyperlink>
          </w:p>
        </w:tc>
        <w:tc>
          <w:tcPr>
            <w:tcW w:w="6840" w:type="dxa"/>
            <w:vAlign w:val="bottom"/>
            <w:gridSpan w:val="20"/>
          </w:tcPr>
          <w:p>
            <w:pPr>
              <w:spacing w:after="0"/>
              <w:rPr>
                <w:sz w:val="12"/>
                <w:szCs w:val="12"/>
                <w:color w:val="auto"/>
              </w:rPr>
            </w:pPr>
          </w:p>
        </w:tc>
        <w:tc>
          <w:tcPr>
            <w:tcW w:w="340" w:type="dxa"/>
            <w:vAlign w:val="bottom"/>
          </w:tcPr>
          <w:p>
            <w:pPr>
              <w:jc w:val="right"/>
              <w:spacing w:after="0" w:line="141" w:lineRule="exact"/>
              <w:rPr>
                <w:sz w:val="20"/>
                <w:szCs w:val="20"/>
                <w:color w:val="auto"/>
              </w:rPr>
            </w:pPr>
            <w:r>
              <w:rPr>
                <w:rFonts w:ascii="Arial" w:cs="Arial" w:eastAsia="Arial" w:hAnsi="Arial"/>
                <w:sz w:val="13"/>
                <w:szCs w:val="13"/>
                <w:color w:val="auto"/>
              </w:rPr>
              <w:t>28</w:t>
            </w:r>
          </w:p>
        </w:tc>
      </w:tr>
      <w:tr>
        <w:trPr>
          <w:trHeight w:val="141"/>
        </w:trPr>
        <w:tc>
          <w:tcPr>
            <w:tcW w:w="1260" w:type="dxa"/>
            <w:vAlign w:val="bottom"/>
            <w:gridSpan w:val="5"/>
          </w:tcPr>
          <w:p>
            <w:pPr>
              <w:spacing w:after="0" w:line="141" w:lineRule="exact"/>
              <w:rPr>
                <w:rFonts w:ascii="Arial" w:cs="Arial" w:eastAsia="Arial" w:hAnsi="Arial"/>
                <w:sz w:val="13"/>
                <w:szCs w:val="13"/>
                <w:color w:val="0000EE"/>
              </w:rPr>
            </w:pPr>
            <w:hyperlink w:anchor="page29">
              <w:r>
                <w:rPr>
                  <w:rFonts w:ascii="Arial" w:cs="Arial" w:eastAsia="Arial" w:hAnsi="Arial"/>
                  <w:sz w:val="13"/>
                  <w:szCs w:val="13"/>
                  <w:color w:val="0000EE"/>
                </w:rPr>
                <w:t>Item 2.</w:t>
              </w:r>
            </w:hyperlink>
          </w:p>
        </w:tc>
        <w:tc>
          <w:tcPr>
            <w:tcW w:w="8380" w:type="dxa"/>
            <w:vAlign w:val="bottom"/>
            <w:gridSpan w:val="28"/>
          </w:tcPr>
          <w:p>
            <w:pPr>
              <w:spacing w:after="0" w:line="141" w:lineRule="exact"/>
              <w:rPr>
                <w:rFonts w:ascii="Arial" w:cs="Arial" w:eastAsia="Arial" w:hAnsi="Arial"/>
                <w:sz w:val="13"/>
                <w:szCs w:val="13"/>
                <w:color w:val="0000EE"/>
              </w:rPr>
            </w:pPr>
            <w:hyperlink w:anchor="page29">
              <w:r>
                <w:rPr>
                  <w:rFonts w:ascii="Arial" w:cs="Arial" w:eastAsia="Arial" w:hAnsi="Arial"/>
                  <w:sz w:val="13"/>
                  <w:szCs w:val="13"/>
                  <w:color w:val="0000EE"/>
                </w:rPr>
                <w:t>Properties</w:t>
              </w:r>
            </w:hyperlink>
          </w:p>
        </w:tc>
        <w:tc>
          <w:tcPr>
            <w:tcW w:w="340" w:type="dxa"/>
            <w:vAlign w:val="bottom"/>
          </w:tcPr>
          <w:p>
            <w:pPr>
              <w:jc w:val="right"/>
              <w:spacing w:after="0" w:line="141" w:lineRule="exact"/>
              <w:rPr>
                <w:sz w:val="20"/>
                <w:szCs w:val="20"/>
                <w:color w:val="auto"/>
              </w:rPr>
            </w:pPr>
            <w:r>
              <w:rPr>
                <w:rFonts w:ascii="Arial" w:cs="Arial" w:eastAsia="Arial" w:hAnsi="Arial"/>
                <w:sz w:val="13"/>
                <w:szCs w:val="13"/>
                <w:color w:val="auto"/>
              </w:rPr>
              <w:t>28</w:t>
            </w:r>
          </w:p>
        </w:tc>
      </w:tr>
      <w:tr>
        <w:trPr>
          <w:trHeight w:val="20"/>
        </w:trPr>
        <w:tc>
          <w:tcPr>
            <w:tcW w:w="3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41"/>
        </w:trPr>
        <w:tc>
          <w:tcPr>
            <w:tcW w:w="1260" w:type="dxa"/>
            <w:vAlign w:val="bottom"/>
            <w:gridSpan w:val="5"/>
          </w:tcPr>
          <w:p>
            <w:pPr>
              <w:spacing w:after="0" w:line="141" w:lineRule="exact"/>
              <w:rPr>
                <w:rFonts w:ascii="Arial" w:cs="Arial" w:eastAsia="Arial" w:hAnsi="Arial"/>
                <w:sz w:val="13"/>
                <w:szCs w:val="13"/>
                <w:color w:val="0000EE"/>
              </w:rPr>
            </w:pPr>
            <w:hyperlink w:anchor="page30">
              <w:r>
                <w:rPr>
                  <w:rFonts w:ascii="Arial" w:cs="Arial" w:eastAsia="Arial" w:hAnsi="Arial"/>
                  <w:sz w:val="13"/>
                  <w:szCs w:val="13"/>
                  <w:color w:val="0000EE"/>
                </w:rPr>
                <w:t>Item 3.</w:t>
              </w:r>
            </w:hyperlink>
          </w:p>
        </w:tc>
        <w:tc>
          <w:tcPr>
            <w:tcW w:w="8380" w:type="dxa"/>
            <w:vAlign w:val="bottom"/>
            <w:gridSpan w:val="28"/>
          </w:tcPr>
          <w:p>
            <w:pPr>
              <w:spacing w:after="0" w:line="141" w:lineRule="exact"/>
              <w:rPr>
                <w:rFonts w:ascii="Arial" w:cs="Arial" w:eastAsia="Arial" w:hAnsi="Arial"/>
                <w:sz w:val="13"/>
                <w:szCs w:val="13"/>
                <w:color w:val="0000EE"/>
              </w:rPr>
            </w:pPr>
            <w:hyperlink w:anchor="page30">
              <w:r>
                <w:rPr>
                  <w:rFonts w:ascii="Arial" w:cs="Arial" w:eastAsia="Arial" w:hAnsi="Arial"/>
                  <w:sz w:val="13"/>
                  <w:szCs w:val="13"/>
                  <w:color w:val="0000EE"/>
                </w:rPr>
                <w:t>Legal Proceedings</w:t>
              </w:r>
            </w:hyperlink>
          </w:p>
        </w:tc>
        <w:tc>
          <w:tcPr>
            <w:tcW w:w="340" w:type="dxa"/>
            <w:vAlign w:val="bottom"/>
          </w:tcPr>
          <w:p>
            <w:pPr>
              <w:jc w:val="right"/>
              <w:spacing w:after="0" w:line="141" w:lineRule="exact"/>
              <w:rPr>
                <w:sz w:val="20"/>
                <w:szCs w:val="20"/>
                <w:color w:val="auto"/>
              </w:rPr>
            </w:pPr>
            <w:r>
              <w:rPr>
                <w:rFonts w:ascii="Arial" w:cs="Arial" w:eastAsia="Arial" w:hAnsi="Arial"/>
                <w:sz w:val="13"/>
                <w:szCs w:val="13"/>
                <w:color w:val="auto"/>
              </w:rPr>
              <w:t>29</w:t>
            </w:r>
          </w:p>
        </w:tc>
      </w:tr>
      <w:tr>
        <w:trPr>
          <w:trHeight w:val="20"/>
        </w:trPr>
        <w:tc>
          <w:tcPr>
            <w:tcW w:w="3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Borders>
              <w:right w:val="single" w:sz="8" w:color="0000EE"/>
            </w:tcBorders>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41"/>
        </w:trPr>
        <w:tc>
          <w:tcPr>
            <w:tcW w:w="1260" w:type="dxa"/>
            <w:vAlign w:val="bottom"/>
            <w:gridSpan w:val="5"/>
          </w:tcPr>
          <w:p>
            <w:pPr>
              <w:spacing w:after="0" w:line="141" w:lineRule="exact"/>
              <w:rPr>
                <w:rFonts w:ascii="Arial" w:cs="Arial" w:eastAsia="Arial" w:hAnsi="Arial"/>
                <w:sz w:val="13"/>
                <w:szCs w:val="13"/>
                <w:color w:val="0000EE"/>
              </w:rPr>
            </w:pPr>
            <w:hyperlink w:anchor="page30">
              <w:r>
                <w:rPr>
                  <w:rFonts w:ascii="Arial" w:cs="Arial" w:eastAsia="Arial" w:hAnsi="Arial"/>
                  <w:sz w:val="13"/>
                  <w:szCs w:val="13"/>
                  <w:color w:val="0000EE"/>
                </w:rPr>
                <w:t>Item 4.</w:t>
              </w:r>
            </w:hyperlink>
          </w:p>
        </w:tc>
        <w:tc>
          <w:tcPr>
            <w:tcW w:w="8380" w:type="dxa"/>
            <w:vAlign w:val="bottom"/>
            <w:gridSpan w:val="28"/>
          </w:tcPr>
          <w:p>
            <w:pPr>
              <w:spacing w:after="0" w:line="141" w:lineRule="exact"/>
              <w:rPr>
                <w:rFonts w:ascii="Arial" w:cs="Arial" w:eastAsia="Arial" w:hAnsi="Arial"/>
                <w:sz w:val="13"/>
                <w:szCs w:val="13"/>
                <w:color w:val="0000EE"/>
              </w:rPr>
            </w:pPr>
            <w:hyperlink w:anchor="page30">
              <w:r>
                <w:rPr>
                  <w:rFonts w:ascii="Arial" w:cs="Arial" w:eastAsia="Arial" w:hAnsi="Arial"/>
                  <w:sz w:val="13"/>
                  <w:szCs w:val="13"/>
                  <w:color w:val="0000EE"/>
                </w:rPr>
                <w:t>Submission of Matters to a Vote of Security Holders</w:t>
              </w:r>
            </w:hyperlink>
          </w:p>
        </w:tc>
        <w:tc>
          <w:tcPr>
            <w:tcW w:w="340" w:type="dxa"/>
            <w:vAlign w:val="bottom"/>
          </w:tcPr>
          <w:p>
            <w:pPr>
              <w:jc w:val="right"/>
              <w:spacing w:after="0" w:line="141" w:lineRule="exact"/>
              <w:rPr>
                <w:sz w:val="20"/>
                <w:szCs w:val="20"/>
                <w:color w:val="auto"/>
              </w:rPr>
            </w:pPr>
            <w:r>
              <w:rPr>
                <w:rFonts w:ascii="Arial" w:cs="Arial" w:eastAsia="Arial" w:hAnsi="Arial"/>
                <w:sz w:val="13"/>
                <w:szCs w:val="13"/>
                <w:color w:val="auto"/>
              </w:rPr>
              <w:t>29</w:t>
            </w:r>
          </w:p>
        </w:tc>
      </w:tr>
      <w:tr>
        <w:trPr>
          <w:trHeight w:val="262"/>
        </w:trPr>
        <w:tc>
          <w:tcPr>
            <w:tcW w:w="380" w:type="dxa"/>
            <w:vAlign w:val="bottom"/>
            <w:tcBorders>
              <w:top w:val="single" w:sz="8" w:color="0000EE"/>
            </w:tcBorders>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8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120" w:type="dxa"/>
            <w:vAlign w:val="bottom"/>
            <w:tcBorders>
              <w:top w:val="single" w:sz="8" w:color="0000EE"/>
            </w:tcBorders>
          </w:tcPr>
          <w:p>
            <w:pPr>
              <w:spacing w:after="0"/>
              <w:rPr>
                <w:sz w:val="22"/>
                <w:szCs w:val="22"/>
                <w:color w:val="auto"/>
              </w:rPr>
            </w:pPr>
          </w:p>
        </w:tc>
        <w:tc>
          <w:tcPr>
            <w:tcW w:w="320" w:type="dxa"/>
            <w:vAlign w:val="bottom"/>
            <w:tcBorders>
              <w:top w:val="single" w:sz="8" w:color="0000EE"/>
            </w:tcBorders>
          </w:tcPr>
          <w:p>
            <w:pPr>
              <w:spacing w:after="0"/>
              <w:rPr>
                <w:sz w:val="22"/>
                <w:szCs w:val="22"/>
                <w:color w:val="auto"/>
              </w:rPr>
            </w:pPr>
          </w:p>
        </w:tc>
        <w:tc>
          <w:tcPr>
            <w:tcW w:w="28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600" w:type="dxa"/>
            <w:vAlign w:val="bottom"/>
            <w:tcBorders>
              <w:top w:val="single" w:sz="8" w:color="0000EE"/>
            </w:tcBorders>
          </w:tcPr>
          <w:p>
            <w:pPr>
              <w:spacing w:after="0"/>
              <w:rPr>
                <w:sz w:val="22"/>
                <w:szCs w:val="22"/>
                <w:color w:val="auto"/>
              </w:rPr>
            </w:pPr>
          </w:p>
        </w:tc>
        <w:tc>
          <w:tcPr>
            <w:tcW w:w="22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320" w:type="dxa"/>
            <w:vAlign w:val="bottom"/>
            <w:tcBorders>
              <w:top w:val="single" w:sz="8" w:color="0000EE"/>
            </w:tcBorders>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 w:type="dxa"/>
            <w:vAlign w:val="bottom"/>
            <w:tcBorders>
              <w:bottom w:val="single" w:sz="8" w:color="0000EE"/>
            </w:tcBorders>
            <w:gridSpan w:val="3"/>
          </w:tcPr>
          <w:p>
            <w:pPr>
              <w:jc w:val="center"/>
              <w:spacing w:after="0"/>
              <w:rPr>
                <w:rFonts w:ascii="Arial" w:cs="Arial" w:eastAsia="Arial" w:hAnsi="Arial"/>
                <w:sz w:val="13"/>
                <w:szCs w:val="13"/>
                <w:b w:val="1"/>
                <w:bCs w:val="1"/>
                <w:color w:val="0000EE"/>
              </w:rPr>
            </w:pPr>
            <w:hyperlink w:anchor="page32">
              <w:r>
                <w:rPr>
                  <w:rFonts w:ascii="Arial" w:cs="Arial" w:eastAsia="Arial" w:hAnsi="Arial"/>
                  <w:sz w:val="13"/>
                  <w:szCs w:val="13"/>
                  <w:b w:val="1"/>
                  <w:bCs w:val="1"/>
                  <w:color w:val="0000EE"/>
                </w:rPr>
                <w:t>PART II</w:t>
              </w:r>
            </w:hyperlink>
          </w:p>
        </w:tc>
        <w:tc>
          <w:tcPr>
            <w:tcW w:w="4400" w:type="dxa"/>
            <w:vAlign w:val="bottom"/>
            <w:gridSpan w:val="8"/>
          </w:tcPr>
          <w:p>
            <w:pPr>
              <w:spacing w:after="0"/>
              <w:rPr>
                <w:sz w:val="22"/>
                <w:szCs w:val="22"/>
                <w:color w:val="auto"/>
              </w:rPr>
            </w:pPr>
          </w:p>
        </w:tc>
        <w:tc>
          <w:tcPr>
            <w:tcW w:w="340" w:type="dxa"/>
            <w:vAlign w:val="bottom"/>
          </w:tcPr>
          <w:p>
            <w:pPr>
              <w:spacing w:after="0"/>
              <w:rPr>
                <w:sz w:val="22"/>
                <w:szCs w:val="22"/>
                <w:color w:val="auto"/>
              </w:rPr>
            </w:pPr>
          </w:p>
        </w:tc>
      </w:tr>
      <w:tr>
        <w:trPr>
          <w:trHeight w:val="141"/>
        </w:trPr>
        <w:tc>
          <w:tcPr>
            <w:tcW w:w="1260" w:type="dxa"/>
            <w:vAlign w:val="bottom"/>
            <w:gridSpan w:val="5"/>
          </w:tcPr>
          <w:p>
            <w:pPr>
              <w:spacing w:after="0" w:line="141" w:lineRule="exact"/>
              <w:rPr>
                <w:rFonts w:ascii="Arial" w:cs="Arial" w:eastAsia="Arial" w:hAnsi="Arial"/>
                <w:sz w:val="13"/>
                <w:szCs w:val="13"/>
                <w:color w:val="0000EE"/>
              </w:rPr>
            </w:pPr>
            <w:hyperlink w:anchor="page32">
              <w:r>
                <w:rPr>
                  <w:rFonts w:ascii="Arial" w:cs="Arial" w:eastAsia="Arial" w:hAnsi="Arial"/>
                  <w:sz w:val="13"/>
                  <w:szCs w:val="13"/>
                  <w:color w:val="0000EE"/>
                </w:rPr>
                <w:t>Item 5.</w:t>
              </w:r>
            </w:hyperlink>
          </w:p>
        </w:tc>
        <w:tc>
          <w:tcPr>
            <w:tcW w:w="8380" w:type="dxa"/>
            <w:vAlign w:val="bottom"/>
            <w:gridSpan w:val="28"/>
          </w:tcPr>
          <w:p>
            <w:pPr>
              <w:spacing w:after="0" w:line="141" w:lineRule="exact"/>
              <w:rPr>
                <w:rFonts w:ascii="Arial" w:cs="Arial" w:eastAsia="Arial" w:hAnsi="Arial"/>
                <w:sz w:val="13"/>
                <w:szCs w:val="13"/>
                <w:color w:val="0000EE"/>
              </w:rPr>
            </w:pPr>
            <w:hyperlink w:anchor="page32">
              <w:r>
                <w:rPr>
                  <w:rFonts w:ascii="Arial" w:cs="Arial" w:eastAsia="Arial" w:hAnsi="Arial"/>
                  <w:sz w:val="13"/>
                  <w:szCs w:val="13"/>
                  <w:color w:val="0000EE"/>
                </w:rPr>
                <w:t>Market for Registrant’s Common Equity, Related Stockholder Matters and Issuer Purchases of Equity Securities</w:t>
              </w:r>
            </w:hyperlink>
          </w:p>
        </w:tc>
        <w:tc>
          <w:tcPr>
            <w:tcW w:w="340" w:type="dxa"/>
            <w:vAlign w:val="bottom"/>
          </w:tcPr>
          <w:p>
            <w:pPr>
              <w:jc w:val="right"/>
              <w:spacing w:after="0" w:line="141" w:lineRule="exact"/>
              <w:rPr>
                <w:sz w:val="20"/>
                <w:szCs w:val="20"/>
                <w:color w:val="auto"/>
              </w:rPr>
            </w:pPr>
            <w:r>
              <w:rPr>
                <w:rFonts w:ascii="Arial" w:cs="Arial" w:eastAsia="Arial" w:hAnsi="Arial"/>
                <w:sz w:val="13"/>
                <w:szCs w:val="13"/>
                <w:color w:val="auto"/>
              </w:rPr>
              <w:t>31</w:t>
            </w:r>
          </w:p>
        </w:tc>
      </w:tr>
      <w:tr>
        <w:trPr>
          <w:trHeight w:val="20"/>
        </w:trPr>
        <w:tc>
          <w:tcPr>
            <w:tcW w:w="3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Borders>
              <w:right w:val="single" w:sz="8" w:color="0000EE"/>
            </w:tcBorders>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41"/>
        </w:trPr>
        <w:tc>
          <w:tcPr>
            <w:tcW w:w="1260" w:type="dxa"/>
            <w:vAlign w:val="bottom"/>
            <w:gridSpan w:val="5"/>
          </w:tcPr>
          <w:p>
            <w:pPr>
              <w:spacing w:after="0" w:line="141" w:lineRule="exact"/>
              <w:rPr>
                <w:rFonts w:ascii="Arial" w:cs="Arial" w:eastAsia="Arial" w:hAnsi="Arial"/>
                <w:sz w:val="13"/>
                <w:szCs w:val="13"/>
                <w:color w:val="0000EE"/>
              </w:rPr>
            </w:pPr>
            <w:hyperlink w:anchor="page34">
              <w:r>
                <w:rPr>
                  <w:rFonts w:ascii="Arial" w:cs="Arial" w:eastAsia="Arial" w:hAnsi="Arial"/>
                  <w:sz w:val="13"/>
                  <w:szCs w:val="13"/>
                  <w:color w:val="0000EE"/>
                </w:rPr>
                <w:t>Item 6.</w:t>
              </w:r>
            </w:hyperlink>
          </w:p>
        </w:tc>
        <w:tc>
          <w:tcPr>
            <w:tcW w:w="8380" w:type="dxa"/>
            <w:vAlign w:val="bottom"/>
            <w:gridSpan w:val="28"/>
          </w:tcPr>
          <w:p>
            <w:pPr>
              <w:spacing w:after="0" w:line="141" w:lineRule="exact"/>
              <w:rPr>
                <w:rFonts w:ascii="Arial" w:cs="Arial" w:eastAsia="Arial" w:hAnsi="Arial"/>
                <w:sz w:val="13"/>
                <w:szCs w:val="13"/>
                <w:color w:val="0000EE"/>
              </w:rPr>
            </w:pPr>
            <w:hyperlink w:anchor="page34">
              <w:r>
                <w:rPr>
                  <w:rFonts w:ascii="Arial" w:cs="Arial" w:eastAsia="Arial" w:hAnsi="Arial"/>
                  <w:sz w:val="13"/>
                  <w:szCs w:val="13"/>
                  <w:color w:val="0000EE"/>
                </w:rPr>
                <w:t>Selected Financial Data</w:t>
              </w:r>
            </w:hyperlink>
          </w:p>
        </w:tc>
        <w:tc>
          <w:tcPr>
            <w:tcW w:w="340" w:type="dxa"/>
            <w:vAlign w:val="bottom"/>
          </w:tcPr>
          <w:p>
            <w:pPr>
              <w:jc w:val="right"/>
              <w:spacing w:after="0" w:line="141" w:lineRule="exact"/>
              <w:rPr>
                <w:sz w:val="20"/>
                <w:szCs w:val="20"/>
                <w:color w:val="auto"/>
              </w:rPr>
            </w:pPr>
            <w:r>
              <w:rPr>
                <w:rFonts w:ascii="Arial" w:cs="Arial" w:eastAsia="Arial" w:hAnsi="Arial"/>
                <w:sz w:val="13"/>
                <w:szCs w:val="13"/>
                <w:color w:val="auto"/>
              </w:rPr>
              <w:t>33</w:t>
            </w:r>
          </w:p>
        </w:tc>
      </w:tr>
      <w:tr>
        <w:trPr>
          <w:trHeight w:val="20"/>
        </w:trPr>
        <w:tc>
          <w:tcPr>
            <w:tcW w:w="3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Borders>
              <w:right w:val="single" w:sz="8" w:color="0000EE"/>
            </w:tcBorders>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41"/>
        </w:trPr>
        <w:tc>
          <w:tcPr>
            <w:tcW w:w="1260" w:type="dxa"/>
            <w:vAlign w:val="bottom"/>
            <w:gridSpan w:val="5"/>
          </w:tcPr>
          <w:p>
            <w:pPr>
              <w:spacing w:after="0" w:line="141" w:lineRule="exact"/>
              <w:rPr>
                <w:rFonts w:ascii="Arial" w:cs="Arial" w:eastAsia="Arial" w:hAnsi="Arial"/>
                <w:sz w:val="13"/>
                <w:szCs w:val="13"/>
                <w:color w:val="0000EE"/>
              </w:rPr>
            </w:pPr>
            <w:hyperlink w:anchor="page35">
              <w:r>
                <w:rPr>
                  <w:rFonts w:ascii="Arial" w:cs="Arial" w:eastAsia="Arial" w:hAnsi="Arial"/>
                  <w:sz w:val="13"/>
                  <w:szCs w:val="13"/>
                  <w:color w:val="0000EE"/>
                </w:rPr>
                <w:t>Item 7.</w:t>
              </w:r>
            </w:hyperlink>
          </w:p>
        </w:tc>
        <w:tc>
          <w:tcPr>
            <w:tcW w:w="8380" w:type="dxa"/>
            <w:vAlign w:val="bottom"/>
            <w:gridSpan w:val="28"/>
          </w:tcPr>
          <w:p>
            <w:pPr>
              <w:spacing w:after="0" w:line="141" w:lineRule="exact"/>
              <w:rPr>
                <w:rFonts w:ascii="Arial" w:cs="Arial" w:eastAsia="Arial" w:hAnsi="Arial"/>
                <w:sz w:val="13"/>
                <w:szCs w:val="13"/>
                <w:color w:val="0000EE"/>
              </w:rPr>
            </w:pPr>
            <w:hyperlink w:anchor="page35">
              <w:r>
                <w:rPr>
                  <w:rFonts w:ascii="Arial" w:cs="Arial" w:eastAsia="Arial" w:hAnsi="Arial"/>
                  <w:sz w:val="13"/>
                  <w:szCs w:val="13"/>
                  <w:color w:val="0000EE"/>
                </w:rPr>
                <w:t>Management’s Discussion and Analysis of Financial Condition and Results of Operations</w:t>
              </w:r>
            </w:hyperlink>
          </w:p>
        </w:tc>
        <w:tc>
          <w:tcPr>
            <w:tcW w:w="340" w:type="dxa"/>
            <w:vAlign w:val="bottom"/>
          </w:tcPr>
          <w:p>
            <w:pPr>
              <w:jc w:val="right"/>
              <w:spacing w:after="0" w:line="141" w:lineRule="exact"/>
              <w:rPr>
                <w:sz w:val="20"/>
                <w:szCs w:val="20"/>
                <w:color w:val="auto"/>
              </w:rPr>
            </w:pPr>
            <w:r>
              <w:rPr>
                <w:rFonts w:ascii="Arial" w:cs="Arial" w:eastAsia="Arial" w:hAnsi="Arial"/>
                <w:sz w:val="13"/>
                <w:szCs w:val="13"/>
                <w:color w:val="auto"/>
              </w:rPr>
              <w:t>34</w:t>
            </w:r>
          </w:p>
        </w:tc>
      </w:tr>
      <w:tr>
        <w:trPr>
          <w:trHeight w:val="20"/>
        </w:trPr>
        <w:tc>
          <w:tcPr>
            <w:tcW w:w="3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Borders>
              <w:right w:val="single" w:sz="8" w:color="0000EE"/>
            </w:tcBorders>
            <w:gridSpan w:val="4"/>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41"/>
        </w:trPr>
        <w:tc>
          <w:tcPr>
            <w:tcW w:w="500" w:type="dxa"/>
            <w:vAlign w:val="bottom"/>
            <w:gridSpan w:val="3"/>
          </w:tcPr>
          <w:p>
            <w:pPr>
              <w:spacing w:after="0" w:line="141" w:lineRule="exact"/>
              <w:rPr>
                <w:rFonts w:ascii="Arial" w:cs="Arial" w:eastAsia="Arial" w:hAnsi="Arial"/>
                <w:sz w:val="13"/>
                <w:szCs w:val="13"/>
                <w:color w:val="0000EE"/>
                <w:w w:val="94"/>
              </w:rPr>
            </w:pPr>
            <w:hyperlink w:anchor="page58">
              <w:r>
                <w:rPr>
                  <w:rFonts w:ascii="Arial" w:cs="Arial" w:eastAsia="Arial" w:hAnsi="Arial"/>
                  <w:sz w:val="13"/>
                  <w:szCs w:val="13"/>
                  <w:color w:val="0000EE"/>
                  <w:w w:val="94"/>
                </w:rPr>
                <w:t>Item 7A.</w:t>
              </w:r>
            </w:hyperlink>
          </w:p>
        </w:tc>
        <w:tc>
          <w:tcPr>
            <w:tcW w:w="760" w:type="dxa"/>
            <w:vAlign w:val="bottom"/>
            <w:gridSpan w:val="2"/>
          </w:tcPr>
          <w:p>
            <w:pPr>
              <w:spacing w:after="0"/>
              <w:rPr>
                <w:sz w:val="12"/>
                <w:szCs w:val="12"/>
                <w:color w:val="auto"/>
              </w:rPr>
            </w:pPr>
          </w:p>
        </w:tc>
        <w:tc>
          <w:tcPr>
            <w:tcW w:w="8380" w:type="dxa"/>
            <w:vAlign w:val="bottom"/>
            <w:gridSpan w:val="28"/>
          </w:tcPr>
          <w:p>
            <w:pPr>
              <w:spacing w:after="0" w:line="141" w:lineRule="exact"/>
              <w:rPr>
                <w:rFonts w:ascii="Arial" w:cs="Arial" w:eastAsia="Arial" w:hAnsi="Arial"/>
                <w:sz w:val="13"/>
                <w:szCs w:val="13"/>
                <w:color w:val="0000EE"/>
              </w:rPr>
            </w:pPr>
            <w:hyperlink w:anchor="page58">
              <w:r>
                <w:rPr>
                  <w:rFonts w:ascii="Arial" w:cs="Arial" w:eastAsia="Arial" w:hAnsi="Arial"/>
                  <w:sz w:val="13"/>
                  <w:szCs w:val="13"/>
                  <w:color w:val="0000EE"/>
                </w:rPr>
                <w:t>Quantitative and Qualitative Disclosures About Market Risk</w:t>
              </w:r>
            </w:hyperlink>
          </w:p>
        </w:tc>
        <w:tc>
          <w:tcPr>
            <w:tcW w:w="340" w:type="dxa"/>
            <w:vAlign w:val="bottom"/>
          </w:tcPr>
          <w:p>
            <w:pPr>
              <w:jc w:val="right"/>
              <w:spacing w:after="0" w:line="141" w:lineRule="exact"/>
              <w:rPr>
                <w:sz w:val="20"/>
                <w:szCs w:val="20"/>
                <w:color w:val="auto"/>
              </w:rPr>
            </w:pPr>
            <w:r>
              <w:rPr>
                <w:rFonts w:ascii="Arial" w:cs="Arial" w:eastAsia="Arial" w:hAnsi="Arial"/>
                <w:sz w:val="13"/>
                <w:szCs w:val="13"/>
                <w:color w:val="auto"/>
              </w:rPr>
              <w:t>57</w:t>
            </w:r>
          </w:p>
        </w:tc>
      </w:tr>
      <w:tr>
        <w:trPr>
          <w:trHeight w:val="141"/>
        </w:trPr>
        <w:tc>
          <w:tcPr>
            <w:tcW w:w="500" w:type="dxa"/>
            <w:vAlign w:val="bottom"/>
            <w:tcBorders>
              <w:top w:val="single" w:sz="8" w:color="0000EE"/>
            </w:tcBorders>
            <w:gridSpan w:val="3"/>
          </w:tcPr>
          <w:p>
            <w:pPr>
              <w:spacing w:after="0" w:line="141" w:lineRule="exact"/>
              <w:rPr>
                <w:rFonts w:ascii="Arial" w:cs="Arial" w:eastAsia="Arial" w:hAnsi="Arial"/>
                <w:sz w:val="13"/>
                <w:szCs w:val="13"/>
                <w:color w:val="0000EE"/>
              </w:rPr>
            </w:pPr>
            <w:hyperlink w:anchor="page59">
              <w:r>
                <w:rPr>
                  <w:rFonts w:ascii="Arial" w:cs="Arial" w:eastAsia="Arial" w:hAnsi="Arial"/>
                  <w:sz w:val="13"/>
                  <w:szCs w:val="13"/>
                  <w:color w:val="0000EE"/>
                </w:rPr>
                <w:t>Item 8.</w:t>
              </w:r>
            </w:hyperlink>
          </w:p>
        </w:tc>
        <w:tc>
          <w:tcPr>
            <w:tcW w:w="760" w:type="dxa"/>
            <w:vAlign w:val="bottom"/>
            <w:gridSpan w:val="2"/>
          </w:tcPr>
          <w:p>
            <w:pPr>
              <w:spacing w:after="0"/>
              <w:rPr>
                <w:sz w:val="12"/>
                <w:szCs w:val="12"/>
                <w:color w:val="auto"/>
              </w:rPr>
            </w:pPr>
          </w:p>
        </w:tc>
        <w:tc>
          <w:tcPr>
            <w:tcW w:w="3260" w:type="dxa"/>
            <w:vAlign w:val="bottom"/>
            <w:tcBorders>
              <w:top w:val="single" w:sz="8" w:color="0000EE"/>
            </w:tcBorders>
            <w:gridSpan w:val="14"/>
          </w:tcPr>
          <w:p>
            <w:pPr>
              <w:spacing w:after="0" w:line="141" w:lineRule="exact"/>
              <w:rPr>
                <w:rFonts w:ascii="Arial" w:cs="Arial" w:eastAsia="Arial" w:hAnsi="Arial"/>
                <w:sz w:val="13"/>
                <w:szCs w:val="13"/>
                <w:color w:val="0000EE"/>
              </w:rPr>
            </w:pPr>
            <w:hyperlink w:anchor="page59">
              <w:r>
                <w:rPr>
                  <w:rFonts w:ascii="Arial" w:cs="Arial" w:eastAsia="Arial" w:hAnsi="Arial"/>
                  <w:sz w:val="13"/>
                  <w:szCs w:val="13"/>
                  <w:color w:val="0000EE"/>
                </w:rPr>
                <w:t>Financial Statements and Supplementary Data</w:t>
              </w:r>
            </w:hyperlink>
          </w:p>
        </w:tc>
        <w:tc>
          <w:tcPr>
            <w:tcW w:w="5120" w:type="dxa"/>
            <w:vAlign w:val="bottom"/>
            <w:gridSpan w:val="14"/>
          </w:tcPr>
          <w:p>
            <w:pPr>
              <w:spacing w:after="0"/>
              <w:rPr>
                <w:sz w:val="12"/>
                <w:szCs w:val="12"/>
                <w:color w:val="auto"/>
              </w:rPr>
            </w:pPr>
          </w:p>
        </w:tc>
        <w:tc>
          <w:tcPr>
            <w:tcW w:w="340" w:type="dxa"/>
            <w:vAlign w:val="bottom"/>
          </w:tcPr>
          <w:p>
            <w:pPr>
              <w:jc w:val="right"/>
              <w:spacing w:after="0" w:line="141" w:lineRule="exact"/>
              <w:rPr>
                <w:sz w:val="20"/>
                <w:szCs w:val="20"/>
                <w:color w:val="auto"/>
              </w:rPr>
            </w:pPr>
            <w:r>
              <w:rPr>
                <w:rFonts w:ascii="Arial" w:cs="Arial" w:eastAsia="Arial" w:hAnsi="Arial"/>
                <w:sz w:val="13"/>
                <w:szCs w:val="13"/>
                <w:color w:val="auto"/>
              </w:rPr>
              <w:t>58</w:t>
            </w:r>
          </w:p>
        </w:tc>
      </w:tr>
      <w:tr>
        <w:trPr>
          <w:trHeight w:val="20"/>
        </w:trPr>
        <w:tc>
          <w:tcPr>
            <w:tcW w:w="3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Borders>
              <w:right w:val="single" w:sz="8" w:color="0000EE"/>
            </w:tcBorders>
            <w:gridSpan w:val="4"/>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41"/>
        </w:trPr>
        <w:tc>
          <w:tcPr>
            <w:tcW w:w="460" w:type="dxa"/>
            <w:vAlign w:val="bottom"/>
            <w:gridSpan w:val="2"/>
          </w:tcPr>
          <w:p>
            <w:pPr>
              <w:spacing w:after="0" w:line="141" w:lineRule="exact"/>
              <w:rPr>
                <w:rFonts w:ascii="Arial" w:cs="Arial" w:eastAsia="Arial" w:hAnsi="Arial"/>
                <w:sz w:val="13"/>
                <w:szCs w:val="13"/>
                <w:color w:val="0000EE"/>
              </w:rPr>
            </w:pPr>
            <w:hyperlink w:anchor="page114">
              <w:r>
                <w:rPr>
                  <w:rFonts w:ascii="Arial" w:cs="Arial" w:eastAsia="Arial" w:hAnsi="Arial"/>
                  <w:sz w:val="13"/>
                  <w:szCs w:val="13"/>
                  <w:color w:val="0000EE"/>
                </w:rPr>
                <w:t>Item 9.</w:t>
              </w:r>
            </w:hyperlink>
          </w:p>
        </w:tc>
        <w:tc>
          <w:tcPr>
            <w:tcW w:w="800" w:type="dxa"/>
            <w:vAlign w:val="bottom"/>
            <w:gridSpan w:val="3"/>
          </w:tcPr>
          <w:p>
            <w:pPr>
              <w:spacing w:after="0"/>
              <w:rPr>
                <w:sz w:val="12"/>
                <w:szCs w:val="12"/>
                <w:color w:val="auto"/>
              </w:rPr>
            </w:pPr>
          </w:p>
        </w:tc>
        <w:tc>
          <w:tcPr>
            <w:tcW w:w="8380" w:type="dxa"/>
            <w:vAlign w:val="bottom"/>
            <w:gridSpan w:val="28"/>
          </w:tcPr>
          <w:p>
            <w:pPr>
              <w:spacing w:after="0" w:line="141" w:lineRule="exact"/>
              <w:rPr>
                <w:rFonts w:ascii="Arial" w:cs="Arial" w:eastAsia="Arial" w:hAnsi="Arial"/>
                <w:sz w:val="13"/>
                <w:szCs w:val="13"/>
                <w:color w:val="0000EE"/>
              </w:rPr>
            </w:pPr>
            <w:hyperlink w:anchor="page114">
              <w:r>
                <w:rPr>
                  <w:rFonts w:ascii="Arial" w:cs="Arial" w:eastAsia="Arial" w:hAnsi="Arial"/>
                  <w:sz w:val="13"/>
                  <w:szCs w:val="13"/>
                  <w:color w:val="0000EE"/>
                </w:rPr>
                <w:t>Changes in and Disagreements with Accountants on Accounting and Financial Disclosure</w:t>
              </w:r>
            </w:hyperlink>
          </w:p>
        </w:tc>
        <w:tc>
          <w:tcPr>
            <w:tcW w:w="340" w:type="dxa"/>
            <w:vAlign w:val="bottom"/>
          </w:tcPr>
          <w:p>
            <w:pPr>
              <w:jc w:val="right"/>
              <w:spacing w:after="0" w:line="141" w:lineRule="exact"/>
              <w:rPr>
                <w:sz w:val="20"/>
                <w:szCs w:val="20"/>
                <w:color w:val="auto"/>
              </w:rPr>
            </w:pPr>
            <w:r>
              <w:rPr>
                <w:rFonts w:ascii="Arial" w:cs="Arial" w:eastAsia="Arial" w:hAnsi="Arial"/>
                <w:sz w:val="13"/>
                <w:szCs w:val="13"/>
                <w:color w:val="auto"/>
              </w:rPr>
              <w:t>113</w:t>
            </w:r>
          </w:p>
        </w:tc>
      </w:tr>
      <w:tr>
        <w:trPr>
          <w:trHeight w:val="20"/>
        </w:trPr>
        <w:tc>
          <w:tcPr>
            <w:tcW w:w="460" w:type="dxa"/>
            <w:vAlign w:val="bottom"/>
            <w:gridSpan w:val="2"/>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Borders>
              <w:right w:val="single" w:sz="8" w:color="0000EE"/>
            </w:tcBorders>
            <w:gridSpan w:val="4"/>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41"/>
        </w:trPr>
        <w:tc>
          <w:tcPr>
            <w:tcW w:w="500" w:type="dxa"/>
            <w:vAlign w:val="bottom"/>
            <w:gridSpan w:val="3"/>
          </w:tcPr>
          <w:p>
            <w:pPr>
              <w:spacing w:after="0" w:line="141" w:lineRule="exact"/>
              <w:rPr>
                <w:rFonts w:ascii="Arial" w:cs="Arial" w:eastAsia="Arial" w:hAnsi="Arial"/>
                <w:sz w:val="13"/>
                <w:szCs w:val="13"/>
                <w:color w:val="0000EE"/>
                <w:w w:val="94"/>
              </w:rPr>
            </w:pPr>
            <w:hyperlink w:anchor="page114">
              <w:r>
                <w:rPr>
                  <w:rFonts w:ascii="Arial" w:cs="Arial" w:eastAsia="Arial" w:hAnsi="Arial"/>
                  <w:sz w:val="13"/>
                  <w:szCs w:val="13"/>
                  <w:color w:val="0000EE"/>
                  <w:w w:val="94"/>
                </w:rPr>
                <w:t>Item 9A.</w:t>
              </w:r>
            </w:hyperlink>
          </w:p>
        </w:tc>
        <w:tc>
          <w:tcPr>
            <w:tcW w:w="760" w:type="dxa"/>
            <w:vAlign w:val="bottom"/>
            <w:gridSpan w:val="2"/>
          </w:tcPr>
          <w:p>
            <w:pPr>
              <w:spacing w:after="0"/>
              <w:rPr>
                <w:sz w:val="12"/>
                <w:szCs w:val="12"/>
                <w:color w:val="auto"/>
              </w:rPr>
            </w:pPr>
          </w:p>
        </w:tc>
        <w:tc>
          <w:tcPr>
            <w:tcW w:w="8380" w:type="dxa"/>
            <w:vAlign w:val="bottom"/>
            <w:gridSpan w:val="28"/>
          </w:tcPr>
          <w:p>
            <w:pPr>
              <w:spacing w:after="0" w:line="141" w:lineRule="exact"/>
              <w:rPr>
                <w:rFonts w:ascii="Arial" w:cs="Arial" w:eastAsia="Arial" w:hAnsi="Arial"/>
                <w:sz w:val="13"/>
                <w:szCs w:val="13"/>
                <w:color w:val="0000EE"/>
              </w:rPr>
            </w:pPr>
            <w:hyperlink w:anchor="page114">
              <w:r>
                <w:rPr>
                  <w:rFonts w:ascii="Arial" w:cs="Arial" w:eastAsia="Arial" w:hAnsi="Arial"/>
                  <w:sz w:val="13"/>
                  <w:szCs w:val="13"/>
                  <w:color w:val="0000EE"/>
                </w:rPr>
                <w:t>Controls and Procedures</w:t>
              </w:r>
            </w:hyperlink>
          </w:p>
        </w:tc>
        <w:tc>
          <w:tcPr>
            <w:tcW w:w="340" w:type="dxa"/>
            <w:vAlign w:val="bottom"/>
          </w:tcPr>
          <w:p>
            <w:pPr>
              <w:jc w:val="right"/>
              <w:spacing w:after="0" w:line="141" w:lineRule="exact"/>
              <w:rPr>
                <w:sz w:val="20"/>
                <w:szCs w:val="20"/>
                <w:color w:val="auto"/>
              </w:rPr>
            </w:pPr>
            <w:r>
              <w:rPr>
                <w:rFonts w:ascii="Arial" w:cs="Arial" w:eastAsia="Arial" w:hAnsi="Arial"/>
                <w:sz w:val="13"/>
                <w:szCs w:val="13"/>
                <w:color w:val="auto"/>
              </w:rPr>
              <w:t>113</w:t>
            </w:r>
          </w:p>
        </w:tc>
      </w:tr>
      <w:tr>
        <w:trPr>
          <w:trHeight w:val="141"/>
        </w:trPr>
        <w:tc>
          <w:tcPr>
            <w:tcW w:w="500" w:type="dxa"/>
            <w:vAlign w:val="bottom"/>
            <w:tcBorders>
              <w:top w:val="single" w:sz="8" w:color="0000EE"/>
            </w:tcBorders>
            <w:gridSpan w:val="3"/>
          </w:tcPr>
          <w:p>
            <w:pPr>
              <w:spacing w:after="0" w:line="141" w:lineRule="exact"/>
              <w:rPr>
                <w:rFonts w:ascii="Arial" w:cs="Arial" w:eastAsia="Arial" w:hAnsi="Arial"/>
                <w:sz w:val="13"/>
                <w:szCs w:val="13"/>
                <w:color w:val="0000EE"/>
                <w:w w:val="94"/>
              </w:rPr>
            </w:pPr>
            <w:hyperlink w:anchor="page115">
              <w:r>
                <w:rPr>
                  <w:rFonts w:ascii="Arial" w:cs="Arial" w:eastAsia="Arial" w:hAnsi="Arial"/>
                  <w:sz w:val="13"/>
                  <w:szCs w:val="13"/>
                  <w:color w:val="0000EE"/>
                  <w:w w:val="94"/>
                </w:rPr>
                <w:t>Item 9B.</w:t>
              </w:r>
            </w:hyperlink>
          </w:p>
        </w:tc>
        <w:tc>
          <w:tcPr>
            <w:tcW w:w="760" w:type="dxa"/>
            <w:vAlign w:val="bottom"/>
            <w:gridSpan w:val="2"/>
          </w:tcPr>
          <w:p>
            <w:pPr>
              <w:spacing w:after="0"/>
              <w:rPr>
                <w:sz w:val="12"/>
                <w:szCs w:val="12"/>
                <w:color w:val="auto"/>
              </w:rPr>
            </w:pPr>
          </w:p>
        </w:tc>
        <w:tc>
          <w:tcPr>
            <w:tcW w:w="1320" w:type="dxa"/>
            <w:vAlign w:val="bottom"/>
            <w:tcBorders>
              <w:top w:val="single" w:sz="8" w:color="0000EE"/>
            </w:tcBorders>
            <w:gridSpan w:val="6"/>
          </w:tcPr>
          <w:p>
            <w:pPr>
              <w:spacing w:after="0" w:line="141" w:lineRule="exact"/>
              <w:rPr>
                <w:rFonts w:ascii="Arial" w:cs="Arial" w:eastAsia="Arial" w:hAnsi="Arial"/>
                <w:sz w:val="13"/>
                <w:szCs w:val="13"/>
                <w:color w:val="0000EE"/>
              </w:rPr>
            </w:pPr>
            <w:hyperlink w:anchor="page115">
              <w:r>
                <w:rPr>
                  <w:rFonts w:ascii="Arial" w:cs="Arial" w:eastAsia="Arial" w:hAnsi="Arial"/>
                  <w:sz w:val="13"/>
                  <w:szCs w:val="13"/>
                  <w:color w:val="0000EE"/>
                </w:rPr>
                <w:t>Other Information</w:t>
              </w:r>
            </w:hyperlink>
          </w:p>
        </w:tc>
        <w:tc>
          <w:tcPr>
            <w:tcW w:w="7060" w:type="dxa"/>
            <w:vAlign w:val="bottom"/>
            <w:gridSpan w:val="22"/>
          </w:tcPr>
          <w:p>
            <w:pPr>
              <w:spacing w:after="0"/>
              <w:rPr>
                <w:sz w:val="12"/>
                <w:szCs w:val="12"/>
                <w:color w:val="auto"/>
              </w:rPr>
            </w:pPr>
          </w:p>
        </w:tc>
        <w:tc>
          <w:tcPr>
            <w:tcW w:w="340" w:type="dxa"/>
            <w:vAlign w:val="bottom"/>
          </w:tcPr>
          <w:p>
            <w:pPr>
              <w:jc w:val="right"/>
              <w:spacing w:after="0" w:line="141" w:lineRule="exact"/>
              <w:rPr>
                <w:sz w:val="20"/>
                <w:szCs w:val="20"/>
                <w:color w:val="auto"/>
              </w:rPr>
            </w:pPr>
            <w:r>
              <w:rPr>
                <w:rFonts w:ascii="Arial" w:cs="Arial" w:eastAsia="Arial" w:hAnsi="Arial"/>
                <w:sz w:val="13"/>
                <w:szCs w:val="13"/>
                <w:color w:val="auto"/>
              </w:rPr>
              <w:t>114</w:t>
            </w:r>
          </w:p>
        </w:tc>
      </w:tr>
      <w:tr>
        <w:trPr>
          <w:trHeight w:val="262"/>
        </w:trPr>
        <w:tc>
          <w:tcPr>
            <w:tcW w:w="38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8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120" w:type="dxa"/>
            <w:vAlign w:val="bottom"/>
            <w:tcBorders>
              <w:top w:val="single" w:sz="8" w:color="0000EE"/>
            </w:tcBorders>
          </w:tcPr>
          <w:p>
            <w:pPr>
              <w:spacing w:after="0"/>
              <w:rPr>
                <w:sz w:val="22"/>
                <w:szCs w:val="22"/>
                <w:color w:val="auto"/>
              </w:rPr>
            </w:pPr>
          </w:p>
        </w:tc>
        <w:tc>
          <w:tcPr>
            <w:tcW w:w="320" w:type="dxa"/>
            <w:vAlign w:val="bottom"/>
            <w:tcBorders>
              <w:top w:val="single" w:sz="8" w:color="0000EE"/>
            </w:tcBorders>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Borders>
              <w:bottom w:val="single" w:sz="8" w:color="0000EE"/>
            </w:tcBorders>
            <w:gridSpan w:val="7"/>
          </w:tcPr>
          <w:p>
            <w:pPr>
              <w:jc w:val="center"/>
              <w:ind w:right="20"/>
              <w:spacing w:after="0"/>
              <w:rPr>
                <w:rFonts w:ascii="Arial" w:cs="Arial" w:eastAsia="Arial" w:hAnsi="Arial"/>
                <w:sz w:val="13"/>
                <w:szCs w:val="13"/>
                <w:b w:val="1"/>
                <w:bCs w:val="1"/>
                <w:color w:val="0000EE"/>
              </w:rPr>
            </w:pPr>
            <w:hyperlink w:anchor="page115">
              <w:r>
                <w:rPr>
                  <w:rFonts w:ascii="Arial" w:cs="Arial" w:eastAsia="Arial" w:hAnsi="Arial"/>
                  <w:sz w:val="13"/>
                  <w:szCs w:val="13"/>
                  <w:b w:val="1"/>
                  <w:bCs w:val="1"/>
                  <w:color w:val="0000EE"/>
                </w:rPr>
                <w:t>PART III</w:t>
              </w:r>
            </w:hyperlink>
          </w:p>
        </w:tc>
        <w:tc>
          <w:tcPr>
            <w:tcW w:w="4360" w:type="dxa"/>
            <w:vAlign w:val="bottom"/>
            <w:gridSpan w:val="6"/>
          </w:tcPr>
          <w:p>
            <w:pPr>
              <w:spacing w:after="0"/>
              <w:rPr>
                <w:sz w:val="22"/>
                <w:szCs w:val="22"/>
                <w:color w:val="auto"/>
              </w:rPr>
            </w:pPr>
          </w:p>
        </w:tc>
        <w:tc>
          <w:tcPr>
            <w:tcW w:w="340" w:type="dxa"/>
            <w:vAlign w:val="bottom"/>
          </w:tcPr>
          <w:p>
            <w:pPr>
              <w:spacing w:after="0"/>
              <w:rPr>
                <w:sz w:val="22"/>
                <w:szCs w:val="22"/>
                <w:color w:val="auto"/>
              </w:rPr>
            </w:pPr>
          </w:p>
        </w:tc>
      </w:tr>
      <w:tr>
        <w:trPr>
          <w:trHeight w:val="141"/>
        </w:trPr>
        <w:tc>
          <w:tcPr>
            <w:tcW w:w="460" w:type="dxa"/>
            <w:vAlign w:val="bottom"/>
            <w:gridSpan w:val="2"/>
          </w:tcPr>
          <w:p>
            <w:pPr>
              <w:spacing w:after="0" w:line="141" w:lineRule="exact"/>
              <w:rPr>
                <w:rFonts w:ascii="Arial" w:cs="Arial" w:eastAsia="Arial" w:hAnsi="Arial"/>
                <w:sz w:val="13"/>
                <w:szCs w:val="13"/>
                <w:color w:val="0000EE"/>
                <w:w w:val="93"/>
              </w:rPr>
            </w:pPr>
            <w:hyperlink w:anchor="page115">
              <w:r>
                <w:rPr>
                  <w:rFonts w:ascii="Arial" w:cs="Arial" w:eastAsia="Arial" w:hAnsi="Arial"/>
                  <w:sz w:val="13"/>
                  <w:szCs w:val="13"/>
                  <w:color w:val="0000EE"/>
                  <w:w w:val="93"/>
                </w:rPr>
                <w:t>Item 10.</w:t>
              </w:r>
            </w:hyperlink>
          </w:p>
        </w:tc>
        <w:tc>
          <w:tcPr>
            <w:tcW w:w="800" w:type="dxa"/>
            <w:vAlign w:val="bottom"/>
            <w:gridSpan w:val="3"/>
          </w:tcPr>
          <w:p>
            <w:pPr>
              <w:spacing w:after="0"/>
              <w:rPr>
                <w:sz w:val="12"/>
                <w:szCs w:val="12"/>
                <w:color w:val="auto"/>
              </w:rPr>
            </w:pPr>
          </w:p>
        </w:tc>
        <w:tc>
          <w:tcPr>
            <w:tcW w:w="8380" w:type="dxa"/>
            <w:vAlign w:val="bottom"/>
            <w:gridSpan w:val="28"/>
          </w:tcPr>
          <w:p>
            <w:pPr>
              <w:spacing w:after="0" w:line="141" w:lineRule="exact"/>
              <w:rPr>
                <w:rFonts w:ascii="Arial" w:cs="Arial" w:eastAsia="Arial" w:hAnsi="Arial"/>
                <w:sz w:val="13"/>
                <w:szCs w:val="13"/>
                <w:color w:val="0000EE"/>
              </w:rPr>
            </w:pPr>
            <w:hyperlink w:anchor="page115">
              <w:r>
                <w:rPr>
                  <w:rFonts w:ascii="Arial" w:cs="Arial" w:eastAsia="Arial" w:hAnsi="Arial"/>
                  <w:sz w:val="13"/>
                  <w:szCs w:val="13"/>
                  <w:color w:val="0000EE"/>
                </w:rPr>
                <w:t>Directors, Executive Officers and Corporate Governance</w:t>
              </w:r>
            </w:hyperlink>
          </w:p>
        </w:tc>
        <w:tc>
          <w:tcPr>
            <w:tcW w:w="340" w:type="dxa"/>
            <w:vAlign w:val="bottom"/>
          </w:tcPr>
          <w:p>
            <w:pPr>
              <w:jc w:val="right"/>
              <w:spacing w:after="0" w:line="141" w:lineRule="exact"/>
              <w:rPr>
                <w:sz w:val="20"/>
                <w:szCs w:val="20"/>
                <w:color w:val="auto"/>
              </w:rPr>
            </w:pPr>
            <w:r>
              <w:rPr>
                <w:rFonts w:ascii="Arial" w:cs="Arial" w:eastAsia="Arial" w:hAnsi="Arial"/>
                <w:sz w:val="13"/>
                <w:szCs w:val="13"/>
                <w:color w:val="auto"/>
              </w:rPr>
              <w:t>114</w:t>
            </w:r>
          </w:p>
        </w:tc>
      </w:tr>
      <w:tr>
        <w:trPr>
          <w:trHeight w:val="141"/>
        </w:trPr>
        <w:tc>
          <w:tcPr>
            <w:tcW w:w="460" w:type="dxa"/>
            <w:vAlign w:val="bottom"/>
            <w:tcBorders>
              <w:top w:val="single" w:sz="8" w:color="0000EE"/>
              <w:bottom w:val="single" w:sz="8" w:color="0000EE"/>
            </w:tcBorders>
            <w:gridSpan w:val="2"/>
          </w:tcPr>
          <w:p>
            <w:pPr>
              <w:spacing w:after="0" w:line="141" w:lineRule="exact"/>
              <w:rPr>
                <w:rFonts w:ascii="Arial" w:cs="Arial" w:eastAsia="Arial" w:hAnsi="Arial"/>
                <w:sz w:val="13"/>
                <w:szCs w:val="13"/>
                <w:color w:val="0000EE"/>
                <w:w w:val="93"/>
              </w:rPr>
            </w:pPr>
            <w:hyperlink w:anchor="page115">
              <w:r>
                <w:rPr>
                  <w:rFonts w:ascii="Arial" w:cs="Arial" w:eastAsia="Arial" w:hAnsi="Arial"/>
                  <w:sz w:val="13"/>
                  <w:szCs w:val="13"/>
                  <w:color w:val="0000EE"/>
                  <w:w w:val="93"/>
                </w:rPr>
                <w:t>Item 11.</w:t>
              </w:r>
            </w:hyperlink>
          </w:p>
        </w:tc>
        <w:tc>
          <w:tcPr>
            <w:tcW w:w="800" w:type="dxa"/>
            <w:vAlign w:val="bottom"/>
            <w:gridSpan w:val="3"/>
          </w:tcPr>
          <w:p>
            <w:pPr>
              <w:spacing w:after="0"/>
              <w:rPr>
                <w:sz w:val="12"/>
                <w:szCs w:val="12"/>
                <w:color w:val="auto"/>
              </w:rPr>
            </w:pPr>
          </w:p>
        </w:tc>
        <w:tc>
          <w:tcPr>
            <w:tcW w:w="1360" w:type="dxa"/>
            <w:vAlign w:val="bottom"/>
            <w:tcBorders>
              <w:top w:val="single" w:sz="8" w:color="0000EE"/>
              <w:bottom w:val="single" w:sz="8" w:color="0000EE"/>
            </w:tcBorders>
            <w:gridSpan w:val="7"/>
          </w:tcPr>
          <w:p>
            <w:pPr>
              <w:spacing w:after="0" w:line="141" w:lineRule="exact"/>
              <w:rPr>
                <w:rFonts w:ascii="Arial" w:cs="Arial" w:eastAsia="Arial" w:hAnsi="Arial"/>
                <w:sz w:val="13"/>
                <w:szCs w:val="13"/>
                <w:color w:val="0000EE"/>
                <w:w w:val="93"/>
              </w:rPr>
            </w:pPr>
            <w:hyperlink w:anchor="page115">
              <w:r>
                <w:rPr>
                  <w:rFonts w:ascii="Arial" w:cs="Arial" w:eastAsia="Arial" w:hAnsi="Arial"/>
                  <w:sz w:val="13"/>
                  <w:szCs w:val="13"/>
                  <w:color w:val="0000EE"/>
                  <w:w w:val="93"/>
                </w:rPr>
                <w:t>Executive Compensation</w:t>
              </w:r>
            </w:hyperlink>
          </w:p>
        </w:tc>
        <w:tc>
          <w:tcPr>
            <w:tcW w:w="1700" w:type="dxa"/>
            <w:vAlign w:val="bottom"/>
            <w:tcBorders>
              <w:top w:val="single" w:sz="8" w:color="0000EE"/>
            </w:tcBorders>
            <w:gridSpan w:val="6"/>
          </w:tcPr>
          <w:p>
            <w:pPr>
              <w:spacing w:after="0"/>
              <w:rPr>
                <w:sz w:val="12"/>
                <w:szCs w:val="12"/>
                <w:color w:val="auto"/>
              </w:rPr>
            </w:pPr>
          </w:p>
        </w:tc>
        <w:tc>
          <w:tcPr>
            <w:tcW w:w="5320" w:type="dxa"/>
            <w:vAlign w:val="bottom"/>
            <w:gridSpan w:val="15"/>
          </w:tcPr>
          <w:p>
            <w:pPr>
              <w:spacing w:after="0"/>
              <w:rPr>
                <w:sz w:val="12"/>
                <w:szCs w:val="12"/>
                <w:color w:val="auto"/>
              </w:rPr>
            </w:pPr>
          </w:p>
        </w:tc>
        <w:tc>
          <w:tcPr>
            <w:tcW w:w="340" w:type="dxa"/>
            <w:vAlign w:val="bottom"/>
          </w:tcPr>
          <w:p>
            <w:pPr>
              <w:jc w:val="right"/>
              <w:spacing w:after="0" w:line="141" w:lineRule="exact"/>
              <w:rPr>
                <w:sz w:val="20"/>
                <w:szCs w:val="20"/>
                <w:color w:val="auto"/>
              </w:rPr>
            </w:pPr>
            <w:r>
              <w:rPr>
                <w:rFonts w:ascii="Arial" w:cs="Arial" w:eastAsia="Arial" w:hAnsi="Arial"/>
                <w:sz w:val="13"/>
                <w:szCs w:val="13"/>
                <w:color w:val="auto"/>
              </w:rPr>
              <w:t>114</w:t>
            </w:r>
          </w:p>
        </w:tc>
      </w:tr>
      <w:tr>
        <w:trPr>
          <w:trHeight w:val="141"/>
        </w:trPr>
        <w:tc>
          <w:tcPr>
            <w:tcW w:w="460" w:type="dxa"/>
            <w:vAlign w:val="bottom"/>
            <w:gridSpan w:val="2"/>
          </w:tcPr>
          <w:p>
            <w:pPr>
              <w:spacing w:after="0" w:line="141" w:lineRule="exact"/>
              <w:rPr>
                <w:rFonts w:ascii="Arial" w:cs="Arial" w:eastAsia="Arial" w:hAnsi="Arial"/>
                <w:sz w:val="13"/>
                <w:szCs w:val="13"/>
                <w:color w:val="0000EE"/>
                <w:w w:val="93"/>
              </w:rPr>
            </w:pPr>
            <w:hyperlink w:anchor="page116">
              <w:r>
                <w:rPr>
                  <w:rFonts w:ascii="Arial" w:cs="Arial" w:eastAsia="Arial" w:hAnsi="Arial"/>
                  <w:sz w:val="13"/>
                  <w:szCs w:val="13"/>
                  <w:color w:val="0000EE"/>
                  <w:w w:val="93"/>
                </w:rPr>
                <w:t>Item 12.</w:t>
              </w:r>
            </w:hyperlink>
          </w:p>
        </w:tc>
        <w:tc>
          <w:tcPr>
            <w:tcW w:w="800" w:type="dxa"/>
            <w:vAlign w:val="bottom"/>
            <w:gridSpan w:val="3"/>
          </w:tcPr>
          <w:p>
            <w:pPr>
              <w:spacing w:after="0"/>
              <w:rPr>
                <w:sz w:val="12"/>
                <w:szCs w:val="12"/>
                <w:color w:val="auto"/>
              </w:rPr>
            </w:pPr>
          </w:p>
        </w:tc>
        <w:tc>
          <w:tcPr>
            <w:tcW w:w="8380" w:type="dxa"/>
            <w:vAlign w:val="bottom"/>
            <w:gridSpan w:val="28"/>
          </w:tcPr>
          <w:p>
            <w:pPr>
              <w:spacing w:after="0" w:line="141" w:lineRule="exact"/>
              <w:rPr>
                <w:rFonts w:ascii="Arial" w:cs="Arial" w:eastAsia="Arial" w:hAnsi="Arial"/>
                <w:sz w:val="13"/>
                <w:szCs w:val="13"/>
                <w:color w:val="0000EE"/>
              </w:rPr>
            </w:pPr>
            <w:hyperlink w:anchor="page116">
              <w:r>
                <w:rPr>
                  <w:rFonts w:ascii="Arial" w:cs="Arial" w:eastAsia="Arial" w:hAnsi="Arial"/>
                  <w:sz w:val="13"/>
                  <w:szCs w:val="13"/>
                  <w:color w:val="0000EE"/>
                </w:rPr>
                <w:t>Security Ownership of Certain Beneficial Owners and Management and Related Stockholder Matters</w:t>
              </w:r>
            </w:hyperlink>
          </w:p>
        </w:tc>
        <w:tc>
          <w:tcPr>
            <w:tcW w:w="340" w:type="dxa"/>
            <w:vAlign w:val="bottom"/>
          </w:tcPr>
          <w:p>
            <w:pPr>
              <w:jc w:val="right"/>
              <w:spacing w:after="0" w:line="141" w:lineRule="exact"/>
              <w:rPr>
                <w:sz w:val="20"/>
                <w:szCs w:val="20"/>
                <w:color w:val="auto"/>
              </w:rPr>
            </w:pPr>
            <w:r>
              <w:rPr>
                <w:rFonts w:ascii="Arial" w:cs="Arial" w:eastAsia="Arial" w:hAnsi="Arial"/>
                <w:sz w:val="13"/>
                <w:szCs w:val="13"/>
                <w:color w:val="auto"/>
              </w:rPr>
              <w:t>115</w:t>
            </w:r>
          </w:p>
        </w:tc>
      </w:tr>
      <w:tr>
        <w:trPr>
          <w:trHeight w:val="141"/>
        </w:trPr>
        <w:tc>
          <w:tcPr>
            <w:tcW w:w="460" w:type="dxa"/>
            <w:vAlign w:val="bottom"/>
            <w:tcBorders>
              <w:top w:val="single" w:sz="8" w:color="0000EE"/>
              <w:bottom w:val="single" w:sz="8" w:color="0000EE"/>
            </w:tcBorders>
            <w:gridSpan w:val="2"/>
          </w:tcPr>
          <w:p>
            <w:pPr>
              <w:spacing w:after="0" w:line="141" w:lineRule="exact"/>
              <w:rPr>
                <w:rFonts w:ascii="Arial" w:cs="Arial" w:eastAsia="Arial" w:hAnsi="Arial"/>
                <w:sz w:val="13"/>
                <w:szCs w:val="13"/>
                <w:color w:val="0000EE"/>
                <w:w w:val="93"/>
              </w:rPr>
            </w:pPr>
            <w:hyperlink w:anchor="page116">
              <w:r>
                <w:rPr>
                  <w:rFonts w:ascii="Arial" w:cs="Arial" w:eastAsia="Arial" w:hAnsi="Arial"/>
                  <w:sz w:val="13"/>
                  <w:szCs w:val="13"/>
                  <w:color w:val="0000EE"/>
                  <w:w w:val="93"/>
                </w:rPr>
                <w:t>Item 13.</w:t>
              </w:r>
            </w:hyperlink>
          </w:p>
        </w:tc>
        <w:tc>
          <w:tcPr>
            <w:tcW w:w="800" w:type="dxa"/>
            <w:vAlign w:val="bottom"/>
            <w:gridSpan w:val="3"/>
          </w:tcPr>
          <w:p>
            <w:pPr>
              <w:spacing w:after="0"/>
              <w:rPr>
                <w:sz w:val="12"/>
                <w:szCs w:val="12"/>
                <w:color w:val="auto"/>
              </w:rPr>
            </w:pPr>
          </w:p>
        </w:tc>
        <w:tc>
          <w:tcPr>
            <w:tcW w:w="4080" w:type="dxa"/>
            <w:vAlign w:val="bottom"/>
            <w:tcBorders>
              <w:top w:val="single" w:sz="8" w:color="0000EE"/>
              <w:bottom w:val="single" w:sz="8" w:color="0000EE"/>
            </w:tcBorders>
            <w:gridSpan w:val="23"/>
          </w:tcPr>
          <w:p>
            <w:pPr>
              <w:spacing w:after="0" w:line="141" w:lineRule="exact"/>
              <w:rPr>
                <w:rFonts w:ascii="Arial" w:cs="Arial" w:eastAsia="Arial" w:hAnsi="Arial"/>
                <w:sz w:val="13"/>
                <w:szCs w:val="13"/>
                <w:color w:val="0000EE"/>
                <w:w w:val="92"/>
              </w:rPr>
            </w:pPr>
            <w:hyperlink w:anchor="page116">
              <w:r>
                <w:rPr>
                  <w:rFonts w:ascii="Arial" w:cs="Arial" w:eastAsia="Arial" w:hAnsi="Arial"/>
                  <w:sz w:val="13"/>
                  <w:szCs w:val="13"/>
                  <w:color w:val="0000EE"/>
                  <w:w w:val="92"/>
                </w:rPr>
                <w:t>Certain Relationships and Related Transactions, and Director Independence</w:t>
              </w:r>
            </w:hyperlink>
          </w:p>
        </w:tc>
        <w:tc>
          <w:tcPr>
            <w:tcW w:w="1360" w:type="dxa"/>
            <w:vAlign w:val="bottom"/>
            <w:tcBorders>
              <w:top w:val="single" w:sz="8" w:color="0000EE"/>
            </w:tcBorders>
            <w:gridSpan w:val="3"/>
          </w:tcPr>
          <w:p>
            <w:pPr>
              <w:spacing w:after="0"/>
              <w:rPr>
                <w:sz w:val="12"/>
                <w:szCs w:val="12"/>
                <w:color w:val="auto"/>
              </w:rPr>
            </w:pPr>
          </w:p>
        </w:tc>
        <w:tc>
          <w:tcPr>
            <w:tcW w:w="2940" w:type="dxa"/>
            <w:vAlign w:val="bottom"/>
            <w:gridSpan w:val="2"/>
          </w:tcPr>
          <w:p>
            <w:pPr>
              <w:spacing w:after="0"/>
              <w:rPr>
                <w:sz w:val="12"/>
                <w:szCs w:val="12"/>
                <w:color w:val="auto"/>
              </w:rPr>
            </w:pPr>
          </w:p>
        </w:tc>
        <w:tc>
          <w:tcPr>
            <w:tcW w:w="340" w:type="dxa"/>
            <w:vAlign w:val="bottom"/>
          </w:tcPr>
          <w:p>
            <w:pPr>
              <w:jc w:val="right"/>
              <w:spacing w:after="0" w:line="141" w:lineRule="exact"/>
              <w:rPr>
                <w:sz w:val="20"/>
                <w:szCs w:val="20"/>
                <w:color w:val="auto"/>
              </w:rPr>
            </w:pPr>
            <w:r>
              <w:rPr>
                <w:rFonts w:ascii="Arial" w:cs="Arial" w:eastAsia="Arial" w:hAnsi="Arial"/>
                <w:sz w:val="13"/>
                <w:szCs w:val="13"/>
                <w:color w:val="auto"/>
              </w:rPr>
              <w:t>115</w:t>
            </w:r>
          </w:p>
        </w:tc>
      </w:tr>
      <w:tr>
        <w:trPr>
          <w:trHeight w:val="141"/>
        </w:trPr>
        <w:tc>
          <w:tcPr>
            <w:tcW w:w="1260" w:type="dxa"/>
            <w:vAlign w:val="bottom"/>
            <w:gridSpan w:val="5"/>
          </w:tcPr>
          <w:p>
            <w:pPr>
              <w:spacing w:after="0" w:line="141" w:lineRule="exact"/>
              <w:rPr>
                <w:rFonts w:ascii="Arial" w:cs="Arial" w:eastAsia="Arial" w:hAnsi="Arial"/>
                <w:sz w:val="13"/>
                <w:szCs w:val="13"/>
                <w:color w:val="0000EE"/>
              </w:rPr>
            </w:pPr>
            <w:hyperlink w:anchor="page116">
              <w:r>
                <w:rPr>
                  <w:rFonts w:ascii="Arial" w:cs="Arial" w:eastAsia="Arial" w:hAnsi="Arial"/>
                  <w:sz w:val="13"/>
                  <w:szCs w:val="13"/>
                  <w:color w:val="0000EE"/>
                </w:rPr>
                <w:t>Item 14.</w:t>
              </w:r>
            </w:hyperlink>
          </w:p>
        </w:tc>
        <w:tc>
          <w:tcPr>
            <w:tcW w:w="8380" w:type="dxa"/>
            <w:vAlign w:val="bottom"/>
            <w:gridSpan w:val="28"/>
          </w:tcPr>
          <w:p>
            <w:pPr>
              <w:spacing w:after="0" w:line="141" w:lineRule="exact"/>
              <w:rPr>
                <w:rFonts w:ascii="Arial" w:cs="Arial" w:eastAsia="Arial" w:hAnsi="Arial"/>
                <w:sz w:val="13"/>
                <w:szCs w:val="13"/>
                <w:color w:val="0000EE"/>
              </w:rPr>
            </w:pPr>
            <w:hyperlink w:anchor="page116">
              <w:r>
                <w:rPr>
                  <w:rFonts w:ascii="Arial" w:cs="Arial" w:eastAsia="Arial" w:hAnsi="Arial"/>
                  <w:sz w:val="13"/>
                  <w:szCs w:val="13"/>
                  <w:color w:val="0000EE"/>
                </w:rPr>
                <w:t>Principal Accountant Fees and Services</w:t>
              </w:r>
            </w:hyperlink>
          </w:p>
        </w:tc>
        <w:tc>
          <w:tcPr>
            <w:tcW w:w="340" w:type="dxa"/>
            <w:vAlign w:val="bottom"/>
          </w:tcPr>
          <w:p>
            <w:pPr>
              <w:jc w:val="right"/>
              <w:spacing w:after="0" w:line="141" w:lineRule="exact"/>
              <w:rPr>
                <w:sz w:val="20"/>
                <w:szCs w:val="20"/>
                <w:color w:val="auto"/>
              </w:rPr>
            </w:pPr>
            <w:r>
              <w:rPr>
                <w:rFonts w:ascii="Arial" w:cs="Arial" w:eastAsia="Arial" w:hAnsi="Arial"/>
                <w:sz w:val="13"/>
                <w:szCs w:val="13"/>
                <w:color w:val="auto"/>
              </w:rPr>
              <w:t>115</w:t>
            </w:r>
          </w:p>
        </w:tc>
      </w:tr>
      <w:tr>
        <w:trPr>
          <w:trHeight w:val="262"/>
        </w:trPr>
        <w:tc>
          <w:tcPr>
            <w:tcW w:w="38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8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120" w:type="dxa"/>
            <w:vAlign w:val="bottom"/>
            <w:tcBorders>
              <w:top w:val="single" w:sz="8" w:color="0000EE"/>
            </w:tcBorders>
          </w:tcPr>
          <w:p>
            <w:pPr>
              <w:spacing w:after="0"/>
              <w:rPr>
                <w:sz w:val="22"/>
                <w:szCs w:val="22"/>
                <w:color w:val="auto"/>
              </w:rPr>
            </w:pPr>
          </w:p>
        </w:tc>
        <w:tc>
          <w:tcPr>
            <w:tcW w:w="320" w:type="dxa"/>
            <w:vAlign w:val="bottom"/>
            <w:tcBorders>
              <w:top w:val="single" w:sz="8" w:color="0000EE"/>
            </w:tcBorders>
          </w:tcPr>
          <w:p>
            <w:pPr>
              <w:spacing w:after="0"/>
              <w:rPr>
                <w:sz w:val="22"/>
                <w:szCs w:val="22"/>
                <w:color w:val="auto"/>
              </w:rPr>
            </w:pPr>
          </w:p>
        </w:tc>
        <w:tc>
          <w:tcPr>
            <w:tcW w:w="28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600" w:type="dxa"/>
            <w:vAlign w:val="bottom"/>
            <w:tcBorders>
              <w:top w:val="single" w:sz="8" w:color="0000EE"/>
            </w:tcBorders>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900" w:type="dxa"/>
            <w:vAlign w:val="bottom"/>
            <w:gridSpan w:val="12"/>
          </w:tcPr>
          <w:p>
            <w:pPr>
              <w:jc w:val="center"/>
              <w:ind w:right="4380"/>
              <w:spacing w:after="0"/>
              <w:rPr>
                <w:rFonts w:ascii="Arial" w:cs="Arial" w:eastAsia="Arial" w:hAnsi="Arial"/>
                <w:sz w:val="13"/>
                <w:szCs w:val="13"/>
                <w:b w:val="1"/>
                <w:bCs w:val="1"/>
                <w:color w:val="0000EE"/>
              </w:rPr>
            </w:pPr>
            <w:hyperlink w:anchor="page117">
              <w:r>
                <w:rPr>
                  <w:rFonts w:ascii="Arial" w:cs="Arial" w:eastAsia="Arial" w:hAnsi="Arial"/>
                  <w:sz w:val="13"/>
                  <w:szCs w:val="13"/>
                  <w:b w:val="1"/>
                  <w:bCs w:val="1"/>
                  <w:color w:val="0000EE"/>
                </w:rPr>
                <w:t>PART IV</w:t>
              </w:r>
            </w:hyperlink>
          </w:p>
        </w:tc>
        <w:tc>
          <w:tcPr>
            <w:tcW w:w="340" w:type="dxa"/>
            <w:vAlign w:val="bottom"/>
          </w:tcPr>
          <w:p>
            <w:pPr>
              <w:spacing w:after="0"/>
              <w:rPr>
                <w:sz w:val="22"/>
                <w:szCs w:val="22"/>
                <w:color w:val="auto"/>
              </w:rPr>
            </w:pPr>
          </w:p>
        </w:tc>
      </w:tr>
      <w:tr>
        <w:trPr>
          <w:trHeight w:val="141"/>
        </w:trPr>
        <w:tc>
          <w:tcPr>
            <w:tcW w:w="460" w:type="dxa"/>
            <w:vAlign w:val="bottom"/>
            <w:gridSpan w:val="2"/>
          </w:tcPr>
          <w:p>
            <w:pPr>
              <w:spacing w:after="0" w:line="141" w:lineRule="exact"/>
              <w:rPr>
                <w:rFonts w:ascii="Arial" w:cs="Arial" w:eastAsia="Arial" w:hAnsi="Arial"/>
                <w:sz w:val="13"/>
                <w:szCs w:val="13"/>
                <w:color w:val="0000EE"/>
                <w:w w:val="93"/>
              </w:rPr>
            </w:pPr>
            <w:hyperlink w:anchor="page117">
              <w:r>
                <w:rPr>
                  <w:rFonts w:ascii="Arial" w:cs="Arial" w:eastAsia="Arial" w:hAnsi="Arial"/>
                  <w:sz w:val="13"/>
                  <w:szCs w:val="13"/>
                  <w:color w:val="0000EE"/>
                  <w:w w:val="93"/>
                </w:rPr>
                <w:t>Item 15.</w:t>
              </w:r>
            </w:hyperlink>
          </w:p>
        </w:tc>
        <w:tc>
          <w:tcPr>
            <w:tcW w:w="800" w:type="dxa"/>
            <w:vAlign w:val="bottom"/>
            <w:gridSpan w:val="3"/>
          </w:tcPr>
          <w:p>
            <w:pPr>
              <w:spacing w:after="0"/>
              <w:rPr>
                <w:sz w:val="12"/>
                <w:szCs w:val="12"/>
                <w:color w:val="auto"/>
              </w:rPr>
            </w:pPr>
          </w:p>
        </w:tc>
        <w:tc>
          <w:tcPr>
            <w:tcW w:w="3480" w:type="dxa"/>
            <w:vAlign w:val="bottom"/>
            <w:gridSpan w:val="16"/>
          </w:tcPr>
          <w:p>
            <w:pPr>
              <w:spacing w:after="0" w:line="141" w:lineRule="exact"/>
              <w:rPr>
                <w:rFonts w:ascii="Arial" w:cs="Arial" w:eastAsia="Arial" w:hAnsi="Arial"/>
                <w:sz w:val="13"/>
                <w:szCs w:val="13"/>
                <w:color w:val="0000EE"/>
              </w:rPr>
            </w:pPr>
            <w:hyperlink w:anchor="page117">
              <w:r>
                <w:rPr>
                  <w:rFonts w:ascii="Arial" w:cs="Arial" w:eastAsia="Arial" w:hAnsi="Arial"/>
                  <w:sz w:val="13"/>
                  <w:szCs w:val="13"/>
                  <w:color w:val="0000EE"/>
                </w:rPr>
                <w:t>Exhibits and Financial Statement Schedules</w:t>
              </w:r>
            </w:hyperlink>
          </w:p>
        </w:tc>
        <w:tc>
          <w:tcPr>
            <w:tcW w:w="520" w:type="dxa"/>
            <w:vAlign w:val="bottom"/>
            <w:tcBorders>
              <w:top w:val="single" w:sz="8" w:color="0000EE"/>
            </w:tcBorders>
            <w:gridSpan w:val="5"/>
          </w:tcPr>
          <w:p>
            <w:pPr>
              <w:spacing w:after="0"/>
              <w:rPr>
                <w:sz w:val="12"/>
                <w:szCs w:val="12"/>
                <w:color w:val="auto"/>
              </w:rPr>
            </w:pPr>
          </w:p>
        </w:tc>
        <w:tc>
          <w:tcPr>
            <w:tcW w:w="4380" w:type="dxa"/>
            <w:vAlign w:val="bottom"/>
            <w:gridSpan w:val="7"/>
          </w:tcPr>
          <w:p>
            <w:pPr>
              <w:spacing w:after="0"/>
              <w:rPr>
                <w:sz w:val="12"/>
                <w:szCs w:val="12"/>
                <w:color w:val="auto"/>
              </w:rPr>
            </w:pPr>
          </w:p>
        </w:tc>
        <w:tc>
          <w:tcPr>
            <w:tcW w:w="340" w:type="dxa"/>
            <w:vAlign w:val="bottom"/>
          </w:tcPr>
          <w:p>
            <w:pPr>
              <w:jc w:val="right"/>
              <w:spacing w:after="0" w:line="141" w:lineRule="exact"/>
              <w:rPr>
                <w:sz w:val="20"/>
                <w:szCs w:val="20"/>
                <w:color w:val="auto"/>
              </w:rPr>
            </w:pPr>
            <w:r>
              <w:rPr>
                <w:rFonts w:ascii="Arial" w:cs="Arial" w:eastAsia="Arial" w:hAnsi="Arial"/>
                <w:sz w:val="13"/>
                <w:szCs w:val="13"/>
                <w:color w:val="auto"/>
              </w:rPr>
              <w:t>116</w:t>
            </w:r>
          </w:p>
        </w:tc>
      </w:tr>
      <w:tr>
        <w:trPr>
          <w:trHeight w:val="20"/>
        </w:trPr>
        <w:tc>
          <w:tcPr>
            <w:tcW w:w="460" w:type="dxa"/>
            <w:vAlign w:val="bottom"/>
            <w:gridSpan w:val="2"/>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41"/>
        </w:trPr>
        <w:tc>
          <w:tcPr>
            <w:tcW w:w="1260" w:type="dxa"/>
            <w:vAlign w:val="bottom"/>
            <w:gridSpan w:val="5"/>
          </w:tcPr>
          <w:p>
            <w:pPr>
              <w:spacing w:after="0" w:line="141" w:lineRule="exact"/>
              <w:rPr>
                <w:rFonts w:ascii="Arial" w:cs="Arial" w:eastAsia="Arial" w:hAnsi="Arial"/>
                <w:sz w:val="13"/>
                <w:szCs w:val="13"/>
                <w:color w:val="0000EE"/>
              </w:rPr>
            </w:pPr>
            <w:hyperlink w:anchor="page121">
              <w:r>
                <w:rPr>
                  <w:rFonts w:ascii="Arial" w:cs="Arial" w:eastAsia="Arial" w:hAnsi="Arial"/>
                  <w:sz w:val="13"/>
                  <w:szCs w:val="13"/>
                  <w:color w:val="0000EE"/>
                </w:rPr>
                <w:t>SIGNATURES</w:t>
              </w:r>
            </w:hyperlink>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340" w:type="dxa"/>
            <w:vAlign w:val="bottom"/>
          </w:tcPr>
          <w:p>
            <w:pPr>
              <w:jc w:val="right"/>
              <w:spacing w:after="0" w:line="141" w:lineRule="exact"/>
              <w:rPr>
                <w:sz w:val="20"/>
                <w:szCs w:val="20"/>
                <w:color w:val="auto"/>
              </w:rPr>
            </w:pPr>
            <w:r>
              <w:rPr>
                <w:rFonts w:ascii="Arial" w:cs="Arial" w:eastAsia="Arial" w:hAnsi="Arial"/>
                <w:sz w:val="13"/>
                <w:szCs w:val="13"/>
                <w:color w:val="auto"/>
              </w:rPr>
              <w:t>120</w:t>
            </w:r>
          </w:p>
        </w:tc>
      </w:tr>
      <w:tr>
        <w:trPr>
          <w:trHeight w:val="20"/>
        </w:trPr>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14"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EX-10.25</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EX-10.25.1</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EX-21</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EX-23</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EX-31.1</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EX-31.2</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EX-32.1</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EX-32.2</w:t>
      </w: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This Annual Report on Form 10-K contains trademarks of Harris Stratex Networks, Inc.</w:t>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113665</wp:posOffset>
            </wp:positionV>
            <wp:extent cx="7287895" cy="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9980"/>
          </w:cols>
          <w:pgMar w:left="900" w:top="762" w:right="1019" w:bottom="1440" w:gutter="0" w:footer="0" w:header="0"/>
        </w:sectPr>
      </w:pPr>
    </w:p>
    <w:bookmarkStart w:id="3" w:name="page4"/>
    <w:bookmarkEnd w:id="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CAUTIONARY STATEMENT REGARDING FORWARD-LOOKING STATEMENTS</w:t>
      </w:r>
    </w:p>
    <w:p>
      <w:pPr>
        <w:spacing w:after="0" w:line="104" w:lineRule="exact"/>
        <w:rPr>
          <w:sz w:val="20"/>
          <w:szCs w:val="20"/>
          <w:color w:val="auto"/>
        </w:rPr>
      </w:pPr>
    </w:p>
    <w:p>
      <w:pPr>
        <w:ind w:left="680" w:firstLine="399"/>
        <w:spacing w:after="0" w:line="286" w:lineRule="auto"/>
        <w:rPr>
          <w:sz w:val="20"/>
          <w:szCs w:val="20"/>
          <w:color w:val="auto"/>
        </w:rPr>
      </w:pPr>
      <w:r>
        <w:rPr>
          <w:rFonts w:ascii="Arial" w:cs="Arial" w:eastAsia="Arial" w:hAnsi="Arial"/>
          <w:sz w:val="12"/>
          <w:szCs w:val="12"/>
          <w:color w:val="auto"/>
        </w:rPr>
        <w:t>This Annual Report on Form 10-K, including “Item 7. Management’s Discussion and Analysis of Financial Condition and Results of Operations,” contains forward-looking statements that involve risks and uncertainties, as well as assumptions that, if they do not materialize or prove correct, could cause our results to differ materially from those expressed or implied by such forward-looking statements. All statements other than statements of historical fact are statements that could be deemed forward-looking statements, including statements of, about, concerning or regarding: our plans, strategies and objectives for future operations; our research and development efforts and new product releases and services; trends in revenue; drivers of our business and the markets in which we operate; future economic conditions, performance or outlook and changes in our industry and the markets we serve; the outcome of contingencies; the value of our contract awards; beliefs or expectations; the sufficiency of our cash and our capital needs and expenditures; our intellectual property protection; our compliance with regulatory requirements and the associated expenses; expectations regarding litigation; our intention not to pay cash dividends; seasonality of our business; the impact of foreign exchange and inflation; taxes; and assumptions underlying any of the foregoing. Forward-looking statements may be identified by the use of forward-looking terminology, such as “believes,” “expects,” “may,” “should,” “would,” “will,” “intends,” “plans,” “estimates,” “anticipates,” “projects,” “targets,” “goals,” “seeing,” “delivering,” “continues,” “forecasts,” “future,” “predict,” “might,” “could,” “potential,” or the negative of these terms, and similar words or expressions.</w:t>
      </w:r>
    </w:p>
    <w:p>
      <w:pPr>
        <w:spacing w:after="0" w:line="58" w:lineRule="exact"/>
        <w:rPr>
          <w:sz w:val="20"/>
          <w:szCs w:val="20"/>
          <w:color w:val="auto"/>
        </w:rPr>
      </w:pPr>
    </w:p>
    <w:p>
      <w:pPr>
        <w:ind w:left="680" w:right="100" w:firstLine="399"/>
        <w:spacing w:after="0" w:line="270" w:lineRule="auto"/>
        <w:rPr>
          <w:sz w:val="20"/>
          <w:szCs w:val="20"/>
          <w:color w:val="auto"/>
        </w:rPr>
      </w:pPr>
      <w:r>
        <w:rPr>
          <w:rFonts w:ascii="Arial" w:cs="Arial" w:eastAsia="Arial" w:hAnsi="Arial"/>
          <w:sz w:val="13"/>
          <w:szCs w:val="13"/>
          <w:color w:val="auto"/>
        </w:rPr>
        <w:t>These forward-looking statements are based on estimates reflecting the current beliefs of the senior management of Harris Stratex Networks. These forward-looking statements involve a number of risks and uncertainties that could cause actual results to differ materially from those suggested by the forward-looking statements. Forward-looking statements should therefore be considered in light of various important factors, including those set forth in this document. Important factors that could cause actual results to differ materially from estimates or projections contained in the forward-looking statements include the following:</w:t>
      </w:r>
    </w:p>
    <w:p>
      <w:pPr>
        <w:spacing w:after="0" w:line="63" w:lineRule="exact"/>
        <w:rPr>
          <w:sz w:val="20"/>
          <w:szCs w:val="20"/>
          <w:color w:val="auto"/>
        </w:rPr>
      </w:pPr>
    </w:p>
    <w:p>
      <w:pPr>
        <w:ind w:left="1300" w:hanging="208"/>
        <w:spacing w:after="0"/>
        <w:tabs>
          <w:tab w:leader="none" w:pos="1300" w:val="left"/>
        </w:tabs>
        <w:numPr>
          <w:ilvl w:val="0"/>
          <w:numId w:val="3"/>
        </w:numPr>
        <w:rPr>
          <w:rFonts w:ascii="Arial" w:cs="Arial" w:eastAsia="Arial" w:hAnsi="Arial"/>
          <w:sz w:val="13"/>
          <w:szCs w:val="13"/>
          <w:color w:val="auto"/>
        </w:rPr>
      </w:pPr>
      <w:r>
        <w:rPr>
          <w:rFonts w:ascii="Arial" w:cs="Arial" w:eastAsia="Arial" w:hAnsi="Arial"/>
          <w:sz w:val="13"/>
          <w:szCs w:val="13"/>
          <w:color w:val="auto"/>
        </w:rPr>
        <w:t>downturn in the global economy affecting customer spend;</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3"/>
        </w:numPr>
        <w:rPr>
          <w:rFonts w:ascii="Arial" w:cs="Arial" w:eastAsia="Arial" w:hAnsi="Arial"/>
          <w:sz w:val="13"/>
          <w:szCs w:val="13"/>
          <w:color w:val="auto"/>
        </w:rPr>
      </w:pPr>
      <w:r>
        <w:rPr>
          <w:rFonts w:ascii="Arial" w:cs="Arial" w:eastAsia="Arial" w:hAnsi="Arial"/>
          <w:sz w:val="13"/>
          <w:szCs w:val="13"/>
          <w:color w:val="auto"/>
        </w:rPr>
        <w:t>continued price erosion as a result of increased competition in the microwave transmission industry;</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volume, timing and customer, product and geographic mix of our product orders may have an impact on our operating results;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ability to achieve business plans for Harris Stratex Networks;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ability to manage and maintain key customer relationships;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ability to maintain projected product rollouts, product functionality, anticipated cost reductions or market acceptance of planned products;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ability to successfully integrate entities acquired by Harris Stratex Networks;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3"/>
        </w:numPr>
        <w:rPr>
          <w:rFonts w:ascii="Arial" w:cs="Arial" w:eastAsia="Arial" w:hAnsi="Arial"/>
          <w:sz w:val="13"/>
          <w:szCs w:val="13"/>
          <w:color w:val="auto"/>
        </w:rPr>
      </w:pPr>
      <w:r>
        <w:rPr>
          <w:rFonts w:ascii="Arial" w:cs="Arial" w:eastAsia="Arial" w:hAnsi="Arial"/>
          <w:sz w:val="13"/>
          <w:szCs w:val="13"/>
          <w:color w:val="auto"/>
        </w:rPr>
        <w:t>future costs or expenses related to litigation;</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ability of our subcontractors to perform or our key suppliers to manufacture or deliver material;</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3"/>
        </w:numPr>
        <w:rPr>
          <w:rFonts w:ascii="Arial" w:cs="Arial" w:eastAsia="Arial" w:hAnsi="Arial"/>
          <w:sz w:val="13"/>
          <w:szCs w:val="13"/>
          <w:color w:val="auto"/>
        </w:rPr>
      </w:pPr>
      <w:r>
        <w:rPr>
          <w:rFonts w:ascii="Arial" w:cs="Arial" w:eastAsia="Arial" w:hAnsi="Arial"/>
          <w:sz w:val="13"/>
          <w:szCs w:val="13"/>
          <w:color w:val="auto"/>
        </w:rPr>
        <w:t>customers may not pay for products or services in a timely manner, or at all;</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failure of Harris Stratex Networks to protect its intellectual property rights and its ability to defend itself against intellectual property infringement claims by others;</w:t>
      </w:r>
    </w:p>
    <w:p>
      <w:pPr>
        <w:spacing w:after="0" w:line="103" w:lineRule="exact"/>
        <w:rPr>
          <w:rFonts w:ascii="Arial" w:cs="Arial" w:eastAsia="Arial" w:hAnsi="Arial"/>
          <w:sz w:val="12"/>
          <w:szCs w:val="12"/>
          <w:color w:val="auto"/>
        </w:rPr>
      </w:pPr>
    </w:p>
    <w:p>
      <w:pPr>
        <w:ind w:left="1300" w:hanging="208"/>
        <w:spacing w:after="0"/>
        <w:tabs>
          <w:tab w:leader="none" w:pos="1300" w:val="left"/>
        </w:tabs>
        <w:numPr>
          <w:ilvl w:val="0"/>
          <w:numId w:val="3"/>
        </w:numPr>
        <w:rPr>
          <w:rFonts w:ascii="Arial" w:cs="Arial" w:eastAsia="Arial" w:hAnsi="Arial"/>
          <w:sz w:val="13"/>
          <w:szCs w:val="13"/>
          <w:color w:val="auto"/>
        </w:rPr>
      </w:pPr>
      <w:r>
        <w:rPr>
          <w:rFonts w:ascii="Arial" w:cs="Arial" w:eastAsia="Arial" w:hAnsi="Arial"/>
          <w:sz w:val="13"/>
          <w:szCs w:val="13"/>
          <w:color w:val="auto"/>
        </w:rPr>
        <w:t>currency and interest rate risks;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impact of political, economic and geographic risks on international sales;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impact of slowing growth in the wireless telecommunications market combined with supplier and operator consolidations;</w:t>
      </w:r>
    </w:p>
    <w:p>
      <w:pPr>
        <w:spacing w:after="0" w:line="314"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4" w:name="page5"/>
    <w:bookmarkEnd w:id="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5" w:lineRule="exact"/>
        <w:rPr>
          <w:sz w:val="20"/>
          <w:szCs w:val="20"/>
          <w:color w:val="auto"/>
        </w:rPr>
      </w:pPr>
    </w:p>
    <w:p>
      <w:pPr>
        <w:ind w:left="680" w:right="100" w:firstLine="399"/>
        <w:spacing w:after="0" w:line="338" w:lineRule="auto"/>
        <w:rPr>
          <w:sz w:val="20"/>
          <w:szCs w:val="20"/>
          <w:color w:val="auto"/>
        </w:rPr>
      </w:pPr>
      <w:r>
        <w:rPr>
          <w:rFonts w:ascii="Arial" w:cs="Arial" w:eastAsia="Arial" w:hAnsi="Arial"/>
          <w:sz w:val="12"/>
          <w:szCs w:val="12"/>
          <w:color w:val="auto"/>
        </w:rPr>
        <w:t>Other factors besides those listed here also could adversely affect us. See “Item 1A. Risk Factors” in this Annual Report on Form 10-K for more information regarding factors that may cause our results to differ materially from those expressed or implied by the forward-looking statements contained in this Annual Report on Form 10-K.</w:t>
      </w:r>
    </w:p>
    <w:p>
      <w:pPr>
        <w:spacing w:after="0" w:line="24" w:lineRule="exact"/>
        <w:rPr>
          <w:sz w:val="20"/>
          <w:szCs w:val="20"/>
          <w:color w:val="auto"/>
        </w:rPr>
      </w:pPr>
    </w:p>
    <w:p>
      <w:pPr>
        <w:ind w:left="680" w:firstLine="399"/>
        <w:spacing w:after="0" w:line="267" w:lineRule="auto"/>
        <w:rPr>
          <w:sz w:val="20"/>
          <w:szCs w:val="20"/>
          <w:color w:val="auto"/>
        </w:rPr>
      </w:pPr>
      <w:r>
        <w:rPr>
          <w:rFonts w:ascii="Arial" w:cs="Arial" w:eastAsia="Arial" w:hAnsi="Arial"/>
          <w:sz w:val="13"/>
          <w:szCs w:val="13"/>
          <w:color w:val="auto"/>
        </w:rPr>
        <w:t>You should not place undue reliance on these forward-looking statements, which reflect our management’s opinions only as of the date of the filing of this Annual Report on Form 10-K. Forward-looking statements are made in reliance upon the safe harbor provisions of Section 27A of the Securities Act of 1933, as amended, and Section 21E of the Securities Exchange Act of 1934, as amended, along with provisions of the Private Securities Litigation Reform Act of 1995, and we undertake no obligation, other than as imposed by law, to update forward-looking statements to reflect further developments or information obtained after the date of filing of this Annual Report on Form 10-K or, in the case of any document incorporated by reference, the date of that document, and disclaim any obligation to do so.</w:t>
      </w:r>
    </w:p>
    <w:p>
      <w:pPr>
        <w:spacing w:after="0" w:line="277"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560"/>
          </w:cols>
          <w:pgMar w:left="220" w:top="349" w:right="1119" w:bottom="1440" w:gutter="0" w:footer="0" w:header="0"/>
        </w:sectPr>
      </w:pPr>
    </w:p>
    <w:bookmarkStart w:id="5" w:name="page6"/>
    <w:bookmarkEnd w:id="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63" w:lineRule="exact"/>
        <w:rPr>
          <w:sz w:val="20"/>
          <w:szCs w:val="20"/>
          <w:color w:val="auto"/>
        </w:rPr>
      </w:pPr>
    </w:p>
    <w:p>
      <w:pPr>
        <w:ind w:left="5460"/>
        <w:spacing w:after="0"/>
        <w:rPr>
          <w:sz w:val="20"/>
          <w:szCs w:val="20"/>
          <w:color w:val="auto"/>
        </w:rPr>
      </w:pPr>
      <w:r>
        <w:rPr>
          <w:rFonts w:ascii="Arial" w:cs="Arial" w:eastAsia="Arial" w:hAnsi="Arial"/>
          <w:sz w:val="13"/>
          <w:szCs w:val="13"/>
          <w:b w:val="1"/>
          <w:bCs w:val="1"/>
          <w:color w:val="auto"/>
        </w:rPr>
        <w:t>PART I</w:t>
      </w:r>
    </w:p>
    <w:p>
      <w:pPr>
        <w:spacing w:after="0" w:line="183"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1.</w:t>
      </w:r>
      <w:r>
        <w:rPr>
          <w:sz w:val="20"/>
          <w:szCs w:val="20"/>
          <w:color w:val="auto"/>
        </w:rPr>
        <w:tab/>
      </w:r>
      <w:r>
        <w:rPr>
          <w:rFonts w:ascii="Arial" w:cs="Arial" w:eastAsia="Arial" w:hAnsi="Arial"/>
          <w:sz w:val="11"/>
          <w:szCs w:val="11"/>
          <w:b w:val="1"/>
          <w:bCs w:val="1"/>
          <w:i w:val="1"/>
          <w:iCs w:val="1"/>
          <w:color w:val="auto"/>
        </w:rPr>
        <w:t>Business.</w:t>
      </w:r>
    </w:p>
    <w:p>
      <w:pPr>
        <w:spacing w:after="0" w:line="104"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Harris Stratex Networks, Inc., together with its subsidiaries, is a leading global supplier of turnkey wireless network solutions and comprehensive network management software, backed by an extensive suite of professional services and support. Harris Stratex Networks, Inc. may be referred to as the “Company,” “HSTX,” “Harris Stratex,” “we,” “us” and “our” in this Annual Report on Form 10-K.</w:t>
      </w:r>
    </w:p>
    <w:p>
      <w:pPr>
        <w:spacing w:after="0" w:line="59"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We were incorporated in Delaware in 2006 to combine the businesses of Harris Corporation’s Microwave Communications Division (“MCD”) and Stratex Networks, Inc. (“Stratex”). Our principal executive offices are located at 637 Davis Drive, Morrisville, North Carolina 27560 and our telephone number is (919) 767-3230. Our common stock is listed on the NASDAQ Global Market under the symbol HSTX. As of July 3, 2009, we employed approximately 1,521 people.</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Recent Developments</w:t>
      </w:r>
    </w:p>
    <w:p>
      <w:pPr>
        <w:spacing w:after="0" w:line="104" w:lineRule="exact"/>
        <w:rPr>
          <w:sz w:val="20"/>
          <w:szCs w:val="20"/>
          <w:color w:val="auto"/>
        </w:rPr>
      </w:pPr>
    </w:p>
    <w:p>
      <w:pPr>
        <w:ind w:left="680" w:right="200" w:firstLine="399"/>
        <w:spacing w:after="0" w:line="299" w:lineRule="auto"/>
        <w:rPr>
          <w:sz w:val="20"/>
          <w:szCs w:val="20"/>
          <w:color w:val="auto"/>
        </w:rPr>
      </w:pPr>
      <w:r>
        <w:rPr>
          <w:rFonts w:ascii="Arial" w:cs="Arial" w:eastAsia="Arial" w:hAnsi="Arial"/>
          <w:sz w:val="12"/>
          <w:szCs w:val="12"/>
          <w:color w:val="auto"/>
        </w:rPr>
        <w:t>From the time we acquired Stratex on January 26, 2007, Harris Corporation (“Harris”) owned 32,913,377 shares or 100% of our Class B Common Stock which approximated 56% of the total shares of our common stock. On May 27, 2009, Harris distributed all of those shares to the Harris stockholders as a taxable pro rata stock dividend, and the Harris stockholders received approximately 0.24 of a share of Harris Stratex Class A Common Stock for every share of Harris common stock they owned on the record date. Upon the distribution, the Class B Common Stock converted automatically into shares of Class A Common Stock, which is now our only outstanding class of stock.</w:t>
      </w:r>
    </w:p>
    <w:p>
      <w:pPr>
        <w:spacing w:after="0" w:line="48" w:lineRule="exact"/>
        <w:rPr>
          <w:sz w:val="20"/>
          <w:szCs w:val="20"/>
          <w:color w:val="auto"/>
        </w:rPr>
      </w:pPr>
    </w:p>
    <w:p>
      <w:pPr>
        <w:ind w:left="680" w:right="40" w:firstLine="399"/>
        <w:spacing w:after="0" w:line="265" w:lineRule="auto"/>
        <w:rPr>
          <w:sz w:val="20"/>
          <w:szCs w:val="20"/>
          <w:color w:val="auto"/>
        </w:rPr>
      </w:pPr>
      <w:r>
        <w:rPr>
          <w:rFonts w:ascii="Arial" w:cs="Arial" w:eastAsia="Arial" w:hAnsi="Arial"/>
          <w:sz w:val="13"/>
          <w:szCs w:val="13"/>
          <w:color w:val="auto"/>
        </w:rPr>
        <w:t>On March 2, 2009, we announced that we closed the acquisition (the “Acquisition”) of Telsima Corporation (“Telsima”) of Sunnyvale, California. Telsima is a leading developer and provider of WiMAX Forum Certified products for use in next generation broadband wireless networks. The Acquisition closed on February 27, 2009 and was consummated pursuant to an Agreement and Plan of Merger, dated February 27, 2009 (the “Merger Agreement”), by and among Harris Stratex Networks Operating Corporation, a wholly-owned subsidiary of the Company (“HSNOC”), Eagle Networks Merger Corporation, a wholly-owned subsidiary of HSNOC (“Merger Sub”), Telsima and the Holder Representative party thereto. The Merger Agreement provided for the acquisition by HSNOC of all of the outstanding equity securities of Telsima for cash through the merger of Merger Sub with and into Telsima. Following such merger, Telsima became a wholly-owned subsidiary of HSNOC.</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Overview and Description of Business by Segment</w:t>
      </w:r>
    </w:p>
    <w:p>
      <w:pPr>
        <w:spacing w:after="0" w:line="104"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We design, manufacture and sell a range of wireless networking products, solutions and services to mobile and fixed telephone service providers, private network operators, government agencies, transportation and utility companies, public safety agencies and broadcast system operators across the globe. Products include broadband wireless access base stations and customer premises equipment based upon the IEEE 802.16d-2004 and 16e-2005 standards for fixed and mobile WiMAX, point-to-point digital microwave radio systems for access, backhaul, trunking and license-exempt applications, supporting new network deployments, network expansion, and capacity upgrades. We offer a broad range of products and services, delivering them through three reportable business segments: North America Microwave, International Microwave and Network Operations. Network Operations serves all markets worldwide. Revenue and other financial information regarding our business segments are set forth in “Item 7. Management’s Discussion and Analysis of Financial Condition and Results of Operations.”</w:t>
      </w:r>
    </w:p>
    <w:p>
      <w:pPr>
        <w:spacing w:after="0" w:line="14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North America Microwave</w:t>
      </w:r>
    </w:p>
    <w:p>
      <w:pPr>
        <w:spacing w:after="0" w:line="102"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The North America Microwave segment delivers microwave radio products and services to major national carriers and other cellular network operators, public safety and other government agencies, systems integrators, transportation and utility companies and other private network operators within North America. Our North American business is primarily with the cellular backhaul and public safety segments.</w:t>
      </w:r>
    </w:p>
    <w:p>
      <w:pPr>
        <w:spacing w:after="0" w:line="270"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9" w:right="1039" w:bottom="1440" w:gutter="0" w:footer="0" w:header="0"/>
        </w:sectPr>
      </w:pPr>
    </w:p>
    <w:bookmarkStart w:id="6" w:name="page7"/>
    <w:bookmarkEnd w:id="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120" w:firstLine="399"/>
        <w:spacing w:after="0" w:line="294" w:lineRule="auto"/>
        <w:rPr>
          <w:sz w:val="20"/>
          <w:szCs w:val="20"/>
          <w:color w:val="auto"/>
        </w:rPr>
      </w:pPr>
      <w:r>
        <w:rPr>
          <w:rFonts w:ascii="Arial" w:cs="Arial" w:eastAsia="Arial" w:hAnsi="Arial"/>
          <w:sz w:val="13"/>
          <w:szCs w:val="13"/>
          <w:color w:val="auto"/>
        </w:rPr>
        <w:t>Our North America segment revenue represented approximately 33% and 32% of our total revenue for fiscal 2009 and 2008. Although, generally we sell products and services directly to our North American customers, we also use distributors to sell some products and services.</w:t>
      </w:r>
    </w:p>
    <w:p>
      <w:pPr>
        <w:spacing w:after="0" w:line="12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International Microwave</w:t>
      </w:r>
    </w:p>
    <w:p>
      <w:pPr>
        <w:spacing w:after="0" w:line="102"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The International Microwave segment delivers microwave radio products and services to regional and national carriers and other cellular network operators, public safety agencies, government and defense agencies, and other private network operators in every region outside of North America. Our wireless systems deliver regional and country-wide backbone in developing nations, where microwave radio installations provide 21st-century communications rapidly and economically. Rural communities, areas with rugged terrain and regions with extreme temperatures benefit from the ability to build an advanced, affordable communications infrastructure despite these challenges. A significant part of our international business consists of supplying wireless segments in small-pocket, remote, rural and metropolitan areas. High-capacity backhaul is one of the fastest growing wireless market segments and is a major opportunity for us. We see the increase in subscriber density and the forecasted growth and introduction of new bandwidth-hungry HSPA/WiMAX/LTE mobile broadband services as major drivers for growth in this market.</w:t>
      </w:r>
    </w:p>
    <w:p>
      <w:pPr>
        <w:spacing w:after="0" w:line="68" w:lineRule="exact"/>
        <w:rPr>
          <w:sz w:val="20"/>
          <w:szCs w:val="20"/>
          <w:color w:val="auto"/>
        </w:rPr>
      </w:pPr>
    </w:p>
    <w:p>
      <w:pPr>
        <w:ind w:left="680" w:right="620" w:firstLine="399"/>
        <w:spacing w:after="0" w:line="294" w:lineRule="auto"/>
        <w:rPr>
          <w:sz w:val="20"/>
          <w:szCs w:val="20"/>
          <w:color w:val="auto"/>
        </w:rPr>
      </w:pPr>
      <w:r>
        <w:rPr>
          <w:rFonts w:ascii="Arial" w:cs="Arial" w:eastAsia="Arial" w:hAnsi="Arial"/>
          <w:sz w:val="13"/>
          <w:szCs w:val="13"/>
          <w:color w:val="auto"/>
        </w:rPr>
        <w:t>Our International Microwave segment represented approximately 65% and 64% of our revenue for fiscal 2009 and 2008. We sell products and services directly to our international customers and also use agents and distributors.</w:t>
      </w:r>
    </w:p>
    <w:p>
      <w:pPr>
        <w:spacing w:after="0" w:line="12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Network Operations</w:t>
      </w:r>
    </w:p>
    <w:p>
      <w:pPr>
        <w:spacing w:after="0" w:line="102" w:lineRule="exact"/>
        <w:rPr>
          <w:sz w:val="20"/>
          <w:szCs w:val="20"/>
          <w:color w:val="auto"/>
        </w:rPr>
      </w:pPr>
    </w:p>
    <w:p>
      <w:pPr>
        <w:ind w:left="680" w:right="40" w:firstLine="399"/>
        <w:spacing w:after="0" w:line="270" w:lineRule="auto"/>
        <w:rPr>
          <w:sz w:val="20"/>
          <w:szCs w:val="20"/>
          <w:color w:val="auto"/>
        </w:rPr>
      </w:pPr>
      <w:r>
        <w:rPr>
          <w:rFonts w:ascii="Arial" w:cs="Arial" w:eastAsia="Arial" w:hAnsi="Arial"/>
          <w:sz w:val="13"/>
          <w:szCs w:val="13"/>
          <w:color w:val="auto"/>
        </w:rPr>
        <w:t>The Network Operations segment offers a wide range of software-based network management solutions for network operators worldwide, from element management to turnkey, end-to-end network management and service assurance solutions for virtually any type of communications or information network, including broadband, wireline, wireless and converged networks. The NetBoss product line develops, designs, produces, sells and services network management systems for these applications. ProVision</w:t>
      </w:r>
      <w:r>
        <w:rPr>
          <w:rFonts w:ascii="Arial" w:cs="Arial" w:eastAsia="Arial" w:hAnsi="Arial"/>
          <w:sz w:val="11"/>
          <w:szCs w:val="11"/>
          <w:color w:val="auto"/>
        </w:rPr>
        <w:t>®</w:t>
      </w:r>
      <w:r>
        <w:rPr>
          <w:rFonts w:ascii="Arial" w:cs="Arial" w:eastAsia="Arial" w:hAnsi="Arial"/>
          <w:sz w:val="13"/>
          <w:szCs w:val="13"/>
          <w:color w:val="auto"/>
        </w:rPr>
        <w:t xml:space="preserve"> provides element management for all Harris Stratex wireless solutions.</w:t>
      </w:r>
    </w:p>
    <w:p>
      <w:pPr>
        <w:spacing w:after="0" w:line="63" w:lineRule="exact"/>
        <w:rPr>
          <w:sz w:val="20"/>
          <w:szCs w:val="20"/>
          <w:color w:val="auto"/>
        </w:rPr>
      </w:pPr>
    </w:p>
    <w:p>
      <w:pPr>
        <w:ind w:left="680" w:firstLine="399"/>
        <w:spacing w:after="0" w:line="294" w:lineRule="auto"/>
        <w:rPr>
          <w:sz w:val="20"/>
          <w:szCs w:val="20"/>
          <w:color w:val="auto"/>
        </w:rPr>
      </w:pPr>
      <w:r>
        <w:rPr>
          <w:rFonts w:ascii="Arial" w:cs="Arial" w:eastAsia="Arial" w:hAnsi="Arial"/>
          <w:sz w:val="13"/>
          <w:szCs w:val="13"/>
          <w:color w:val="auto"/>
        </w:rPr>
        <w:t>Our Network Operations segment represented approximately 2% and 4% of our revenue for fiscal 2009 and 2008. We sell products and services of this segment to our customers directly and through agents, resellers and distributors.</w:t>
      </w:r>
    </w:p>
    <w:p>
      <w:pPr>
        <w:spacing w:after="0" w:line="12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Industry Background</w:t>
      </w:r>
    </w:p>
    <w:p>
      <w:pPr>
        <w:spacing w:after="0" w:line="102" w:lineRule="exact"/>
        <w:rPr>
          <w:sz w:val="20"/>
          <w:szCs w:val="20"/>
          <w:color w:val="auto"/>
        </w:rPr>
      </w:pPr>
    </w:p>
    <w:p>
      <w:pPr>
        <w:ind w:left="680" w:right="140" w:firstLine="399"/>
        <w:spacing w:after="0" w:line="270" w:lineRule="auto"/>
        <w:rPr>
          <w:sz w:val="20"/>
          <w:szCs w:val="20"/>
          <w:color w:val="auto"/>
        </w:rPr>
      </w:pPr>
      <w:r>
        <w:rPr>
          <w:rFonts w:ascii="Arial" w:cs="Arial" w:eastAsia="Arial" w:hAnsi="Arial"/>
          <w:sz w:val="13"/>
          <w:szCs w:val="13"/>
          <w:color w:val="auto"/>
        </w:rPr>
        <w:t>Wireless transmission networks currently are constructed using microwave radios and other equipment to interconnect cell sites, switching systems, wireline transmission systems and other fixed access facilities. Wireless transmission networks range in size from a single transmission link connecting two buildings to complex networks comprising of thousands of wireless links. The architecture of a network is influenced by several factors, including the available radio frequency spectrum, coordination of frequencies with existing infrastructure, application requirements, environmental factors and local geography.</w:t>
      </w:r>
    </w:p>
    <w:p>
      <w:pPr>
        <w:spacing w:after="0" w:line="63" w:lineRule="exact"/>
        <w:rPr>
          <w:sz w:val="20"/>
          <w:szCs w:val="20"/>
          <w:color w:val="auto"/>
        </w:rPr>
      </w:pPr>
    </w:p>
    <w:p>
      <w:pPr>
        <w:ind w:left="680" w:right="100" w:firstLine="399"/>
        <w:spacing w:after="0" w:line="270" w:lineRule="auto"/>
        <w:rPr>
          <w:sz w:val="20"/>
          <w:szCs w:val="20"/>
          <w:color w:val="auto"/>
        </w:rPr>
      </w:pPr>
      <w:r>
        <w:rPr>
          <w:rFonts w:ascii="Arial" w:cs="Arial" w:eastAsia="Arial" w:hAnsi="Arial"/>
          <w:sz w:val="13"/>
          <w:szCs w:val="13"/>
          <w:color w:val="auto"/>
        </w:rPr>
        <w:t>There has been an increase in capital spending in the wireless telecommunications industry in recent years. The demand for high-speed wireless transmission products has been growing at a higher rate than the wireless industry as a whole. We believe that this growth is directly related to a growing global subscriber base for mobile wireless communications services, increased demand for fixed wireless transmission solutions and demand for new services delivered from next-generation networks capable of delivering broadband services. Major driving factors for such growth include the following:</w:t>
      </w:r>
    </w:p>
    <w:p>
      <w:pPr>
        <w:spacing w:after="0" w:line="63" w:lineRule="exact"/>
        <w:rPr>
          <w:sz w:val="20"/>
          <w:szCs w:val="20"/>
          <w:color w:val="auto"/>
        </w:rPr>
      </w:pPr>
    </w:p>
    <w:p>
      <w:pPr>
        <w:ind w:left="1300" w:right="20" w:hanging="208"/>
        <w:spacing w:after="0" w:line="270" w:lineRule="auto"/>
        <w:tabs>
          <w:tab w:leader="none" w:pos="1300" w:val="left"/>
        </w:tabs>
        <w:numPr>
          <w:ilvl w:val="0"/>
          <w:numId w:val="4"/>
        </w:numPr>
        <w:rPr>
          <w:rFonts w:ascii="Arial" w:cs="Arial" w:eastAsia="Arial" w:hAnsi="Arial"/>
          <w:sz w:val="13"/>
          <w:szCs w:val="13"/>
          <w:color w:val="auto"/>
        </w:rPr>
      </w:pPr>
      <w:r>
        <w:rPr>
          <w:rFonts w:ascii="Arial" w:cs="Arial" w:eastAsia="Arial" w:hAnsi="Arial"/>
          <w:sz w:val="13"/>
          <w:szCs w:val="13"/>
          <w:i w:val="1"/>
          <w:iCs w:val="1"/>
          <w:color w:val="auto"/>
        </w:rPr>
        <w:t xml:space="preserve">Increase in global wireless subscribers and introduction of new broadband mobile services. </w:t>
      </w:r>
      <w:r>
        <w:rPr>
          <w:rFonts w:ascii="Arial" w:cs="Arial" w:eastAsia="Arial" w:hAnsi="Arial"/>
          <w:sz w:val="13"/>
          <w:szCs w:val="13"/>
          <w:color w:val="auto"/>
        </w:rPr>
        <w:t>The number of global wireless subscribers and minutes of use per subscriber are</w:t>
      </w:r>
      <w:r>
        <w:rPr>
          <w:rFonts w:ascii="Arial" w:cs="Arial" w:eastAsia="Arial" w:hAnsi="Arial"/>
          <w:sz w:val="13"/>
          <w:szCs w:val="13"/>
          <w:i w:val="1"/>
          <w:iCs w:val="1"/>
          <w:color w:val="auto"/>
        </w:rPr>
        <w:t xml:space="preserve"> </w:t>
      </w:r>
      <w:r>
        <w:rPr>
          <w:rFonts w:ascii="Arial" w:cs="Arial" w:eastAsia="Arial" w:hAnsi="Arial"/>
          <w:sz w:val="13"/>
          <w:szCs w:val="13"/>
          <w:color w:val="auto"/>
        </w:rPr>
        <w:t>expected to continue to increase. The primary drivers include increased subscription and dramatic growth in demand for mobile broadband data services facilitated by the introduction of new data-driven smartphones like the iPhone and Palm Pre. These Third-generation, or “3G,” data applications are now widely available in developed countries and this has fueled an acceleration of data usage. New mobile standards now being deployed including High Speed</w:t>
      </w:r>
    </w:p>
    <w:p>
      <w:pPr>
        <w:spacing w:after="0" w:line="274"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20"/>
          </w:cols>
          <w:pgMar w:left="220" w:top="349" w:right="1059" w:bottom="1440" w:gutter="0" w:footer="0" w:header="0"/>
        </w:sectPr>
      </w:pPr>
    </w:p>
    <w:bookmarkStart w:id="7" w:name="page8"/>
    <w:bookmarkEnd w:id="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1300" w:right="20"/>
        <w:spacing w:after="0" w:line="267" w:lineRule="auto"/>
        <w:rPr>
          <w:sz w:val="20"/>
          <w:szCs w:val="20"/>
          <w:color w:val="auto"/>
        </w:rPr>
      </w:pPr>
      <w:r>
        <w:rPr>
          <w:rFonts w:ascii="Arial" w:cs="Arial" w:eastAsia="Arial" w:hAnsi="Arial"/>
          <w:sz w:val="13"/>
          <w:szCs w:val="13"/>
          <w:color w:val="auto"/>
        </w:rPr>
        <w:t>Packet Access (HSPA) and mobile WiMAX will further increase the demand for mobile data. We believe that growth as a result of new data services will continue for the next several years and persist with the introduction of the next generation of radio technologies, referred to as “4G” or LTE (Long Term Evolution) for mobile networks starting in 2011. This demand for data is straining the capacity and capability of the existing mobile infrastructure. To address this problem we expect many operators to upgrade their backhaul networks to 100% Internet Protocol, or IP-based, from the current traditional time-division multiplexing, or TDM networks, in order to provide higher network capacity and increased flexibility at a lower overall operating cost.</w:t>
      </w:r>
    </w:p>
    <w:p>
      <w:pPr>
        <w:spacing w:after="0" w:line="65" w:lineRule="exact"/>
        <w:rPr>
          <w:sz w:val="20"/>
          <w:szCs w:val="20"/>
          <w:color w:val="auto"/>
        </w:rPr>
      </w:pPr>
    </w:p>
    <w:p>
      <w:pPr>
        <w:ind w:left="1300" w:hanging="208"/>
        <w:spacing w:after="0" w:line="290" w:lineRule="auto"/>
        <w:tabs>
          <w:tab w:leader="none" w:pos="1300" w:val="left"/>
        </w:tabs>
        <w:numPr>
          <w:ilvl w:val="0"/>
          <w:numId w:val="5"/>
        </w:numPr>
        <w:rPr>
          <w:rFonts w:ascii="Arial" w:cs="Arial" w:eastAsia="Arial" w:hAnsi="Arial"/>
          <w:sz w:val="12"/>
          <w:szCs w:val="12"/>
          <w:color w:val="auto"/>
        </w:rPr>
      </w:pPr>
      <w:r>
        <w:rPr>
          <w:rFonts w:ascii="Arial" w:cs="Arial" w:eastAsia="Arial" w:hAnsi="Arial"/>
          <w:sz w:val="12"/>
          <w:szCs w:val="12"/>
          <w:i w:val="1"/>
          <w:iCs w:val="1"/>
          <w:color w:val="auto"/>
        </w:rPr>
        <w:t xml:space="preserve">Broadband Stimulus. </w:t>
      </w:r>
      <w:r>
        <w:rPr>
          <w:rFonts w:ascii="Arial" w:cs="Arial" w:eastAsia="Arial" w:hAnsi="Arial"/>
          <w:sz w:val="12"/>
          <w:szCs w:val="12"/>
          <w:color w:val="auto"/>
        </w:rPr>
        <w:t>The American Recovery and Reinvestment Act (ARRA), widely known as the stimulus bill, allocates $7.2 billion in grant and loan funding for</w:t>
      </w:r>
      <w:r>
        <w:rPr>
          <w:rFonts w:ascii="Arial" w:cs="Arial" w:eastAsia="Arial" w:hAnsi="Arial"/>
          <w:sz w:val="12"/>
          <w:szCs w:val="12"/>
          <w:i w:val="1"/>
          <w:iCs w:val="1"/>
          <w:color w:val="auto"/>
        </w:rPr>
        <w:t xml:space="preserve"> </w:t>
      </w:r>
      <w:r>
        <w:rPr>
          <w:rFonts w:ascii="Arial" w:cs="Arial" w:eastAsia="Arial" w:hAnsi="Arial"/>
          <w:sz w:val="12"/>
          <w:szCs w:val="12"/>
          <w:color w:val="auto"/>
        </w:rPr>
        <w:t>broadband/wireless initiatives for rural unserved and underserved geographies across the country. This funding is available to a wide variety of organizations to purchase and implement network infrastructure and services to improve broadband coverage. In addition to the broadband initiative, the Smart Grid Investment Grant Program (SGIG) was recently announced with close to $4 billion available to utilities, rural electric cooperatives, distribution companies and system operators, for smart grid technologies, monitoring solutions and infrastructure, and viability analysis. Implementing communications infrastructure for intelligent energy initiatives is also a key part of this program. Wireless transmission, including WiMAX access and microwave middle-mile transmission, will be a key technology for stimulus related projects. Other countries, such as Australia, are also implementing broadband programs with government funding to simultaneously develop rural broadband services and stimulate local economies.</w:t>
      </w:r>
    </w:p>
    <w:p>
      <w:pPr>
        <w:spacing w:after="0" w:line="41" w:lineRule="exact"/>
        <w:rPr>
          <w:rFonts w:ascii="Arial" w:cs="Arial" w:eastAsia="Arial" w:hAnsi="Arial"/>
          <w:sz w:val="12"/>
          <w:szCs w:val="12"/>
          <w:color w:val="auto"/>
        </w:rPr>
      </w:pPr>
    </w:p>
    <w:p>
      <w:pPr>
        <w:ind w:left="1300" w:right="20" w:hanging="208"/>
        <w:spacing w:after="0" w:line="288" w:lineRule="auto"/>
        <w:tabs>
          <w:tab w:leader="none" w:pos="1300" w:val="left"/>
        </w:tabs>
        <w:numPr>
          <w:ilvl w:val="0"/>
          <w:numId w:val="5"/>
        </w:numPr>
        <w:rPr>
          <w:rFonts w:ascii="Arial" w:cs="Arial" w:eastAsia="Arial" w:hAnsi="Arial"/>
          <w:sz w:val="12"/>
          <w:szCs w:val="12"/>
          <w:color w:val="auto"/>
        </w:rPr>
      </w:pPr>
      <w:r>
        <w:rPr>
          <w:rFonts w:ascii="Arial" w:cs="Arial" w:eastAsia="Arial" w:hAnsi="Arial"/>
          <w:sz w:val="12"/>
          <w:szCs w:val="12"/>
          <w:i w:val="1"/>
          <w:iCs w:val="1"/>
          <w:color w:val="auto"/>
        </w:rPr>
        <w:t xml:space="preserve">Increased establishment of mobile and fixed wireless telecommunications infrastructures in developing countries. </w:t>
      </w:r>
      <w:r>
        <w:rPr>
          <w:rFonts w:ascii="Arial" w:cs="Arial" w:eastAsia="Arial" w:hAnsi="Arial"/>
          <w:sz w:val="12"/>
          <w:szCs w:val="12"/>
          <w:color w:val="auto"/>
        </w:rPr>
        <w:t>In many places, telecommunications services are</w:t>
      </w:r>
      <w:r>
        <w:rPr>
          <w:rFonts w:ascii="Arial" w:cs="Arial" w:eastAsia="Arial" w:hAnsi="Arial"/>
          <w:sz w:val="12"/>
          <w:szCs w:val="12"/>
          <w:i w:val="1"/>
          <w:iCs w:val="1"/>
          <w:color w:val="auto"/>
        </w:rPr>
        <w:t xml:space="preserve"> </w:t>
      </w:r>
      <w:r>
        <w:rPr>
          <w:rFonts w:ascii="Arial" w:cs="Arial" w:eastAsia="Arial" w:hAnsi="Arial"/>
          <w:sz w:val="12"/>
          <w:szCs w:val="12"/>
          <w:color w:val="auto"/>
        </w:rPr>
        <w:t>inadequate or unreliable because of the lack of existing infrastructure. To service providers in developing countries seeking to increase the availability and quality of telecommunications and Internet access services, wireless solutions are an attractive alternative to the construction or leasing of wireline networks, given their relatively low cost and ease of deployment. As a result, there has been an increased establishment of mobile and fixed wireless telecommunications infrastructures in developing countries. Emerging telecommunications markets in Africa, Asia, the Middle East, Latin America and Eastern Europe are characterized by a need to build out basic telecommunications systems. We believe that WiMAX will play a key role in bringing broadband services to these countries, which lack sufficient existing telecom infrastructure. Mobile operators are also looking at WiMAX deployments to augment or leverage their existing national networks to add new premium broadband residential and business customers to increase subscriber base and boost their average revenue per user (ARPU).</w:t>
      </w:r>
    </w:p>
    <w:p>
      <w:pPr>
        <w:spacing w:after="0" w:line="45" w:lineRule="exact"/>
        <w:rPr>
          <w:rFonts w:ascii="Arial" w:cs="Arial" w:eastAsia="Arial" w:hAnsi="Arial"/>
          <w:sz w:val="12"/>
          <w:szCs w:val="12"/>
          <w:color w:val="auto"/>
        </w:rPr>
      </w:pPr>
    </w:p>
    <w:p>
      <w:pPr>
        <w:ind w:left="1300" w:right="40" w:hanging="208"/>
        <w:spacing w:after="0" w:line="292" w:lineRule="auto"/>
        <w:tabs>
          <w:tab w:leader="none" w:pos="1300" w:val="left"/>
        </w:tabs>
        <w:numPr>
          <w:ilvl w:val="0"/>
          <w:numId w:val="5"/>
        </w:numPr>
        <w:rPr>
          <w:rFonts w:ascii="Arial" w:cs="Arial" w:eastAsia="Arial" w:hAnsi="Arial"/>
          <w:sz w:val="12"/>
          <w:szCs w:val="12"/>
          <w:color w:val="auto"/>
        </w:rPr>
      </w:pPr>
      <w:r>
        <w:rPr>
          <w:rFonts w:ascii="Arial" w:cs="Arial" w:eastAsia="Arial" w:hAnsi="Arial"/>
          <w:sz w:val="12"/>
          <w:szCs w:val="12"/>
          <w:i w:val="1"/>
          <w:iCs w:val="1"/>
          <w:color w:val="auto"/>
        </w:rPr>
        <w:t xml:space="preserve">Global deregulation of telecommunications market and allocation of radio frequencies for broadband wireless access. </w:t>
      </w:r>
      <w:r>
        <w:rPr>
          <w:rFonts w:ascii="Arial" w:cs="Arial" w:eastAsia="Arial" w:hAnsi="Arial"/>
          <w:sz w:val="12"/>
          <w:szCs w:val="12"/>
          <w:color w:val="auto"/>
        </w:rPr>
        <w:t>Regulatory authorities typically allocate different</w:t>
      </w:r>
      <w:r>
        <w:rPr>
          <w:rFonts w:ascii="Arial" w:cs="Arial" w:eastAsia="Arial" w:hAnsi="Arial"/>
          <w:sz w:val="12"/>
          <w:szCs w:val="12"/>
          <w:i w:val="1"/>
          <w:iCs w:val="1"/>
          <w:color w:val="auto"/>
        </w:rPr>
        <w:t xml:space="preserve"> </w:t>
      </w:r>
      <w:r>
        <w:rPr>
          <w:rFonts w:ascii="Arial" w:cs="Arial" w:eastAsia="Arial" w:hAnsi="Arial"/>
          <w:sz w:val="12"/>
          <w:szCs w:val="12"/>
          <w:color w:val="auto"/>
        </w:rPr>
        <w:t>portions of the radio frequency spectrum for various telecommunications services. Many countries have privatized the state-owned telecommunications monopoly and have opened their markets to competitive network service providers. Often these providers choose a wireless transmission service, which causes an increase in the demand for transmission solutions. Such global deregulation of the telecommunications market and the related allocation of radio frequencies for broadband wireless access transmission have led to increased competition to supply wireless-based transmission systems. Many governments and regulatory agencies around the world also are examining or are in the process of introducing new spectrum band licenses for the deployment of broadband services using WiMAX.</w:t>
      </w:r>
    </w:p>
    <w:p>
      <w:pPr>
        <w:spacing w:after="0" w:line="13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Recent Trends and Developments in the Industry</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Other global trends and developments in the microwave communications markets include:</w:t>
      </w:r>
    </w:p>
    <w:p>
      <w:pPr>
        <w:spacing w:after="0" w:line="102" w:lineRule="exact"/>
        <w:rPr>
          <w:sz w:val="20"/>
          <w:szCs w:val="20"/>
          <w:color w:val="auto"/>
        </w:rPr>
      </w:pPr>
    </w:p>
    <w:p>
      <w:pPr>
        <w:ind w:left="1300" w:hanging="208"/>
        <w:spacing w:after="0"/>
        <w:tabs>
          <w:tab w:leader="none" w:pos="1300" w:val="left"/>
        </w:tabs>
        <w:numPr>
          <w:ilvl w:val="0"/>
          <w:numId w:val="6"/>
        </w:numPr>
        <w:rPr>
          <w:rFonts w:ascii="Arial" w:cs="Arial" w:eastAsia="Arial" w:hAnsi="Arial"/>
          <w:sz w:val="13"/>
          <w:szCs w:val="13"/>
          <w:color w:val="auto"/>
        </w:rPr>
      </w:pPr>
      <w:r>
        <w:rPr>
          <w:rFonts w:ascii="Arial" w:cs="Arial" w:eastAsia="Arial" w:hAnsi="Arial"/>
          <w:sz w:val="13"/>
          <w:szCs w:val="13"/>
          <w:color w:val="auto"/>
        </w:rPr>
        <w:t>Continuing fixed-line to mobile-line substitution;</w:t>
      </w:r>
    </w:p>
    <w:p>
      <w:pPr>
        <w:spacing w:after="0" w:line="92" w:lineRule="exact"/>
        <w:rPr>
          <w:rFonts w:ascii="Arial" w:cs="Arial" w:eastAsia="Arial" w:hAnsi="Arial"/>
          <w:sz w:val="13"/>
          <w:szCs w:val="13"/>
          <w:color w:val="auto"/>
        </w:rPr>
      </w:pPr>
    </w:p>
    <w:p>
      <w:pPr>
        <w:ind w:left="1300" w:right="300" w:hanging="208"/>
        <w:spacing w:after="0" w:line="294" w:lineRule="auto"/>
        <w:tabs>
          <w:tab w:leader="none" w:pos="1300" w:val="left"/>
        </w:tabs>
        <w:numPr>
          <w:ilvl w:val="0"/>
          <w:numId w:val="6"/>
        </w:numPr>
        <w:rPr>
          <w:rFonts w:ascii="Arial" w:cs="Arial" w:eastAsia="Arial" w:hAnsi="Arial"/>
          <w:sz w:val="13"/>
          <w:szCs w:val="13"/>
          <w:color w:val="auto"/>
        </w:rPr>
      </w:pPr>
      <w:r>
        <w:rPr>
          <w:rFonts w:ascii="Arial" w:cs="Arial" w:eastAsia="Arial" w:hAnsi="Arial"/>
          <w:sz w:val="13"/>
          <w:szCs w:val="13"/>
          <w:color w:val="auto"/>
        </w:rPr>
        <w:t>The migration of existing telecommunications network infrastructure from legacy TDM technologies such as SDH/SONET to high speed packet-based networks such as Ethernet/IP/MPLS, etc. This migration is</w:t>
      </w:r>
    </w:p>
    <w:p>
      <w:pPr>
        <w:spacing w:after="0" w:line="258"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8" w:name="page9"/>
    <w:bookmarkEnd w:id="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1300"/>
        <w:spacing w:after="0"/>
        <w:rPr>
          <w:sz w:val="20"/>
          <w:szCs w:val="20"/>
          <w:color w:val="auto"/>
        </w:rPr>
      </w:pPr>
      <w:r>
        <w:rPr>
          <w:rFonts w:ascii="Arial" w:cs="Arial" w:eastAsia="Arial" w:hAnsi="Arial"/>
          <w:sz w:val="12"/>
          <w:szCs w:val="12"/>
          <w:color w:val="auto"/>
        </w:rPr>
        <w:t>moving faster in some sectors like mobile networks than others, but is a clear trend for the future that will drive significant network upgrades over the next three to five years;</w:t>
      </w:r>
    </w:p>
    <w:p>
      <w:pPr>
        <w:spacing w:after="0" w:line="114" w:lineRule="exact"/>
        <w:rPr>
          <w:sz w:val="20"/>
          <w:szCs w:val="20"/>
          <w:color w:val="auto"/>
        </w:rPr>
      </w:pPr>
    </w:p>
    <w:p>
      <w:pPr>
        <w:ind w:left="1300" w:right="200" w:hanging="208"/>
        <w:spacing w:after="0" w:line="294" w:lineRule="auto"/>
        <w:tabs>
          <w:tab w:leader="none" w:pos="1300" w:val="left"/>
        </w:tabs>
        <w:numPr>
          <w:ilvl w:val="0"/>
          <w:numId w:val="7"/>
        </w:numPr>
        <w:rPr>
          <w:rFonts w:ascii="Arial" w:cs="Arial" w:eastAsia="Arial" w:hAnsi="Arial"/>
          <w:sz w:val="13"/>
          <w:szCs w:val="13"/>
          <w:color w:val="auto"/>
        </w:rPr>
      </w:pPr>
      <w:r>
        <w:rPr>
          <w:rFonts w:ascii="Arial" w:cs="Arial" w:eastAsia="Arial" w:hAnsi="Arial"/>
          <w:sz w:val="13"/>
          <w:szCs w:val="13"/>
          <w:color w:val="auto"/>
        </w:rPr>
        <w:t>Private networks and public telecommunications operators building high-reliability, high-bandwidth networks that are more secure and better protected against natural and man-made disasters;</w:t>
      </w:r>
    </w:p>
    <w:p>
      <w:pPr>
        <w:spacing w:after="0" w:line="36" w:lineRule="exact"/>
        <w:rPr>
          <w:rFonts w:ascii="Arial" w:cs="Arial" w:eastAsia="Arial" w:hAnsi="Arial"/>
          <w:sz w:val="13"/>
          <w:szCs w:val="13"/>
          <w:color w:val="auto"/>
        </w:rPr>
      </w:pPr>
    </w:p>
    <w:p>
      <w:pPr>
        <w:ind w:left="1300" w:hanging="208"/>
        <w:spacing w:after="0"/>
        <w:tabs>
          <w:tab w:leader="none" w:pos="1300" w:val="left"/>
        </w:tabs>
        <w:numPr>
          <w:ilvl w:val="0"/>
          <w:numId w:val="7"/>
        </w:numPr>
        <w:rPr>
          <w:rFonts w:ascii="Arial" w:cs="Arial" w:eastAsia="Arial" w:hAnsi="Arial"/>
          <w:sz w:val="13"/>
          <w:szCs w:val="13"/>
          <w:color w:val="auto"/>
        </w:rPr>
      </w:pPr>
      <w:r>
        <w:rPr>
          <w:rFonts w:ascii="Arial" w:cs="Arial" w:eastAsia="Arial" w:hAnsi="Arial"/>
          <w:sz w:val="13"/>
          <w:szCs w:val="13"/>
          <w:color w:val="auto"/>
        </w:rPr>
        <w:t>Increase in global wireless subscribers; and</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7"/>
        </w:numPr>
        <w:rPr>
          <w:rFonts w:ascii="Arial" w:cs="Arial" w:eastAsia="Arial" w:hAnsi="Arial"/>
          <w:sz w:val="13"/>
          <w:szCs w:val="13"/>
          <w:color w:val="auto"/>
        </w:rPr>
      </w:pPr>
      <w:r>
        <w:rPr>
          <w:rFonts w:ascii="Arial" w:cs="Arial" w:eastAsia="Arial" w:hAnsi="Arial"/>
          <w:sz w:val="13"/>
          <w:szCs w:val="13"/>
          <w:color w:val="auto"/>
        </w:rPr>
        <w:t>Re-allocation or public auction of frequency spectrum towards commercial applications in wireless broadband and mobility.</w:t>
      </w:r>
    </w:p>
    <w:p>
      <w:pPr>
        <w:spacing w:after="0" w:line="102" w:lineRule="exact"/>
        <w:rPr>
          <w:sz w:val="20"/>
          <w:szCs w:val="20"/>
          <w:color w:val="auto"/>
        </w:rPr>
      </w:pPr>
    </w:p>
    <w:p>
      <w:pPr>
        <w:jc w:val="both"/>
        <w:ind w:left="680" w:right="420" w:firstLine="399"/>
        <w:spacing w:after="0" w:line="276" w:lineRule="auto"/>
        <w:rPr>
          <w:sz w:val="20"/>
          <w:szCs w:val="20"/>
          <w:color w:val="auto"/>
        </w:rPr>
      </w:pPr>
      <w:r>
        <w:rPr>
          <w:rFonts w:ascii="Arial" w:cs="Arial" w:eastAsia="Arial" w:hAnsi="Arial"/>
          <w:sz w:val="13"/>
          <w:szCs w:val="13"/>
          <w:color w:val="auto"/>
        </w:rPr>
        <w:t>We believe that as broadband access and telecommunications requirements grow, wireless systems will continue to be used as transmission systems to support a variety of existing and expanding communications networks and applications. We believe that wireless systems will be used to address the connection requirements of several markets and applications, including the broadband access market, cellular applications and private networks.</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Strategy</w:t>
      </w:r>
    </w:p>
    <w:p>
      <w:pPr>
        <w:spacing w:after="0" w:line="104" w:lineRule="exact"/>
        <w:rPr>
          <w:sz w:val="20"/>
          <w:szCs w:val="20"/>
          <w:color w:val="auto"/>
        </w:rPr>
      </w:pPr>
    </w:p>
    <w:p>
      <w:pPr>
        <w:ind w:left="680" w:right="20" w:firstLine="399"/>
        <w:spacing w:after="0" w:line="267" w:lineRule="auto"/>
        <w:rPr>
          <w:sz w:val="20"/>
          <w:szCs w:val="20"/>
          <w:color w:val="auto"/>
        </w:rPr>
      </w:pPr>
      <w:r>
        <w:rPr>
          <w:rFonts w:ascii="Arial" w:cs="Arial" w:eastAsia="Arial" w:hAnsi="Arial"/>
          <w:sz w:val="13"/>
          <w:szCs w:val="13"/>
          <w:color w:val="auto"/>
        </w:rPr>
        <w:t>Over the past year, we have made significant strides in transforming our business from a pure-play microwave backhaul company to a more diverse company that not only strives to be a leader in mobile backhaul optimization but also one that aims to fully support the markets’ network capacity expansion and evolution to all-IP. We offer and will continue to improve upon our end-to-end solutions that deliver the network performance needed to support next generation services and enable a smooth transition from legacy networks. We aim to deliver the ultimate end-user experience and look to enhance our position as a leading provider of innovative, high-value wireless solutions for the worldwide mobile, network interconnection and broadband access markets.</w:t>
      </w:r>
    </w:p>
    <w:p>
      <w:pPr>
        <w:spacing w:after="0" w:line="65"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Newer generation technologies such as packet-based 4G, WiMAX, and LTE require the need for high-speed packet infrastructures. To address their requirements, we intend to enhance our core Eclipse platform and its end-to-end value proposition by including new components and technology. This includes adding new features to the Eclipse platform and leveraging technology in third party products to provide a complete, holistic, end-to-end IP network solution.</w:t>
      </w:r>
    </w:p>
    <w:p>
      <w:pPr>
        <w:spacing w:after="0" w:line="59" w:lineRule="exact"/>
        <w:rPr>
          <w:sz w:val="20"/>
          <w:szCs w:val="20"/>
          <w:color w:val="auto"/>
        </w:rPr>
      </w:pPr>
    </w:p>
    <w:p>
      <w:pPr>
        <w:ind w:left="680" w:right="80" w:firstLine="399"/>
        <w:spacing w:after="0" w:line="267" w:lineRule="auto"/>
        <w:rPr>
          <w:sz w:val="20"/>
          <w:szCs w:val="20"/>
          <w:color w:val="auto"/>
        </w:rPr>
      </w:pPr>
      <w:r>
        <w:rPr>
          <w:rFonts w:ascii="Arial" w:cs="Arial" w:eastAsia="Arial" w:hAnsi="Arial"/>
          <w:sz w:val="13"/>
          <w:szCs w:val="13"/>
          <w:color w:val="auto"/>
        </w:rPr>
        <w:t>We look to retain our position as a wireless transmission technology leader with Eclipse by ensuring our capabilities anticipate the evolving needs of our customers and the corresponding network technology use. The future roadmap for Eclipse evolves the platform towards a full convergence solution with embedded capabilities enabling full IP migration. The Eclipse solution for evolution to IP is the lowest risk, lowest cost, and most flexible solution available since it builds incrementally on the existing investment. The IP evolution capabilities are specifically enabled by the modular additions. This incremental plug-in approach allows operators to move towards all IP at their own pace, and most importantly without the risk, downtime or expense associated with a complete replacement or the forced migration to another platform.</w:t>
      </w:r>
    </w:p>
    <w:p>
      <w:pPr>
        <w:spacing w:after="0" w:line="65" w:lineRule="exact"/>
        <w:rPr>
          <w:sz w:val="20"/>
          <w:szCs w:val="20"/>
          <w:color w:val="auto"/>
        </w:rPr>
      </w:pPr>
    </w:p>
    <w:p>
      <w:pPr>
        <w:jc w:val="both"/>
        <w:ind w:left="680" w:firstLine="399"/>
        <w:spacing w:after="0" w:line="286" w:lineRule="auto"/>
        <w:rPr>
          <w:sz w:val="20"/>
          <w:szCs w:val="20"/>
          <w:color w:val="auto"/>
        </w:rPr>
      </w:pPr>
      <w:r>
        <w:rPr>
          <w:rFonts w:ascii="Arial" w:cs="Arial" w:eastAsia="Arial" w:hAnsi="Arial"/>
          <w:sz w:val="12"/>
          <w:szCs w:val="12"/>
          <w:color w:val="auto"/>
        </w:rPr>
        <w:t>Our Partner Products strategy enables us to go beyond wireless transmission to combat the vendor consolidation trend whereby customers are “buying more from fewer vendors.” Furthermore a broader portfolio enables us to further differentiate from other independent microwave only equipment competitors. Our edge when competing with smaller companies is our end-to-end delivery capability and worldwide presence to do so. Competing with larger companies, we should be able to react quicker and leverage best-of-breed products.</w:t>
      </w:r>
    </w:p>
    <w:p>
      <w:pPr>
        <w:spacing w:after="0" w:line="1" w:lineRule="exact"/>
        <w:rPr>
          <w:sz w:val="20"/>
          <w:szCs w:val="20"/>
          <w:color w:val="auto"/>
        </w:rPr>
      </w:pPr>
    </w:p>
    <w:p>
      <w:pPr>
        <w:ind w:left="680" w:right="360"/>
        <w:spacing w:after="0" w:line="277" w:lineRule="auto"/>
        <w:rPr>
          <w:sz w:val="20"/>
          <w:szCs w:val="20"/>
          <w:color w:val="auto"/>
        </w:rPr>
      </w:pPr>
      <w:r>
        <w:rPr>
          <w:rFonts w:ascii="Arial" w:cs="Arial" w:eastAsia="Arial" w:hAnsi="Arial"/>
          <w:sz w:val="13"/>
          <w:szCs w:val="13"/>
          <w:color w:val="auto"/>
        </w:rPr>
        <w:t>Regardless of whether we are competing with a small or large company, we have an opportunity to straddle both sides of the competition with unrivaled technology leadership and service delivery.</w:t>
      </w:r>
    </w:p>
    <w:p>
      <w:pPr>
        <w:spacing w:after="0" w:line="58" w:lineRule="exact"/>
        <w:rPr>
          <w:sz w:val="20"/>
          <w:szCs w:val="20"/>
          <w:color w:val="auto"/>
        </w:rPr>
      </w:pPr>
    </w:p>
    <w:p>
      <w:pPr>
        <w:ind w:left="680" w:right="20" w:firstLine="399"/>
        <w:spacing w:after="0" w:line="267" w:lineRule="auto"/>
        <w:rPr>
          <w:sz w:val="20"/>
          <w:szCs w:val="20"/>
          <w:color w:val="auto"/>
        </w:rPr>
      </w:pPr>
      <w:r>
        <w:rPr>
          <w:rFonts w:ascii="Arial" w:cs="Arial" w:eastAsia="Arial" w:hAnsi="Arial"/>
          <w:sz w:val="13"/>
          <w:szCs w:val="13"/>
          <w:color w:val="auto"/>
        </w:rPr>
        <w:t>With our recent acquisition and entry into the 4G/WiMAX space, we are now well positioned to address the growth areas of Broadband Wireless Access with fixed and mobile standard WiMAX products. The fixed WiMAX market (16d) is considerable today but quickly giving way to mobile WiMAX (16e) growth over the next few years. We and many analysts see the WiMAX market as a lucrative, growing area over the coming years with rapidly expanding addressable markets. To address this opportunity, we will focus on both fixed and mobile opportunities as well as regionally specific events to grow the business. We have a strong portfolio and position in our 16d business and are poised to take market share — our strategy for 16d growth is already underway, focused on capturing</w:t>
      </w:r>
    </w:p>
    <w:p>
      <w:pPr>
        <w:spacing w:after="0" w:line="277"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9" w:name="page10"/>
    <w:bookmarkEnd w:id="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200"/>
        <w:spacing w:after="0" w:line="294" w:lineRule="auto"/>
        <w:rPr>
          <w:sz w:val="20"/>
          <w:szCs w:val="20"/>
          <w:color w:val="auto"/>
        </w:rPr>
      </w:pPr>
      <w:r>
        <w:rPr>
          <w:rFonts w:ascii="Arial" w:cs="Arial" w:eastAsia="Arial" w:hAnsi="Arial"/>
          <w:sz w:val="13"/>
          <w:szCs w:val="13"/>
          <w:color w:val="auto"/>
        </w:rPr>
        <w:t>growth from competitors. Our 16e business is poised to address further opportunities in all regions of the world. We will continue to expand our portfolio in the WiMAX space with a robust roadmap of development in access and core products.</w:t>
      </w:r>
    </w:p>
    <w:p>
      <w:pPr>
        <w:spacing w:after="0" w:line="4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strategy entails partnering with companies with technical expertise to meet customer demand for and end-to-end solution.</w:t>
      </w:r>
    </w:p>
    <w:p>
      <w:pPr>
        <w:spacing w:after="0" w:line="102" w:lineRule="exact"/>
        <w:rPr>
          <w:sz w:val="20"/>
          <w:szCs w:val="20"/>
          <w:color w:val="auto"/>
        </w:rPr>
      </w:pPr>
    </w:p>
    <w:p>
      <w:pPr>
        <w:ind w:left="680" w:right="40" w:firstLine="399"/>
        <w:spacing w:after="0" w:line="270" w:lineRule="auto"/>
        <w:rPr>
          <w:sz w:val="20"/>
          <w:szCs w:val="20"/>
          <w:color w:val="auto"/>
        </w:rPr>
      </w:pPr>
      <w:r>
        <w:rPr>
          <w:rFonts w:ascii="Arial" w:cs="Arial" w:eastAsia="Arial" w:hAnsi="Arial"/>
          <w:sz w:val="13"/>
          <w:szCs w:val="13"/>
          <w:color w:val="auto"/>
        </w:rPr>
        <w:t>As part of our strategy in each product area, we will continue to leverage our end-to-end service capability to win business. Our Global Network Services organization is focused on developing new advanced services, enabling and improving service delivery globally, and managing a portfolio of services that creates value for our customers. Today, we design, deploy, manage, optimize and maintain the wireless networks of many of the largest telecom operators in the world. Our strategic intent is to expand our advanced services, combining our core IP backhaul expertise, for 4G/WiMAX and energy and security with service assurance and management tools.</w:t>
      </w:r>
    </w:p>
    <w:p>
      <w:pPr>
        <w:spacing w:after="0" w:line="63" w:lineRule="exact"/>
        <w:rPr>
          <w:sz w:val="20"/>
          <w:szCs w:val="20"/>
          <w:color w:val="auto"/>
        </w:rPr>
      </w:pPr>
    </w:p>
    <w:p>
      <w:pPr>
        <w:jc w:val="both"/>
        <w:ind w:left="680" w:right="20" w:firstLine="399"/>
        <w:spacing w:after="0" w:line="309" w:lineRule="auto"/>
        <w:rPr>
          <w:sz w:val="20"/>
          <w:szCs w:val="20"/>
          <w:color w:val="auto"/>
        </w:rPr>
      </w:pPr>
      <w:r>
        <w:rPr>
          <w:rFonts w:ascii="Arial" w:cs="Arial" w:eastAsia="Arial" w:hAnsi="Arial"/>
          <w:sz w:val="12"/>
          <w:szCs w:val="12"/>
          <w:color w:val="auto"/>
        </w:rPr>
        <w:t>In every case, we will continue to serve and expand upon our existing customer base. We have sold more than 500,000 microwave radios in over 150 countries and are present in over 260 mobile networks worldwide. We intend to leverage our customer base, our longstanding presence in many countries, our distribution channels, our comprehensive product line, our superior customer service and our turnkey solution capability to continue to sell existing and new products and services to current customers.</w:t>
      </w:r>
    </w:p>
    <w:p>
      <w:pPr>
        <w:spacing w:after="0" w:line="12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Solutions</w:t>
      </w:r>
    </w:p>
    <w:p>
      <w:pPr>
        <w:spacing w:after="0" w:line="104" w:lineRule="exact"/>
        <w:rPr>
          <w:sz w:val="20"/>
          <w:szCs w:val="20"/>
          <w:color w:val="auto"/>
        </w:rPr>
      </w:pPr>
    </w:p>
    <w:p>
      <w:pPr>
        <w:ind w:left="680" w:right="360" w:firstLine="399"/>
        <w:spacing w:after="0" w:line="276" w:lineRule="auto"/>
        <w:rPr>
          <w:sz w:val="20"/>
          <w:szCs w:val="20"/>
          <w:color w:val="auto"/>
        </w:rPr>
      </w:pPr>
      <w:r>
        <w:rPr>
          <w:rFonts w:ascii="Arial" w:cs="Arial" w:eastAsia="Arial" w:hAnsi="Arial"/>
          <w:sz w:val="13"/>
          <w:szCs w:val="13"/>
          <w:color w:val="auto"/>
        </w:rPr>
        <w:t>Our solutions are designed to meet the various regional, operational and licensing needs of our customers. We provide end-to-end turnkey broadband telecommunications systems, including complete design, deployment, maintenance and managed network services, while being an attentive and adaptive partner to our customers — a key competitive differentiator for Harris Stratex. Our solutions offer the following benefits:</w:t>
      </w:r>
    </w:p>
    <w:p>
      <w:pPr>
        <w:spacing w:after="0" w:line="59" w:lineRule="exact"/>
        <w:rPr>
          <w:sz w:val="20"/>
          <w:szCs w:val="20"/>
          <w:color w:val="auto"/>
        </w:rPr>
      </w:pPr>
    </w:p>
    <w:p>
      <w:pPr>
        <w:ind w:left="1300" w:right="220" w:hanging="208"/>
        <w:spacing w:after="0" w:line="267" w:lineRule="auto"/>
        <w:tabs>
          <w:tab w:leader="none" w:pos="1300" w:val="left"/>
        </w:tabs>
        <w:numPr>
          <w:ilvl w:val="0"/>
          <w:numId w:val="8"/>
        </w:numPr>
        <w:rPr>
          <w:rFonts w:ascii="Arial" w:cs="Arial" w:eastAsia="Arial" w:hAnsi="Arial"/>
          <w:sz w:val="13"/>
          <w:szCs w:val="13"/>
          <w:color w:val="auto"/>
        </w:rPr>
      </w:pPr>
      <w:r>
        <w:rPr>
          <w:rFonts w:ascii="Arial" w:cs="Arial" w:eastAsia="Arial" w:hAnsi="Arial"/>
          <w:sz w:val="13"/>
          <w:szCs w:val="13"/>
          <w:i w:val="1"/>
          <w:iCs w:val="1"/>
          <w:color w:val="auto"/>
        </w:rPr>
        <w:t xml:space="preserve">Broad product and solution portfolio. </w:t>
      </w:r>
      <w:r>
        <w:rPr>
          <w:rFonts w:ascii="Arial" w:cs="Arial" w:eastAsia="Arial" w:hAnsi="Arial"/>
          <w:sz w:val="13"/>
          <w:szCs w:val="13"/>
          <w:color w:val="auto"/>
        </w:rPr>
        <w:t>We offer a comprehensive suite of wireless systems for 4G/WiMAX broadband access and microwave backhaul applications. Our</w:t>
      </w:r>
      <w:r>
        <w:rPr>
          <w:rFonts w:ascii="Arial" w:cs="Arial" w:eastAsia="Arial" w:hAnsi="Arial"/>
          <w:sz w:val="13"/>
          <w:szCs w:val="13"/>
          <w:i w:val="1"/>
          <w:iCs w:val="1"/>
          <w:color w:val="auto"/>
        </w:rPr>
        <w:t xml:space="preserve"> </w:t>
      </w:r>
      <w:r>
        <w:rPr>
          <w:rFonts w:ascii="Arial" w:cs="Arial" w:eastAsia="Arial" w:hAnsi="Arial"/>
          <w:sz w:val="13"/>
          <w:szCs w:val="13"/>
          <w:color w:val="auto"/>
        </w:rPr>
        <w:t>solution consists of tailored offerings of our own wireless products and integrated ancillary equipment from Harris Stratex or other manufacturers, element and network management systems and professional services. These solutions address a wide range of transmission frequencies, ranging from 400 MHz to 40 GHz, and a wide range of transmission capacities, ranging up to 2.5 gigabits per second. The major product families included in these solutions are StarMAX, Eclipse, TRuepoint, Constellation, NetBoss and ProVision, which are described below.</w:t>
      </w:r>
    </w:p>
    <w:p>
      <w:pPr>
        <w:spacing w:after="0" w:line="55" w:lineRule="exact"/>
        <w:rPr>
          <w:rFonts w:ascii="Arial" w:cs="Arial" w:eastAsia="Arial" w:hAnsi="Arial"/>
          <w:sz w:val="13"/>
          <w:szCs w:val="13"/>
          <w:color w:val="auto"/>
        </w:rPr>
      </w:pPr>
    </w:p>
    <w:p>
      <w:pPr>
        <w:jc w:val="both"/>
        <w:ind w:left="1300" w:hanging="208"/>
        <w:spacing w:after="0" w:line="270" w:lineRule="auto"/>
        <w:tabs>
          <w:tab w:leader="none" w:pos="1300" w:val="left"/>
        </w:tabs>
        <w:numPr>
          <w:ilvl w:val="0"/>
          <w:numId w:val="8"/>
        </w:numPr>
        <w:rPr>
          <w:rFonts w:ascii="Arial" w:cs="Arial" w:eastAsia="Arial" w:hAnsi="Arial"/>
          <w:sz w:val="13"/>
          <w:szCs w:val="13"/>
          <w:color w:val="auto"/>
        </w:rPr>
      </w:pPr>
      <w:r>
        <w:rPr>
          <w:rFonts w:ascii="Arial" w:cs="Arial" w:eastAsia="Arial" w:hAnsi="Arial"/>
          <w:sz w:val="13"/>
          <w:szCs w:val="13"/>
          <w:i w:val="1"/>
          <w:iCs w:val="1"/>
          <w:color w:val="auto"/>
        </w:rPr>
        <w:t xml:space="preserve">Low total cost of ownership. </w:t>
      </w:r>
      <w:r>
        <w:rPr>
          <w:rFonts w:ascii="Arial" w:cs="Arial" w:eastAsia="Arial" w:hAnsi="Arial"/>
          <w:sz w:val="13"/>
          <w:szCs w:val="13"/>
          <w:color w:val="auto"/>
        </w:rPr>
        <w:t>Wireless-based solutions offer a relatively low total cost of ownership, including savings on the combined costs of initial acquisition, installation</w:t>
      </w:r>
      <w:r>
        <w:rPr>
          <w:rFonts w:ascii="Arial" w:cs="Arial" w:eastAsia="Arial" w:hAnsi="Arial"/>
          <w:sz w:val="13"/>
          <w:szCs w:val="13"/>
          <w:i w:val="1"/>
          <w:iCs w:val="1"/>
          <w:color w:val="auto"/>
        </w:rPr>
        <w:t xml:space="preserve"> </w:t>
      </w:r>
      <w:r>
        <w:rPr>
          <w:rFonts w:ascii="Arial" w:cs="Arial" w:eastAsia="Arial" w:hAnsi="Arial"/>
          <w:sz w:val="13"/>
          <w:szCs w:val="13"/>
          <w:color w:val="auto"/>
        </w:rPr>
        <w:t>and ongoing operation and maintenance. Multiple factors work to reduce cost of ownership. Our latest generation system designs reduce rack space requirements, require less power, are software-configurable to reduce spare parts requirements, and are simple to install, operate, upgrade and maintain. Our advanced wireless features can also enable operators to save on related costs, including spectrum fees and tower rental fees.</w:t>
      </w:r>
    </w:p>
    <w:p>
      <w:pPr>
        <w:spacing w:after="0" w:line="52" w:lineRule="exact"/>
        <w:rPr>
          <w:rFonts w:ascii="Arial" w:cs="Arial" w:eastAsia="Arial" w:hAnsi="Arial"/>
          <w:sz w:val="13"/>
          <w:szCs w:val="13"/>
          <w:color w:val="auto"/>
        </w:rPr>
      </w:pPr>
    </w:p>
    <w:p>
      <w:pPr>
        <w:ind w:left="1300" w:right="60" w:hanging="208"/>
        <w:spacing w:after="0" w:line="309" w:lineRule="auto"/>
        <w:tabs>
          <w:tab w:leader="none" w:pos="1300" w:val="left"/>
        </w:tabs>
        <w:numPr>
          <w:ilvl w:val="0"/>
          <w:numId w:val="8"/>
        </w:numPr>
        <w:rPr>
          <w:rFonts w:ascii="Arial" w:cs="Arial" w:eastAsia="Arial" w:hAnsi="Arial"/>
          <w:sz w:val="12"/>
          <w:szCs w:val="12"/>
          <w:color w:val="auto"/>
        </w:rPr>
      </w:pPr>
      <w:r>
        <w:rPr>
          <w:rFonts w:ascii="Arial" w:cs="Arial" w:eastAsia="Arial" w:hAnsi="Arial"/>
          <w:sz w:val="12"/>
          <w:szCs w:val="12"/>
          <w:i w:val="1"/>
          <w:iCs w:val="1"/>
          <w:color w:val="auto"/>
        </w:rPr>
        <w:t xml:space="preserve">Future-proof network. </w:t>
      </w:r>
      <w:r>
        <w:rPr>
          <w:rFonts w:ascii="Arial" w:cs="Arial" w:eastAsia="Arial" w:hAnsi="Arial"/>
          <w:sz w:val="12"/>
          <w:szCs w:val="12"/>
          <w:color w:val="auto"/>
        </w:rPr>
        <w:t>Our solutions are designed to future-proof the network operator’s investment, via software-configurable capacity upgrades and plug-in modules that</w:t>
      </w:r>
      <w:r>
        <w:rPr>
          <w:rFonts w:ascii="Arial" w:cs="Arial" w:eastAsia="Arial" w:hAnsi="Arial"/>
          <w:sz w:val="12"/>
          <w:szCs w:val="12"/>
          <w:i w:val="1"/>
          <w:iCs w:val="1"/>
          <w:color w:val="auto"/>
        </w:rPr>
        <w:t xml:space="preserve"> </w:t>
      </w:r>
      <w:r>
        <w:rPr>
          <w:rFonts w:ascii="Arial" w:cs="Arial" w:eastAsia="Arial" w:hAnsi="Arial"/>
          <w:sz w:val="12"/>
          <w:szCs w:val="12"/>
          <w:color w:val="auto"/>
        </w:rPr>
        <w:t>provide a smooth migration path to emerging technologies, such as carrier Ethernet and IP-based networking, without the need for costly equipment change-out. Our product roadmaps incorporate key technologies anticipated to be needed by operators for their network evolution to support new broadband services.</w:t>
      </w:r>
    </w:p>
    <w:p>
      <w:pPr>
        <w:spacing w:after="0" w:line="31" w:lineRule="exact"/>
        <w:rPr>
          <w:rFonts w:ascii="Arial" w:cs="Arial" w:eastAsia="Arial" w:hAnsi="Arial"/>
          <w:sz w:val="12"/>
          <w:szCs w:val="12"/>
          <w:color w:val="auto"/>
        </w:rPr>
      </w:pPr>
    </w:p>
    <w:p>
      <w:pPr>
        <w:jc w:val="both"/>
        <w:ind w:left="1300" w:right="160" w:hanging="208"/>
        <w:spacing w:after="0" w:line="309" w:lineRule="auto"/>
        <w:tabs>
          <w:tab w:leader="none" w:pos="1300" w:val="left"/>
        </w:tabs>
        <w:numPr>
          <w:ilvl w:val="0"/>
          <w:numId w:val="8"/>
        </w:numPr>
        <w:rPr>
          <w:rFonts w:ascii="Arial" w:cs="Arial" w:eastAsia="Arial" w:hAnsi="Arial"/>
          <w:sz w:val="12"/>
          <w:szCs w:val="12"/>
          <w:color w:val="auto"/>
        </w:rPr>
      </w:pPr>
      <w:r>
        <w:rPr>
          <w:rFonts w:ascii="Arial" w:cs="Arial" w:eastAsia="Arial" w:hAnsi="Arial"/>
          <w:sz w:val="12"/>
          <w:szCs w:val="12"/>
          <w:i w:val="1"/>
          <w:iCs w:val="1"/>
          <w:color w:val="auto"/>
        </w:rPr>
        <w:t xml:space="preserve">Flexible, easily configurable products. </w:t>
      </w:r>
      <w:r>
        <w:rPr>
          <w:rFonts w:ascii="Arial" w:cs="Arial" w:eastAsia="Arial" w:hAnsi="Arial"/>
          <w:sz w:val="12"/>
          <w:szCs w:val="12"/>
          <w:color w:val="auto"/>
        </w:rPr>
        <w:t>We use flexible architectures with a high level of software configurable features. This design approach produces high-performance</w:t>
      </w:r>
      <w:r>
        <w:rPr>
          <w:rFonts w:ascii="Arial" w:cs="Arial" w:eastAsia="Arial" w:hAnsi="Arial"/>
          <w:sz w:val="12"/>
          <w:szCs w:val="12"/>
          <w:i w:val="1"/>
          <w:iCs w:val="1"/>
          <w:color w:val="auto"/>
        </w:rPr>
        <w:t xml:space="preserve"> </w:t>
      </w:r>
      <w:r>
        <w:rPr>
          <w:rFonts w:ascii="Arial" w:cs="Arial" w:eastAsia="Arial" w:hAnsi="Arial"/>
          <w:sz w:val="12"/>
          <w:szCs w:val="12"/>
          <w:color w:val="auto"/>
        </w:rPr>
        <w:t>products with the maximum reuse of components while at the same time allowing for a manufacturing strategy with a high degree of flexibility, improved cost and reduced time to market. The software features of our products give our customers a greater degree of flexibility in installing, operating and maintaining their networks.</w:t>
      </w:r>
    </w:p>
    <w:p>
      <w:pPr>
        <w:spacing w:after="0" w:line="31" w:lineRule="exact"/>
        <w:rPr>
          <w:rFonts w:ascii="Arial" w:cs="Arial" w:eastAsia="Arial" w:hAnsi="Arial"/>
          <w:sz w:val="12"/>
          <w:szCs w:val="12"/>
          <w:color w:val="auto"/>
        </w:rPr>
      </w:pPr>
    </w:p>
    <w:p>
      <w:pPr>
        <w:ind w:left="1300" w:right="120" w:hanging="208"/>
        <w:spacing w:after="0" w:line="294" w:lineRule="auto"/>
        <w:tabs>
          <w:tab w:leader="none" w:pos="1300" w:val="left"/>
        </w:tabs>
        <w:numPr>
          <w:ilvl w:val="0"/>
          <w:numId w:val="8"/>
        </w:numPr>
        <w:rPr>
          <w:rFonts w:ascii="Arial" w:cs="Arial" w:eastAsia="Arial" w:hAnsi="Arial"/>
          <w:sz w:val="13"/>
          <w:szCs w:val="13"/>
          <w:color w:val="auto"/>
        </w:rPr>
      </w:pPr>
      <w:r>
        <w:rPr>
          <w:rFonts w:ascii="Arial" w:cs="Arial" w:eastAsia="Arial" w:hAnsi="Arial"/>
          <w:sz w:val="13"/>
          <w:szCs w:val="13"/>
          <w:i w:val="1"/>
          <w:iCs w:val="1"/>
          <w:color w:val="auto"/>
        </w:rPr>
        <w:t xml:space="preserve">Comprehensive network management. </w:t>
      </w:r>
      <w:r>
        <w:rPr>
          <w:rFonts w:ascii="Arial" w:cs="Arial" w:eastAsia="Arial" w:hAnsi="Arial"/>
          <w:sz w:val="13"/>
          <w:szCs w:val="13"/>
          <w:color w:val="auto"/>
        </w:rPr>
        <w:t>We offer a range of flexible network management solutions, from element management to enterprise-wide network management and</w:t>
      </w:r>
      <w:r>
        <w:rPr>
          <w:rFonts w:ascii="Arial" w:cs="Arial" w:eastAsia="Arial" w:hAnsi="Arial"/>
          <w:sz w:val="13"/>
          <w:szCs w:val="13"/>
          <w:i w:val="1"/>
          <w:iCs w:val="1"/>
          <w:color w:val="auto"/>
        </w:rPr>
        <w:t xml:space="preserve"> </w:t>
      </w:r>
      <w:r>
        <w:rPr>
          <w:rFonts w:ascii="Arial" w:cs="Arial" w:eastAsia="Arial" w:hAnsi="Arial"/>
          <w:sz w:val="13"/>
          <w:szCs w:val="13"/>
          <w:color w:val="auto"/>
        </w:rPr>
        <w:t>service assurance — all optimized to</w:t>
      </w:r>
    </w:p>
    <w:p>
      <w:pPr>
        <w:spacing w:after="0" w:line="258"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10" w:name="page11"/>
    <w:bookmarkEnd w:id="1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1300" w:right="120"/>
        <w:spacing w:after="0" w:line="294" w:lineRule="auto"/>
        <w:rPr>
          <w:sz w:val="20"/>
          <w:szCs w:val="20"/>
          <w:color w:val="auto"/>
        </w:rPr>
      </w:pPr>
      <w:r>
        <w:rPr>
          <w:rFonts w:ascii="Arial" w:cs="Arial" w:eastAsia="Arial" w:hAnsi="Arial"/>
          <w:sz w:val="13"/>
          <w:szCs w:val="13"/>
          <w:color w:val="auto"/>
        </w:rPr>
        <w:t>work with our wireless systems. We also offer NetBoss as a stand-alone solution for a wide range of communications and information networking environments in virtually any industry.</w:t>
      </w:r>
    </w:p>
    <w:p>
      <w:pPr>
        <w:spacing w:after="0" w:line="47" w:lineRule="exact"/>
        <w:rPr>
          <w:sz w:val="20"/>
          <w:szCs w:val="20"/>
          <w:color w:val="auto"/>
        </w:rPr>
      </w:pPr>
    </w:p>
    <w:p>
      <w:pPr>
        <w:jc w:val="both"/>
        <w:ind w:left="1300" w:right="600" w:hanging="208"/>
        <w:spacing w:after="0" w:line="276" w:lineRule="auto"/>
        <w:tabs>
          <w:tab w:leader="none" w:pos="1300" w:val="left"/>
        </w:tabs>
        <w:numPr>
          <w:ilvl w:val="0"/>
          <w:numId w:val="9"/>
        </w:numPr>
        <w:rPr>
          <w:rFonts w:ascii="Arial" w:cs="Arial" w:eastAsia="Arial" w:hAnsi="Arial"/>
          <w:sz w:val="13"/>
          <w:szCs w:val="13"/>
          <w:color w:val="auto"/>
        </w:rPr>
      </w:pPr>
      <w:r>
        <w:rPr>
          <w:rFonts w:ascii="Arial" w:cs="Arial" w:eastAsia="Arial" w:hAnsi="Arial"/>
          <w:sz w:val="13"/>
          <w:szCs w:val="13"/>
          <w:i w:val="1"/>
          <w:iCs w:val="1"/>
          <w:color w:val="auto"/>
        </w:rPr>
        <w:t xml:space="preserve">Complete professional services. </w:t>
      </w:r>
      <w:r>
        <w:rPr>
          <w:rFonts w:ascii="Arial" w:cs="Arial" w:eastAsia="Arial" w:hAnsi="Arial"/>
          <w:sz w:val="13"/>
          <w:szCs w:val="13"/>
          <w:color w:val="auto"/>
        </w:rPr>
        <w:t>In addition to our product offerings, we provide expert network planning and design, site surveys and builds, systems integration,</w:t>
      </w:r>
      <w:r>
        <w:rPr>
          <w:rFonts w:ascii="Arial" w:cs="Arial" w:eastAsia="Arial" w:hAnsi="Arial"/>
          <w:sz w:val="13"/>
          <w:szCs w:val="13"/>
          <w:i w:val="1"/>
          <w:iCs w:val="1"/>
          <w:color w:val="auto"/>
        </w:rPr>
        <w:t xml:space="preserve"> </w:t>
      </w:r>
      <w:r>
        <w:rPr>
          <w:rFonts w:ascii="Arial" w:cs="Arial" w:eastAsia="Arial" w:hAnsi="Arial"/>
          <w:sz w:val="13"/>
          <w:szCs w:val="13"/>
          <w:color w:val="auto"/>
        </w:rPr>
        <w:t>installation, maintenance, network monitoring, training, customer service and many other professional services. Our services cover the entire evaluation, purchase, deployment and operational cycle and enable us to be one of the few complete turnkey solution providers in the industry.</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Product Portfolio</w:t>
      </w:r>
    </w:p>
    <w:p>
      <w:pPr>
        <w:spacing w:after="0" w:line="104" w:lineRule="exact"/>
        <w:rPr>
          <w:sz w:val="20"/>
          <w:szCs w:val="20"/>
          <w:color w:val="auto"/>
        </w:rPr>
      </w:pPr>
    </w:p>
    <w:p>
      <w:pPr>
        <w:ind w:left="680" w:right="460" w:firstLine="399"/>
        <w:spacing w:after="0" w:line="309" w:lineRule="auto"/>
        <w:rPr>
          <w:sz w:val="20"/>
          <w:szCs w:val="20"/>
          <w:color w:val="auto"/>
        </w:rPr>
      </w:pPr>
      <w:r>
        <w:rPr>
          <w:rFonts w:ascii="Arial" w:cs="Arial" w:eastAsia="Arial" w:hAnsi="Arial"/>
          <w:sz w:val="12"/>
          <w:szCs w:val="12"/>
          <w:color w:val="auto"/>
        </w:rPr>
        <w:t>We offer a comprehensive product portfolio that addresses the needs of service providers and network operators in every region of the world, addressing a broad range of applications, frequencies, capacities and network topologies. Product categories include 4G/WiMAX (fixed and mobile) broadband access, licensed (subject to local frequency regulatory requirements) and license-exempt (operating in license-exempt frequencies) point-to-point microwave radios, element and network management software.</w:t>
      </w:r>
    </w:p>
    <w:p>
      <w:pPr>
        <w:spacing w:after="0" w:line="12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4G/WiMAX Broadband Wireless Access</w:t>
      </w:r>
    </w:p>
    <w:p>
      <w:pPr>
        <w:spacing w:after="0" w:line="102"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WiMAX is a 4G wireless access technology now being deployed for mobile and fixed broadband network applications throughout the world. WiMAX can be an ideal means to provide broadband services to communities and populations that are not currently served or well served by existing telecommunications networks, whether in developing economies, such as in Africa, or in rural areas of developed nations in Europe and North America.</w:t>
      </w:r>
    </w:p>
    <w:p>
      <w:pPr>
        <w:spacing w:after="0" w:line="59" w:lineRule="exact"/>
        <w:rPr>
          <w:sz w:val="20"/>
          <w:szCs w:val="20"/>
          <w:color w:val="auto"/>
        </w:rPr>
      </w:pPr>
    </w:p>
    <w:p>
      <w:pPr>
        <w:ind w:left="680" w:right="460" w:firstLine="399"/>
        <w:spacing w:after="0" w:line="338" w:lineRule="auto"/>
        <w:rPr>
          <w:sz w:val="20"/>
          <w:szCs w:val="20"/>
          <w:color w:val="auto"/>
        </w:rPr>
      </w:pPr>
      <w:r>
        <w:rPr>
          <w:rFonts w:ascii="Arial" w:cs="Arial" w:eastAsia="Arial" w:hAnsi="Arial"/>
          <w:sz w:val="12"/>
          <w:szCs w:val="12"/>
          <w:color w:val="auto"/>
        </w:rPr>
        <w:t>Our StarMAX platform is the result of the February 27, 2009 acquisition of Telsima Corporation by Harris Stratex Networks and includes an extensive portfolio of IEEE 802.16d-2004 and 16e-2005 compatible base stations, fixed and mobile subscriber devices, ASN gateway solutions, home agent and network management tools.</w:t>
      </w:r>
    </w:p>
    <w:p>
      <w:pPr>
        <w:spacing w:after="0" w:line="10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Licensed Point-to-Point Microwave Radios</w:t>
      </w:r>
    </w:p>
    <w:p>
      <w:pPr>
        <w:spacing w:after="0" w:line="102" w:lineRule="exact"/>
        <w:rPr>
          <w:sz w:val="20"/>
          <w:szCs w:val="20"/>
          <w:color w:val="auto"/>
        </w:rPr>
      </w:pPr>
    </w:p>
    <w:p>
      <w:pPr>
        <w:ind w:left="680" w:firstLine="399"/>
        <w:spacing w:after="0" w:line="299" w:lineRule="auto"/>
        <w:rPr>
          <w:sz w:val="20"/>
          <w:szCs w:val="20"/>
          <w:color w:val="auto"/>
        </w:rPr>
      </w:pPr>
      <w:r>
        <w:rPr>
          <w:rFonts w:ascii="Arial" w:cs="Arial" w:eastAsia="Arial" w:hAnsi="Arial"/>
          <w:sz w:val="12"/>
          <w:szCs w:val="12"/>
          <w:color w:val="auto"/>
        </w:rPr>
        <w:t>Over 50% of the world’s mobile network base stations are interconnected using licensed microwave technology. Microwave is also extensively used as a cost effective alternative to competing wireline transmission media, such as fiber, copper or coaxial cable, or in deployments where cables are just not practical, such as over mountainous or rough terrain or over water. Other network applications that make significant use of microwave for these reasons include public safety/homeland security, public land mobile radio (PMR/TETRA), utilities, local/state/federal government, IT/Enterprise, health and education authorities, transportation networks, broadcast, defense/military and other private networks applications.</w:t>
      </w:r>
    </w:p>
    <w:p>
      <w:pPr>
        <w:spacing w:after="0" w:line="48" w:lineRule="exact"/>
        <w:rPr>
          <w:sz w:val="20"/>
          <w:szCs w:val="20"/>
          <w:color w:val="auto"/>
        </w:rPr>
      </w:pPr>
    </w:p>
    <w:p>
      <w:pPr>
        <w:jc w:val="both"/>
        <w:ind w:left="680" w:right="80" w:firstLine="399"/>
        <w:spacing w:after="0" w:line="270" w:lineRule="auto"/>
        <w:rPr>
          <w:sz w:val="20"/>
          <w:szCs w:val="20"/>
          <w:color w:val="auto"/>
        </w:rPr>
      </w:pPr>
      <w:r>
        <w:rPr>
          <w:rFonts w:ascii="Arial" w:cs="Arial" w:eastAsia="Arial" w:hAnsi="Arial"/>
          <w:sz w:val="13"/>
          <w:szCs w:val="13"/>
          <w:color w:val="auto"/>
        </w:rPr>
        <w:t>Our principal product families of licensed point-to-point microwave radios include Eclipse, a platform for nodal wireless transmission systems, and TRuepoint 6500, a platform for ultra-high capacity trunking applications. An enhanced version of Eclipse, called Eclipse Packet Node, was introduced in 2009 to address the market for high speed IP transport and TDM to IP convergence features in support of the evolution of mobile backhaul networks. Constellation and TRuepoint 5000 continue to be significant product families used for North American high-capacity trunking and backhaul applications respectively.</w:t>
      </w:r>
    </w:p>
    <w:p>
      <w:pPr>
        <w:spacing w:after="0" w:line="14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Eclipse</w:t>
      </w:r>
    </w:p>
    <w:p>
      <w:pPr>
        <w:spacing w:after="0" w:line="102" w:lineRule="exact"/>
        <w:rPr>
          <w:sz w:val="20"/>
          <w:szCs w:val="20"/>
          <w:color w:val="auto"/>
        </w:rPr>
      </w:pPr>
    </w:p>
    <w:p>
      <w:pPr>
        <w:ind w:left="680" w:right="100" w:firstLine="399"/>
        <w:spacing w:after="0" w:line="270" w:lineRule="auto"/>
        <w:rPr>
          <w:sz w:val="20"/>
          <w:szCs w:val="20"/>
          <w:color w:val="auto"/>
        </w:rPr>
      </w:pPr>
      <w:r>
        <w:rPr>
          <w:rFonts w:ascii="Arial" w:cs="Arial" w:eastAsia="Arial" w:hAnsi="Arial"/>
          <w:sz w:val="13"/>
          <w:szCs w:val="13"/>
          <w:color w:val="auto"/>
        </w:rPr>
        <w:t>Eclipse combines wireless transmission functions with network processing node functions, including many functions that, for non-nodal products, would have to be purchased separately. Each Eclipse Intelligent Node Unit is a complete network node, able to support multiple radio paths. System functions include voice, data and video transport, node management, multiplexing, routing and cross-connection. Eclipse is designed to simplify complex networks and lower the total cost of ownership over the product life. We believe that these are significant innovations that address the needs of a broad range of customers.</w:t>
      </w:r>
    </w:p>
    <w:p>
      <w:pPr>
        <w:spacing w:after="0" w:line="63" w:lineRule="exact"/>
        <w:rPr>
          <w:sz w:val="20"/>
          <w:szCs w:val="20"/>
          <w:color w:val="auto"/>
        </w:rPr>
      </w:pPr>
    </w:p>
    <w:p>
      <w:pPr>
        <w:ind w:left="680" w:right="100" w:firstLine="399"/>
        <w:spacing w:after="0" w:line="338" w:lineRule="auto"/>
        <w:rPr>
          <w:sz w:val="20"/>
          <w:szCs w:val="20"/>
          <w:color w:val="auto"/>
        </w:rPr>
      </w:pPr>
      <w:r>
        <w:rPr>
          <w:rFonts w:ascii="Arial" w:cs="Arial" w:eastAsia="Arial" w:hAnsi="Arial"/>
          <w:sz w:val="12"/>
          <w:szCs w:val="12"/>
          <w:color w:val="auto"/>
        </w:rPr>
        <w:t>Our Eclipse Packet node product provides a complete convergence solution to an all IP-based network and enables a network migration and optimization strategy for operators, regardless of the mixed technology state of their access network, with the most comprehensive set of market-leading capabilities. Eclipse Packet Node supports</w:t>
      </w:r>
    </w:p>
    <w:p>
      <w:pPr>
        <w:spacing w:after="0" w:line="236"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9" w:right="1039" w:bottom="1440" w:gutter="0" w:footer="0" w:header="0"/>
        </w:sectPr>
      </w:pPr>
    </w:p>
    <w:bookmarkStart w:id="11" w:name="page12"/>
    <w:bookmarkEnd w:id="1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60"/>
        <w:spacing w:after="0" w:line="294" w:lineRule="auto"/>
        <w:rPr>
          <w:sz w:val="20"/>
          <w:szCs w:val="20"/>
          <w:color w:val="auto"/>
        </w:rPr>
      </w:pPr>
      <w:r>
        <w:rPr>
          <w:rFonts w:ascii="Arial" w:cs="Arial" w:eastAsia="Arial" w:hAnsi="Arial"/>
          <w:sz w:val="13"/>
          <w:szCs w:val="13"/>
          <w:color w:val="auto"/>
        </w:rPr>
        <w:t>market leading IP capacities of over 2 Gbit/s per radio path, along with TDM support both natively and using industry-standard Pseudowires. We introduced the new IRU600 all-indoor radio frequency unit in 2009, to meet the specific requirements of North American operators for an indoor mounted, high power architecture.</w:t>
      </w:r>
    </w:p>
    <w:p>
      <w:pPr>
        <w:spacing w:after="0" w:line="12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TRuepoint</w:t>
      </w:r>
    </w:p>
    <w:p>
      <w:pPr>
        <w:spacing w:after="0" w:line="102" w:lineRule="exact"/>
        <w:rPr>
          <w:sz w:val="20"/>
          <w:szCs w:val="20"/>
          <w:color w:val="auto"/>
        </w:rPr>
      </w:pPr>
    </w:p>
    <w:p>
      <w:pPr>
        <w:ind w:left="680" w:right="200" w:firstLine="399"/>
        <w:spacing w:after="0" w:line="299" w:lineRule="auto"/>
        <w:rPr>
          <w:sz w:val="20"/>
          <w:szCs w:val="20"/>
          <w:color w:val="auto"/>
        </w:rPr>
      </w:pPr>
      <w:r>
        <w:rPr>
          <w:rFonts w:ascii="Arial" w:cs="Arial" w:eastAsia="Arial" w:hAnsi="Arial"/>
          <w:sz w:val="12"/>
          <w:szCs w:val="12"/>
          <w:color w:val="auto"/>
        </w:rPr>
        <w:t>Our TRuepoint 5000 product family offers full plug-and-play, software-programmable microwave radio configuration. It delivers service from 4 to 180 megabits per second capacity at frequencies ranging from 6 to 38 GHz. TRuepoint is designed to meet the current needs of network operators, including mobile, private network, government and access service providers. The unique architecture of the core platform reduces both capital expenditures and life cycle costs, while meeting international and North American standards. The software-based architecture enables migration from traditional microwave access applications to higher-capacity transport interconnections.</w:t>
      </w:r>
    </w:p>
    <w:p>
      <w:pPr>
        <w:spacing w:after="0" w:line="48" w:lineRule="exact"/>
        <w:rPr>
          <w:sz w:val="20"/>
          <w:szCs w:val="20"/>
          <w:color w:val="auto"/>
        </w:rPr>
      </w:pPr>
    </w:p>
    <w:p>
      <w:pPr>
        <w:ind w:left="680" w:right="140" w:firstLine="399"/>
        <w:spacing w:after="0" w:line="270" w:lineRule="auto"/>
        <w:rPr>
          <w:sz w:val="20"/>
          <w:szCs w:val="20"/>
          <w:color w:val="auto"/>
        </w:rPr>
      </w:pPr>
      <w:r>
        <w:rPr>
          <w:rFonts w:ascii="Arial" w:cs="Arial" w:eastAsia="Arial" w:hAnsi="Arial"/>
          <w:sz w:val="13"/>
          <w:szCs w:val="13"/>
          <w:color w:val="auto"/>
        </w:rPr>
        <w:t>The TRuepoint 6500 family continues our tradition of high-performance, high-reliability wireless transport for national trunking networks. The TRuepoint 6500 provides very-high-capacity trunking and software-programmable features in an advanced compact architecture. TRuepoint reduces cost of deployment through smaller antenna requirements, increased transmission distance and fewer repeater sites. It also reduces operating costs through high reliability, efficient diagnostics and network management, reduced real estate requirements, low power consumption and reduced spare parts and training requirements.</w:t>
      </w:r>
    </w:p>
    <w:p>
      <w:pPr>
        <w:spacing w:after="0" w:line="14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Constellation</w:t>
      </w:r>
    </w:p>
    <w:p>
      <w:pPr>
        <w:spacing w:after="0" w:line="102" w:lineRule="exact"/>
        <w:rPr>
          <w:sz w:val="20"/>
          <w:szCs w:val="20"/>
          <w:color w:val="auto"/>
        </w:rPr>
      </w:pPr>
    </w:p>
    <w:p>
      <w:pPr>
        <w:jc w:val="both"/>
        <w:ind w:left="680" w:right="160" w:firstLine="399"/>
        <w:spacing w:after="0" w:line="234" w:lineRule="auto"/>
        <w:rPr>
          <w:sz w:val="20"/>
          <w:szCs w:val="20"/>
          <w:color w:val="auto"/>
        </w:rPr>
      </w:pPr>
      <w:r>
        <w:rPr>
          <w:rFonts w:ascii="Arial" w:cs="Arial" w:eastAsia="Arial" w:hAnsi="Arial"/>
          <w:sz w:val="13"/>
          <w:szCs w:val="13"/>
          <w:color w:val="auto"/>
        </w:rPr>
        <w:t xml:space="preserve">Our Constellation family of medium-to-high-capacity point-to-point digital radios operates in the 6, </w:t>
      </w:r>
      <w:r>
        <w:rPr>
          <w:rFonts w:ascii="Arial" w:cs="Arial" w:eastAsia="Arial" w:hAnsi="Arial"/>
          <w:sz w:val="18"/>
          <w:szCs w:val="18"/>
          <w:color w:val="auto"/>
          <w:vertAlign w:val="superscript"/>
        </w:rPr>
        <w:t>7</w:t>
      </w:r>
      <w:r>
        <w:rPr>
          <w:rFonts w:ascii="Arial" w:cs="Arial" w:eastAsia="Arial" w:hAnsi="Arial"/>
          <w:sz w:val="13"/>
          <w:szCs w:val="13"/>
          <w:color w:val="auto"/>
        </w:rPr>
        <w:t>/</w:t>
      </w:r>
      <w:r>
        <w:rPr>
          <w:rFonts w:ascii="Arial" w:cs="Arial" w:eastAsia="Arial" w:hAnsi="Arial"/>
          <w:sz w:val="9"/>
          <w:szCs w:val="9"/>
          <w:color w:val="auto"/>
        </w:rPr>
        <w:t>8</w:t>
      </w:r>
      <w:r>
        <w:rPr>
          <w:rFonts w:ascii="Arial" w:cs="Arial" w:eastAsia="Arial" w:hAnsi="Arial"/>
          <w:sz w:val="13"/>
          <w:szCs w:val="13"/>
          <w:color w:val="auto"/>
        </w:rPr>
        <w:t xml:space="preserve"> and </w:t>
      </w:r>
      <w:r>
        <w:rPr>
          <w:rFonts w:ascii="Arial" w:cs="Arial" w:eastAsia="Arial" w:hAnsi="Arial"/>
          <w:sz w:val="18"/>
          <w:szCs w:val="18"/>
          <w:color w:val="auto"/>
          <w:vertAlign w:val="superscript"/>
        </w:rPr>
        <w:t>10</w:t>
      </w:r>
      <w:r>
        <w:rPr>
          <w:rFonts w:ascii="Arial" w:cs="Arial" w:eastAsia="Arial" w:hAnsi="Arial"/>
          <w:sz w:val="13"/>
          <w:szCs w:val="13"/>
          <w:color w:val="auto"/>
        </w:rPr>
        <w:t>/</w:t>
      </w:r>
      <w:r>
        <w:rPr>
          <w:rFonts w:ascii="Arial" w:cs="Arial" w:eastAsia="Arial" w:hAnsi="Arial"/>
          <w:sz w:val="9"/>
          <w:szCs w:val="9"/>
          <w:color w:val="auto"/>
        </w:rPr>
        <w:t>11</w:t>
      </w:r>
      <w:r>
        <w:rPr>
          <w:rFonts w:ascii="Arial" w:cs="Arial" w:eastAsia="Arial" w:hAnsi="Arial"/>
          <w:sz w:val="13"/>
          <w:szCs w:val="13"/>
          <w:color w:val="auto"/>
        </w:rPr>
        <w:t xml:space="preserve"> GHz frequencies, which are designed for network applications and support both PDH and SONET for North American applications. Constellation radios are suited for wireless mobile carriers and private operators, including critical public safety networks.</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License-Exempt Point-to-Point Microwave Radios</w:t>
      </w:r>
    </w:p>
    <w:p>
      <w:pPr>
        <w:spacing w:after="0" w:line="102"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We offer license-exempt wireless interconnection for wireless access, cellular backhaul, Internet service, local and wide area networking and emergency response communications systems. These solutions enable network operators to deploy wireless transmission systems rapidly, reliably and cost-efficiently, while avoiding costly, time-consuming frequency coordination and licensing.</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Network Management</w:t>
      </w:r>
    </w:p>
    <w:p>
      <w:pPr>
        <w:spacing w:after="0" w:line="102" w:lineRule="exact"/>
        <w:rPr>
          <w:sz w:val="20"/>
          <w:szCs w:val="20"/>
          <w:color w:val="auto"/>
        </w:rPr>
      </w:pPr>
    </w:p>
    <w:p>
      <w:pPr>
        <w:ind w:left="680" w:right="20" w:firstLine="399"/>
        <w:spacing w:after="0" w:line="294" w:lineRule="auto"/>
        <w:rPr>
          <w:sz w:val="20"/>
          <w:szCs w:val="20"/>
          <w:color w:val="auto"/>
        </w:rPr>
      </w:pPr>
      <w:r>
        <w:rPr>
          <w:rFonts w:ascii="Arial" w:cs="Arial" w:eastAsia="Arial" w:hAnsi="Arial"/>
          <w:sz w:val="13"/>
          <w:szCs w:val="13"/>
          <w:color w:val="auto"/>
        </w:rPr>
        <w:t>Our major network management product families include NetBoss and ProVision. These product families offer a broad set of choices for all levels of network management, from enterprise-wide management and service assurance to element management.</w:t>
      </w:r>
    </w:p>
    <w:p>
      <w:pPr>
        <w:spacing w:after="0" w:line="12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NetBoss</w:t>
      </w:r>
    </w:p>
    <w:p>
      <w:pPr>
        <w:spacing w:after="0" w:line="102" w:lineRule="exact"/>
        <w:rPr>
          <w:sz w:val="20"/>
          <w:szCs w:val="20"/>
          <w:color w:val="auto"/>
        </w:rPr>
      </w:pPr>
    </w:p>
    <w:p>
      <w:pPr>
        <w:ind w:left="680" w:firstLine="399"/>
        <w:spacing w:after="0" w:line="338" w:lineRule="auto"/>
        <w:rPr>
          <w:sz w:val="20"/>
          <w:szCs w:val="20"/>
          <w:color w:val="auto"/>
        </w:rPr>
      </w:pPr>
      <w:r>
        <w:rPr>
          <w:rFonts w:ascii="Arial" w:cs="Arial" w:eastAsia="Arial" w:hAnsi="Arial"/>
          <w:sz w:val="12"/>
          <w:szCs w:val="12"/>
          <w:color w:val="auto"/>
        </w:rPr>
        <w:t>NetBoss is a family of network management and service assurance solutions for managing multi-vendor, multi-technology communications networks. It offers high performance, availability, scalability and flexibility and is designed to manage complex and demanding networks, including networks built on advanced next-generation technologies.</w:t>
      </w:r>
    </w:p>
    <w:p>
      <w:pPr>
        <w:spacing w:after="0" w:line="24" w:lineRule="exact"/>
        <w:rPr>
          <w:sz w:val="20"/>
          <w:szCs w:val="20"/>
          <w:color w:val="auto"/>
        </w:rPr>
      </w:pPr>
    </w:p>
    <w:p>
      <w:pPr>
        <w:ind w:left="680" w:right="140" w:firstLine="399"/>
        <w:spacing w:after="0" w:line="270" w:lineRule="auto"/>
        <w:rPr>
          <w:sz w:val="20"/>
          <w:szCs w:val="20"/>
          <w:color w:val="auto"/>
        </w:rPr>
      </w:pPr>
      <w:r>
        <w:rPr>
          <w:rFonts w:ascii="Arial" w:cs="Arial" w:eastAsia="Arial" w:hAnsi="Arial"/>
          <w:sz w:val="13"/>
          <w:szCs w:val="13"/>
          <w:color w:val="auto"/>
        </w:rPr>
        <w:t>NetBoss supports wireless and wireline networks of many types, offering fault management, performance management, service activation and assurance, billing mediation and OSS integration. As a modular, off-the-shelf product, it enables customers to implement management systems immediately or gradually, as their needs dictate. NetBoss also supports advanced element management. NetBoss products are optimized to work seamlessly with our digital microwave radios, such as the TRuepoint family, but also can be customized to manage products based on any network or computing technology.</w:t>
      </w:r>
    </w:p>
    <w:p>
      <w:pPr>
        <w:spacing w:after="0" w:line="27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9" w:right="1039" w:bottom="1440" w:gutter="0" w:footer="0" w:header="0"/>
        </w:sectPr>
      </w:pPr>
    </w:p>
    <w:bookmarkStart w:id="12" w:name="page13"/>
    <w:bookmarkEnd w:id="1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ProVision</w:t>
      </w:r>
    </w:p>
    <w:p>
      <w:pPr>
        <w:spacing w:after="0" w:line="102" w:lineRule="exact"/>
        <w:rPr>
          <w:sz w:val="20"/>
          <w:szCs w:val="20"/>
          <w:color w:val="auto"/>
        </w:rPr>
      </w:pPr>
    </w:p>
    <w:p>
      <w:pPr>
        <w:jc w:val="both"/>
        <w:ind w:left="680" w:right="20" w:firstLine="399"/>
        <w:spacing w:after="0" w:line="276" w:lineRule="auto"/>
        <w:rPr>
          <w:sz w:val="20"/>
          <w:szCs w:val="20"/>
          <w:color w:val="auto"/>
        </w:rPr>
      </w:pPr>
      <w:r>
        <w:rPr>
          <w:rFonts w:ascii="Arial" w:cs="Arial" w:eastAsia="Arial" w:hAnsi="Arial"/>
          <w:sz w:val="13"/>
          <w:szCs w:val="13"/>
          <w:color w:val="auto"/>
        </w:rPr>
        <w:t>The ProVision element manager is a centralized network monitoring and control system designed specifically to manage wireless transmission networks. ProVision is a platform-independent Java-based application, and can support small network systems as well as large networks in excess of 1,000 radio links. The ProVision management system is built on open standards, and seamlessly integrates into higher-level system management products through commonly available interfaces.</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Business Operations</w:t>
      </w:r>
    </w:p>
    <w:p>
      <w:pPr>
        <w:spacing w:after="0" w:line="10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Sales, Marketing and Service</w:t>
      </w:r>
    </w:p>
    <w:p>
      <w:pPr>
        <w:spacing w:after="0" w:line="102" w:lineRule="exact"/>
        <w:rPr>
          <w:sz w:val="20"/>
          <w:szCs w:val="20"/>
          <w:color w:val="auto"/>
        </w:rPr>
      </w:pPr>
    </w:p>
    <w:p>
      <w:pPr>
        <w:ind w:left="680" w:right="20" w:firstLine="399"/>
        <w:spacing w:after="0" w:line="265" w:lineRule="auto"/>
        <w:rPr>
          <w:sz w:val="20"/>
          <w:szCs w:val="20"/>
          <w:color w:val="auto"/>
        </w:rPr>
      </w:pPr>
      <w:r>
        <w:rPr>
          <w:rFonts w:ascii="Arial" w:cs="Arial" w:eastAsia="Arial" w:hAnsi="Arial"/>
          <w:sz w:val="13"/>
          <w:szCs w:val="13"/>
          <w:color w:val="auto"/>
        </w:rPr>
        <w:t>We believe that a direct and continuing relationship with service providers is a competitive advantage in attracting new customers and satisfying existing ones. As a result, we offer our products and services through our own direct sales, service and support organization, which allows us to closely monitor the needs of our customers. We have offices in Canada and the United States in North America; Mexico and Argentina in Central and South America; Croatia, France, Germany, Poland, Portugal and the United Kingdom in Europe; Kenya, Nigeria, Ivory Coast and South Africa in Africa; the United Arab Emirates in the Middle East; and Bangladesh, China, India, Indonesia, Malaysia, New Zealand, the Philippines, Singapore and Thailand in the Asia-Pacific region. Our local offices provide us with a better understanding of our customers’ needs and enable us to respond to local issues and unique local requirements.</w:t>
      </w:r>
    </w:p>
    <w:p>
      <w:pPr>
        <w:spacing w:after="0" w:line="68" w:lineRule="exact"/>
        <w:rPr>
          <w:sz w:val="20"/>
          <w:szCs w:val="20"/>
          <w:color w:val="auto"/>
        </w:rPr>
      </w:pPr>
    </w:p>
    <w:p>
      <w:pPr>
        <w:ind w:left="680" w:firstLine="399"/>
        <w:spacing w:after="0" w:line="309" w:lineRule="auto"/>
        <w:rPr>
          <w:sz w:val="20"/>
          <w:szCs w:val="20"/>
          <w:color w:val="auto"/>
        </w:rPr>
      </w:pPr>
      <w:r>
        <w:rPr>
          <w:rFonts w:ascii="Arial" w:cs="Arial" w:eastAsia="Arial" w:hAnsi="Arial"/>
          <w:sz w:val="12"/>
          <w:szCs w:val="12"/>
          <w:color w:val="auto"/>
        </w:rPr>
        <w:t>We also have informal, and in some cases formal, relationships with Original Equipment Manufacturers (“OEMs”) base station suppliers. Such relationships increase our ability to pursue a limited number of major contract awards each year. In addition, such relationships provide our customers with easier access to financing and integrated system providers with a variety of equipment and service capabilities. In selected countries, we also market our products through independent agents and distributors, as well as through system integrators.</w:t>
      </w:r>
    </w:p>
    <w:p>
      <w:pPr>
        <w:spacing w:after="0" w:line="41" w:lineRule="exact"/>
        <w:rPr>
          <w:sz w:val="20"/>
          <w:szCs w:val="20"/>
          <w:color w:val="auto"/>
        </w:rPr>
      </w:pPr>
    </w:p>
    <w:p>
      <w:pPr>
        <w:ind w:left="680" w:right="200" w:firstLine="399"/>
        <w:spacing w:after="0" w:line="267" w:lineRule="auto"/>
        <w:rPr>
          <w:sz w:val="20"/>
          <w:szCs w:val="20"/>
          <w:color w:val="auto"/>
        </w:rPr>
      </w:pPr>
      <w:r>
        <w:rPr>
          <w:rFonts w:ascii="Arial" w:cs="Arial" w:eastAsia="Arial" w:hAnsi="Arial"/>
          <w:sz w:val="13"/>
          <w:szCs w:val="13"/>
          <w:color w:val="auto"/>
        </w:rPr>
        <w:t>Our sales personnel are highly trained to provide customers with assistance in selecting and configuring a digital microwave transmission system suitable for a customer’s particular needs. We have repair and service centers in India, New Zealand, the Philippines, the United Kingdom and the United States. Our international headquarters in Singapore provides sales and customer support for the Asia-Pacific region from this facility. We have customer service and support personnel who provide customers with training, installation, technical support, maintenance and other services on systems under contract. We install and maintain customer equipment directly in some cases and contract with third-party service providers in other cases, depending on the equipment being installed and customer requirements.</w:t>
      </w:r>
    </w:p>
    <w:p>
      <w:pPr>
        <w:spacing w:after="0" w:line="65" w:lineRule="exact"/>
        <w:rPr>
          <w:sz w:val="20"/>
          <w:szCs w:val="20"/>
          <w:color w:val="auto"/>
        </w:rPr>
      </w:pPr>
    </w:p>
    <w:p>
      <w:pPr>
        <w:jc w:val="both"/>
        <w:ind w:left="680" w:right="240" w:firstLine="399"/>
        <w:spacing w:after="0" w:line="338" w:lineRule="auto"/>
        <w:rPr>
          <w:sz w:val="20"/>
          <w:szCs w:val="20"/>
          <w:color w:val="auto"/>
        </w:rPr>
      </w:pPr>
      <w:r>
        <w:rPr>
          <w:rFonts w:ascii="Arial" w:cs="Arial" w:eastAsia="Arial" w:hAnsi="Arial"/>
          <w:sz w:val="12"/>
          <w:szCs w:val="12"/>
          <w:color w:val="auto"/>
        </w:rPr>
        <w:t>On product sales we provide for future warranty costs upon product delivery. The specific terms and conditions of those warranties vary depending upon the product sold and country in which we do business. In the case of products sold by us, our warranties generally start from the delivery date and continue for two to three years, depending on the terms.</w:t>
      </w:r>
    </w:p>
    <w:p>
      <w:pPr>
        <w:spacing w:after="0" w:line="10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Manufacturing</w:t>
      </w:r>
    </w:p>
    <w:p>
      <w:pPr>
        <w:spacing w:after="0" w:line="102" w:lineRule="exact"/>
        <w:rPr>
          <w:sz w:val="20"/>
          <w:szCs w:val="20"/>
          <w:color w:val="auto"/>
        </w:rPr>
      </w:pPr>
    </w:p>
    <w:p>
      <w:pPr>
        <w:jc w:val="both"/>
        <w:ind w:left="680" w:right="20" w:firstLine="399"/>
        <w:spacing w:after="0" w:line="276" w:lineRule="auto"/>
        <w:rPr>
          <w:sz w:val="20"/>
          <w:szCs w:val="20"/>
          <w:color w:val="auto"/>
        </w:rPr>
      </w:pPr>
      <w:r>
        <w:rPr>
          <w:rFonts w:ascii="Arial" w:cs="Arial" w:eastAsia="Arial" w:hAnsi="Arial"/>
          <w:sz w:val="13"/>
          <w:szCs w:val="13"/>
          <w:color w:val="auto"/>
        </w:rPr>
        <w:t>Our overall manufacturing approach has involved a combination of in-house and outsourced processes. In general, printed circuit assemblies, mechanical housings, and packaged modules are manufactured by strategically selected contract manufacturing partners, with periodic business reviews of material levels and obsolescence. Product assembly, product test, complete system integration and system test may either be performed within our own facilities or at partner locations.</w:t>
      </w:r>
    </w:p>
    <w:p>
      <w:pPr>
        <w:spacing w:after="0" w:line="59" w:lineRule="exact"/>
        <w:rPr>
          <w:sz w:val="20"/>
          <w:szCs w:val="20"/>
          <w:color w:val="auto"/>
        </w:rPr>
      </w:pPr>
    </w:p>
    <w:p>
      <w:pPr>
        <w:jc w:val="both"/>
        <w:ind w:left="680" w:right="120" w:firstLine="399"/>
        <w:spacing w:after="0" w:line="276" w:lineRule="auto"/>
        <w:rPr>
          <w:sz w:val="20"/>
          <w:szCs w:val="20"/>
          <w:color w:val="auto"/>
        </w:rPr>
      </w:pPr>
      <w:r>
        <w:rPr>
          <w:rFonts w:ascii="Arial" w:cs="Arial" w:eastAsia="Arial" w:hAnsi="Arial"/>
          <w:sz w:val="13"/>
          <w:szCs w:val="13"/>
          <w:color w:val="auto"/>
        </w:rPr>
        <w:t>In accordance with our global logistics requirements and customer geographic distribution we are engaged with contract manufacturing partners in Asia, Europe and the United States. All manufacturing operations have been certified to International Standards Organization (“ISO”) 9001, a recognized international quality standard. We have also been certified to the TL 9000 standard, a telecommunication industry-specific quality system standard.</w:t>
      </w:r>
    </w:p>
    <w:p>
      <w:pPr>
        <w:spacing w:after="0" w:line="270"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13" w:name="page14"/>
    <w:bookmarkEnd w:id="1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Backlog</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backlog by business segment is as follows: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8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gridSpan w:val="2"/>
          </w:tcPr>
          <w:p>
            <w:pPr>
              <w:ind w:left="20"/>
              <w:spacing w:after="0"/>
              <w:rPr>
                <w:sz w:val="20"/>
                <w:szCs w:val="20"/>
                <w:color w:val="auto"/>
              </w:rPr>
            </w:pPr>
            <w:r>
              <w:rPr>
                <w:rFonts w:ascii="Arial" w:cs="Arial" w:eastAsia="Arial" w:hAnsi="Arial"/>
                <w:sz w:val="11"/>
                <w:szCs w:val="11"/>
                <w:b w:val="1"/>
                <w:bCs w:val="1"/>
                <w:color w:val="auto"/>
              </w:rPr>
              <w:t>July 3,</w:t>
            </w: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August 22,</w:t>
            </w:r>
          </w:p>
        </w:tc>
      </w:tr>
      <w:tr>
        <w:trPr>
          <w:trHeight w:val="128"/>
        </w:trPr>
        <w:tc>
          <w:tcPr>
            <w:tcW w:w="8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ind w:right="77"/>
              <w:spacing w:after="0"/>
              <w:rPr>
                <w:sz w:val="20"/>
                <w:szCs w:val="20"/>
                <w:color w:val="auto"/>
              </w:rPr>
            </w:pPr>
            <w:r>
              <w:rPr>
                <w:rFonts w:ascii="Arial" w:cs="Arial" w:eastAsia="Arial" w:hAnsi="Arial"/>
                <w:sz w:val="11"/>
                <w:szCs w:val="11"/>
                <w:b w:val="1"/>
                <w:bCs w:val="1"/>
                <w:color w:val="auto"/>
              </w:rPr>
              <w:t>2009</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77"/>
              <w:spacing w:after="0"/>
              <w:rPr>
                <w:sz w:val="20"/>
                <w:szCs w:val="20"/>
                <w:color w:val="auto"/>
              </w:rPr>
            </w:pPr>
            <w:r>
              <w:rPr>
                <w:rFonts w:ascii="Arial" w:cs="Arial" w:eastAsia="Arial" w:hAnsi="Arial"/>
                <w:sz w:val="11"/>
                <w:szCs w:val="11"/>
                <w:b w:val="1"/>
                <w:bCs w:val="1"/>
                <w:color w:val="auto"/>
              </w:rPr>
              <w:t>2008</w:t>
            </w:r>
          </w:p>
        </w:tc>
        <w:tc>
          <w:tcPr>
            <w:tcW w:w="80" w:type="dxa"/>
            <w:vAlign w:val="bottom"/>
          </w:tcPr>
          <w:p>
            <w:pPr>
              <w:spacing w:after="0"/>
              <w:rPr>
                <w:sz w:val="11"/>
                <w:szCs w:val="11"/>
                <w:color w:val="auto"/>
              </w:rPr>
            </w:pPr>
          </w:p>
        </w:tc>
      </w:tr>
      <w:tr>
        <w:trPr>
          <w:trHeight w:val="136"/>
        </w:trPr>
        <w:tc>
          <w:tcPr>
            <w:tcW w:w="8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gridSpan w:val="3"/>
          </w:tcPr>
          <w:p>
            <w:pPr>
              <w:jc w:val="right"/>
              <w:ind w:right="457"/>
              <w:spacing w:after="0"/>
              <w:rPr>
                <w:sz w:val="20"/>
                <w:szCs w:val="20"/>
                <w:color w:val="auto"/>
              </w:rPr>
            </w:pPr>
            <w:r>
              <w:rPr>
                <w:rFonts w:ascii="Arial" w:cs="Arial" w:eastAsia="Arial" w:hAnsi="Arial"/>
                <w:sz w:val="11"/>
                <w:szCs w:val="11"/>
                <w:b w:val="1"/>
                <w:bCs w:val="1"/>
                <w:color w:val="auto"/>
                <w:w w:val="87"/>
              </w:rPr>
              <w:t>(In millions)</w:t>
            </w:r>
          </w:p>
        </w:tc>
        <w:tc>
          <w:tcPr>
            <w:tcW w:w="80" w:type="dxa"/>
            <w:vAlign w:val="bottom"/>
          </w:tcPr>
          <w:p>
            <w:pPr>
              <w:spacing w:after="0"/>
              <w:rPr>
                <w:sz w:val="11"/>
                <w:szCs w:val="11"/>
                <w:color w:val="auto"/>
              </w:rPr>
            </w:pPr>
          </w:p>
        </w:tc>
      </w:tr>
      <w:tr>
        <w:trPr>
          <w:trHeight w:val="167"/>
        </w:trPr>
        <w:tc>
          <w:tcPr>
            <w:tcW w:w="8280" w:type="dxa"/>
            <w:vAlign w:val="bottom"/>
            <w:shd w:val="clear" w:color="auto" w:fill="CCEEFF"/>
          </w:tcPr>
          <w:p>
            <w:pPr>
              <w:spacing w:after="0"/>
              <w:rPr>
                <w:sz w:val="20"/>
                <w:szCs w:val="20"/>
                <w:color w:val="auto"/>
              </w:rPr>
            </w:pPr>
            <w:r>
              <w:rPr>
                <w:rFonts w:ascii="Arial" w:cs="Arial" w:eastAsia="Arial" w:hAnsi="Arial"/>
                <w:sz w:val="13"/>
                <w:szCs w:val="13"/>
                <w:color w:val="auto"/>
              </w:rPr>
              <w:t>North America Microwave</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84.0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101.1</w:t>
            </w:r>
          </w:p>
        </w:tc>
      </w:tr>
      <w:tr>
        <w:trPr>
          <w:trHeight w:val="161"/>
        </w:trPr>
        <w:tc>
          <w:tcPr>
            <w:tcW w:w="8280" w:type="dxa"/>
            <w:vAlign w:val="bottom"/>
          </w:tcPr>
          <w:p>
            <w:pPr>
              <w:spacing w:after="0"/>
              <w:rPr>
                <w:sz w:val="20"/>
                <w:szCs w:val="20"/>
                <w:color w:val="auto"/>
              </w:rPr>
            </w:pPr>
            <w:r>
              <w:rPr>
                <w:rFonts w:ascii="Arial" w:cs="Arial" w:eastAsia="Arial" w:hAnsi="Arial"/>
                <w:sz w:val="13"/>
                <w:szCs w:val="13"/>
                <w:color w:val="auto"/>
              </w:rPr>
              <w:t>International Microwave</w:t>
            </w:r>
          </w:p>
        </w:tc>
        <w:tc>
          <w:tcPr>
            <w:tcW w:w="100" w:type="dxa"/>
            <w:vAlign w:val="bottom"/>
          </w:tcPr>
          <w:p>
            <w:pPr>
              <w:spacing w:after="0"/>
              <w:rPr>
                <w:sz w:val="14"/>
                <w:szCs w:val="14"/>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3"/>
                <w:szCs w:val="13"/>
                <w:color w:val="auto"/>
              </w:rPr>
              <w:t>119.1</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250.9</w:t>
            </w:r>
          </w:p>
        </w:tc>
      </w:tr>
      <w:tr>
        <w:trPr>
          <w:trHeight w:val="161"/>
        </w:trPr>
        <w:tc>
          <w:tcPr>
            <w:tcW w:w="8280" w:type="dxa"/>
            <w:vAlign w:val="bottom"/>
            <w:shd w:val="clear" w:color="auto" w:fill="CCEEFF"/>
          </w:tcPr>
          <w:p>
            <w:pPr>
              <w:spacing w:after="0"/>
              <w:rPr>
                <w:sz w:val="20"/>
                <w:szCs w:val="20"/>
                <w:color w:val="auto"/>
              </w:rPr>
            </w:pPr>
            <w:r>
              <w:rPr>
                <w:rFonts w:ascii="Arial" w:cs="Arial" w:eastAsia="Arial" w:hAnsi="Arial"/>
                <w:sz w:val="13"/>
                <w:szCs w:val="13"/>
                <w:color w:val="auto"/>
              </w:rPr>
              <w:t>Network Operations</w:t>
            </w:r>
          </w:p>
        </w:tc>
        <w:tc>
          <w:tcPr>
            <w:tcW w:w="10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7.8</w:t>
            </w: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11.9</w:t>
            </w:r>
          </w:p>
        </w:tc>
      </w:tr>
      <w:tr>
        <w:trPr>
          <w:trHeight w:val="161"/>
        </w:trPr>
        <w:tc>
          <w:tcPr>
            <w:tcW w:w="82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210.9</w:t>
            </w:r>
          </w:p>
        </w:tc>
        <w:tc>
          <w:tcPr>
            <w:tcW w:w="2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363.9</w:t>
            </w:r>
          </w:p>
        </w:tc>
        <w:tc>
          <w:tcPr>
            <w:tcW w:w="80" w:type="dxa"/>
            <w:vAlign w:val="bottom"/>
          </w:tcPr>
          <w:p>
            <w:pPr>
              <w:spacing w:after="0"/>
              <w:rPr>
                <w:sz w:val="14"/>
                <w:szCs w:val="14"/>
                <w:color w:val="auto"/>
              </w:rPr>
            </w:pPr>
          </w:p>
        </w:tc>
      </w:tr>
      <w:tr>
        <w:trPr>
          <w:trHeight w:val="20"/>
        </w:trPr>
        <w:tc>
          <w:tcPr>
            <w:tcW w:w="8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820" w:firstLine="399"/>
        <w:spacing w:after="0" w:line="299" w:lineRule="auto"/>
        <w:rPr>
          <w:sz w:val="20"/>
          <w:szCs w:val="20"/>
          <w:color w:val="auto"/>
        </w:rPr>
      </w:pPr>
      <w:r>
        <w:rPr>
          <w:rFonts w:ascii="Arial" w:cs="Arial" w:eastAsia="Arial" w:hAnsi="Arial"/>
          <w:sz w:val="12"/>
          <w:szCs w:val="12"/>
          <w:color w:val="auto"/>
        </w:rPr>
        <w:t>Substantially this entire backlog is expected to be filled during fiscal 2010, but we can give no assurance of such fulfillment. Product orders in our current backlog are subject to changes in delivery schedules or to cancellation at the option of the purchaser without significant penalty. Accordingly, although useful for scheduling production, backlog as of any particular date may not be a reliable measure of sales for any future period because of the timing of orders, delivery intervals, customer and product mix and the possibility of changes in delivery schedules and additions or cancellations of orders. As of July 3, 2009, backlog with one major customer accounts for approximately 23% of total backlog.</w:t>
      </w:r>
    </w:p>
    <w:p>
      <w:pPr>
        <w:spacing w:after="0" w:line="12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Customers</w:t>
      </w:r>
    </w:p>
    <w:p>
      <w:pPr>
        <w:spacing w:after="0" w:line="102" w:lineRule="exact"/>
        <w:rPr>
          <w:sz w:val="20"/>
          <w:szCs w:val="20"/>
          <w:color w:val="auto"/>
        </w:rPr>
      </w:pPr>
    </w:p>
    <w:p>
      <w:pPr>
        <w:ind w:left="680" w:right="1100" w:firstLine="399"/>
        <w:spacing w:after="0" w:line="338" w:lineRule="auto"/>
        <w:rPr>
          <w:sz w:val="20"/>
          <w:szCs w:val="20"/>
          <w:color w:val="auto"/>
        </w:rPr>
      </w:pPr>
      <w:r>
        <w:rPr>
          <w:rFonts w:ascii="Arial" w:cs="Arial" w:eastAsia="Arial" w:hAnsi="Arial"/>
          <w:sz w:val="12"/>
          <w:szCs w:val="12"/>
          <w:color w:val="auto"/>
        </w:rPr>
        <w:t>Principal customers for our products and services include domestic and international wireless/mobile service providers, original equipment manufacturers, as well as private network users such as public safety agencies, government institutions, and utility, pipeline, railroad and other industrial enterprises that operate wireless networks.</w:t>
      </w:r>
    </w:p>
    <w:p>
      <w:pPr>
        <w:spacing w:after="0" w:line="24" w:lineRule="exact"/>
        <w:rPr>
          <w:sz w:val="20"/>
          <w:szCs w:val="20"/>
          <w:color w:val="auto"/>
        </w:rPr>
      </w:pPr>
    </w:p>
    <w:p>
      <w:pPr>
        <w:ind w:left="680" w:right="840" w:firstLine="399"/>
        <w:spacing w:after="0" w:line="276" w:lineRule="auto"/>
        <w:rPr>
          <w:sz w:val="20"/>
          <w:szCs w:val="20"/>
          <w:color w:val="auto"/>
        </w:rPr>
      </w:pPr>
      <w:r>
        <w:rPr>
          <w:rFonts w:ascii="Arial" w:cs="Arial" w:eastAsia="Arial" w:hAnsi="Arial"/>
          <w:sz w:val="13"/>
          <w:szCs w:val="13"/>
          <w:color w:val="auto"/>
        </w:rPr>
        <w:t>During fiscal 2009 and 2008, we had one International Microwave segment customer in Africa (Mobile Telephone Networks or MTN) that accounted for 17% and 13% of our total revenue. MTN is an affiliated group of separate regional carriers and operators located on the continent of Africa. As of July 3, 2009, MTN as a whole accounted for approximately 6% of our accounts receivable. In fiscal 2007, no customers accounted for more than 10% of our total revenue.</w:t>
      </w:r>
    </w:p>
    <w:p>
      <w:pPr>
        <w:spacing w:after="0" w:line="59" w:lineRule="exact"/>
        <w:rPr>
          <w:sz w:val="20"/>
          <w:szCs w:val="20"/>
          <w:color w:val="auto"/>
        </w:rPr>
      </w:pPr>
    </w:p>
    <w:p>
      <w:pPr>
        <w:ind w:left="680" w:right="820" w:firstLine="399"/>
        <w:spacing w:after="0" w:line="276" w:lineRule="auto"/>
        <w:rPr>
          <w:sz w:val="20"/>
          <w:szCs w:val="20"/>
          <w:color w:val="auto"/>
        </w:rPr>
      </w:pPr>
      <w:r>
        <w:rPr>
          <w:rFonts w:ascii="Arial" w:cs="Arial" w:eastAsia="Arial" w:hAnsi="Arial"/>
          <w:sz w:val="13"/>
          <w:szCs w:val="13"/>
          <w:color w:val="auto"/>
        </w:rPr>
        <w:t>Although we have a large customer base, during any given fiscal year or quarter, a small number of customers may account for a significant portion of our revenue. In certain circumstances, we sell our products to service providers through OEMs, which provide the service providers with access to financing and in some instances, protection from fluctuations in international currency exchange rates.</w:t>
      </w:r>
    </w:p>
    <w:p>
      <w:pPr>
        <w:spacing w:after="0" w:line="59" w:lineRule="exact"/>
        <w:rPr>
          <w:sz w:val="20"/>
          <w:szCs w:val="20"/>
          <w:color w:val="auto"/>
        </w:rPr>
      </w:pPr>
    </w:p>
    <w:p>
      <w:pPr>
        <w:ind w:left="680" w:right="980" w:firstLine="399"/>
        <w:spacing w:after="0" w:line="276" w:lineRule="auto"/>
        <w:rPr>
          <w:sz w:val="20"/>
          <w:szCs w:val="20"/>
          <w:color w:val="auto"/>
        </w:rPr>
      </w:pPr>
      <w:r>
        <w:rPr>
          <w:rFonts w:ascii="Arial" w:cs="Arial" w:eastAsia="Arial" w:hAnsi="Arial"/>
          <w:sz w:val="13"/>
          <w:szCs w:val="13"/>
          <w:color w:val="auto"/>
        </w:rPr>
        <w:t>In general, our North American products and services are sold directly to customers through direct sales organizations and through established distribution channels. Internationally, we market and sell products and services through regional sales offices and established distribution channels. We also sell our products to agents, distributors and base station suppliers, who provide and install integrated systems to service providers.</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International Business</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tables present measures of our revenue in international markets as a percentage of total revenue and international revenue:</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80" w:type="dxa"/>
            <w:vAlign w:val="bottom"/>
          </w:tcPr>
          <w:p>
            <w:pPr>
              <w:spacing w:after="0"/>
              <w:rPr>
                <w:sz w:val="10"/>
                <w:szCs w:val="10"/>
                <w:color w:val="auto"/>
              </w:rPr>
            </w:pPr>
          </w:p>
        </w:tc>
        <w:tc>
          <w:tcPr>
            <w:tcW w:w="5200" w:type="dxa"/>
            <w:vAlign w:val="bottom"/>
          </w:tcPr>
          <w:p>
            <w:pPr>
              <w:spacing w:after="0"/>
              <w:rPr>
                <w:sz w:val="10"/>
                <w:szCs w:val="10"/>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7"/>
              </w:rPr>
              <w:t>Percentage</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680" w:type="dxa"/>
            <w:vAlign w:val="bottom"/>
          </w:tcPr>
          <w:p>
            <w:pPr>
              <w:spacing w:after="0"/>
              <w:rPr>
                <w:sz w:val="10"/>
                <w:szCs w:val="10"/>
                <w:color w:val="auto"/>
              </w:rPr>
            </w:pPr>
          </w:p>
        </w:tc>
        <w:tc>
          <w:tcPr>
            <w:tcW w:w="39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Description</w:t>
            </w:r>
          </w:p>
        </w:tc>
        <w:tc>
          <w:tcPr>
            <w:tcW w:w="5200" w:type="dxa"/>
            <w:vAlign w:val="bottom"/>
          </w:tcPr>
          <w:p>
            <w:pPr>
              <w:spacing w:after="0"/>
              <w:rPr>
                <w:sz w:val="10"/>
                <w:szCs w:val="10"/>
                <w:color w:val="auto"/>
              </w:rPr>
            </w:pPr>
          </w:p>
        </w:tc>
        <w:tc>
          <w:tcPr>
            <w:tcW w:w="800" w:type="dxa"/>
            <w:vAlign w:val="bottom"/>
            <w:gridSpan w:val="2"/>
          </w:tcPr>
          <w:p>
            <w:pPr>
              <w:jc w:val="center"/>
              <w:ind w:right="120"/>
              <w:spacing w:after="0" w:line="121" w:lineRule="exact"/>
              <w:rPr>
                <w:sz w:val="20"/>
                <w:szCs w:val="20"/>
                <w:color w:val="auto"/>
              </w:rPr>
            </w:pPr>
            <w:r>
              <w:rPr>
                <w:rFonts w:ascii="Arial" w:cs="Arial" w:eastAsia="Arial" w:hAnsi="Arial"/>
                <w:sz w:val="11"/>
                <w:szCs w:val="11"/>
                <w:b w:val="1"/>
                <w:bCs w:val="1"/>
                <w:color w:val="auto"/>
                <w:w w:val="90"/>
              </w:rPr>
              <w:t>of Total</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3980" w:type="dxa"/>
            <w:vAlign w:val="bottom"/>
            <w:gridSpan w:val="2"/>
            <w:vMerge w:val="continue"/>
          </w:tcPr>
          <w:p>
            <w:pPr>
              <w:spacing w:after="0"/>
              <w:rPr>
                <w:sz w:val="11"/>
                <w:szCs w:val="11"/>
                <w:color w:val="auto"/>
              </w:rPr>
            </w:pPr>
          </w:p>
        </w:tc>
        <w:tc>
          <w:tcPr>
            <w:tcW w:w="5200" w:type="dxa"/>
            <w:vAlign w:val="bottom"/>
          </w:tcPr>
          <w:p>
            <w:pPr>
              <w:spacing w:after="0"/>
              <w:rPr>
                <w:sz w:val="11"/>
                <w:szCs w:val="11"/>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7"/>
              </w:rPr>
              <w:t>Revenue</w:t>
            </w: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
        </w:trPr>
        <w:tc>
          <w:tcPr>
            <w:tcW w:w="6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880" w:type="dxa"/>
            <w:vAlign w:val="bottom"/>
          </w:tcPr>
          <w:p>
            <w:pPr>
              <w:spacing w:after="0"/>
              <w:rPr>
                <w:sz w:val="2"/>
                <w:szCs w:val="2"/>
                <w:color w:val="auto"/>
              </w:rPr>
            </w:pPr>
          </w:p>
        </w:tc>
        <w:tc>
          <w:tcPr>
            <w:tcW w:w="520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680" w:type="dxa"/>
            <w:vAlign w:val="bottom"/>
          </w:tcPr>
          <w:p>
            <w:pPr>
              <w:spacing w:after="0"/>
              <w:rPr>
                <w:sz w:val="14"/>
                <w:szCs w:val="14"/>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Revenue from U.S. exports or manufactured abroad:</w:t>
            </w:r>
          </w:p>
        </w:tc>
        <w:tc>
          <w:tcPr>
            <w:tcW w:w="5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3980" w:type="dxa"/>
            <w:vAlign w:val="bottom"/>
            <w:gridSpan w:val="2"/>
          </w:tcPr>
          <w:p>
            <w:pPr>
              <w:spacing w:after="0"/>
              <w:rPr>
                <w:sz w:val="20"/>
                <w:szCs w:val="20"/>
                <w:color w:val="auto"/>
              </w:rPr>
            </w:pPr>
            <w:r>
              <w:rPr>
                <w:rFonts w:ascii="Arial" w:cs="Arial" w:eastAsia="Arial" w:hAnsi="Arial"/>
                <w:sz w:val="13"/>
                <w:szCs w:val="13"/>
                <w:color w:val="auto"/>
              </w:rPr>
              <w:t>Fiscal 2009</w:t>
            </w:r>
          </w:p>
        </w:tc>
        <w:tc>
          <w:tcPr>
            <w:tcW w:w="6000" w:type="dxa"/>
            <w:vAlign w:val="bottom"/>
            <w:gridSpan w:val="3"/>
          </w:tcPr>
          <w:p>
            <w:pPr>
              <w:jc w:val="right"/>
              <w:spacing w:after="0"/>
              <w:rPr>
                <w:sz w:val="20"/>
                <w:szCs w:val="20"/>
                <w:color w:val="auto"/>
              </w:rPr>
            </w:pPr>
            <w:r>
              <w:rPr>
                <w:rFonts w:ascii="Arial" w:cs="Arial" w:eastAsia="Arial" w:hAnsi="Arial"/>
                <w:sz w:val="13"/>
                <w:szCs w:val="13"/>
                <w:color w:val="auto"/>
              </w:rPr>
              <w:t>69%</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Fiscal 2008</w:t>
            </w:r>
          </w:p>
        </w:tc>
        <w:tc>
          <w:tcPr>
            <w:tcW w:w="60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73%</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80" w:type="dxa"/>
            <w:vAlign w:val="bottom"/>
          </w:tcPr>
          <w:p>
            <w:pPr>
              <w:spacing w:after="0"/>
              <w:rPr>
                <w:sz w:val="14"/>
                <w:szCs w:val="14"/>
                <w:color w:val="auto"/>
              </w:rPr>
            </w:pPr>
          </w:p>
        </w:tc>
        <w:tc>
          <w:tcPr>
            <w:tcW w:w="3980" w:type="dxa"/>
            <w:vAlign w:val="bottom"/>
            <w:gridSpan w:val="2"/>
          </w:tcPr>
          <w:p>
            <w:pPr>
              <w:spacing w:after="0"/>
              <w:rPr>
                <w:sz w:val="20"/>
                <w:szCs w:val="20"/>
                <w:color w:val="auto"/>
              </w:rPr>
            </w:pPr>
            <w:r>
              <w:rPr>
                <w:rFonts w:ascii="Arial" w:cs="Arial" w:eastAsia="Arial" w:hAnsi="Arial"/>
                <w:sz w:val="13"/>
                <w:szCs w:val="13"/>
                <w:color w:val="auto"/>
              </w:rPr>
              <w:t>Fiscal 2007</w:t>
            </w:r>
          </w:p>
        </w:tc>
        <w:tc>
          <w:tcPr>
            <w:tcW w:w="6000" w:type="dxa"/>
            <w:vAlign w:val="bottom"/>
            <w:gridSpan w:val="3"/>
          </w:tcPr>
          <w:p>
            <w:pPr>
              <w:jc w:val="right"/>
              <w:spacing w:after="0"/>
              <w:rPr>
                <w:sz w:val="20"/>
                <w:szCs w:val="20"/>
                <w:color w:val="auto"/>
              </w:rPr>
            </w:pPr>
            <w:r>
              <w:rPr>
                <w:rFonts w:ascii="Arial" w:cs="Arial" w:eastAsia="Arial" w:hAnsi="Arial"/>
                <w:sz w:val="13"/>
                <w:szCs w:val="13"/>
                <w:color w:val="auto"/>
              </w:rPr>
              <w:t>67%</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24"/>
        </w:trPr>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5200" w:type="dxa"/>
            <w:vAlign w:val="bottom"/>
          </w:tcPr>
          <w:p>
            <w:pPr>
              <w:jc w:val="right"/>
              <w:ind w:right="4053"/>
              <w:spacing w:after="0"/>
              <w:rPr>
                <w:sz w:val="20"/>
                <w:szCs w:val="20"/>
                <w:color w:val="auto"/>
              </w:rPr>
            </w:pPr>
            <w:r>
              <w:rPr>
                <w:rFonts w:ascii="Arial" w:cs="Arial" w:eastAsia="Arial" w:hAnsi="Arial"/>
                <w:sz w:val="13"/>
                <w:szCs w:val="13"/>
                <w:color w:val="auto"/>
              </w:rPr>
              <w:t>13</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6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3880" w:type="dxa"/>
            <w:vAlign w:val="bottom"/>
            <w:tcBorders>
              <w:bottom w:val="single" w:sz="8" w:color="808080"/>
            </w:tcBorders>
          </w:tcPr>
          <w:p>
            <w:pPr>
              <w:spacing w:after="0"/>
              <w:rPr>
                <w:sz w:val="14"/>
                <w:szCs w:val="14"/>
                <w:color w:val="auto"/>
              </w:rPr>
            </w:pPr>
          </w:p>
        </w:tc>
        <w:tc>
          <w:tcPr>
            <w:tcW w:w="5200" w:type="dxa"/>
            <w:vAlign w:val="bottom"/>
            <w:tcBorders>
              <w:bottom w:val="single" w:sz="8" w:color="808080"/>
            </w:tcBorders>
          </w:tcPr>
          <w:p>
            <w:pPr>
              <w:spacing w:after="0"/>
              <w:rPr>
                <w:sz w:val="14"/>
                <w:szCs w:val="14"/>
                <w:color w:val="auto"/>
              </w:rPr>
            </w:pPr>
          </w:p>
        </w:tc>
        <w:tc>
          <w:tcPr>
            <w:tcW w:w="6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12700" cy="6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9" w:right="219" w:bottom="1440" w:gutter="0" w:footer="0" w:header="0"/>
        </w:sectPr>
      </w:pPr>
    </w:p>
    <w:bookmarkStart w:id="14" w:name="page15"/>
    <w:bookmarkEnd w:id="1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3"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100" w:type="dxa"/>
            <w:vAlign w:val="bottom"/>
          </w:tcPr>
          <w:p>
            <w:pPr>
              <w:spacing w:after="0"/>
              <w:rPr>
                <w:sz w:val="10"/>
                <w:szCs w:val="10"/>
                <w:color w:val="auto"/>
              </w:rPr>
            </w:pPr>
          </w:p>
        </w:tc>
        <w:tc>
          <w:tcPr>
            <w:tcW w:w="8980" w:type="dxa"/>
            <w:vAlign w:val="bottom"/>
          </w:tcPr>
          <w:p>
            <w:pPr>
              <w:spacing w:after="0"/>
              <w:rPr>
                <w:sz w:val="10"/>
                <w:szCs w:val="10"/>
                <w:color w:val="auto"/>
              </w:rPr>
            </w:pPr>
          </w:p>
        </w:tc>
        <w:tc>
          <w:tcPr>
            <w:tcW w:w="780" w:type="dxa"/>
            <w:vAlign w:val="bottom"/>
          </w:tcPr>
          <w:p>
            <w:pPr>
              <w:jc w:val="center"/>
              <w:spacing w:after="0"/>
              <w:rPr>
                <w:sz w:val="20"/>
                <w:szCs w:val="20"/>
                <w:color w:val="auto"/>
              </w:rPr>
            </w:pPr>
            <w:r>
              <w:rPr>
                <w:rFonts w:ascii="Arial" w:cs="Arial" w:eastAsia="Arial" w:hAnsi="Arial"/>
                <w:sz w:val="11"/>
                <w:szCs w:val="11"/>
                <w:b w:val="1"/>
                <w:bCs w:val="1"/>
                <w:color w:val="auto"/>
                <w:w w:val="84"/>
              </w:rPr>
              <w:t>Percentage</w:t>
            </w:r>
          </w:p>
        </w:tc>
        <w:tc>
          <w:tcPr>
            <w:tcW w:w="0" w:type="dxa"/>
            <w:vAlign w:val="bottom"/>
          </w:tcPr>
          <w:p>
            <w:pPr>
              <w:spacing w:after="0"/>
              <w:rPr>
                <w:sz w:val="1"/>
                <w:szCs w:val="1"/>
                <w:color w:val="auto"/>
              </w:rPr>
            </w:pPr>
          </w:p>
        </w:tc>
      </w:tr>
      <w:tr>
        <w:trPr>
          <w:trHeight w:val="121"/>
        </w:trPr>
        <w:tc>
          <w:tcPr>
            <w:tcW w:w="90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Description</w:t>
            </w:r>
          </w:p>
        </w:tc>
        <w:tc>
          <w:tcPr>
            <w:tcW w:w="78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91"/>
              </w:rPr>
              <w:t>of Non U.S.</w:t>
            </w:r>
          </w:p>
        </w:tc>
        <w:tc>
          <w:tcPr>
            <w:tcW w:w="0" w:type="dxa"/>
            <w:vAlign w:val="bottom"/>
          </w:tcPr>
          <w:p>
            <w:pPr>
              <w:spacing w:after="0"/>
              <w:rPr>
                <w:sz w:val="1"/>
                <w:szCs w:val="1"/>
                <w:color w:val="auto"/>
              </w:rPr>
            </w:pPr>
          </w:p>
        </w:tc>
      </w:tr>
      <w:tr>
        <w:trPr>
          <w:trHeight w:val="128"/>
        </w:trPr>
        <w:tc>
          <w:tcPr>
            <w:tcW w:w="9080" w:type="dxa"/>
            <w:vAlign w:val="bottom"/>
            <w:gridSpan w:val="2"/>
            <w:vMerge w:val="continue"/>
          </w:tcPr>
          <w:p>
            <w:pPr>
              <w:spacing w:after="0"/>
              <w:rPr>
                <w:sz w:val="11"/>
                <w:szCs w:val="11"/>
                <w:color w:val="auto"/>
              </w:rPr>
            </w:pPr>
          </w:p>
        </w:tc>
        <w:tc>
          <w:tcPr>
            <w:tcW w:w="780" w:type="dxa"/>
            <w:vAlign w:val="bottom"/>
          </w:tcPr>
          <w:p>
            <w:pPr>
              <w:jc w:val="center"/>
              <w:spacing w:after="0"/>
              <w:rPr>
                <w:sz w:val="20"/>
                <w:szCs w:val="20"/>
                <w:color w:val="auto"/>
              </w:rPr>
            </w:pPr>
            <w:r>
              <w:rPr>
                <w:rFonts w:ascii="Arial" w:cs="Arial" w:eastAsia="Arial" w:hAnsi="Arial"/>
                <w:sz w:val="11"/>
                <w:szCs w:val="11"/>
                <w:b w:val="1"/>
                <w:bCs w:val="1"/>
                <w:color w:val="auto"/>
                <w:w w:val="82"/>
              </w:rPr>
              <w:t>Revenue</w:t>
            </w:r>
          </w:p>
        </w:tc>
        <w:tc>
          <w:tcPr>
            <w:tcW w:w="0" w:type="dxa"/>
            <w:vAlign w:val="bottom"/>
          </w:tcPr>
          <w:p>
            <w:pPr>
              <w:spacing w:after="0"/>
              <w:rPr>
                <w:sz w:val="1"/>
                <w:szCs w:val="1"/>
                <w:color w:val="auto"/>
              </w:rPr>
            </w:pPr>
          </w:p>
        </w:tc>
      </w:tr>
      <w:tr>
        <w:trPr>
          <w:trHeight w:val="20"/>
        </w:trPr>
        <w:tc>
          <w:tcPr>
            <w:tcW w:w="100" w:type="dxa"/>
            <w:vAlign w:val="bottom"/>
            <w:shd w:val="clear" w:color="auto" w:fill="000000"/>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tbl>
      <w:tblPr>
        <w:tblLayout w:type="fixed"/>
        <w:tblInd w:w="680" w:type="dxa"/>
        <w:tblCellMar>
          <w:top w:w="0" w:type="dxa"/>
          <w:left w:w="0" w:type="dxa"/>
          <w:bottom w:w="0" w:type="dxa"/>
          <w:right w:w="0" w:type="dxa"/>
        </w:tblCellMar>
      </w:tblPr>
      <w:tr>
        <w:trPr>
          <w:trHeight w:val="161"/>
        </w:trPr>
        <w:tc>
          <w:tcPr>
            <w:tcW w:w="918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Revenue from U.S. exports:</w:t>
            </w: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9180" w:type="dxa"/>
            <w:vAlign w:val="bottom"/>
            <w:gridSpan w:val="2"/>
          </w:tcPr>
          <w:p>
            <w:pPr>
              <w:spacing w:after="0"/>
              <w:rPr>
                <w:sz w:val="20"/>
                <w:szCs w:val="20"/>
                <w:color w:val="auto"/>
              </w:rPr>
            </w:pPr>
            <w:r>
              <w:rPr>
                <w:rFonts w:ascii="Arial" w:cs="Arial" w:eastAsia="Arial" w:hAnsi="Arial"/>
                <w:sz w:val="13"/>
                <w:szCs w:val="13"/>
                <w:color w:val="auto"/>
              </w:rPr>
              <w:t>Fiscal 2009</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61"/>
        </w:trPr>
        <w:tc>
          <w:tcPr>
            <w:tcW w:w="91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Fiscal 2008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172"/>
        </w:trPr>
        <w:tc>
          <w:tcPr>
            <w:tcW w:w="9180" w:type="dxa"/>
            <w:vAlign w:val="bottom"/>
            <w:gridSpan w:val="2"/>
          </w:tcPr>
          <w:p>
            <w:pPr>
              <w:spacing w:after="0"/>
              <w:rPr>
                <w:sz w:val="20"/>
                <w:szCs w:val="20"/>
                <w:color w:val="auto"/>
              </w:rPr>
            </w:pPr>
            <w:r>
              <w:rPr>
                <w:rFonts w:ascii="Arial" w:cs="Arial" w:eastAsia="Arial" w:hAnsi="Arial"/>
                <w:sz w:val="13"/>
                <w:szCs w:val="13"/>
                <w:color w:val="auto"/>
              </w:rPr>
              <w:t>Fiscal 2007</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63%</w:t>
            </w:r>
          </w:p>
        </w:tc>
        <w:tc>
          <w:tcPr>
            <w:tcW w:w="0" w:type="dxa"/>
            <w:vAlign w:val="bottom"/>
          </w:tcPr>
          <w:p>
            <w:pPr>
              <w:spacing w:after="0"/>
              <w:rPr>
                <w:sz w:val="1"/>
                <w:szCs w:val="1"/>
                <w:color w:val="auto"/>
              </w:rPr>
            </w:pPr>
          </w:p>
        </w:tc>
      </w:tr>
      <w:tr>
        <w:trPr>
          <w:trHeight w:val="265"/>
        </w:trPr>
        <w:tc>
          <w:tcPr>
            <w:tcW w:w="100" w:type="dxa"/>
            <w:vAlign w:val="bottom"/>
          </w:tcPr>
          <w:p>
            <w:pPr>
              <w:spacing w:after="0"/>
              <w:rPr>
                <w:sz w:val="23"/>
                <w:szCs w:val="23"/>
                <w:color w:val="auto"/>
              </w:rPr>
            </w:pPr>
          </w:p>
        </w:tc>
        <w:tc>
          <w:tcPr>
            <w:tcW w:w="9080" w:type="dxa"/>
            <w:vAlign w:val="bottom"/>
          </w:tcPr>
          <w:p>
            <w:pPr>
              <w:spacing w:after="0"/>
              <w:rPr>
                <w:sz w:val="23"/>
                <w:szCs w:val="23"/>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7"/>
              </w:rPr>
              <w:t>Percentage</w:t>
            </w:r>
          </w:p>
        </w:tc>
        <w:tc>
          <w:tcPr>
            <w:tcW w:w="0" w:type="dxa"/>
            <w:vAlign w:val="bottom"/>
          </w:tcPr>
          <w:p>
            <w:pPr>
              <w:spacing w:after="0"/>
              <w:rPr>
                <w:sz w:val="1"/>
                <w:szCs w:val="1"/>
                <w:color w:val="auto"/>
              </w:rPr>
            </w:pPr>
          </w:p>
        </w:tc>
      </w:tr>
      <w:tr>
        <w:trPr>
          <w:trHeight w:val="121"/>
        </w:trPr>
        <w:tc>
          <w:tcPr>
            <w:tcW w:w="91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Description</w:t>
            </w:r>
          </w:p>
        </w:tc>
        <w:tc>
          <w:tcPr>
            <w:tcW w:w="800" w:type="dxa"/>
            <w:vAlign w:val="bottom"/>
            <w:gridSpan w:val="2"/>
          </w:tcPr>
          <w:p>
            <w:pPr>
              <w:jc w:val="center"/>
              <w:ind w:right="120"/>
              <w:spacing w:after="0" w:line="121" w:lineRule="exact"/>
              <w:rPr>
                <w:sz w:val="20"/>
                <w:szCs w:val="20"/>
                <w:color w:val="auto"/>
              </w:rPr>
            </w:pPr>
            <w:r>
              <w:rPr>
                <w:rFonts w:ascii="Arial" w:cs="Arial" w:eastAsia="Arial" w:hAnsi="Arial"/>
                <w:sz w:val="11"/>
                <w:szCs w:val="11"/>
                <w:b w:val="1"/>
                <w:bCs w:val="1"/>
                <w:color w:val="auto"/>
                <w:w w:val="90"/>
              </w:rPr>
              <w:t>of Total</w:t>
            </w:r>
          </w:p>
        </w:tc>
        <w:tc>
          <w:tcPr>
            <w:tcW w:w="0" w:type="dxa"/>
            <w:vAlign w:val="bottom"/>
          </w:tcPr>
          <w:p>
            <w:pPr>
              <w:spacing w:after="0"/>
              <w:rPr>
                <w:sz w:val="1"/>
                <w:szCs w:val="1"/>
                <w:color w:val="auto"/>
              </w:rPr>
            </w:pPr>
          </w:p>
        </w:tc>
      </w:tr>
      <w:tr>
        <w:trPr>
          <w:trHeight w:val="128"/>
        </w:trPr>
        <w:tc>
          <w:tcPr>
            <w:tcW w:w="9180" w:type="dxa"/>
            <w:vAlign w:val="bottom"/>
            <w:gridSpan w:val="2"/>
            <w:vMerge w:val="continue"/>
          </w:tcPr>
          <w:p>
            <w:pPr>
              <w:spacing w:after="0"/>
              <w:rPr>
                <w:sz w:val="11"/>
                <w:szCs w:val="11"/>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7"/>
              </w:rPr>
              <w:t>Revenue</w:t>
            </w:r>
          </w:p>
        </w:tc>
        <w:tc>
          <w:tcPr>
            <w:tcW w:w="0" w:type="dxa"/>
            <w:vAlign w:val="bottom"/>
          </w:tcPr>
          <w:p>
            <w:pPr>
              <w:spacing w:after="0"/>
              <w:rPr>
                <w:sz w:val="1"/>
                <w:szCs w:val="1"/>
                <w:color w:val="auto"/>
              </w:rPr>
            </w:pPr>
          </w:p>
        </w:tc>
      </w:tr>
      <w:tr>
        <w:trPr>
          <w:trHeight w:val="30"/>
        </w:trPr>
        <w:tc>
          <w:tcPr>
            <w:tcW w:w="100" w:type="dxa"/>
            <w:vAlign w:val="bottom"/>
            <w:tcBorders>
              <w:top w:val="single" w:sz="8" w:color="auto"/>
            </w:tcBorders>
          </w:tcPr>
          <w:p>
            <w:pPr>
              <w:spacing w:after="0"/>
              <w:rPr>
                <w:sz w:val="2"/>
                <w:szCs w:val="2"/>
                <w:color w:val="auto"/>
              </w:rPr>
            </w:pPr>
          </w:p>
        </w:tc>
        <w:tc>
          <w:tcPr>
            <w:tcW w:w="908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918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Revenue from operations conducted in local international currencies:</w:t>
            </w: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9180" w:type="dxa"/>
            <w:vAlign w:val="bottom"/>
            <w:gridSpan w:val="2"/>
          </w:tcPr>
          <w:p>
            <w:pPr>
              <w:spacing w:after="0"/>
              <w:rPr>
                <w:sz w:val="20"/>
                <w:szCs w:val="20"/>
                <w:color w:val="auto"/>
              </w:rPr>
            </w:pPr>
            <w:r>
              <w:rPr>
                <w:rFonts w:ascii="Arial" w:cs="Arial" w:eastAsia="Arial" w:hAnsi="Arial"/>
                <w:sz w:val="13"/>
                <w:szCs w:val="13"/>
                <w:color w:val="auto"/>
              </w:rPr>
              <w:t>Fiscal 2009</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161"/>
        </w:trPr>
        <w:tc>
          <w:tcPr>
            <w:tcW w:w="91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Fiscal 2008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172"/>
        </w:trPr>
        <w:tc>
          <w:tcPr>
            <w:tcW w:w="9180" w:type="dxa"/>
            <w:vAlign w:val="bottom"/>
            <w:gridSpan w:val="2"/>
          </w:tcPr>
          <w:p>
            <w:pPr>
              <w:spacing w:after="0"/>
              <w:rPr>
                <w:sz w:val="20"/>
                <w:szCs w:val="20"/>
                <w:color w:val="auto"/>
              </w:rPr>
            </w:pPr>
            <w:r>
              <w:rPr>
                <w:rFonts w:ascii="Arial" w:cs="Arial" w:eastAsia="Arial" w:hAnsi="Arial"/>
                <w:sz w:val="13"/>
                <w:szCs w:val="13"/>
                <w:color w:val="auto"/>
              </w:rPr>
              <w:t>Fiscal 2007</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265"/>
        </w:trPr>
        <w:tc>
          <w:tcPr>
            <w:tcW w:w="100" w:type="dxa"/>
            <w:vAlign w:val="bottom"/>
          </w:tcPr>
          <w:p>
            <w:pPr>
              <w:spacing w:after="0"/>
              <w:rPr>
                <w:sz w:val="23"/>
                <w:szCs w:val="23"/>
                <w:color w:val="auto"/>
              </w:rPr>
            </w:pPr>
          </w:p>
        </w:tc>
        <w:tc>
          <w:tcPr>
            <w:tcW w:w="9080" w:type="dxa"/>
            <w:vAlign w:val="bottom"/>
          </w:tcPr>
          <w:p>
            <w:pPr>
              <w:spacing w:after="0"/>
              <w:rPr>
                <w:sz w:val="23"/>
                <w:szCs w:val="23"/>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7"/>
              </w:rPr>
              <w:t>Percentage</w:t>
            </w:r>
          </w:p>
        </w:tc>
        <w:tc>
          <w:tcPr>
            <w:tcW w:w="0" w:type="dxa"/>
            <w:vAlign w:val="bottom"/>
          </w:tcPr>
          <w:p>
            <w:pPr>
              <w:spacing w:after="0"/>
              <w:rPr>
                <w:sz w:val="1"/>
                <w:szCs w:val="1"/>
                <w:color w:val="auto"/>
              </w:rPr>
            </w:pPr>
          </w:p>
        </w:tc>
      </w:tr>
      <w:tr>
        <w:trPr>
          <w:trHeight w:val="121"/>
        </w:trPr>
        <w:tc>
          <w:tcPr>
            <w:tcW w:w="91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Description</w:t>
            </w:r>
          </w:p>
        </w:tc>
        <w:tc>
          <w:tcPr>
            <w:tcW w:w="800" w:type="dxa"/>
            <w:vAlign w:val="bottom"/>
            <w:gridSpan w:val="2"/>
          </w:tcPr>
          <w:p>
            <w:pPr>
              <w:jc w:val="center"/>
              <w:ind w:right="120"/>
              <w:spacing w:after="0" w:line="121" w:lineRule="exact"/>
              <w:rPr>
                <w:sz w:val="20"/>
                <w:szCs w:val="20"/>
                <w:color w:val="auto"/>
              </w:rPr>
            </w:pPr>
            <w:r>
              <w:rPr>
                <w:rFonts w:ascii="Arial" w:cs="Arial" w:eastAsia="Arial" w:hAnsi="Arial"/>
                <w:sz w:val="11"/>
                <w:szCs w:val="11"/>
                <w:b w:val="1"/>
                <w:bCs w:val="1"/>
                <w:color w:val="auto"/>
                <w:w w:val="90"/>
              </w:rPr>
              <w:t>of Total</w:t>
            </w:r>
          </w:p>
        </w:tc>
        <w:tc>
          <w:tcPr>
            <w:tcW w:w="0" w:type="dxa"/>
            <w:vAlign w:val="bottom"/>
          </w:tcPr>
          <w:p>
            <w:pPr>
              <w:spacing w:after="0"/>
              <w:rPr>
                <w:sz w:val="1"/>
                <w:szCs w:val="1"/>
                <w:color w:val="auto"/>
              </w:rPr>
            </w:pPr>
          </w:p>
        </w:tc>
      </w:tr>
      <w:tr>
        <w:trPr>
          <w:trHeight w:val="128"/>
        </w:trPr>
        <w:tc>
          <w:tcPr>
            <w:tcW w:w="9180" w:type="dxa"/>
            <w:vAlign w:val="bottom"/>
            <w:gridSpan w:val="2"/>
            <w:vMerge w:val="continue"/>
          </w:tcPr>
          <w:p>
            <w:pPr>
              <w:spacing w:after="0"/>
              <w:rPr>
                <w:sz w:val="11"/>
                <w:szCs w:val="11"/>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7"/>
              </w:rPr>
              <w:t>Revenue</w:t>
            </w:r>
          </w:p>
        </w:tc>
        <w:tc>
          <w:tcPr>
            <w:tcW w:w="0" w:type="dxa"/>
            <w:vAlign w:val="bottom"/>
          </w:tcPr>
          <w:p>
            <w:pPr>
              <w:spacing w:after="0"/>
              <w:rPr>
                <w:sz w:val="1"/>
                <w:szCs w:val="1"/>
                <w:color w:val="auto"/>
              </w:rPr>
            </w:pPr>
          </w:p>
        </w:tc>
      </w:tr>
      <w:tr>
        <w:trPr>
          <w:trHeight w:val="30"/>
        </w:trPr>
        <w:tc>
          <w:tcPr>
            <w:tcW w:w="100" w:type="dxa"/>
            <w:vAlign w:val="bottom"/>
            <w:tcBorders>
              <w:top w:val="single" w:sz="8" w:color="auto"/>
            </w:tcBorders>
          </w:tcPr>
          <w:p>
            <w:pPr>
              <w:spacing w:after="0"/>
              <w:rPr>
                <w:sz w:val="2"/>
                <w:szCs w:val="2"/>
                <w:color w:val="auto"/>
              </w:rPr>
            </w:pPr>
          </w:p>
        </w:tc>
        <w:tc>
          <w:tcPr>
            <w:tcW w:w="908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918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Revenue from customers in international countries greater than 5%:</w:t>
            </w: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9180" w:type="dxa"/>
            <w:vAlign w:val="bottom"/>
            <w:gridSpan w:val="2"/>
          </w:tcPr>
          <w:p>
            <w:pPr>
              <w:spacing w:after="0"/>
              <w:rPr>
                <w:sz w:val="20"/>
                <w:szCs w:val="20"/>
                <w:color w:val="auto"/>
              </w:rPr>
            </w:pPr>
            <w:r>
              <w:rPr>
                <w:rFonts w:ascii="Arial" w:cs="Arial" w:eastAsia="Arial" w:hAnsi="Arial"/>
                <w:sz w:val="13"/>
                <w:szCs w:val="13"/>
                <w:color w:val="auto"/>
              </w:rPr>
              <w:t>Fiscal 2009 Nigeria</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161"/>
        </w:trPr>
        <w:tc>
          <w:tcPr>
            <w:tcW w:w="91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Fiscal 2009 Poland</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61"/>
        </w:trPr>
        <w:tc>
          <w:tcPr>
            <w:tcW w:w="9180" w:type="dxa"/>
            <w:vAlign w:val="bottom"/>
            <w:gridSpan w:val="2"/>
          </w:tcPr>
          <w:p>
            <w:pPr>
              <w:spacing w:after="0"/>
              <w:rPr>
                <w:sz w:val="20"/>
                <w:szCs w:val="20"/>
                <w:color w:val="auto"/>
              </w:rPr>
            </w:pPr>
            <w:r>
              <w:rPr>
                <w:rFonts w:ascii="Arial" w:cs="Arial" w:eastAsia="Arial" w:hAnsi="Arial"/>
                <w:sz w:val="13"/>
                <w:szCs w:val="13"/>
                <w:color w:val="auto"/>
              </w:rPr>
              <w:t>Fiscal 2008 Nigeria</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61"/>
        </w:trPr>
        <w:tc>
          <w:tcPr>
            <w:tcW w:w="91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Fiscal 2007 Nigeria</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72"/>
        </w:trPr>
        <w:tc>
          <w:tcPr>
            <w:tcW w:w="9180" w:type="dxa"/>
            <w:vAlign w:val="bottom"/>
            <w:gridSpan w:val="2"/>
          </w:tcPr>
          <w:p>
            <w:pPr>
              <w:spacing w:after="0"/>
              <w:rPr>
                <w:sz w:val="20"/>
                <w:szCs w:val="20"/>
                <w:color w:val="auto"/>
              </w:rPr>
            </w:pPr>
            <w:r>
              <w:rPr>
                <w:rFonts w:ascii="Arial" w:cs="Arial" w:eastAsia="Arial" w:hAnsi="Arial"/>
                <w:sz w:val="13"/>
                <w:szCs w:val="13"/>
                <w:color w:val="auto"/>
              </w:rPr>
              <w:t>Fiscal 2007 Canada</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The functional currency of our subsidiaries located in the United Kingdom, Singapore, Mexico and New Zealand is the U.S. dollar so the effect of foreign currency changes have not had a significant effect on our revenue. Direct export sales, as well as sales from international subsidiaries, are primarily denominated in U.S. dollars. International operations represented 63% of our long-lived assets as of July 3, 2009 and 58% of long-lived assets as of June 27, 2008.</w:t>
      </w:r>
    </w:p>
    <w:p>
      <w:pPr>
        <w:spacing w:after="0" w:line="59" w:lineRule="exact"/>
        <w:rPr>
          <w:sz w:val="20"/>
          <w:szCs w:val="20"/>
          <w:color w:val="auto"/>
        </w:rPr>
      </w:pPr>
    </w:p>
    <w:p>
      <w:pPr>
        <w:ind w:left="680" w:right="340" w:firstLine="399"/>
        <w:spacing w:after="0" w:line="294" w:lineRule="auto"/>
        <w:rPr>
          <w:sz w:val="20"/>
          <w:szCs w:val="20"/>
          <w:color w:val="auto"/>
        </w:rPr>
      </w:pPr>
      <w:r>
        <w:rPr>
          <w:rFonts w:ascii="Arial" w:cs="Arial" w:eastAsia="Arial" w:hAnsi="Arial"/>
          <w:sz w:val="13"/>
          <w:szCs w:val="13"/>
          <w:color w:val="auto"/>
        </w:rPr>
        <w:t>International marketing activities are conducted through subsidiaries operating in Europe, Central and South America, Africa and Asia. We also have established marketing organizations and several regional sales offices in these same geographic areas.</w:t>
      </w:r>
    </w:p>
    <w:p>
      <w:pPr>
        <w:spacing w:after="0" w:line="47" w:lineRule="exact"/>
        <w:rPr>
          <w:sz w:val="20"/>
          <w:szCs w:val="20"/>
          <w:color w:val="auto"/>
        </w:rPr>
      </w:pPr>
    </w:p>
    <w:p>
      <w:pPr>
        <w:ind w:left="680" w:right="20" w:firstLine="399"/>
        <w:spacing w:after="0" w:line="299" w:lineRule="auto"/>
        <w:rPr>
          <w:sz w:val="20"/>
          <w:szCs w:val="20"/>
          <w:color w:val="auto"/>
        </w:rPr>
      </w:pPr>
      <w:r>
        <w:rPr>
          <w:rFonts w:ascii="Arial" w:cs="Arial" w:eastAsia="Arial" w:hAnsi="Arial"/>
          <w:sz w:val="12"/>
          <w:szCs w:val="12"/>
          <w:color w:val="auto"/>
        </w:rPr>
        <w:t>We use indirect sales channels, including dealers, distributors and sales representatives, in the marketing and sale of some lines of products and equipment, both domestically and internationally. These independent representatives may buy for resale or, in some cases, solicit orders from commercial or governmental customers for direct sales by us. Prices to the ultimate customer in many instances may be recommended or established by the independent representative and may be above or below our list prices. These independent representatives generally receive a discount from our list prices and may mark up those prices in setting the final sales prices paid by the customer.</w:t>
      </w:r>
    </w:p>
    <w:p>
      <w:pPr>
        <w:spacing w:after="0" w:line="48" w:lineRule="exact"/>
        <w:rPr>
          <w:sz w:val="20"/>
          <w:szCs w:val="20"/>
          <w:color w:val="auto"/>
        </w:rPr>
      </w:pPr>
    </w:p>
    <w:p>
      <w:pPr>
        <w:ind w:left="680" w:right="380" w:firstLine="399"/>
        <w:spacing w:after="0" w:line="294" w:lineRule="auto"/>
        <w:rPr>
          <w:sz w:val="20"/>
          <w:szCs w:val="20"/>
          <w:color w:val="auto"/>
        </w:rPr>
      </w:pPr>
      <w:r>
        <w:rPr>
          <w:rFonts w:ascii="Arial" w:cs="Arial" w:eastAsia="Arial" w:hAnsi="Arial"/>
          <w:sz w:val="13"/>
          <w:szCs w:val="13"/>
          <w:color w:val="auto"/>
        </w:rPr>
        <w:t>A significant portion of our exports are paid for by letters of credit, with the balance carried on an open account. In addition, significant international government contracts generally require us to provide performance guarantees.</w:t>
      </w:r>
    </w:p>
    <w:p>
      <w:pPr>
        <w:spacing w:after="0" w:line="47"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The particular economic, social and political conditions for business conducted outside the U.S. differ from those encountered by domestic businesses. We believe that the overall business risk for our international business as a whole is somewhat greater than that faced by our domestic operations as a whole. For a discussion of the risks we are subject to as a result of our international operations, see “Item 1A. Risk Factors” of this Annual Report on Form 10-K.</w:t>
      </w:r>
    </w:p>
    <w:p>
      <w:pPr>
        <w:spacing w:after="0" w:line="109"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15" w:name="page16"/>
    <w:bookmarkEnd w:id="1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Competition</w:t>
      </w:r>
    </w:p>
    <w:p>
      <w:pPr>
        <w:spacing w:after="0" w:line="102" w:lineRule="exact"/>
        <w:rPr>
          <w:sz w:val="20"/>
          <w:szCs w:val="20"/>
          <w:color w:val="auto"/>
        </w:rPr>
      </w:pPr>
    </w:p>
    <w:p>
      <w:pPr>
        <w:ind w:left="680" w:right="20" w:firstLine="399"/>
        <w:spacing w:after="0" w:line="299" w:lineRule="auto"/>
        <w:rPr>
          <w:sz w:val="20"/>
          <w:szCs w:val="20"/>
          <w:color w:val="auto"/>
        </w:rPr>
      </w:pPr>
      <w:r>
        <w:rPr>
          <w:rFonts w:ascii="Arial" w:cs="Arial" w:eastAsia="Arial" w:hAnsi="Arial"/>
          <w:sz w:val="12"/>
          <w:szCs w:val="12"/>
          <w:color w:val="auto"/>
        </w:rPr>
        <w:t>The wireless access, backhaul and interconnection business is a specialized segment of the wireless telecommunications industry that is sensitive to technological advances and is extremely competitive. Some of our competitors have more extensive engineering, manufacturing and marketing capabilities and greater financial, technical and personnel resources than we have. Some of our competitors may have greater name recognition, broader product lines (some including non-wireless telecommunications equipment), a larger installed base of products and longer-standing customer relationships. In addition, some competitors offer seller financing which is a competitive advantage in the current economic environment.</w:t>
      </w:r>
    </w:p>
    <w:p>
      <w:pPr>
        <w:spacing w:after="0" w:line="48" w:lineRule="exact"/>
        <w:rPr>
          <w:sz w:val="20"/>
          <w:szCs w:val="20"/>
          <w:color w:val="auto"/>
        </w:rPr>
      </w:pPr>
    </w:p>
    <w:p>
      <w:pPr>
        <w:ind w:left="680" w:right="20" w:firstLine="399"/>
        <w:spacing w:after="0" w:line="270" w:lineRule="auto"/>
        <w:rPr>
          <w:sz w:val="20"/>
          <w:szCs w:val="20"/>
          <w:color w:val="auto"/>
        </w:rPr>
      </w:pPr>
      <w:r>
        <w:rPr>
          <w:rFonts w:ascii="Arial" w:cs="Arial" w:eastAsia="Arial" w:hAnsi="Arial"/>
          <w:sz w:val="13"/>
          <w:szCs w:val="13"/>
          <w:color w:val="auto"/>
        </w:rPr>
        <w:t>Although successful product and systems development is not necessarily dependent on substantial financial resources, many of our competitors are significantly larger than us and can maintain higher levels of expenditures for research and development. In addition, a portion of our overall market is addressed by large mobile infrastructure providers, who bundle microwave radios with other mobile network equipment, such as cellular base stations or switching systems, and offer a full range of services. This part of the market is generally not open to independent microwave suppliers such as us.</w:t>
      </w:r>
    </w:p>
    <w:p>
      <w:pPr>
        <w:spacing w:after="0" w:line="63" w:lineRule="exact"/>
        <w:rPr>
          <w:sz w:val="20"/>
          <w:szCs w:val="20"/>
          <w:color w:val="auto"/>
        </w:rPr>
      </w:pPr>
    </w:p>
    <w:p>
      <w:pPr>
        <w:ind w:left="680" w:right="180" w:firstLine="399"/>
        <w:spacing w:after="0" w:line="294" w:lineRule="auto"/>
        <w:rPr>
          <w:sz w:val="20"/>
          <w:szCs w:val="20"/>
          <w:color w:val="auto"/>
        </w:rPr>
      </w:pPr>
      <w:r>
        <w:rPr>
          <w:rFonts w:ascii="Arial" w:cs="Arial" w:eastAsia="Arial" w:hAnsi="Arial"/>
          <w:sz w:val="13"/>
          <w:szCs w:val="13"/>
          <w:color w:val="auto"/>
        </w:rPr>
        <w:t>We also compete with a number of smaller independent private and public specialist companies, who typically leverage new technologies and low-cost models, but usually are not able to offer a complete solution including turnkey services in all regions of the world.</w:t>
      </w:r>
    </w:p>
    <w:p>
      <w:pPr>
        <w:spacing w:after="0" w:line="47" w:lineRule="exact"/>
        <w:rPr>
          <w:sz w:val="20"/>
          <w:szCs w:val="20"/>
          <w:color w:val="auto"/>
        </w:rPr>
      </w:pPr>
    </w:p>
    <w:p>
      <w:pPr>
        <w:jc w:val="both"/>
        <w:ind w:left="680" w:right="60" w:firstLine="399"/>
        <w:spacing w:after="0" w:line="276" w:lineRule="auto"/>
        <w:rPr>
          <w:sz w:val="20"/>
          <w:szCs w:val="20"/>
          <w:color w:val="auto"/>
        </w:rPr>
      </w:pPr>
      <w:r>
        <w:rPr>
          <w:rFonts w:ascii="Arial" w:cs="Arial" w:eastAsia="Arial" w:hAnsi="Arial"/>
          <w:sz w:val="13"/>
          <w:szCs w:val="13"/>
          <w:color w:val="auto"/>
        </w:rPr>
        <w:t>Our principal microwave competitors include large established companies such as Alcatel-Lucent, Ericsson, NEC, Huawei and Nokia Siemens Networks, as well as a number of other smaller public and private companies such as Ceragon, Dragonwave and SIAE Technologies in selected markets. Several of our competitors are original equipment manufacturers or systems integrators through which we sometimes distribute and sell products and services to end users.</w:t>
      </w:r>
    </w:p>
    <w:p>
      <w:pPr>
        <w:spacing w:after="0" w:line="59" w:lineRule="exact"/>
        <w:rPr>
          <w:sz w:val="20"/>
          <w:szCs w:val="20"/>
          <w:color w:val="auto"/>
        </w:rPr>
      </w:pPr>
    </w:p>
    <w:p>
      <w:pPr>
        <w:ind w:left="680" w:right="120" w:firstLine="399"/>
        <w:spacing w:after="0" w:line="294" w:lineRule="auto"/>
        <w:rPr>
          <w:sz w:val="20"/>
          <w:szCs w:val="20"/>
          <w:color w:val="auto"/>
        </w:rPr>
      </w:pPr>
      <w:r>
        <w:rPr>
          <w:rFonts w:ascii="Arial" w:cs="Arial" w:eastAsia="Arial" w:hAnsi="Arial"/>
          <w:sz w:val="13"/>
          <w:szCs w:val="13"/>
          <w:color w:val="auto"/>
        </w:rPr>
        <w:t>In the WiMAX access market we again compete against large established companies such as Alcatel-Lucent, Cisco, Huawei, Motorola and Samsung, as well as numerous tier 2 and 3 competitors that include Alvarion, Aperto and Redline.</w:t>
      </w:r>
    </w:p>
    <w:p>
      <w:pPr>
        <w:spacing w:after="0" w:line="47" w:lineRule="exact"/>
        <w:rPr>
          <w:sz w:val="20"/>
          <w:szCs w:val="20"/>
          <w:color w:val="auto"/>
        </w:rPr>
      </w:pPr>
    </w:p>
    <w:p>
      <w:pPr>
        <w:ind w:left="680" w:right="60" w:firstLine="399"/>
        <w:spacing w:after="0" w:line="267" w:lineRule="auto"/>
        <w:rPr>
          <w:sz w:val="20"/>
          <w:szCs w:val="20"/>
          <w:color w:val="auto"/>
        </w:rPr>
      </w:pPr>
      <w:r>
        <w:rPr>
          <w:rFonts w:ascii="Arial" w:cs="Arial" w:eastAsia="Arial" w:hAnsi="Arial"/>
          <w:sz w:val="13"/>
          <w:szCs w:val="13"/>
          <w:color w:val="auto"/>
        </w:rPr>
        <w:t>We concentrate on market opportunities that we believe are compatible with our resources, overall technological capabilities and objectives. Principal competitive factors are cost-effectiveness, product quality and reliability, technological capabilities, service, ability to meet delivery schedules and the effectiveness of dealers in international areas. We believe that the combination of our network and systems engineering support and service, global reach, technological innovation and agility, financial strength and close collaborative relationship with our customers, is the key competitive strengths for us. However, customers may still make decisions based purely on factors such as price and/or past or existing relationships.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Research, Development and Engineering</w:t>
      </w:r>
    </w:p>
    <w:p>
      <w:pPr>
        <w:spacing w:after="0" w:line="102" w:lineRule="exact"/>
        <w:rPr>
          <w:sz w:val="20"/>
          <w:szCs w:val="20"/>
          <w:color w:val="auto"/>
        </w:rPr>
      </w:pPr>
    </w:p>
    <w:p>
      <w:pPr>
        <w:jc w:val="both"/>
        <w:ind w:left="680" w:right="200" w:firstLine="399"/>
        <w:spacing w:after="0" w:line="276" w:lineRule="auto"/>
        <w:rPr>
          <w:sz w:val="20"/>
          <w:szCs w:val="20"/>
          <w:color w:val="auto"/>
        </w:rPr>
      </w:pPr>
      <w:r>
        <w:rPr>
          <w:rFonts w:ascii="Arial" w:cs="Arial" w:eastAsia="Arial" w:hAnsi="Arial"/>
          <w:sz w:val="13"/>
          <w:szCs w:val="13"/>
          <w:color w:val="auto"/>
        </w:rPr>
        <w:t>We believe that our ability to enhance our current products, develop and introduce new products on a timely basis, maintain technological competitiveness and meet customer requirements is essential to our success. Accordingly, we allocate, and intend to continue to allocate, a significant portion of our resources to research and development efforts in four major areas: Backhaul, Radio Access Networks, Core Networks and Network Management Systems.</w:t>
      </w:r>
    </w:p>
    <w:p>
      <w:pPr>
        <w:spacing w:after="0" w:line="59" w:lineRule="exact"/>
        <w:rPr>
          <w:sz w:val="20"/>
          <w:szCs w:val="20"/>
          <w:color w:val="auto"/>
        </w:rPr>
      </w:pPr>
    </w:p>
    <w:p>
      <w:pPr>
        <w:ind w:left="680" w:right="540" w:firstLine="399"/>
        <w:spacing w:after="0" w:line="294" w:lineRule="auto"/>
        <w:rPr>
          <w:sz w:val="20"/>
          <w:szCs w:val="20"/>
          <w:color w:val="auto"/>
        </w:rPr>
      </w:pPr>
      <w:r>
        <w:rPr>
          <w:rFonts w:ascii="Arial" w:cs="Arial" w:eastAsia="Arial" w:hAnsi="Arial"/>
          <w:sz w:val="13"/>
          <w:szCs w:val="13"/>
          <w:color w:val="auto"/>
        </w:rPr>
        <w:t>Our research, development and engineering expenditures totaled $40.4 million, or 5.9% of revenue, in fiscal 2009, $46.1 million, or 6.4% of revenue in fiscal 2008, and $39.4 million, or 7.8% of revenue in fiscal 2007.</w:t>
      </w:r>
    </w:p>
    <w:p>
      <w:pPr>
        <w:spacing w:after="0" w:line="47" w:lineRule="exact"/>
        <w:rPr>
          <w:sz w:val="20"/>
          <w:szCs w:val="20"/>
          <w:color w:val="auto"/>
        </w:rPr>
      </w:pPr>
    </w:p>
    <w:p>
      <w:pPr>
        <w:ind w:left="680" w:firstLine="399"/>
        <w:spacing w:after="0" w:line="270" w:lineRule="auto"/>
        <w:rPr>
          <w:sz w:val="20"/>
          <w:szCs w:val="20"/>
          <w:color w:val="auto"/>
        </w:rPr>
      </w:pPr>
      <w:r>
        <w:rPr>
          <w:rFonts w:ascii="Arial" w:cs="Arial" w:eastAsia="Arial" w:hAnsi="Arial"/>
          <w:sz w:val="13"/>
          <w:szCs w:val="13"/>
          <w:color w:val="auto"/>
        </w:rPr>
        <w:t>Research, development and engineering are primarily directed to the development of new products and to building technological capability. We are, and historically have been, an industry innovator. Consistent with our history and strategy of introducing innovative products, we intend to continue to focus significant resources on product development in an effort to maintain our competitiveness and support our entry into new markets. We maintain new product development programs that could result in new products and expansion of the Eclipse</w:t>
      </w:r>
      <w:r>
        <w:rPr>
          <w:rFonts w:ascii="Arial" w:cs="Arial" w:eastAsia="Arial" w:hAnsi="Arial"/>
          <w:sz w:val="13"/>
          <w:szCs w:val="13"/>
          <w:b w:val="1"/>
          <w:bCs w:val="1"/>
          <w:color w:val="auto"/>
        </w:rPr>
        <w:t>,</w:t>
      </w:r>
      <w:r>
        <w:rPr>
          <w:rFonts w:ascii="Arial" w:cs="Arial" w:eastAsia="Arial" w:hAnsi="Arial"/>
          <w:sz w:val="13"/>
          <w:szCs w:val="13"/>
          <w:color w:val="auto"/>
        </w:rPr>
        <w:t xml:space="preserve"> TRuepoint, NetBoss and the new StarMAX platform which was a result of the February 27, 2009 acquisition of Telsima Corporation.</w:t>
      </w:r>
    </w:p>
    <w:p>
      <w:pPr>
        <w:spacing w:after="0" w:line="27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16" w:name="page17"/>
    <w:bookmarkEnd w:id="1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We maintain an engineering and new product development department, with scientific assistance provided by advanced-technology departments. As of July 3, 2009, we employed a total of 261 people in our research and development organizations in Morrisville, North Carolina; San Jose, California; Wellington, New Zealand; Singapore; Slovenia and India.</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Patents and Other Intellectual Property</w:t>
      </w:r>
    </w:p>
    <w:p>
      <w:pPr>
        <w:spacing w:after="0" w:line="102"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We consider our patents and other intellectual property rights, in the aggregate, to constitute an important asset. We own a portfolio of patents, trade secrets, know-how, confidential information, trademarks, copyrights and other intellectual property. We also license intellectual property to and from third parties. As of August 21, 2009, we held 101 U.S. patents and 84 international patents and had 41 U.S. patent applications pending and 74 international patent applications pending. We do not consider our business to be materially dependent upon any single patent, license or other intellectual property right, or any group of related patents, licenses or other intellectual property rights. From time to time, we might engage in litigation to enforce our patents and other intellectual property or defend against claims of alleged infringement. Any of our patents, trade secrets, trademarks, copyrights and other proprietary rights could be challenged, invalidated or circumvented, or may not provide competitive advantages. Numerous trademarks used on or in connection with our products are also considered to be valuable assets.</w:t>
      </w:r>
    </w:p>
    <w:p>
      <w:pPr>
        <w:spacing w:after="0" w:line="68" w:lineRule="exact"/>
        <w:rPr>
          <w:sz w:val="20"/>
          <w:szCs w:val="20"/>
          <w:color w:val="auto"/>
        </w:rPr>
      </w:pPr>
    </w:p>
    <w:p>
      <w:pPr>
        <w:ind w:left="680" w:right="620" w:firstLine="399"/>
        <w:spacing w:after="0" w:line="338" w:lineRule="auto"/>
        <w:rPr>
          <w:sz w:val="20"/>
          <w:szCs w:val="20"/>
          <w:color w:val="auto"/>
        </w:rPr>
      </w:pPr>
      <w:r>
        <w:rPr>
          <w:rFonts w:ascii="Arial" w:cs="Arial" w:eastAsia="Arial" w:hAnsi="Arial"/>
          <w:sz w:val="12"/>
          <w:szCs w:val="12"/>
          <w:color w:val="auto"/>
        </w:rPr>
        <w:t>In addition, to protect confidential information, including our trade secrets, we require our employees and contractors to sign confidentiality and invention assignment agreements. We also enter into non-disclosure agreements with our suppliers and appropriate customers to limit access to and disclosure of our proprietary information.</w:t>
      </w:r>
    </w:p>
    <w:p>
      <w:pPr>
        <w:spacing w:after="0" w:line="24" w:lineRule="exact"/>
        <w:rPr>
          <w:sz w:val="20"/>
          <w:szCs w:val="20"/>
          <w:color w:val="auto"/>
        </w:rPr>
      </w:pPr>
    </w:p>
    <w:p>
      <w:pPr>
        <w:ind w:left="680" w:firstLine="399"/>
        <w:spacing w:after="0" w:line="267" w:lineRule="auto"/>
        <w:rPr>
          <w:sz w:val="20"/>
          <w:szCs w:val="20"/>
          <w:color w:val="auto"/>
        </w:rPr>
      </w:pPr>
      <w:r>
        <w:rPr>
          <w:rFonts w:ascii="Arial" w:cs="Arial" w:eastAsia="Arial" w:hAnsi="Arial"/>
          <w:sz w:val="13"/>
          <w:szCs w:val="13"/>
          <w:color w:val="auto"/>
        </w:rPr>
        <w:t>While our ability to compete may be affected by our ability to protect our intellectual property, we believe that, because of the rapid pace of technological change in the wireless telecommunications industry, our innovative skills, technical expertise and ability to introduce new products on a timely basis will be more important in maintaining our competitive position than protection of our intellectual property. Trade secret, trademark, copyright and patent protections are important but must be supported by other factors such as the expanding knowledge, ability and experience of our personnel, new product introductions and product enhancements. Although we continue to implement protective measures and intend to defend vigorously our intellectual property rights, there can be no assurance that these measures will be successful.</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Environmental and Other Regulations</w:t>
      </w:r>
    </w:p>
    <w:p>
      <w:pPr>
        <w:spacing w:after="0" w:line="102" w:lineRule="exact"/>
        <w:rPr>
          <w:sz w:val="20"/>
          <w:szCs w:val="20"/>
          <w:color w:val="auto"/>
        </w:rPr>
      </w:pPr>
    </w:p>
    <w:p>
      <w:pPr>
        <w:ind w:left="680" w:firstLine="399"/>
        <w:spacing w:after="0" w:line="288" w:lineRule="auto"/>
        <w:rPr>
          <w:sz w:val="20"/>
          <w:szCs w:val="20"/>
          <w:color w:val="auto"/>
        </w:rPr>
      </w:pPr>
      <w:r>
        <w:rPr>
          <w:rFonts w:ascii="Arial" w:cs="Arial" w:eastAsia="Arial" w:hAnsi="Arial"/>
          <w:sz w:val="12"/>
          <w:szCs w:val="12"/>
          <w:color w:val="auto"/>
        </w:rPr>
        <w:t>Our facilities and operations, in common with those of our industry in general, are subject to numerous domestic and international laws and regulations designed to protect the environment, particularly with regard to wastes and emissions. We believe that we have complied with these requirements and that such compliance has not had a material adverse effect on our results of operations, financial condition or cash flows. Based upon currently available information, we do not expect expenditures to protect the environment and to comply with current environmental laws and regulations over the next several years to have a material impact on our competitive or financial position, but can give no assurance that such expenditures will not exceed current expectations. From time to time, we receive notices from the U.S. Environmental Protection Agency or equivalent state or international environmental agencies that we are a potentially responsible party under the Comprehensive Environmental Response, Compensation and Liability Act, which is commonly known as the Superfund Act, and/or equivalent laws. Such notices assert potential liability for cleanup costs at various sites, which include sites owned by us, sites we previously owned and treatment or disposal sites not owned by us, allegedly containing hazardous substances attributable to us from past operations.</w:t>
      </w:r>
    </w:p>
    <w:p>
      <w:pPr>
        <w:spacing w:after="0" w:line="56"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Electronic products are subject to environmental regulation in a number of jurisdictions. Equipment produced by us is subject to domestic and international requirements requiring end-of-life management and/or restricting materials in products delivered to customers. We believe that we have complied with such rules and regulations, where applicable, with respect to our existing products sold into such jurisdictions.</w:t>
      </w:r>
    </w:p>
    <w:p>
      <w:pPr>
        <w:spacing w:after="0" w:line="59" w:lineRule="exact"/>
        <w:rPr>
          <w:sz w:val="20"/>
          <w:szCs w:val="20"/>
          <w:color w:val="auto"/>
        </w:rPr>
      </w:pPr>
    </w:p>
    <w:p>
      <w:pPr>
        <w:ind w:left="680" w:right="40" w:firstLine="399"/>
        <w:spacing w:after="0" w:line="294" w:lineRule="auto"/>
        <w:rPr>
          <w:sz w:val="20"/>
          <w:szCs w:val="20"/>
          <w:color w:val="auto"/>
        </w:rPr>
      </w:pPr>
      <w:r>
        <w:rPr>
          <w:rFonts w:ascii="Arial" w:cs="Arial" w:eastAsia="Arial" w:hAnsi="Arial"/>
          <w:sz w:val="13"/>
          <w:szCs w:val="13"/>
          <w:color w:val="auto"/>
        </w:rPr>
        <w:t>Radio communications are also subject to governmental regulation. Equipment produced by us is subject to domestic and international requirements to avoid interference among users of radio frequencies and to permit interconnection of telecommunications equipment. We believe that we have complied with such rules and</w:t>
      </w:r>
    </w:p>
    <w:p>
      <w:pPr>
        <w:spacing w:after="0" w:line="25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9" w:right="1039" w:bottom="1440" w:gutter="0" w:footer="0" w:header="0"/>
        </w:sectPr>
      </w:pPr>
    </w:p>
    <w:bookmarkStart w:id="17" w:name="page18"/>
    <w:bookmarkEnd w:id="1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160"/>
        <w:spacing w:after="0" w:line="294" w:lineRule="auto"/>
        <w:rPr>
          <w:sz w:val="20"/>
          <w:szCs w:val="20"/>
          <w:color w:val="auto"/>
        </w:rPr>
      </w:pPr>
      <w:r>
        <w:rPr>
          <w:rFonts w:ascii="Arial" w:cs="Arial" w:eastAsia="Arial" w:hAnsi="Arial"/>
          <w:sz w:val="13"/>
          <w:szCs w:val="13"/>
          <w:color w:val="auto"/>
        </w:rPr>
        <w:t>regulations with respect to our existing products, and we intend to comply with such rules and regulations with respect to our future products. Reallocation of the frequency spectrum also could impact our business, financial condition and results of operations.</w:t>
      </w:r>
    </w:p>
    <w:p>
      <w:pPr>
        <w:spacing w:after="0" w:line="12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Raw Materials and Supplies</w:t>
      </w:r>
    </w:p>
    <w:p>
      <w:pPr>
        <w:spacing w:after="0" w:line="102" w:lineRule="exact"/>
        <w:rPr>
          <w:sz w:val="20"/>
          <w:szCs w:val="20"/>
          <w:color w:val="auto"/>
        </w:rPr>
      </w:pPr>
    </w:p>
    <w:p>
      <w:pPr>
        <w:ind w:left="680" w:right="160" w:firstLine="399"/>
        <w:spacing w:after="0" w:line="270" w:lineRule="auto"/>
        <w:rPr>
          <w:sz w:val="20"/>
          <w:szCs w:val="20"/>
          <w:color w:val="auto"/>
        </w:rPr>
      </w:pPr>
      <w:r>
        <w:rPr>
          <w:rFonts w:ascii="Arial" w:cs="Arial" w:eastAsia="Arial" w:hAnsi="Arial"/>
          <w:sz w:val="13"/>
          <w:szCs w:val="13"/>
          <w:color w:val="auto"/>
        </w:rPr>
        <w:t>Because of the diversity of our products and services, as well as the wide geographic dispersion of our facilities, we use numerous sources for the wide array of raw materials needed for our operations and for our products, such as electronic components, printed circuit boards, metals and plastics. We are dependent upon suppliers and subcontractors for a large number of components and subsystems and upon the ability of our suppliers and subcontractors to adhere to customer or regulatory materials restrictions and meet performance and quality specifications and delivery schedules.</w:t>
      </w:r>
    </w:p>
    <w:p>
      <w:pPr>
        <w:spacing w:after="0" w:line="63" w:lineRule="exact"/>
        <w:rPr>
          <w:sz w:val="20"/>
          <w:szCs w:val="20"/>
          <w:color w:val="auto"/>
        </w:rPr>
      </w:pPr>
    </w:p>
    <w:p>
      <w:pPr>
        <w:ind w:left="680" w:firstLine="399"/>
        <w:spacing w:after="0" w:line="265" w:lineRule="auto"/>
        <w:rPr>
          <w:sz w:val="20"/>
          <w:szCs w:val="20"/>
          <w:color w:val="auto"/>
        </w:rPr>
      </w:pPr>
      <w:r>
        <w:rPr>
          <w:rFonts w:ascii="Arial" w:cs="Arial" w:eastAsia="Arial" w:hAnsi="Arial"/>
          <w:sz w:val="13"/>
          <w:szCs w:val="13"/>
          <w:color w:val="auto"/>
        </w:rPr>
        <w:t>Our strategy for procuring raw material and supplies includes dual sourcing on strategic assemblies and components. In general, we believe this reduces our risk in regards to the potential financial difficulties in our supply base. During fiscal 2009, we have not had any material disruptions in procuring raw materials and supplies. In some instances, we are dependent upon one or a few sources, either because of the specialized nature of a particular item or because of local content preference requirements pursuant to which we operate on a given project. Examples of sole or limited sourcing categories include metal fabrications and castings, for which we own the tooling and therefore limit our supplier relationships, and MMICs (a type of integrated circuit used in manufacturing microwave radios), which we procure at volume discount from a single source. Our supply chain plan includes mitigation plans for alternative manufacturing sources and identified alternate suppliers.</w:t>
      </w:r>
    </w:p>
    <w:p>
      <w:pPr>
        <w:spacing w:after="0" w:line="68"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While we have been affected by performance issues of some of our suppliers and subcontractors, we have not been materially adversely affected by the inability to obtain raw materials or products. In general, any performance issues causing short-term material shortages are within the normal frequency and impact range experienced by high-tech manufacturing companies. They are due primarily to the high technical nature of many of our purchased components.</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Employees</w:t>
      </w:r>
    </w:p>
    <w:p>
      <w:pPr>
        <w:spacing w:after="0" w:line="102" w:lineRule="exact"/>
        <w:rPr>
          <w:sz w:val="20"/>
          <w:szCs w:val="20"/>
          <w:color w:val="auto"/>
        </w:rPr>
      </w:pPr>
    </w:p>
    <w:p>
      <w:pPr>
        <w:ind w:left="680" w:right="120" w:firstLine="399"/>
        <w:spacing w:after="0" w:line="270" w:lineRule="auto"/>
        <w:rPr>
          <w:sz w:val="20"/>
          <w:szCs w:val="20"/>
          <w:color w:val="auto"/>
        </w:rPr>
      </w:pPr>
      <w:r>
        <w:rPr>
          <w:rFonts w:ascii="Arial" w:cs="Arial" w:eastAsia="Arial" w:hAnsi="Arial"/>
          <w:sz w:val="13"/>
          <w:szCs w:val="13"/>
          <w:color w:val="auto"/>
        </w:rPr>
        <w:t>As of July 3, 2009, we employed 1,521 people, compared with 1,410 people at the end of fiscal 2008. In February 2009, we added 146 employees through the acquisition of Telsima. Approximately 769 of our employees are located in the U.S. We also utilized approximately 100 independent contractors as of July 3, 2009. None of our employees in the U.S. is represented by a labor union. In certain international subsidiaries, our employees are represented by workers’ councils or statutory labor unions. In general, we believe that our relations with our employees are good.</w:t>
      </w:r>
    </w:p>
    <w:p>
      <w:pPr>
        <w:spacing w:after="0" w:line="14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Web site Access to Harris Stratex Reports; Available Information</w:t>
      </w:r>
    </w:p>
    <w:p>
      <w:pPr>
        <w:spacing w:after="0" w:line="102" w:lineRule="exact"/>
        <w:rPr>
          <w:sz w:val="20"/>
          <w:szCs w:val="20"/>
          <w:color w:val="auto"/>
        </w:rPr>
      </w:pPr>
    </w:p>
    <w:p>
      <w:pPr>
        <w:ind w:left="680" w:right="40" w:firstLine="399"/>
        <w:spacing w:after="0" w:line="299" w:lineRule="auto"/>
        <w:rPr>
          <w:sz w:val="20"/>
          <w:szCs w:val="20"/>
          <w:color w:val="auto"/>
        </w:rPr>
      </w:pPr>
      <w:r>
        <w:rPr>
          <w:rFonts w:ascii="Arial" w:cs="Arial" w:eastAsia="Arial" w:hAnsi="Arial"/>
          <w:sz w:val="12"/>
          <w:szCs w:val="12"/>
          <w:i w:val="1"/>
          <w:iCs w:val="1"/>
          <w:color w:val="auto"/>
        </w:rPr>
        <w:t xml:space="preserve">General. </w:t>
      </w:r>
      <w:r>
        <w:rPr>
          <w:rFonts w:ascii="Arial" w:cs="Arial" w:eastAsia="Arial" w:hAnsi="Arial"/>
          <w:sz w:val="12"/>
          <w:szCs w:val="12"/>
          <w:color w:val="auto"/>
        </w:rPr>
        <w:t>We maintain an Internet Web site at http://www.harrisstratex.com. Our annual reports on Form 10-K, proxy statement, quarterly reports on Form 10-Q, current reports</w:t>
      </w:r>
      <w:r>
        <w:rPr>
          <w:rFonts w:ascii="Arial" w:cs="Arial" w:eastAsia="Arial" w:hAnsi="Arial"/>
          <w:sz w:val="12"/>
          <w:szCs w:val="12"/>
          <w:i w:val="1"/>
          <w:iCs w:val="1"/>
          <w:color w:val="auto"/>
        </w:rPr>
        <w:t xml:space="preserve"> </w:t>
      </w:r>
      <w:r>
        <w:rPr>
          <w:rFonts w:ascii="Arial" w:cs="Arial" w:eastAsia="Arial" w:hAnsi="Arial"/>
          <w:sz w:val="12"/>
          <w:szCs w:val="12"/>
          <w:color w:val="auto"/>
        </w:rPr>
        <w:t>on Form 8-K and amendments to such reports, filed or furnished pursuant to Section 13(a) or 15(d) of the Securities Exchange Act of 1934, are available free of charge on our Web site as soon as reasonably practicable after these reports are electronically filed with, or furnished to, the Securities and Exchange Commission (“SEC”). Our website and the information posted thereon are not incorporated into this Annual Report on Form 10-K or any current or other periodic report that we file or furnish to the SEC.</w:t>
      </w:r>
    </w:p>
    <w:p>
      <w:pPr>
        <w:spacing w:after="0" w:line="48" w:lineRule="exact"/>
        <w:rPr>
          <w:sz w:val="20"/>
          <w:szCs w:val="20"/>
          <w:color w:val="auto"/>
        </w:rPr>
      </w:pPr>
    </w:p>
    <w:p>
      <w:pPr>
        <w:ind w:left="680" w:right="200" w:firstLine="399"/>
        <w:spacing w:after="0" w:line="309" w:lineRule="auto"/>
        <w:rPr>
          <w:sz w:val="20"/>
          <w:szCs w:val="20"/>
          <w:color w:val="auto"/>
        </w:rPr>
      </w:pPr>
      <w:r>
        <w:rPr>
          <w:rFonts w:ascii="Arial" w:cs="Arial" w:eastAsia="Arial" w:hAnsi="Arial"/>
          <w:sz w:val="12"/>
          <w:szCs w:val="12"/>
          <w:color w:val="auto"/>
        </w:rPr>
        <w:t>We will also provide the reports in electronic or paper form, free of charge upon request. All reports we file with or furnish to the SEC are also available free of charge via EDGAR through the SEC’s website at http://www.sec.gov. The public may read and copy any materials filed by us with the SEC at the SEC’s Public Reference Room, 100 F. Street, N.E., Washington, D.C. 20549. The public may obtain information on the operation of the Public Reference Room by calling the SEC at 1-800-SEC-0330.</w:t>
      </w:r>
    </w:p>
    <w:p>
      <w:pPr>
        <w:spacing w:after="0" w:line="41" w:lineRule="exact"/>
        <w:rPr>
          <w:sz w:val="20"/>
          <w:szCs w:val="20"/>
          <w:color w:val="auto"/>
        </w:rPr>
      </w:pPr>
    </w:p>
    <w:p>
      <w:pPr>
        <w:ind w:left="680" w:right="120" w:firstLine="399"/>
        <w:spacing w:after="0" w:line="294" w:lineRule="auto"/>
        <w:rPr>
          <w:sz w:val="20"/>
          <w:szCs w:val="20"/>
          <w:color w:val="auto"/>
        </w:rPr>
      </w:pPr>
      <w:r>
        <w:rPr>
          <w:rFonts w:ascii="Arial" w:cs="Arial" w:eastAsia="Arial" w:hAnsi="Arial"/>
          <w:sz w:val="13"/>
          <w:szCs w:val="13"/>
          <w:color w:val="auto"/>
        </w:rPr>
        <w:t>Additional information relating to our businesses, including our operating segments, is set forth in “Item 7. Management’s Discussion and Analysis of Financial Condition and Results of Operations.”</w:t>
      </w:r>
    </w:p>
    <w:p>
      <w:pPr>
        <w:spacing w:after="0" w:line="25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00"/>
          </w:cols>
          <w:pgMar w:left="220" w:top="349" w:right="1079" w:bottom="1440" w:gutter="0" w:footer="0" w:header="0"/>
        </w:sectPr>
      </w:pPr>
    </w:p>
    <w:bookmarkStart w:id="18" w:name="page19"/>
    <w:bookmarkEnd w:id="1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firstLine="399"/>
        <w:spacing w:after="0" w:line="270" w:lineRule="auto"/>
        <w:rPr>
          <w:sz w:val="20"/>
          <w:szCs w:val="20"/>
          <w:color w:val="auto"/>
        </w:rPr>
      </w:pPr>
      <w:r>
        <w:rPr>
          <w:rFonts w:ascii="Arial" w:cs="Arial" w:eastAsia="Arial" w:hAnsi="Arial"/>
          <w:sz w:val="13"/>
          <w:szCs w:val="13"/>
          <w:i w:val="1"/>
          <w:iCs w:val="1"/>
          <w:color w:val="auto"/>
        </w:rPr>
        <w:t xml:space="preserve">Corporate Governance Principles and Committee Charters. </w:t>
      </w:r>
      <w:r>
        <w:rPr>
          <w:rFonts w:ascii="Arial" w:cs="Arial" w:eastAsia="Arial" w:hAnsi="Arial"/>
          <w:sz w:val="13"/>
          <w:szCs w:val="13"/>
          <w:color w:val="auto"/>
        </w:rPr>
        <w:t>We have adopted Corporate Governance Principles, which are available on the Corporate Governance section of our</w:t>
      </w:r>
      <w:r>
        <w:rPr>
          <w:rFonts w:ascii="Arial" w:cs="Arial" w:eastAsia="Arial" w:hAnsi="Arial"/>
          <w:sz w:val="13"/>
          <w:szCs w:val="13"/>
          <w:i w:val="1"/>
          <w:iCs w:val="1"/>
          <w:color w:val="auto"/>
        </w:rPr>
        <w:t xml:space="preserve"> </w:t>
      </w:r>
      <w:r>
        <w:rPr>
          <w:rFonts w:ascii="Arial" w:cs="Arial" w:eastAsia="Arial" w:hAnsi="Arial"/>
          <w:sz w:val="13"/>
          <w:szCs w:val="13"/>
          <w:color w:val="auto"/>
        </w:rPr>
        <w:t>Web site at http://www.harrisstratex.com/cg/default.asp. In addition, the charters of each committee of our Board of Directors, including the Compensation Committee, Audit Committee and Governance and Nominating Committee, are also available on the Corporate Governance section of our Web site. Copies of these charters are also available free of charge upon written request to our Corporate Secretary at Harris Stratex Networks, Inc., 637 Davis Drive, Morrisville, North Carolina 27560.</w:t>
      </w:r>
    </w:p>
    <w:p>
      <w:pPr>
        <w:spacing w:after="0" w:line="141"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1A.</w:t>
      </w:r>
      <w:r>
        <w:rPr>
          <w:sz w:val="20"/>
          <w:szCs w:val="20"/>
          <w:color w:val="auto"/>
        </w:rPr>
        <w:tab/>
      </w:r>
      <w:r>
        <w:rPr>
          <w:rFonts w:ascii="Arial" w:cs="Arial" w:eastAsia="Arial" w:hAnsi="Arial"/>
          <w:sz w:val="11"/>
          <w:szCs w:val="11"/>
          <w:b w:val="1"/>
          <w:bCs w:val="1"/>
          <w:i w:val="1"/>
          <w:iCs w:val="1"/>
          <w:color w:val="auto"/>
        </w:rPr>
        <w:t>Risk Factors.</w:t>
      </w:r>
    </w:p>
    <w:p>
      <w:pPr>
        <w:spacing w:after="0" w:line="104" w:lineRule="exact"/>
        <w:rPr>
          <w:sz w:val="20"/>
          <w:szCs w:val="20"/>
          <w:color w:val="auto"/>
        </w:rPr>
      </w:pPr>
    </w:p>
    <w:p>
      <w:pPr>
        <w:jc w:val="both"/>
        <w:ind w:left="680" w:right="220" w:firstLine="399"/>
        <w:spacing w:after="0" w:line="309" w:lineRule="auto"/>
        <w:rPr>
          <w:sz w:val="20"/>
          <w:szCs w:val="20"/>
          <w:color w:val="auto"/>
        </w:rPr>
      </w:pPr>
      <w:r>
        <w:rPr>
          <w:rFonts w:ascii="Arial" w:cs="Arial" w:eastAsia="Arial" w:hAnsi="Arial"/>
          <w:sz w:val="12"/>
          <w:szCs w:val="12"/>
          <w:color w:val="auto"/>
        </w:rPr>
        <w:t>In addition to the risks described elsewhere in this Annual Report on Form 10-K and in certain of our other filings with the SEC, the following risks and uncertainties, among others, could cause our actual results to differ materially from those contemplated by us or by any forward-looking statement contained herein. Prospective and existing investors are strongly urged to carefully consider the various cautionary statements and risks set forth in this Annual Report on Form 10-K and our other public filings.</w:t>
      </w:r>
    </w:p>
    <w:p>
      <w:pPr>
        <w:spacing w:after="0" w:line="41"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We have many business risks including those related to our financial performance, investments in our common stock, operating our business and legal matters. The risks and uncertainties described below are not the only ones facing us. Additional risks and uncertainties that we are not aware of or focused on may also impair our business operations. If any of these risks actually occur, our financial condition and results of operations could be materially and adversely affected.</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may not be profitable.</w:t>
      </w:r>
    </w:p>
    <w:p>
      <w:pPr>
        <w:spacing w:after="0" w:line="102" w:lineRule="exact"/>
        <w:rPr>
          <w:sz w:val="20"/>
          <w:szCs w:val="20"/>
          <w:color w:val="auto"/>
        </w:rPr>
      </w:pPr>
    </w:p>
    <w:p>
      <w:pPr>
        <w:ind w:left="680" w:right="340" w:firstLine="399"/>
        <w:spacing w:after="0" w:line="338" w:lineRule="auto"/>
        <w:rPr>
          <w:sz w:val="20"/>
          <w:szCs w:val="20"/>
          <w:color w:val="auto"/>
        </w:rPr>
      </w:pPr>
      <w:r>
        <w:rPr>
          <w:rFonts w:ascii="Arial" w:cs="Arial" w:eastAsia="Arial" w:hAnsi="Arial"/>
          <w:sz w:val="12"/>
          <w:szCs w:val="12"/>
          <w:color w:val="auto"/>
        </w:rPr>
        <w:t>As measured under U.S. generally accepted accounting principles (“U.S. GAAP”), we have incurred a net loss in each of the last five fiscal years. We incurred a net loss of $355.0 million in fiscal 2009, $11.9 million in fiscal 2008 and $21.8 million in fiscal 2007. We can give no assurance that we will be consistently profitable, if at all.</w:t>
      </w:r>
    </w:p>
    <w:p>
      <w:pPr>
        <w:spacing w:after="0" w:line="105" w:lineRule="exact"/>
        <w:rPr>
          <w:sz w:val="20"/>
          <w:szCs w:val="20"/>
          <w:color w:val="auto"/>
        </w:rPr>
      </w:pPr>
    </w:p>
    <w:p>
      <w:pPr>
        <w:ind w:left="880" w:right="300"/>
        <w:spacing w:after="0" w:line="294" w:lineRule="auto"/>
        <w:rPr>
          <w:sz w:val="20"/>
          <w:szCs w:val="20"/>
          <w:color w:val="auto"/>
        </w:rPr>
      </w:pPr>
      <w:r>
        <w:rPr>
          <w:rFonts w:ascii="Arial" w:cs="Arial" w:eastAsia="Arial" w:hAnsi="Arial"/>
          <w:sz w:val="13"/>
          <w:szCs w:val="13"/>
          <w:b w:val="1"/>
          <w:bCs w:val="1"/>
          <w:i w:val="1"/>
          <w:iCs w:val="1"/>
          <w:color w:val="auto"/>
        </w:rPr>
        <w:t>The effects of the recession in the United States and general downturn in the global economy, including financial market disruptions, could have an adverse impact on our business, operating results or financial condition.</w:t>
      </w:r>
    </w:p>
    <w:p>
      <w:pPr>
        <w:spacing w:after="0" w:line="47" w:lineRule="exact"/>
        <w:rPr>
          <w:sz w:val="20"/>
          <w:szCs w:val="20"/>
          <w:color w:val="auto"/>
        </w:rPr>
      </w:pPr>
    </w:p>
    <w:p>
      <w:pPr>
        <w:ind w:left="680" w:right="40" w:firstLine="399"/>
        <w:spacing w:after="0" w:line="294" w:lineRule="auto"/>
        <w:rPr>
          <w:sz w:val="20"/>
          <w:szCs w:val="20"/>
          <w:color w:val="auto"/>
        </w:rPr>
      </w:pPr>
      <w:r>
        <w:rPr>
          <w:rFonts w:ascii="Arial" w:cs="Arial" w:eastAsia="Arial" w:hAnsi="Arial"/>
          <w:sz w:val="13"/>
          <w:szCs w:val="13"/>
          <w:color w:val="auto"/>
        </w:rPr>
        <w:t>The United States economy is in recession and there has been a general downturn in the global economy. A continuation or worsening of these conditions, including the ongoing credit and capital markets disruptions, could have an adverse impact on our business, operating results or financial condition in a number of ways. For example:</w:t>
      </w:r>
    </w:p>
    <w:p>
      <w:pPr>
        <w:spacing w:after="0" w:line="47" w:lineRule="exact"/>
        <w:rPr>
          <w:sz w:val="20"/>
          <w:szCs w:val="20"/>
          <w:color w:val="auto"/>
        </w:rPr>
      </w:pPr>
    </w:p>
    <w:p>
      <w:pPr>
        <w:ind w:left="1300" w:right="120" w:hanging="208"/>
        <w:spacing w:after="0" w:line="276" w:lineRule="auto"/>
        <w:tabs>
          <w:tab w:leader="none" w:pos="13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We may experience declines in revenues, profitability and cash flows as a result of reduced orders, payment delays or other factors caused by the economic problems of our customers and prospective customers. During the last quarter, some customers advised us of their intention to slow deployments to conserve cash. Such customer attitudes could continue to affect out business, financial condition and cash flows adversely.</w:t>
      </w:r>
    </w:p>
    <w:p>
      <w:pPr>
        <w:spacing w:after="0" w:line="48" w:lineRule="exact"/>
        <w:rPr>
          <w:rFonts w:ascii="Arial" w:cs="Arial" w:eastAsia="Arial" w:hAnsi="Arial"/>
          <w:sz w:val="13"/>
          <w:szCs w:val="13"/>
          <w:color w:val="auto"/>
        </w:rPr>
      </w:pPr>
    </w:p>
    <w:p>
      <w:pPr>
        <w:ind w:left="1300" w:hanging="208"/>
        <w:spacing w:after="0"/>
        <w:tabs>
          <w:tab w:leader="none" w:pos="13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We may experience supply chain delays, disruptions or other problems associated with financial constraints faced by our suppliers and subcontractors.</w:t>
      </w:r>
    </w:p>
    <w:p>
      <w:pPr>
        <w:spacing w:after="0" w:line="92" w:lineRule="exact"/>
        <w:rPr>
          <w:rFonts w:ascii="Arial" w:cs="Arial" w:eastAsia="Arial" w:hAnsi="Arial"/>
          <w:sz w:val="13"/>
          <w:szCs w:val="13"/>
          <w:color w:val="auto"/>
        </w:rPr>
      </w:pPr>
    </w:p>
    <w:p>
      <w:pPr>
        <w:ind w:left="1300" w:right="380" w:hanging="208"/>
        <w:spacing w:after="0" w:line="294" w:lineRule="auto"/>
        <w:tabs>
          <w:tab w:leader="none" w:pos="13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We may incur increased costs or experience difficulty either in making future borrowings under our credit facility or otherwise in obtaining financing for our operating activities, investing activities (including the financing of any future acquisitions) or financing activities.</w:t>
      </w:r>
    </w:p>
    <w:p>
      <w:pPr>
        <w:spacing w:after="0" w:line="12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Credit and commercial risks and exposures could increase if the financial condition of our customers declines.</w:t>
      </w:r>
    </w:p>
    <w:p>
      <w:pPr>
        <w:spacing w:after="0" w:line="102" w:lineRule="exact"/>
        <w:rPr>
          <w:sz w:val="20"/>
          <w:szCs w:val="20"/>
          <w:color w:val="auto"/>
        </w:rPr>
      </w:pPr>
    </w:p>
    <w:p>
      <w:pPr>
        <w:ind w:left="680" w:right="180" w:firstLine="399"/>
        <w:spacing w:after="0" w:line="270" w:lineRule="auto"/>
        <w:rPr>
          <w:sz w:val="20"/>
          <w:szCs w:val="20"/>
          <w:color w:val="auto"/>
        </w:rPr>
      </w:pPr>
      <w:r>
        <w:rPr>
          <w:rFonts w:ascii="Arial" w:cs="Arial" w:eastAsia="Arial" w:hAnsi="Arial"/>
          <w:sz w:val="13"/>
          <w:szCs w:val="13"/>
          <w:color w:val="auto"/>
        </w:rPr>
        <w:t>A substantial portion of our sales are to customers in the telecommunications industry. These customers may require their suppliers to provide extended payment terms, direct loans or other forms of financial support as a condition to obtaining commercial contracts. We expect that we may provide or commit to financing where appropriate for our business. Our ability to arrange or provide financing for our customers will depend on a number of factors, including our credit rating, our level of available credit and our ability to sell off commitments on acceptable terms. More generally, we expect to routinely enter into long-term contracts involving significant</w:t>
      </w:r>
    </w:p>
    <w:p>
      <w:pPr>
        <w:spacing w:after="0" w:line="27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9" w:right="1039" w:bottom="1440" w:gutter="0" w:footer="0" w:header="0"/>
        </w:sectPr>
      </w:pPr>
    </w:p>
    <w:bookmarkStart w:id="19" w:name="page20"/>
    <w:bookmarkEnd w:id="1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spacing w:after="0" w:line="263" w:lineRule="auto"/>
        <w:rPr>
          <w:sz w:val="20"/>
          <w:szCs w:val="20"/>
          <w:color w:val="auto"/>
        </w:rPr>
      </w:pPr>
      <w:r>
        <w:rPr>
          <w:rFonts w:ascii="Arial" w:cs="Arial" w:eastAsia="Arial" w:hAnsi="Arial"/>
          <w:sz w:val="13"/>
          <w:szCs w:val="13"/>
          <w:color w:val="auto"/>
        </w:rPr>
        <w:t>amounts to be paid by our customers over time. Pursuant to these contracts, we may deliver products and services representing an important portion of the contract price before receiving any significant payment from the customer. As a result of the financing that may be provided to customers and our commercial risk exposure under long-term contracts, our business could be adversely affected if the financial condition of our customers erodes. Over the past few years, certain of our customers have filed with the courts seeking protection under the bankruptcy or reorganization laws of the applicable jurisdiction, or have experienced financial difficulties. As a result of the more challenging economic environment, we saw some increase in the number of our customers experiencing such difficulties in 2008, and we expect that trend to intensify if global economy deteriorates further in 2009. That trend may be exacerbated in many emerging markets, where our customers are being affected not only by recession, but by deteriorating local currencies and a lack of credit. Upon the financial failure of a customer, we may experience losses on credit extended and loans made to such customer, losses relating to our commercial risk exposure and the loss of the customer’s ongoing business. If customers fail to meet their obligations to us, we may experience reduced cash flows and losses in excess of reserves, which could materially adversely impact our results of operations and financial position.</w:t>
      </w:r>
    </w:p>
    <w:p>
      <w:pPr>
        <w:spacing w:after="0" w:line="148" w:lineRule="exact"/>
        <w:rPr>
          <w:sz w:val="20"/>
          <w:szCs w:val="20"/>
          <w:color w:val="auto"/>
        </w:rPr>
      </w:pPr>
    </w:p>
    <w:p>
      <w:pPr>
        <w:jc w:val="center"/>
        <w:ind w:right="-59"/>
        <w:spacing w:after="0"/>
        <w:rPr>
          <w:sz w:val="20"/>
          <w:szCs w:val="20"/>
          <w:color w:val="auto"/>
        </w:rPr>
      </w:pPr>
      <w:r>
        <w:rPr>
          <w:rFonts w:ascii="Arial" w:cs="Arial" w:eastAsia="Arial" w:hAnsi="Arial"/>
          <w:sz w:val="13"/>
          <w:szCs w:val="13"/>
          <w:b w:val="1"/>
          <w:bCs w:val="1"/>
          <w:i w:val="1"/>
          <w:iCs w:val="1"/>
          <w:color w:val="auto"/>
        </w:rPr>
        <w:t>Our customers may not pay for products and services in a timely manner, or at all, which would decrease our cash flows and adversely affect our working capital.</w:t>
      </w:r>
    </w:p>
    <w:p>
      <w:pPr>
        <w:spacing w:after="0" w:line="102" w:lineRule="exact"/>
        <w:rPr>
          <w:sz w:val="20"/>
          <w:szCs w:val="20"/>
          <w:color w:val="auto"/>
        </w:rPr>
      </w:pPr>
    </w:p>
    <w:p>
      <w:pPr>
        <w:ind w:left="680" w:right="20" w:firstLine="399"/>
        <w:spacing w:after="0" w:line="263" w:lineRule="auto"/>
        <w:rPr>
          <w:sz w:val="20"/>
          <w:szCs w:val="20"/>
          <w:color w:val="auto"/>
        </w:rPr>
      </w:pPr>
      <w:r>
        <w:rPr>
          <w:rFonts w:ascii="Arial" w:cs="Arial" w:eastAsia="Arial" w:hAnsi="Arial"/>
          <w:sz w:val="13"/>
          <w:szCs w:val="13"/>
          <w:color w:val="auto"/>
        </w:rPr>
        <w:t xml:space="preserve">Our business requires extensive credit risk management that may not be adequate to protect against customer nonpayment. A risk of non-payment by customers is a significant focus of our business. We expect a significant amount of future revenue to come from international customers, many of whom will be startup telecom operators in developing countries. We do not generally expect to obtain collateral for sales, although we require letters of credit or credit insurance as appropriate for international customers. For information regarding the percentage of revenue attributable to certain key customers, see the risks discussed in the factor below titled </w:t>
      </w:r>
      <w:r>
        <w:rPr>
          <w:rFonts w:ascii="Arial" w:cs="Arial" w:eastAsia="Arial" w:hAnsi="Arial"/>
          <w:sz w:val="13"/>
          <w:szCs w:val="13"/>
          <w:i w:val="1"/>
          <w:iCs w:val="1"/>
          <w:color w:val="auto"/>
        </w:rPr>
        <w:t>“Because a significant amount of our revenue may come from a limited</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number of customers, the termination of any of these customer relationships may adversely affect our business.” </w:t>
      </w:r>
      <w:r>
        <w:rPr>
          <w:rFonts w:ascii="Arial" w:cs="Arial" w:eastAsia="Arial" w:hAnsi="Arial"/>
          <w:sz w:val="13"/>
          <w:szCs w:val="13"/>
          <w:color w:val="auto"/>
        </w:rPr>
        <w:t>Our historical accounts receivable balances have been concentrated in a</w:t>
      </w:r>
      <w:r>
        <w:rPr>
          <w:rFonts w:ascii="Arial" w:cs="Arial" w:eastAsia="Arial" w:hAnsi="Arial"/>
          <w:sz w:val="13"/>
          <w:szCs w:val="13"/>
          <w:i w:val="1"/>
          <w:iCs w:val="1"/>
          <w:color w:val="auto"/>
        </w:rPr>
        <w:t xml:space="preserve"> </w:t>
      </w:r>
      <w:r>
        <w:rPr>
          <w:rFonts w:ascii="Arial" w:cs="Arial" w:eastAsia="Arial" w:hAnsi="Arial"/>
          <w:sz w:val="13"/>
          <w:szCs w:val="13"/>
          <w:color w:val="auto"/>
        </w:rPr>
        <w:t>small number of significant customers. Unexpected adverse events impacting the financial condition of our customers, bank failures or other unfavorable regulatory, economic or political events in the countries in which we do business may impact collections and adversely impact our business, require increased bad debt expense or receivable write-offs and adversely impact our cash flows, financial condition and operating results.</w:t>
      </w:r>
    </w:p>
    <w:p>
      <w:pPr>
        <w:spacing w:after="0" w:line="150" w:lineRule="exact"/>
        <w:rPr>
          <w:sz w:val="20"/>
          <w:szCs w:val="20"/>
          <w:color w:val="auto"/>
        </w:rPr>
      </w:pPr>
    </w:p>
    <w:p>
      <w:pPr>
        <w:ind w:left="880" w:right="60"/>
        <w:spacing w:after="0" w:line="294" w:lineRule="auto"/>
        <w:rPr>
          <w:sz w:val="20"/>
          <w:szCs w:val="20"/>
          <w:color w:val="auto"/>
        </w:rPr>
      </w:pPr>
      <w:r>
        <w:rPr>
          <w:rFonts w:ascii="Arial" w:cs="Arial" w:eastAsia="Arial" w:hAnsi="Arial"/>
          <w:sz w:val="13"/>
          <w:szCs w:val="13"/>
          <w:b w:val="1"/>
          <w:bCs w:val="1"/>
          <w:i w:val="1"/>
          <w:iCs w:val="1"/>
          <w:color w:val="auto"/>
        </w:rPr>
        <w:t>Part of our inventory may be written off, which would increase our cost of revenues. In addition, we may be exposed to inventory-related losses on inventories purchased by our contract manufacturers.</w:t>
      </w:r>
    </w:p>
    <w:p>
      <w:pPr>
        <w:spacing w:after="0" w:line="47" w:lineRule="exact"/>
        <w:rPr>
          <w:sz w:val="20"/>
          <w:szCs w:val="20"/>
          <w:color w:val="auto"/>
        </w:rPr>
      </w:pPr>
    </w:p>
    <w:p>
      <w:pPr>
        <w:ind w:left="680" w:right="80" w:firstLine="399"/>
        <w:spacing w:after="0" w:line="294" w:lineRule="auto"/>
        <w:rPr>
          <w:sz w:val="20"/>
          <w:szCs w:val="20"/>
          <w:color w:val="auto"/>
        </w:rPr>
      </w:pPr>
      <w:r>
        <w:rPr>
          <w:rFonts w:ascii="Arial" w:cs="Arial" w:eastAsia="Arial" w:hAnsi="Arial"/>
          <w:sz w:val="13"/>
          <w:szCs w:val="13"/>
          <w:color w:val="auto"/>
        </w:rPr>
        <w:t>In fiscal 2009, we recorded charges of $29.8 million for product transition and $3.4 for purchase obligations from contract manufacturers. In fiscal 2008, we recorded charges of $14.7 million for inventory impairment charges resulting from post-merger product transitioning and product end-of-life events.</w:t>
      </w:r>
    </w:p>
    <w:p>
      <w:pPr>
        <w:spacing w:after="0" w:line="4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Inventory of raw materials, work in-process or finished products may accumulate in the future, and we may encounter losses due to a variety of factors, including:</w:t>
      </w:r>
    </w:p>
    <w:p>
      <w:pPr>
        <w:spacing w:after="0" w:line="102" w:lineRule="exact"/>
        <w:rPr>
          <w:sz w:val="20"/>
          <w:szCs w:val="20"/>
          <w:color w:val="auto"/>
        </w:rPr>
      </w:pPr>
    </w:p>
    <w:p>
      <w:pPr>
        <w:ind w:left="1300" w:hanging="208"/>
        <w:spacing w:after="0"/>
        <w:tabs>
          <w:tab w:leader="none" w:pos="13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Rapid technological change in the wireless telecommunications industry resulting in frequent product changes;</w:t>
      </w:r>
    </w:p>
    <w:p>
      <w:pPr>
        <w:spacing w:after="0" w:line="92" w:lineRule="exact"/>
        <w:rPr>
          <w:rFonts w:ascii="Arial" w:cs="Arial" w:eastAsia="Arial" w:hAnsi="Arial"/>
          <w:sz w:val="13"/>
          <w:szCs w:val="13"/>
          <w:color w:val="auto"/>
        </w:rPr>
      </w:pPr>
    </w:p>
    <w:p>
      <w:pPr>
        <w:ind w:left="1300" w:right="20" w:hanging="208"/>
        <w:spacing w:after="0" w:line="294" w:lineRule="auto"/>
        <w:tabs>
          <w:tab w:leader="none" w:pos="13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The need of our contract manufacturers to order raw materials that have long lead times and our inability to estimate exact amounts and types of items thus needed, especially with regard to the frequencies in which the final products ordered will operate; and</w:t>
      </w:r>
    </w:p>
    <w:p>
      <w:pPr>
        <w:spacing w:after="0" w:line="36" w:lineRule="exact"/>
        <w:rPr>
          <w:rFonts w:ascii="Arial" w:cs="Arial" w:eastAsia="Arial" w:hAnsi="Arial"/>
          <w:sz w:val="13"/>
          <w:szCs w:val="13"/>
          <w:color w:val="auto"/>
        </w:rPr>
      </w:pPr>
    </w:p>
    <w:p>
      <w:pPr>
        <w:ind w:left="1300" w:hanging="208"/>
        <w:spacing w:after="0"/>
        <w:tabs>
          <w:tab w:leader="none" w:pos="13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Cost reduction initiatives resulting in component changes within the products.</w:t>
      </w:r>
    </w:p>
    <w:p>
      <w:pPr>
        <w:spacing w:after="0" w:line="102" w:lineRule="exact"/>
        <w:rPr>
          <w:sz w:val="20"/>
          <w:szCs w:val="20"/>
          <w:color w:val="auto"/>
        </w:rPr>
      </w:pPr>
    </w:p>
    <w:p>
      <w:pPr>
        <w:ind w:left="680" w:right="60" w:firstLine="399"/>
        <w:spacing w:after="0" w:line="270" w:lineRule="auto"/>
        <w:rPr>
          <w:sz w:val="20"/>
          <w:szCs w:val="20"/>
          <w:color w:val="auto"/>
        </w:rPr>
      </w:pPr>
      <w:r>
        <w:rPr>
          <w:rFonts w:ascii="Arial" w:cs="Arial" w:eastAsia="Arial" w:hAnsi="Arial"/>
          <w:sz w:val="13"/>
          <w:szCs w:val="13"/>
          <w:color w:val="auto"/>
        </w:rPr>
        <w:t>Further, our inventory of finished products may accumulate as the result of cancellation of customer orders or our customers’ refusal to confirm the acceptance of our products. Our contract manufacturers are required to purchase inventory based on manufacturing projections we provide to them. If our actual orders from our customers are lower than these manufacturing projections, our contract manufacturers will have excess inventory of raw materials or finished products which we would be required to purchase. In addition, we require our contract manufacturers from time to time to purchase more inventory than is immediately required, and to partially assemble</w:t>
      </w:r>
    </w:p>
    <w:p>
      <w:pPr>
        <w:spacing w:after="0" w:line="27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20" w:name="page21"/>
    <w:bookmarkEnd w:id="2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40"/>
        <w:spacing w:after="0" w:line="292" w:lineRule="auto"/>
        <w:rPr>
          <w:sz w:val="20"/>
          <w:szCs w:val="20"/>
          <w:color w:val="auto"/>
        </w:rPr>
      </w:pPr>
      <w:r>
        <w:rPr>
          <w:rFonts w:ascii="Arial" w:cs="Arial" w:eastAsia="Arial" w:hAnsi="Arial"/>
          <w:sz w:val="12"/>
          <w:szCs w:val="12"/>
          <w:color w:val="auto"/>
        </w:rPr>
        <w:t>components, in order to shorten our delivery time in case of an increase in demand for our products. In the absence of such increase in demand, we may need to compensate our contract manufacturers. If we are required to purchase excess inventory from our contract manufacturers or otherwise compensate our contract manufacturers for purchasing excess inventory, our business, financial condition and results of operations could be materially adversely affected. We also may purchase components or raw materials from time to time for use by our contract manufacturers in the manufacturing of our products. These purchases are based on our own manufacturing projections. If our actual orders are lower than these manufacturing projections, we may accumulate excess inventory which we may be required to write-off. If we are forced to write-off this inventory other than in the normal course of business, our business, financial condition, results of operations could be materially affected adversely.</w:t>
      </w:r>
    </w:p>
    <w:p>
      <w:pPr>
        <w:spacing w:after="0" w:line="131" w:lineRule="exact"/>
        <w:rPr>
          <w:sz w:val="20"/>
          <w:szCs w:val="20"/>
          <w:color w:val="auto"/>
        </w:rPr>
      </w:pPr>
    </w:p>
    <w:p>
      <w:pPr>
        <w:ind w:left="880" w:right="640"/>
        <w:spacing w:after="0" w:line="294" w:lineRule="auto"/>
        <w:rPr>
          <w:sz w:val="20"/>
          <w:szCs w:val="20"/>
          <w:color w:val="auto"/>
        </w:rPr>
      </w:pPr>
      <w:r>
        <w:rPr>
          <w:rFonts w:ascii="Arial" w:cs="Arial" w:eastAsia="Arial" w:hAnsi="Arial"/>
          <w:sz w:val="13"/>
          <w:szCs w:val="13"/>
          <w:b w:val="1"/>
          <w:bCs w:val="1"/>
          <w:i w:val="1"/>
          <w:iCs w:val="1"/>
          <w:color w:val="auto"/>
        </w:rPr>
        <w:t>We may undertake further restructurings which may adversely impact our operations, and we may not realize all of the anticipated benefits of our prior or any future restructurings.</w:t>
      </w:r>
    </w:p>
    <w:p>
      <w:pPr>
        <w:spacing w:after="0" w:line="47" w:lineRule="exact"/>
        <w:rPr>
          <w:sz w:val="20"/>
          <w:szCs w:val="20"/>
          <w:color w:val="auto"/>
        </w:rPr>
      </w:pPr>
    </w:p>
    <w:p>
      <w:pPr>
        <w:ind w:left="680" w:firstLine="399"/>
        <w:spacing w:after="0" w:line="292" w:lineRule="auto"/>
        <w:rPr>
          <w:sz w:val="20"/>
          <w:szCs w:val="20"/>
          <w:color w:val="auto"/>
        </w:rPr>
      </w:pPr>
      <w:r>
        <w:rPr>
          <w:rFonts w:ascii="Arial" w:cs="Arial" w:eastAsia="Arial" w:hAnsi="Arial"/>
          <w:sz w:val="12"/>
          <w:szCs w:val="12"/>
          <w:color w:val="auto"/>
        </w:rPr>
        <w:t>We continue to restructure and transform our business to realign resources and achieve desired cost savings in an increasingly competitive market. During fiscal 2009, 2008 and 2007, we undertook restructuring activities implemented within the merger restructuring plans approved in connection with the January 26, 2007 merger between the Microwave Communications Division of Harris Corporation and Stratex Networks, Inc. Additionally, during the first quarter of fiscal 2009, we announced a new restructuring plan (the “Fiscal 2009 Plan”) to reduce our worldwide workforce. These restructuring plans included the consolidation of facilities and operations of the predecessor entities in Canada, France, the U.S., China, Brazil and, to a lesser extent, Mexico, New Zealand and the United Kingdom. If we consolidate additional facilities in the future, we may incur additional restructuring and related expenses, which could have a material adverse effect on our business, financial condition or results of operations.</w:t>
      </w:r>
    </w:p>
    <w:p>
      <w:pPr>
        <w:spacing w:after="0" w:line="51" w:lineRule="exact"/>
        <w:rPr>
          <w:sz w:val="20"/>
          <w:szCs w:val="20"/>
          <w:color w:val="auto"/>
        </w:rPr>
      </w:pPr>
    </w:p>
    <w:p>
      <w:pPr>
        <w:jc w:val="both"/>
        <w:ind w:left="680" w:right="60" w:firstLine="399"/>
        <w:spacing w:after="0" w:line="265" w:lineRule="auto"/>
        <w:rPr>
          <w:sz w:val="20"/>
          <w:szCs w:val="20"/>
          <w:color w:val="auto"/>
        </w:rPr>
      </w:pPr>
      <w:r>
        <w:rPr>
          <w:rFonts w:ascii="Arial" w:cs="Arial" w:eastAsia="Arial" w:hAnsi="Arial"/>
          <w:sz w:val="13"/>
          <w:szCs w:val="13"/>
          <w:color w:val="auto"/>
        </w:rPr>
        <w:t>We have based our restructuring efforts on assumptions and plans regarding the appropriate cost structure of our businesses based on our product mix and projected sales among other factors. These assumptions may not be correct and we may not be able to operate in accordance with our plans. Should this occur we may determine that we must incur additional restructuring charges in the future. Moreover, we cannot assure you that we will realize all of the anticipated benefits of the restructurings or that we will not further reduce or otherwise adjust our workforce or exit, or dispose of, certain businesses and protect lines. Any decision by management to further limit investment, exit, or dispose of businesses may result in the recording of additional restructuring charges. As a result, the costs actually incurred in connection with the restructuring efforts may be higher than originally planned and may not lead to the anticipated cost savings and/or improved results.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average sales prices may decline in the future.</w:t>
      </w:r>
    </w:p>
    <w:p>
      <w:pPr>
        <w:spacing w:after="0" w:line="102"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Currently, manufacturers of digital microwave telecommunications equipment are experiencing, and are likely to continue to experience, declining sales prices. This price pressure is likely to result in downward pricing pressure on our products and services. As a result, we are likely to experience declining average sales prices for our products. Our future profitability will depend upon our ability to improve manufacturing efficiencies, reduce costs of materials used in our products, and to continue to introduce new lower-cost products and product enhancements. If we are unable to respond to increased price competition, our business, financial condition and results of operations will be harmed. Because customers frequently negotiate supply arrangements far in advance of delivery dates, we may be required to commit to price reductions for our products before we are aware of how, or if, cost reductions can be obtained. As a result, current or future price reduction commitments and any inability on our part to respond to increased price competition, could harm our business, financial condition and results of operations.</w:t>
      </w:r>
    </w:p>
    <w:p>
      <w:pPr>
        <w:spacing w:after="0" w:line="14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may experience additional impairment charges for our intangible assets or goodwill.</w:t>
      </w:r>
    </w:p>
    <w:p>
      <w:pPr>
        <w:spacing w:after="0" w:line="102" w:lineRule="exact"/>
        <w:rPr>
          <w:sz w:val="20"/>
          <w:szCs w:val="20"/>
          <w:color w:val="auto"/>
        </w:rPr>
      </w:pPr>
    </w:p>
    <w:p>
      <w:pPr>
        <w:ind w:left="680" w:right="240" w:firstLine="399"/>
        <w:spacing w:after="0" w:line="270" w:lineRule="auto"/>
        <w:rPr>
          <w:sz w:val="20"/>
          <w:szCs w:val="20"/>
          <w:color w:val="auto"/>
        </w:rPr>
      </w:pPr>
      <w:r>
        <w:rPr>
          <w:rFonts w:ascii="Arial" w:cs="Arial" w:eastAsia="Arial" w:hAnsi="Arial"/>
          <w:sz w:val="13"/>
          <w:szCs w:val="13"/>
          <w:color w:val="auto"/>
        </w:rPr>
        <w:t>During fiscal 2009, we recorded charges of $279.0 million to write-off all of our goodwill prior to the acquisition of Telsima and $32.6 million for a majority of our “Stratex” trade name indefinite lived-asset. As a result, the remaining value of the “Stratex” trade name was $0.4 million as of July 3, 2009 and it has a useful life of six months. As of July 3, 2009, the net carrying value of our total definite-lived intangible assets, and recently acquired goodwill from the Telsima acquisition totaled approximately $84.1 million and $3.2 million.</w:t>
      </w:r>
    </w:p>
    <w:p>
      <w:pPr>
        <w:spacing w:after="0" w:line="27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21" w:name="page22"/>
    <w:bookmarkEnd w:id="2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 xml:space="preserve">Our intangible assets are subject to impairment testing in accordance with Statement of Financial Accounting Standards No. 144, </w:t>
      </w:r>
      <w:r>
        <w:rPr>
          <w:rFonts w:ascii="Arial" w:cs="Arial" w:eastAsia="Arial" w:hAnsi="Arial"/>
          <w:sz w:val="13"/>
          <w:szCs w:val="13"/>
          <w:i w:val="1"/>
          <w:iCs w:val="1"/>
          <w:color w:val="auto"/>
        </w:rPr>
        <w:t>Accounting for the Impairment or Disposal of</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Long-lived Assets </w:t>
      </w:r>
      <w:r>
        <w:rPr>
          <w:rFonts w:ascii="Arial" w:cs="Arial" w:eastAsia="Arial" w:hAnsi="Arial"/>
          <w:sz w:val="13"/>
          <w:szCs w:val="13"/>
          <w:color w:val="auto"/>
        </w:rPr>
        <w:t>and our goodwill is subject to an impairment test in accordance with Statement No. 142,</w:t>
      </w:r>
      <w:r>
        <w:rPr>
          <w:rFonts w:ascii="Arial" w:cs="Arial" w:eastAsia="Arial" w:hAnsi="Arial"/>
          <w:sz w:val="13"/>
          <w:szCs w:val="13"/>
          <w:i w:val="1"/>
          <w:iCs w:val="1"/>
          <w:color w:val="auto"/>
        </w:rPr>
        <w:t xml:space="preserve"> Goodwill and Other Intangible Assets</w:t>
      </w:r>
      <w:r>
        <w:rPr>
          <w:rFonts w:ascii="Arial" w:cs="Arial" w:eastAsia="Arial" w:hAnsi="Arial"/>
          <w:sz w:val="13"/>
          <w:szCs w:val="13"/>
          <w:color w:val="auto"/>
        </w:rPr>
        <w:t>. We review the carrying value of our</w:t>
      </w:r>
      <w:r>
        <w:rPr>
          <w:rFonts w:ascii="Arial" w:cs="Arial" w:eastAsia="Arial" w:hAnsi="Arial"/>
          <w:sz w:val="13"/>
          <w:szCs w:val="13"/>
          <w:i w:val="1"/>
          <w:iCs w:val="1"/>
          <w:color w:val="auto"/>
        </w:rPr>
        <w:t xml:space="preserve"> </w:t>
      </w:r>
      <w:r>
        <w:rPr>
          <w:rFonts w:ascii="Arial" w:cs="Arial" w:eastAsia="Arial" w:hAnsi="Arial"/>
          <w:sz w:val="13"/>
          <w:szCs w:val="13"/>
          <w:color w:val="auto"/>
        </w:rPr>
        <w:t>intangible assets and goodwill for impairment whenever events or circumstances indicate that their carrying amount may not be recoverable. Significant negative industry or economic trends, including a lack of recovery in the market price of our common stock or the fair value of our debt, disruptions to our business, unexpected significant changes or planned changes in the use of the intangible assets, and mergers and acquisitions could result in the need to reassess the fair value of our assets and liabilities which could lead to an impairment charge for any of our definite-lived intangible assets or goodwill. An impairment charge related to our intangible assets or goodwill could have a significant adverse effect on our financial position and results of operations in the period in which it is incurred.</w:t>
      </w:r>
    </w:p>
    <w:p>
      <w:pPr>
        <w:spacing w:after="0" w:line="14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effective tax rate could be highly volatile and could adversely affect our operating results.</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future effective tax rate may be adversely affected by a number of factors, many of which are outside of our control, including:</w:t>
      </w:r>
    </w:p>
    <w:p>
      <w:pPr>
        <w:spacing w:after="0" w:line="102" w:lineRule="exact"/>
        <w:rPr>
          <w:sz w:val="20"/>
          <w:szCs w:val="20"/>
          <w:color w:val="auto"/>
        </w:rPr>
      </w:pPr>
    </w:p>
    <w:p>
      <w:pPr>
        <w:ind w:left="1300" w:hanging="208"/>
        <w:spacing w:after="0"/>
        <w:tabs>
          <w:tab w:leader="none" w:pos="13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The jurisdictions in which profits are determined to be earned and taxed;</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Adjustments to estimated taxes upon finalization of various tax returns;</w:t>
      </w:r>
    </w:p>
    <w:p>
      <w:pPr>
        <w:spacing w:after="0" w:line="92" w:lineRule="exact"/>
        <w:rPr>
          <w:rFonts w:ascii="Arial" w:cs="Arial" w:eastAsia="Arial" w:hAnsi="Arial"/>
          <w:sz w:val="13"/>
          <w:szCs w:val="13"/>
          <w:color w:val="auto"/>
        </w:rPr>
      </w:pPr>
    </w:p>
    <w:p>
      <w:pPr>
        <w:ind w:left="1300" w:right="120" w:hanging="208"/>
        <w:spacing w:after="0" w:line="294" w:lineRule="auto"/>
        <w:tabs>
          <w:tab w:leader="none" w:pos="13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Increases in expenses not deductible for tax purposes, including write-offs of acquired in-process research and development and impairment of goodwill in connection with acquisitions;</w:t>
      </w:r>
    </w:p>
    <w:p>
      <w:pPr>
        <w:spacing w:after="0" w:line="36" w:lineRule="exact"/>
        <w:rPr>
          <w:rFonts w:ascii="Arial" w:cs="Arial" w:eastAsia="Arial" w:hAnsi="Arial"/>
          <w:sz w:val="13"/>
          <w:szCs w:val="13"/>
          <w:color w:val="auto"/>
        </w:rPr>
      </w:pPr>
    </w:p>
    <w:p>
      <w:pPr>
        <w:ind w:left="1300" w:hanging="208"/>
        <w:spacing w:after="0"/>
        <w:tabs>
          <w:tab w:leader="none" w:pos="13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Changes in available tax credits;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Changes in share-based compensation expense;</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Changes in the valuation of our deferred tax assets and liabilities;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Changes in domestic or international tax laws or the interpretation of such tax laws; and</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The resolution of issues arising from tax audits with various tax authorities.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The tax effects of purchase accounting for acquisitions and restructuring charges that may cause fluctuations between reporting periods.</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Any significant increase in our future effective tax rates could impact our results of operations for future periods adversely.</w:t>
      </w:r>
    </w:p>
    <w:p>
      <w:pPr>
        <w:spacing w:after="0" w:line="183" w:lineRule="exact"/>
        <w:rPr>
          <w:sz w:val="20"/>
          <w:szCs w:val="20"/>
          <w:color w:val="auto"/>
        </w:rPr>
      </w:pPr>
    </w:p>
    <w:p>
      <w:pPr>
        <w:ind w:left="880" w:right="80"/>
        <w:spacing w:after="0" w:line="294" w:lineRule="auto"/>
        <w:rPr>
          <w:sz w:val="20"/>
          <w:szCs w:val="20"/>
          <w:color w:val="auto"/>
        </w:rPr>
      </w:pPr>
      <w:r>
        <w:rPr>
          <w:rFonts w:ascii="Arial" w:cs="Arial" w:eastAsia="Arial" w:hAnsi="Arial"/>
          <w:sz w:val="13"/>
          <w:szCs w:val="13"/>
          <w:b w:val="1"/>
          <w:bCs w:val="1"/>
          <w:i w:val="1"/>
          <w:iCs w:val="1"/>
          <w:color w:val="auto"/>
        </w:rPr>
        <w:t>Termination of our transitional services agreements with Harris before we have established our own fully independent administrative and other support functions could impair our ability to operate our business effectively and materially increase our general and administrative expenses.</w:t>
      </w:r>
    </w:p>
    <w:p>
      <w:pPr>
        <w:spacing w:after="0" w:line="47" w:lineRule="exact"/>
        <w:rPr>
          <w:sz w:val="20"/>
          <w:szCs w:val="20"/>
          <w:color w:val="auto"/>
        </w:rPr>
      </w:pPr>
    </w:p>
    <w:p>
      <w:pPr>
        <w:ind w:left="680" w:firstLine="399"/>
        <w:spacing w:after="0" w:line="288" w:lineRule="auto"/>
        <w:rPr>
          <w:sz w:val="20"/>
          <w:szCs w:val="20"/>
          <w:color w:val="auto"/>
        </w:rPr>
      </w:pPr>
      <w:r>
        <w:rPr>
          <w:rFonts w:ascii="Arial" w:cs="Arial" w:eastAsia="Arial" w:hAnsi="Arial"/>
          <w:sz w:val="12"/>
          <w:szCs w:val="12"/>
          <w:color w:val="auto"/>
        </w:rPr>
        <w:t>On January 26, 2007, we completed our merger with Stratex Networks, Inc. Prior to the merger, we were a division of Harris Corporation and we relied on administrative and other resources of Harris to operate our business. In connection with the merger, we entered into a transition services agreement with Harris to retain the ability to use these Harris resources at our option, some for a specified term, which pursuant to an amendment in the second quarter of fiscal 2009, will expire September 30, 2010. Pursuant to the transition services agreement, Harris provides us with database management, supply chain systems, sales and service, financial systems, HR systems, internal and information systems shared services support, network management and help desk support, and server administration and support, and charges us for these services at a stipulated rate based on our actual usage. This agreement can be terminated by either party upon 90 days’ prior written notice. We must be able to replace these services prior to termination of the transition services agreement. It is likely that replacing these services will require new capital expenditures and that our costs for these services may increase once we are no longer receiving these services from Harris under the current agreement. This could adversely affect our operating results and cash flows going forward.</w:t>
      </w:r>
    </w:p>
    <w:p>
      <w:pPr>
        <w:spacing w:after="0" w:line="267"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9" w:right="1039" w:bottom="1440" w:gutter="0" w:footer="0" w:header="0"/>
        </w:sectPr>
      </w:pPr>
    </w:p>
    <w:bookmarkStart w:id="22" w:name="page23"/>
    <w:bookmarkEnd w:id="2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880" w:right="220"/>
        <w:spacing w:after="0" w:line="294" w:lineRule="auto"/>
        <w:rPr>
          <w:sz w:val="20"/>
          <w:szCs w:val="20"/>
          <w:color w:val="auto"/>
        </w:rPr>
      </w:pPr>
      <w:r>
        <w:rPr>
          <w:rFonts w:ascii="Arial" w:cs="Arial" w:eastAsia="Arial" w:hAnsi="Arial"/>
          <w:sz w:val="13"/>
          <w:szCs w:val="13"/>
          <w:b w:val="1"/>
          <w:bCs w:val="1"/>
          <w:i w:val="1"/>
          <w:iCs w:val="1"/>
          <w:color w:val="auto"/>
        </w:rPr>
        <w:t>Because a significant amount of our revenue may come from a limited number of customers, the termination of any of these customer relationships may adversely affect our business.</w:t>
      </w:r>
    </w:p>
    <w:p>
      <w:pPr>
        <w:spacing w:after="0" w:line="47" w:lineRule="exact"/>
        <w:rPr>
          <w:sz w:val="20"/>
          <w:szCs w:val="20"/>
          <w:color w:val="auto"/>
        </w:rPr>
      </w:pPr>
    </w:p>
    <w:p>
      <w:pPr>
        <w:ind w:left="680" w:right="160" w:firstLine="399"/>
        <w:spacing w:after="0" w:line="267" w:lineRule="auto"/>
        <w:rPr>
          <w:sz w:val="20"/>
          <w:szCs w:val="20"/>
          <w:color w:val="auto"/>
        </w:rPr>
      </w:pPr>
      <w:r>
        <w:rPr>
          <w:rFonts w:ascii="Arial" w:cs="Arial" w:eastAsia="Arial" w:hAnsi="Arial"/>
          <w:sz w:val="13"/>
          <w:szCs w:val="13"/>
          <w:color w:val="auto"/>
        </w:rPr>
        <w:t>Sales of our products and services historically have been concentrated in a small number of customers. Principal customers for our products and services include domestic and international wireless/mobile service providers, original equipment manufacturers, as well as private network users such as public safety agencies; government institutions; and utility, pipeline, railroad and other industrial enterprises that operate broadband wireless networks. We had revenue from a single external customer that exceeded 10% of our total revenue during fiscal 2009 and 2008, but not during fiscal 2007. Although we have a large customer base, during any given quarter, a small number of customers may account for a significant portion of our revenue.</w:t>
      </w:r>
    </w:p>
    <w:p>
      <w:pPr>
        <w:spacing w:after="0" w:line="65" w:lineRule="exact"/>
        <w:rPr>
          <w:sz w:val="20"/>
          <w:szCs w:val="20"/>
          <w:color w:val="auto"/>
        </w:rPr>
      </w:pPr>
    </w:p>
    <w:p>
      <w:pPr>
        <w:ind w:left="680" w:right="40" w:firstLine="399"/>
        <w:spacing w:after="0" w:line="295" w:lineRule="auto"/>
        <w:rPr>
          <w:sz w:val="20"/>
          <w:szCs w:val="20"/>
          <w:color w:val="auto"/>
        </w:rPr>
      </w:pPr>
      <w:r>
        <w:rPr>
          <w:rFonts w:ascii="Arial" w:cs="Arial" w:eastAsia="Arial" w:hAnsi="Arial"/>
          <w:sz w:val="12"/>
          <w:szCs w:val="12"/>
          <w:color w:val="auto"/>
        </w:rPr>
        <w:t>It is possible that a significant portion of our future product sales also could be concentrated in a limited number of customers. In addition, product sales to major customers have varied widely from period to period. The loss of any existing customer, a significant reduction in the level of sales to any existing customer, or our inability to gain additional customers could result in declines in our revenue or an inability to grow revenue. In addition, consolidation of our potential customer base could result in purchasing decision delays as consolidating customers integrate their operations and could generally reduce our opportunities to win new customers to the extent that the number of potential customers decreases. Furthermore, as our customers become larger, they may have more leverage to negotiate better pricing which could adversely affect our revenues and gross margins.</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3"/>
          <w:szCs w:val="13"/>
          <w:b w:val="1"/>
          <w:bCs w:val="1"/>
          <w:i w:val="1"/>
          <w:iCs w:val="1"/>
          <w:color w:val="auto"/>
        </w:rPr>
        <w:t>We will face strong competition for maintaining and improving our position in the market, which could adversely affect our revenue growth and operating results.</w:t>
      </w:r>
    </w:p>
    <w:p>
      <w:pPr>
        <w:spacing w:after="0" w:line="102" w:lineRule="exact"/>
        <w:rPr>
          <w:sz w:val="20"/>
          <w:szCs w:val="20"/>
          <w:color w:val="auto"/>
        </w:rPr>
      </w:pPr>
    </w:p>
    <w:p>
      <w:pPr>
        <w:ind w:left="680" w:firstLine="399"/>
        <w:spacing w:after="0" w:line="290" w:lineRule="auto"/>
        <w:rPr>
          <w:sz w:val="20"/>
          <w:szCs w:val="20"/>
          <w:color w:val="auto"/>
        </w:rPr>
      </w:pPr>
      <w:r>
        <w:rPr>
          <w:rFonts w:ascii="Arial" w:cs="Arial" w:eastAsia="Arial" w:hAnsi="Arial"/>
          <w:sz w:val="12"/>
          <w:szCs w:val="12"/>
          <w:color w:val="auto"/>
        </w:rPr>
        <w:t>The wireless interconnection and access business is a specialized segment of the wireless telecommunications industry and is extremely competitive. We expect competition in this segment to increase. Some of our competitors have more extensive engineering, manufacturing and marketing capabilities and significantly greater financial, technical and personnel resources than we have. In addition, some of our competitors have greater name recognition, broader product lines, a larger installed base of products and longer-standing customer relationships. Our competitors include established companies, such as Alcatel-Lucent, Eltek ASA, Ericsson, NEC and Nokia Siemens Networks, as well as a number of other public and private companies such as Ceragon and Huawei Technologies in selected markets. Some of our competitors are original equipment manufacturers or systems integrators through whom we market and sell our products, which means our business success may depend on these competitors to some extent. One or more of our largest customers could internally develop the capability to manufacture products similar to those manufactured or outsourced by us and, as a result, the demand for our products and services may decrease.</w:t>
      </w:r>
    </w:p>
    <w:p>
      <w:pPr>
        <w:spacing w:after="0" w:line="52" w:lineRule="exact"/>
        <w:rPr>
          <w:sz w:val="20"/>
          <w:szCs w:val="20"/>
          <w:color w:val="auto"/>
        </w:rPr>
      </w:pPr>
    </w:p>
    <w:p>
      <w:pPr>
        <w:ind w:left="680" w:right="220" w:firstLine="399"/>
        <w:spacing w:after="0" w:line="338" w:lineRule="auto"/>
        <w:rPr>
          <w:sz w:val="20"/>
          <w:szCs w:val="20"/>
          <w:color w:val="auto"/>
        </w:rPr>
      </w:pPr>
      <w:r>
        <w:rPr>
          <w:rFonts w:ascii="Arial" w:cs="Arial" w:eastAsia="Arial" w:hAnsi="Arial"/>
          <w:sz w:val="12"/>
          <w:szCs w:val="12"/>
          <w:color w:val="auto"/>
        </w:rPr>
        <w:t>In addition, we compete for acquisition and expansion opportunities with many entities that have substantially greater resources than we have. Our competitors may enter into business combinations in order to accelerate product development or to compete more aggressively and we may lack the resources to meet such enhanced competitions.</w:t>
      </w:r>
    </w:p>
    <w:p>
      <w:pPr>
        <w:spacing w:after="0" w:line="24" w:lineRule="exact"/>
        <w:rPr>
          <w:sz w:val="20"/>
          <w:szCs w:val="20"/>
          <w:color w:val="auto"/>
        </w:rPr>
      </w:pPr>
    </w:p>
    <w:p>
      <w:pPr>
        <w:ind w:left="680" w:firstLine="399"/>
        <w:spacing w:after="0" w:line="295" w:lineRule="auto"/>
        <w:rPr>
          <w:sz w:val="20"/>
          <w:szCs w:val="20"/>
          <w:color w:val="auto"/>
        </w:rPr>
      </w:pPr>
      <w:r>
        <w:rPr>
          <w:rFonts w:ascii="Arial" w:cs="Arial" w:eastAsia="Arial" w:hAnsi="Arial"/>
          <w:sz w:val="12"/>
          <w:szCs w:val="12"/>
          <w:color w:val="auto"/>
        </w:rPr>
        <w:t>Our ability to compete successfully will depend on a number of factors, including price, quality, availability, customer service and support, breadth of product line, product performance and features, rapid time-to-market delivery capabilities, reliability, timing of new product introductions by us, our customers and competitors, the ability of our customers to obtain financing and the stability of regional sociopolitical and geopolitical circumstances, and the ability of large competitors to obtain business by providing more seller financing especially for large transactions. We can give no assurances that we will have the financial resources, technical expertise, or marketing, sales, distribution, customer service and support capabilities to compete successfully, or that regional sociopolitical and geographic circumstances will be favorable for our successful operation.</w:t>
      </w:r>
    </w:p>
    <w:p>
      <w:pPr>
        <w:spacing w:after="0" w:line="12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Consolidation within the telecommunications industry could result in a decrease in our revenue.</w:t>
      </w:r>
    </w:p>
    <w:p>
      <w:pPr>
        <w:spacing w:after="0" w:line="102" w:lineRule="exact"/>
        <w:rPr>
          <w:sz w:val="20"/>
          <w:szCs w:val="20"/>
          <w:color w:val="auto"/>
        </w:rPr>
      </w:pPr>
    </w:p>
    <w:p>
      <w:pPr>
        <w:ind w:left="680" w:right="260" w:firstLine="399"/>
        <w:spacing w:after="0" w:line="276" w:lineRule="auto"/>
        <w:rPr>
          <w:sz w:val="20"/>
          <w:szCs w:val="20"/>
          <w:color w:val="auto"/>
        </w:rPr>
      </w:pPr>
      <w:r>
        <w:rPr>
          <w:rFonts w:ascii="Arial" w:cs="Arial" w:eastAsia="Arial" w:hAnsi="Arial"/>
          <w:sz w:val="13"/>
          <w:szCs w:val="13"/>
          <w:color w:val="auto"/>
        </w:rPr>
        <w:t>The telecommunications industry has experienced significant consolidation among its participants, and we expect this trend to continue. Some operators in this industry have experienced financial difficulty and have filed, or may file, for bankruptcy protection. Other operators may merge and one or more of our competitors may supply products to the customers of the combined company following those mergers. This consolidation could result in</w:t>
      </w:r>
    </w:p>
    <w:p>
      <w:pPr>
        <w:spacing w:after="0" w:line="270"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23" w:name="page24"/>
    <w:bookmarkEnd w:id="2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100"/>
        <w:spacing w:after="0" w:line="276" w:lineRule="auto"/>
        <w:rPr>
          <w:sz w:val="20"/>
          <w:szCs w:val="20"/>
          <w:color w:val="auto"/>
        </w:rPr>
      </w:pPr>
      <w:r>
        <w:rPr>
          <w:rFonts w:ascii="Arial" w:cs="Arial" w:eastAsia="Arial" w:hAnsi="Arial"/>
          <w:sz w:val="13"/>
          <w:szCs w:val="13"/>
          <w:color w:val="auto"/>
        </w:rPr>
        <w:t xml:space="preserve">purchasing decision delays and decreased opportunities for us to supply products to companies following any consolidation. This consolidation may also result in lost opportunities for cost reduction and economies of scale. In addition, see the risks discussed in the factor above titled </w:t>
      </w:r>
      <w:r>
        <w:rPr>
          <w:rFonts w:ascii="Arial" w:cs="Arial" w:eastAsia="Arial" w:hAnsi="Arial"/>
          <w:sz w:val="13"/>
          <w:szCs w:val="13"/>
          <w:i w:val="1"/>
          <w:iCs w:val="1"/>
          <w:color w:val="auto"/>
        </w:rPr>
        <w:t>“Because a significant amount of our revenue may come from a limited number of</w:t>
      </w:r>
      <w:r>
        <w:rPr>
          <w:rFonts w:ascii="Arial" w:cs="Arial" w:eastAsia="Arial" w:hAnsi="Arial"/>
          <w:sz w:val="13"/>
          <w:szCs w:val="13"/>
          <w:color w:val="auto"/>
        </w:rPr>
        <w:t xml:space="preserve"> </w:t>
      </w:r>
      <w:r>
        <w:rPr>
          <w:rFonts w:ascii="Arial" w:cs="Arial" w:eastAsia="Arial" w:hAnsi="Arial"/>
          <w:sz w:val="13"/>
          <w:szCs w:val="13"/>
          <w:i w:val="1"/>
          <w:iCs w:val="1"/>
          <w:color w:val="auto"/>
        </w:rPr>
        <w:t>customers, the termination of any of these customer relationships may adversely affect our business.”</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If we fail to develop and maintain distribution and licensing relationships, our revenue may decrease.</w:t>
      </w:r>
    </w:p>
    <w:p>
      <w:pPr>
        <w:spacing w:after="0" w:line="102" w:lineRule="exact"/>
        <w:rPr>
          <w:sz w:val="20"/>
          <w:szCs w:val="20"/>
          <w:color w:val="auto"/>
        </w:rPr>
      </w:pPr>
    </w:p>
    <w:p>
      <w:pPr>
        <w:ind w:left="680" w:right="100" w:firstLine="399"/>
        <w:spacing w:after="0" w:line="265" w:lineRule="auto"/>
        <w:rPr>
          <w:sz w:val="20"/>
          <w:szCs w:val="20"/>
          <w:color w:val="auto"/>
        </w:rPr>
      </w:pPr>
      <w:r>
        <w:rPr>
          <w:rFonts w:ascii="Arial" w:cs="Arial" w:eastAsia="Arial" w:hAnsi="Arial"/>
          <w:sz w:val="13"/>
          <w:szCs w:val="13"/>
          <w:color w:val="auto"/>
        </w:rPr>
        <w:t>Although a majority of our sales are made through our direct sales force, we also will market our products through indirect sales channels such as independent agents, distributors, OEMs and systems integrators. These relationships enhance our ability to pursue major contract awards and, in some cases, are intended to provide our customers with easier access to financing and a greater variety of equipment and service capabilities, which an integrated system provider should be able to offer. We may not be able to maintain and develop additional relationships or, if additional relationships are developed, they may not be successful. Our inability to establish or maintain these distribution and licensing relationships could restrict our ability to market our products and thereby result in significant reductions in revenue. If these revenue reductions occur, our business, financial condition and results of operations would be harmed.</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success will depend on new product introductions, product transitioning and customer acceptance.</w:t>
      </w:r>
    </w:p>
    <w:p>
      <w:pPr>
        <w:spacing w:after="0" w:line="102" w:lineRule="exact"/>
        <w:rPr>
          <w:sz w:val="20"/>
          <w:szCs w:val="20"/>
          <w:color w:val="auto"/>
        </w:rPr>
      </w:pPr>
    </w:p>
    <w:p>
      <w:pPr>
        <w:ind w:left="680" w:firstLine="399"/>
        <w:spacing w:after="0" w:line="290" w:lineRule="auto"/>
        <w:rPr>
          <w:sz w:val="20"/>
          <w:szCs w:val="20"/>
          <w:color w:val="auto"/>
        </w:rPr>
      </w:pPr>
      <w:r>
        <w:rPr>
          <w:rFonts w:ascii="Arial" w:cs="Arial" w:eastAsia="Arial" w:hAnsi="Arial"/>
          <w:sz w:val="12"/>
          <w:szCs w:val="12"/>
          <w:color w:val="auto"/>
        </w:rPr>
        <w:t>The market for our products is characterized by rapid technological change, evolving industry standards and frequent new product introductions. Our future success will depend, in part, on continuous, timely development and introduction of new products and enhancements that address evolving market requirements and are attractive to customers. We believe that successful new product introductions provide a significant competitive advantage because of the significant resources committed by customers in adopting new products and their reluctance to change products after these resources have been expended. We have spent, and expect to continue to spend, significant resources on internal research and development to support our effort to develop and introduce new products and enhancements. As we transition to common product platforms, we may face significant risk that current customers may not accept these new products. To the extent that we fail to introduce new and innovative products that are adopted by customers, we could fail to obtain an adequate return on these investments and could lose market share to our competitors, which could be difficult or impossible to regain. In addition, we could incur significant costs in completing the transition.</w:t>
      </w:r>
    </w:p>
    <w:p>
      <w:pPr>
        <w:spacing w:after="0" w:line="133" w:lineRule="exact"/>
        <w:rPr>
          <w:sz w:val="20"/>
          <w:szCs w:val="20"/>
          <w:color w:val="auto"/>
        </w:rPr>
      </w:pPr>
    </w:p>
    <w:p>
      <w:pPr>
        <w:ind w:left="880" w:right="60"/>
        <w:spacing w:after="0" w:line="294" w:lineRule="auto"/>
        <w:rPr>
          <w:sz w:val="20"/>
          <w:szCs w:val="20"/>
          <w:color w:val="auto"/>
        </w:rPr>
      </w:pPr>
      <w:r>
        <w:rPr>
          <w:rFonts w:ascii="Arial" w:cs="Arial" w:eastAsia="Arial" w:hAnsi="Arial"/>
          <w:sz w:val="13"/>
          <w:szCs w:val="13"/>
          <w:b w:val="1"/>
          <w:bCs w:val="1"/>
          <w:i w:val="1"/>
          <w:iCs w:val="1"/>
          <w:color w:val="auto"/>
        </w:rPr>
        <w:t>If we fail to accurately forecast our manufacturing requirements or customer demand, we could incur additional costs which would adversely affect our business and results of operations.</w:t>
      </w:r>
    </w:p>
    <w:p>
      <w:pPr>
        <w:spacing w:after="0" w:line="47" w:lineRule="exact"/>
        <w:rPr>
          <w:sz w:val="20"/>
          <w:szCs w:val="20"/>
          <w:color w:val="auto"/>
        </w:rPr>
      </w:pPr>
    </w:p>
    <w:p>
      <w:pPr>
        <w:ind w:left="680" w:firstLine="399"/>
        <w:spacing w:after="0" w:line="295" w:lineRule="auto"/>
        <w:rPr>
          <w:sz w:val="20"/>
          <w:szCs w:val="20"/>
          <w:color w:val="auto"/>
        </w:rPr>
      </w:pPr>
      <w:r>
        <w:rPr>
          <w:rFonts w:ascii="Arial" w:cs="Arial" w:eastAsia="Arial" w:hAnsi="Arial"/>
          <w:sz w:val="12"/>
          <w:szCs w:val="12"/>
          <w:color w:val="auto"/>
        </w:rPr>
        <w:t>If we fail to accurately predict our manufacturing requirements or forecast customer demand, we may incur additional costs of manufacturing and our gross margins and financial results could be adversely affected. If we overestimate our requirements, our contract manufacturers may experience an oversupply of components and assess us charges for excess or obsolete components that could adversely affect our gross margins. If we underestimate our requirements, our contract manufacturers may have inadequate inventory or components, which could interrupt manufacturing and result in higher manufacturing costs, shipment delays, damage to customer relationships and/or our payment of penalties to our customers. Our contract manufacturers may also have other customers and may not have sufficient capacity to meet all of their customer’s needs, including ours, during periods of excess demand.</w:t>
      </w:r>
    </w:p>
    <w:p>
      <w:pPr>
        <w:spacing w:after="0" w:line="129" w:lineRule="exact"/>
        <w:rPr>
          <w:sz w:val="20"/>
          <w:szCs w:val="20"/>
          <w:color w:val="auto"/>
        </w:rPr>
      </w:pPr>
    </w:p>
    <w:p>
      <w:pPr>
        <w:ind w:left="880" w:right="100"/>
        <w:spacing w:after="0" w:line="338" w:lineRule="auto"/>
        <w:rPr>
          <w:sz w:val="20"/>
          <w:szCs w:val="20"/>
          <w:color w:val="auto"/>
        </w:rPr>
      </w:pPr>
      <w:r>
        <w:rPr>
          <w:rFonts w:ascii="Arial" w:cs="Arial" w:eastAsia="Arial" w:hAnsi="Arial"/>
          <w:sz w:val="12"/>
          <w:szCs w:val="12"/>
          <w:b w:val="1"/>
          <w:bCs w:val="1"/>
          <w:i w:val="1"/>
          <w:iCs w:val="1"/>
          <w:color w:val="auto"/>
        </w:rPr>
        <w:t>If we fail to effectively manage our contract manufacturer relationships, we could incur additional costs or be unable to timely fulfill our customer commitments, which would adversely affect our business and results of operations and, in the event of an inability to fulfill commitments, would harm our customer relationships.</w:t>
      </w:r>
    </w:p>
    <w:p>
      <w:pPr>
        <w:spacing w:after="0" w:line="24" w:lineRule="exact"/>
        <w:rPr>
          <w:sz w:val="20"/>
          <w:szCs w:val="20"/>
          <w:color w:val="auto"/>
        </w:rPr>
      </w:pPr>
    </w:p>
    <w:p>
      <w:pPr>
        <w:jc w:val="both"/>
        <w:ind w:left="680" w:right="80" w:firstLine="399"/>
        <w:spacing w:after="0" w:line="276" w:lineRule="auto"/>
        <w:rPr>
          <w:sz w:val="20"/>
          <w:szCs w:val="20"/>
          <w:color w:val="auto"/>
        </w:rPr>
      </w:pPr>
      <w:r>
        <w:rPr>
          <w:rFonts w:ascii="Arial" w:cs="Arial" w:eastAsia="Arial" w:hAnsi="Arial"/>
          <w:sz w:val="13"/>
          <w:szCs w:val="13"/>
          <w:color w:val="auto"/>
        </w:rPr>
        <w:t>We outsource a substantial portion of our manufacturing and repair service operations to independent contract manufacturers and other third parties. Our contract manufacturers typically manufacture our products based on rolling forecasts of our product needs that we provide to them on a regular basis. The contract manufacturers are responsible for procuring components necessary to build our products based on our rolling forecasts, building and</w:t>
      </w:r>
    </w:p>
    <w:p>
      <w:pPr>
        <w:spacing w:after="0" w:line="270"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9" w:right="1039" w:bottom="1440" w:gutter="0" w:footer="0" w:header="0"/>
        </w:sectPr>
      </w:pPr>
    </w:p>
    <w:bookmarkStart w:id="24" w:name="page25"/>
    <w:bookmarkEnd w:id="2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120"/>
        <w:spacing w:after="0" w:line="270" w:lineRule="auto"/>
        <w:rPr>
          <w:sz w:val="20"/>
          <w:szCs w:val="20"/>
          <w:color w:val="auto"/>
        </w:rPr>
      </w:pPr>
      <w:r>
        <w:rPr>
          <w:rFonts w:ascii="Arial" w:cs="Arial" w:eastAsia="Arial" w:hAnsi="Arial"/>
          <w:sz w:val="13"/>
          <w:szCs w:val="13"/>
          <w:color w:val="auto"/>
        </w:rPr>
        <w:t>assembling the products, testing the products in accordance with our specifications and then shipping the products to us. We configure the products to our customer requirements, conduct final testing and then ship the products to our customers. Although we currently partner with multiple major contract manufacturers, there can be no assurance that we will not encounter problems as we become increasingly dependent on contract manufacturers to provide these manufacturing services or that we will be able to replace a contract manufacturer that is not able to meet our demand.</w:t>
      </w:r>
    </w:p>
    <w:p>
      <w:pPr>
        <w:spacing w:after="0" w:line="63" w:lineRule="exact"/>
        <w:rPr>
          <w:sz w:val="20"/>
          <w:szCs w:val="20"/>
          <w:color w:val="auto"/>
        </w:rPr>
      </w:pPr>
    </w:p>
    <w:p>
      <w:pPr>
        <w:ind w:left="680" w:firstLine="399"/>
        <w:spacing w:after="0" w:line="309" w:lineRule="auto"/>
        <w:rPr>
          <w:sz w:val="20"/>
          <w:szCs w:val="20"/>
          <w:color w:val="auto"/>
        </w:rPr>
      </w:pPr>
      <w:r>
        <w:rPr>
          <w:rFonts w:ascii="Arial" w:cs="Arial" w:eastAsia="Arial" w:hAnsi="Arial"/>
          <w:sz w:val="12"/>
          <w:szCs w:val="12"/>
          <w:color w:val="auto"/>
        </w:rPr>
        <w:t>In addition, if we fail to effectively manage our relationships with our contract manufacturers or other service providers, or if one or more of them should not fully comply with their contractual obligations or should experience delays, disruptions, component procurement problems or quality control problems, then our ability to ship products to our customers or otherwise fulfill our contractual obligations to our customers could be delayed or impaired which would adversely affect our business, financial results and customer relationships.</w:t>
      </w:r>
    </w:p>
    <w:p>
      <w:pPr>
        <w:spacing w:after="0" w:line="12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industry is volatile and subject to frequent changes, and we may not be able to respond effectively or in a timely manner to these changes.</w:t>
      </w:r>
    </w:p>
    <w:p>
      <w:pPr>
        <w:spacing w:after="0" w:line="102"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We participate in a highly volatile industry that is characterized by vigorous competition for market share and rapid technological development. These factors could result in aggressive pricing practices and growing competition both from start-up companies and from well-capitalized telecommunication systems providers, which could decrease our revenue. In response to changes in our industry and market conditions, we may restructure our activities to more strategically realign our resources. This includes assessing whether we should consider disposing of, or otherwise exiting, certain businesses, and reviewing the recoverability of our tangible and intangible assets. Any decision to limit investment in our tangible and intangible assets or to dispose of or otherwise exit businesses may result in the recording of accrued liabilities for special charges, such as workforce reduction costs. Additionally, accounting estimates with respect to the useful life and ultimate recoverability of our carrying basis of assets could change as a result of such assessments and decisions, and could harm our results of operations.</w:t>
      </w:r>
    </w:p>
    <w:p>
      <w:pPr>
        <w:spacing w:after="0" w:line="149" w:lineRule="exact"/>
        <w:rPr>
          <w:sz w:val="20"/>
          <w:szCs w:val="20"/>
          <w:color w:val="auto"/>
        </w:rPr>
      </w:pPr>
    </w:p>
    <w:p>
      <w:pPr>
        <w:ind w:left="880" w:right="100"/>
        <w:spacing w:after="0" w:line="294" w:lineRule="auto"/>
        <w:rPr>
          <w:sz w:val="20"/>
          <w:szCs w:val="20"/>
          <w:color w:val="auto"/>
        </w:rPr>
      </w:pPr>
      <w:r>
        <w:rPr>
          <w:rFonts w:ascii="Arial" w:cs="Arial" w:eastAsia="Arial" w:hAnsi="Arial"/>
          <w:sz w:val="13"/>
          <w:szCs w:val="13"/>
          <w:b w:val="1"/>
          <w:bCs w:val="1"/>
          <w:i w:val="1"/>
          <w:iCs w:val="1"/>
          <w:color w:val="auto"/>
        </w:rPr>
        <w:t>Rapid changes in the microwave radio industry and the frequent introduction of lower cost components for our product offerings may result in excess inventory that we cannot sell or may be required to sell at distressed prices, and may result in longer credit terms to our customers.</w:t>
      </w:r>
    </w:p>
    <w:p>
      <w:pPr>
        <w:spacing w:after="0" w:line="47"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The rapid changes and evolving industry standards that characterize the market for our products require frequent modification of products for us to be successful. These rapid changes could result in the accumulation of component inventory parts that become obsolete as modified products are introduced and adopted by customers. We have experienced significant inventory write-offs in recent years, and because of the rapid changes that characterize the market, we also may be forced to write down excess inventory from time to time. Moreover, these same factors may force us to significantly reduce prices for older products or extend more and longer credit terms to customers, which could negatively impact our cash and possibly result in higher bad debt expense. More generally, we cannot give assurances that we will be successful in matching our inventory purchases with anticipated shipment volumes. As a result, we may fail to control the amount of inventory on hand and may be forced to write off additional amounts. Such additional inventory write-offs, if required, would adversely impact our cash flows, financial condition and operating results.</w:t>
      </w:r>
    </w:p>
    <w:p>
      <w:pPr>
        <w:spacing w:after="0" w:line="149" w:lineRule="exact"/>
        <w:rPr>
          <w:sz w:val="20"/>
          <w:szCs w:val="20"/>
          <w:color w:val="auto"/>
        </w:rPr>
      </w:pPr>
    </w:p>
    <w:p>
      <w:pPr>
        <w:ind w:left="880" w:right="20"/>
        <w:spacing w:after="0" w:line="294" w:lineRule="auto"/>
        <w:rPr>
          <w:sz w:val="20"/>
          <w:szCs w:val="20"/>
          <w:color w:val="auto"/>
        </w:rPr>
      </w:pPr>
      <w:r>
        <w:rPr>
          <w:rFonts w:ascii="Arial" w:cs="Arial" w:eastAsia="Arial" w:hAnsi="Arial"/>
          <w:sz w:val="13"/>
          <w:szCs w:val="13"/>
          <w:b w:val="1"/>
          <w:bCs w:val="1"/>
          <w:i w:val="1"/>
          <w:iCs w:val="1"/>
          <w:color w:val="auto"/>
        </w:rPr>
        <w:t>If sufficient radio frequency spectrum is not allocated for use by our products, and we fail to obtain regulatory approval for our products, our ability to market our products may be restricted.</w:t>
      </w:r>
    </w:p>
    <w:p>
      <w:pPr>
        <w:spacing w:after="0" w:line="47" w:lineRule="exact"/>
        <w:rPr>
          <w:sz w:val="20"/>
          <w:szCs w:val="20"/>
          <w:color w:val="auto"/>
        </w:rPr>
      </w:pPr>
    </w:p>
    <w:p>
      <w:pPr>
        <w:jc w:val="both"/>
        <w:ind w:left="680" w:right="260" w:firstLine="399"/>
        <w:spacing w:after="0" w:line="276" w:lineRule="auto"/>
        <w:rPr>
          <w:sz w:val="20"/>
          <w:szCs w:val="20"/>
          <w:color w:val="auto"/>
        </w:rPr>
      </w:pPr>
      <w:r>
        <w:rPr>
          <w:rFonts w:ascii="Arial" w:cs="Arial" w:eastAsia="Arial" w:hAnsi="Arial"/>
          <w:sz w:val="13"/>
          <w:szCs w:val="13"/>
          <w:color w:val="auto"/>
        </w:rPr>
        <w:t>Radio communications are subject to regulation by U.S. and foreign laws and international treaties. Generally, our products need to conform to a variety of United States and international requirements established to avoid interference among users of transmission frequencies and to permit interconnection of telecommunications equipment. Any delays in compliance with respect to our future products could delay the introduction of such products.</w:t>
      </w:r>
    </w:p>
    <w:p>
      <w:pPr>
        <w:spacing w:after="0" w:line="59" w:lineRule="exact"/>
        <w:rPr>
          <w:sz w:val="20"/>
          <w:szCs w:val="20"/>
          <w:color w:val="auto"/>
        </w:rPr>
      </w:pPr>
    </w:p>
    <w:p>
      <w:pPr>
        <w:ind w:left="680" w:firstLine="399"/>
        <w:spacing w:after="0" w:line="294" w:lineRule="auto"/>
        <w:rPr>
          <w:sz w:val="20"/>
          <w:szCs w:val="20"/>
          <w:color w:val="auto"/>
        </w:rPr>
      </w:pPr>
      <w:r>
        <w:rPr>
          <w:rFonts w:ascii="Arial" w:cs="Arial" w:eastAsia="Arial" w:hAnsi="Arial"/>
          <w:sz w:val="13"/>
          <w:szCs w:val="13"/>
          <w:color w:val="auto"/>
        </w:rPr>
        <w:t>In addition, we will be affected by the allocation and auction of the radio frequency spectrum by governmental authorities both in the U.S. and internationally. Such governmental authorities may not allocate sufficient radio frequency spectrum for use by our products or we may not be successful in obtaining regulatory approval for our</w:t>
      </w:r>
    </w:p>
    <w:p>
      <w:pPr>
        <w:spacing w:after="0" w:line="25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25" w:name="page26"/>
    <w:bookmarkEnd w:id="2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spacing w:after="0" w:line="295" w:lineRule="auto"/>
        <w:rPr>
          <w:sz w:val="20"/>
          <w:szCs w:val="20"/>
          <w:color w:val="auto"/>
        </w:rPr>
      </w:pPr>
      <w:r>
        <w:rPr>
          <w:rFonts w:ascii="Arial" w:cs="Arial" w:eastAsia="Arial" w:hAnsi="Arial"/>
          <w:sz w:val="12"/>
          <w:szCs w:val="12"/>
          <w:color w:val="auto"/>
        </w:rPr>
        <w:t>products from these authorities. Historically, in many developed countries, the unavailability of frequency spectrum has inhibited the growth of wireless telecommunications networks. In addition, to operate in a jurisdiction, we must obtain regulatory approval for our products. Each jurisdiction in which we market our products has its own regulations governing radio communications. Products that support emerging wireless telecommunications services can be marketed in a jurisdiction only if permitted by suitable frequency allocations, auctions and regulations. The process of establishing new regulations is complex and lengthy. If we are unable to obtain sufficient allocation of radio frequency spectrum by the appropriate governmental authority or obtain the proper regulatory approval for our products, our business, financial condition and results of operations may be harmed.</w:t>
      </w:r>
    </w:p>
    <w:p>
      <w:pPr>
        <w:spacing w:after="0" w:line="129" w:lineRule="exact"/>
        <w:rPr>
          <w:sz w:val="20"/>
          <w:szCs w:val="20"/>
          <w:color w:val="auto"/>
        </w:rPr>
      </w:pPr>
    </w:p>
    <w:p>
      <w:pPr>
        <w:ind w:left="880"/>
        <w:spacing w:after="0"/>
        <w:rPr>
          <w:sz w:val="20"/>
          <w:szCs w:val="20"/>
          <w:color w:val="auto"/>
        </w:rPr>
      </w:pPr>
      <w:r>
        <w:rPr>
          <w:rFonts w:ascii="Arial" w:cs="Arial" w:eastAsia="Arial" w:hAnsi="Arial"/>
          <w:sz w:val="11"/>
          <w:szCs w:val="11"/>
          <w:b w:val="1"/>
          <w:bCs w:val="1"/>
          <w:i w:val="1"/>
          <w:iCs w:val="1"/>
          <w:color w:val="auto"/>
        </w:rPr>
        <w:t>Due to the significant volume of international sales we expect, we may be susceptible to a number of political, economic and geographic risks that could harm our business.</w:t>
      </w:r>
    </w:p>
    <w:p>
      <w:pPr>
        <w:spacing w:after="0" w:line="125" w:lineRule="exact"/>
        <w:rPr>
          <w:sz w:val="20"/>
          <w:szCs w:val="20"/>
          <w:color w:val="auto"/>
        </w:rPr>
      </w:pPr>
    </w:p>
    <w:p>
      <w:pPr>
        <w:ind w:left="680" w:right="40" w:firstLine="399"/>
        <w:spacing w:after="0" w:line="270" w:lineRule="auto"/>
        <w:rPr>
          <w:sz w:val="20"/>
          <w:szCs w:val="20"/>
          <w:color w:val="auto"/>
        </w:rPr>
      </w:pPr>
      <w:r>
        <w:rPr>
          <w:rFonts w:ascii="Arial" w:cs="Arial" w:eastAsia="Arial" w:hAnsi="Arial"/>
          <w:sz w:val="13"/>
          <w:szCs w:val="13"/>
          <w:color w:val="auto"/>
        </w:rPr>
        <w:t>We are highly dependent on sales to customers outside the U.S. In fiscal 2009, our sales to international customers accounted for 69% of total revenue. During fiscal 2008 and 2007, sales to international customers accounted for 73% and 67% of our revenue, respectively. Also, significant portions of our international sales are in less developed countries. Our international sales are likely to continue to account for a large percentage of our products and services revenue for the foreseeable future. As a result, the occurrence of any international, political, economic or geographic event that adversely affects our business could result in a significant decline in revenue.</w:t>
      </w:r>
    </w:p>
    <w:p>
      <w:pPr>
        <w:spacing w:after="0" w:line="6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Some of the risks and challenges of doing business internationally include:</w:t>
      </w:r>
    </w:p>
    <w:p>
      <w:pPr>
        <w:spacing w:after="0" w:line="102" w:lineRule="exact"/>
        <w:rPr>
          <w:sz w:val="20"/>
          <w:szCs w:val="20"/>
          <w:color w:val="auto"/>
        </w:rPr>
      </w:pPr>
    </w:p>
    <w:p>
      <w:pPr>
        <w:ind w:left="1300" w:hanging="208"/>
        <w:spacing w:after="0"/>
        <w:tabs>
          <w:tab w:leader="none" w:pos="13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unexpected changes in regulatory requirements;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fluctuations in international currency exchange rates;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imposition of tariffs and other barriers and restrictions;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management and operation of an enterprise spread over various countries;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the burden of complying with a variety of laws and regulations in various countries;</w:t>
      </w:r>
    </w:p>
    <w:p>
      <w:pPr>
        <w:spacing w:after="0" w:line="92" w:lineRule="exact"/>
        <w:rPr>
          <w:rFonts w:ascii="Arial" w:cs="Arial" w:eastAsia="Arial" w:hAnsi="Arial"/>
          <w:sz w:val="13"/>
          <w:szCs w:val="13"/>
          <w:color w:val="auto"/>
        </w:rPr>
      </w:pPr>
    </w:p>
    <w:p>
      <w:pPr>
        <w:ind w:left="1300" w:right="540" w:hanging="208"/>
        <w:spacing w:after="0" w:line="294" w:lineRule="auto"/>
        <w:tabs>
          <w:tab w:leader="none" w:pos="13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application of the income tax laws and regulations of multiple jurisdictions, including relatively low-rate and relatively high-rate jurisdictions, to our sales and other transactions, which results in additional complexity and uncertainty;</w:t>
      </w:r>
    </w:p>
    <w:p>
      <w:pPr>
        <w:spacing w:after="0" w:line="36" w:lineRule="exact"/>
        <w:rPr>
          <w:rFonts w:ascii="Arial" w:cs="Arial" w:eastAsia="Arial" w:hAnsi="Arial"/>
          <w:sz w:val="13"/>
          <w:szCs w:val="13"/>
          <w:color w:val="auto"/>
        </w:rPr>
      </w:pPr>
    </w:p>
    <w:p>
      <w:pPr>
        <w:ind w:left="1300" w:hanging="208"/>
        <w:spacing w:after="0"/>
        <w:tabs>
          <w:tab w:leader="none" w:pos="13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general economic and geopolitical conditions, including inflation and trade relationships;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war and acts of terrorism;</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natural disasters;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currency exchange controls; and</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changes in export regulations.</w:t>
      </w:r>
    </w:p>
    <w:p>
      <w:pPr>
        <w:spacing w:after="0" w:line="102" w:lineRule="exact"/>
        <w:rPr>
          <w:sz w:val="20"/>
          <w:szCs w:val="20"/>
          <w:color w:val="auto"/>
        </w:rPr>
      </w:pPr>
    </w:p>
    <w:p>
      <w:pPr>
        <w:ind w:left="680" w:right="460" w:firstLine="399"/>
        <w:spacing w:after="0" w:line="294" w:lineRule="auto"/>
        <w:rPr>
          <w:sz w:val="20"/>
          <w:szCs w:val="20"/>
          <w:color w:val="auto"/>
        </w:rPr>
      </w:pPr>
      <w:r>
        <w:rPr>
          <w:rFonts w:ascii="Arial" w:cs="Arial" w:eastAsia="Arial" w:hAnsi="Arial"/>
          <w:sz w:val="13"/>
          <w:szCs w:val="13"/>
          <w:color w:val="auto"/>
        </w:rPr>
        <w:t>While these factors and the impacts of these factors are difficult to predict, any one or more of them could adversely affect our business, financial condition and results of operations in the future.</w:t>
      </w:r>
    </w:p>
    <w:p>
      <w:pPr>
        <w:spacing w:after="0" w:line="12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products are used in critical communications networks which may subject us to significant liability claims.</w:t>
      </w:r>
    </w:p>
    <w:p>
      <w:pPr>
        <w:spacing w:after="0" w:line="102" w:lineRule="exact"/>
        <w:rPr>
          <w:sz w:val="20"/>
          <w:szCs w:val="20"/>
          <w:color w:val="auto"/>
        </w:rPr>
      </w:pPr>
    </w:p>
    <w:p>
      <w:pPr>
        <w:ind w:left="680" w:right="260" w:firstLine="399"/>
        <w:spacing w:after="0" w:line="265" w:lineRule="auto"/>
        <w:rPr>
          <w:sz w:val="20"/>
          <w:szCs w:val="20"/>
          <w:color w:val="auto"/>
        </w:rPr>
      </w:pPr>
      <w:r>
        <w:rPr>
          <w:rFonts w:ascii="Arial" w:cs="Arial" w:eastAsia="Arial" w:hAnsi="Arial"/>
          <w:sz w:val="13"/>
          <w:szCs w:val="13"/>
          <w:color w:val="auto"/>
        </w:rPr>
        <w:t>Since our products are used in critical communications networks, we may be subject to significant liability claims if our products do not work properly. The provisions in our agreements with customers that are intended to limit our exposure to liability claims may not preclude all potential claims. In addition, any insurance policies we have may not adequately limit our exposure with respect to such claims. We warrant to our current customers that our products will operate in accordance with our product specifications. If our products fail to conform to these specifications, our customers could require us to remedy the failure or could assert claims for damages. Liability claims could require us to spend significant time and money in litigation or to pay significant damages. Any such claims, whether or not successful, would be costly and time-consuming to defend, and could divert management’s attention and seriously damage our reputation and our business.</w:t>
      </w:r>
    </w:p>
    <w:p>
      <w:pPr>
        <w:spacing w:after="0" w:line="279"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26" w:name="page27"/>
    <w:bookmarkEnd w:id="2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880"/>
        <w:spacing w:after="0"/>
        <w:rPr>
          <w:sz w:val="20"/>
          <w:szCs w:val="20"/>
          <w:color w:val="auto"/>
        </w:rPr>
      </w:pPr>
      <w:r>
        <w:rPr>
          <w:rFonts w:ascii="Arial" w:cs="Arial" w:eastAsia="Arial" w:hAnsi="Arial"/>
          <w:sz w:val="12"/>
          <w:szCs w:val="12"/>
          <w:b w:val="1"/>
          <w:bCs w:val="1"/>
          <w:i w:val="1"/>
          <w:iCs w:val="1"/>
          <w:color w:val="auto"/>
        </w:rPr>
        <w:t>If we are unable to adequately protect our intellectual property rights, we may be deprived of legal recourse against those who misappropriate our intellectual property.</w:t>
      </w:r>
    </w:p>
    <w:p>
      <w:pPr>
        <w:spacing w:after="0" w:line="114" w:lineRule="exact"/>
        <w:rPr>
          <w:sz w:val="20"/>
          <w:szCs w:val="20"/>
          <w:color w:val="auto"/>
        </w:rPr>
      </w:pPr>
    </w:p>
    <w:p>
      <w:pPr>
        <w:ind w:left="680" w:firstLine="399"/>
        <w:spacing w:after="0" w:line="288" w:lineRule="auto"/>
        <w:rPr>
          <w:sz w:val="20"/>
          <w:szCs w:val="20"/>
          <w:color w:val="auto"/>
        </w:rPr>
      </w:pPr>
      <w:r>
        <w:rPr>
          <w:rFonts w:ascii="Arial" w:cs="Arial" w:eastAsia="Arial" w:hAnsi="Arial"/>
          <w:sz w:val="12"/>
          <w:szCs w:val="12"/>
          <w:color w:val="auto"/>
        </w:rPr>
        <w:t>Our ability to compete will depend, in part, on our ability to obtain and enforce intellectual property protection for our technology in the U.S. and internationally. We rely upon a combination of trade secrets, trademarks, copyrights, patents and contractual rights to protect our intellectual property. In addition, we enter into confidentiality and invention assignment agreements with our employees, and enter into non-disclosure agreements with our suppliers and appropriate customers so as to limit access to and disclosure of our proprietary information. We cannot give assurances that any steps taken by us will be adequate to deter misappropriation or impede independent third-party development of similar technologies. In the event that such intellectual property arrangements are insufficient, our business, financial condition and results of operations could be harmed. We have significant operations in the U.S., United Kingdom, Singapore and New Zealand, and outsourcing arrangements in Asia. We cannot provide assurances that the protection provided to our intellectual property by the laws and courts of particular nations will be substantially similar to the protection and remedies available under U.S. law. Furthermore, we cannot provide assurances that third parties will not assert infringement claims against us based on intellectual property rights and laws in other nations that are different from those established in the U.S.</w:t>
      </w:r>
    </w:p>
    <w:p>
      <w:pPr>
        <w:spacing w:after="0" w:line="136" w:lineRule="exact"/>
        <w:rPr>
          <w:sz w:val="20"/>
          <w:szCs w:val="20"/>
          <w:color w:val="auto"/>
        </w:rPr>
      </w:pPr>
    </w:p>
    <w:p>
      <w:pPr>
        <w:ind w:left="880" w:right="200"/>
        <w:spacing w:after="0" w:line="294" w:lineRule="auto"/>
        <w:rPr>
          <w:sz w:val="20"/>
          <w:szCs w:val="20"/>
          <w:color w:val="auto"/>
        </w:rPr>
      </w:pPr>
      <w:r>
        <w:rPr>
          <w:rFonts w:ascii="Arial" w:cs="Arial" w:eastAsia="Arial" w:hAnsi="Arial"/>
          <w:sz w:val="13"/>
          <w:szCs w:val="13"/>
          <w:b w:val="1"/>
          <w:bCs w:val="1"/>
          <w:i w:val="1"/>
          <w:iCs w:val="1"/>
          <w:color w:val="auto"/>
        </w:rPr>
        <w:t>We may be subject to litigation regarding intellectual property associated with our wireless business; this litigation could be costly to defend and resolve, and could prevent us from using or selling the challenged technology.</w:t>
      </w:r>
    </w:p>
    <w:p>
      <w:pPr>
        <w:spacing w:after="0" w:line="47" w:lineRule="exact"/>
        <w:rPr>
          <w:sz w:val="20"/>
          <w:szCs w:val="20"/>
          <w:color w:val="auto"/>
        </w:rPr>
      </w:pPr>
    </w:p>
    <w:p>
      <w:pPr>
        <w:ind w:left="680" w:firstLine="399"/>
        <w:spacing w:after="0" w:line="290" w:lineRule="auto"/>
        <w:rPr>
          <w:sz w:val="20"/>
          <w:szCs w:val="20"/>
          <w:color w:val="auto"/>
        </w:rPr>
      </w:pPr>
      <w:r>
        <w:rPr>
          <w:rFonts w:ascii="Arial" w:cs="Arial" w:eastAsia="Arial" w:hAnsi="Arial"/>
          <w:sz w:val="12"/>
          <w:szCs w:val="12"/>
          <w:color w:val="auto"/>
        </w:rPr>
        <w:t>The wireless telecommunications industry is characterized by vigorous protection and pursuit of intellectual property rights, which has resulted in often protracted and expensive litigation. Any litigation regarding patents or other intellectual property could be costly and time-consuming and could divert our management and key personnel from our business operations. The complexity of the technology involved and the uncertainty of intellectual property litigation increase these risks. Such litigation or claims could result in substantial costs and diversion of resources. In the event of an adverse result in any such litigation, we could be required to pay substantial damages, cease the use and transfer of allegedly infringing technology or the sale of allegedly infringing products and expend significant resources to develop non-infringing technology or obtain licenses for the infringing technology. We can give no assurances that we would be successful in developing such non-infringing technology or that any license for the infringing technology would be available to us on commercially reasonable terms, if at all. This could have a materially adverse effect on our business, results of operation, financial condition, competitive position and prospects.</w:t>
      </w:r>
    </w:p>
    <w:p>
      <w:pPr>
        <w:spacing w:after="0" w:line="13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stock price may be volatile, which may lead to losses by investors.</w:t>
      </w:r>
    </w:p>
    <w:p>
      <w:pPr>
        <w:spacing w:after="0" w:line="102" w:lineRule="exact"/>
        <w:rPr>
          <w:sz w:val="20"/>
          <w:szCs w:val="20"/>
          <w:color w:val="auto"/>
        </w:rPr>
      </w:pPr>
    </w:p>
    <w:p>
      <w:pPr>
        <w:ind w:left="680" w:right="80" w:firstLine="399"/>
        <w:spacing w:after="0" w:line="299" w:lineRule="auto"/>
        <w:rPr>
          <w:sz w:val="20"/>
          <w:szCs w:val="20"/>
          <w:color w:val="auto"/>
        </w:rPr>
      </w:pPr>
      <w:r>
        <w:rPr>
          <w:rFonts w:ascii="Arial" w:cs="Arial" w:eastAsia="Arial" w:hAnsi="Arial"/>
          <w:sz w:val="12"/>
          <w:szCs w:val="12"/>
          <w:color w:val="auto"/>
        </w:rPr>
        <w:t>Announcements of developments related to our business, announcements by competitors, quarterly fluctuations in our financial results and general conditions in the telecommunications industry in which we compete, or the economies of the countries in which we do business and other factors could cause the price of our common stock to fluctuate, perhaps substantially. In addition, in recent years the stock market has experienced extreme price fluctuations, which have often been unrelated to the operating performance of affected companies. These factors and fluctuations could lower the market price of our common stock. Our stock is currently listed on the NASDAQ Global Market.</w:t>
      </w:r>
    </w:p>
    <w:p>
      <w:pPr>
        <w:spacing w:after="0" w:line="12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The unpredictability of our quarter-to-quarter results may harm the trading price of our Class A Common Stock.</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Our quarterly operating results may vary significantly for a variety of reasons, many of which are outside our control. These factors could harm our business and include, among</w:t>
      </w:r>
    </w:p>
    <w:p>
      <w:pPr>
        <w:spacing w:after="0" w:line="34" w:lineRule="exact"/>
        <w:rPr>
          <w:sz w:val="20"/>
          <w:szCs w:val="20"/>
          <w:color w:val="auto"/>
        </w:rPr>
      </w:pPr>
    </w:p>
    <w:p>
      <w:pPr>
        <w:ind w:left="680"/>
        <w:spacing w:after="0"/>
        <w:rPr>
          <w:sz w:val="20"/>
          <w:szCs w:val="20"/>
          <w:color w:val="auto"/>
        </w:rPr>
      </w:pPr>
      <w:r>
        <w:rPr>
          <w:rFonts w:ascii="Arial" w:cs="Arial" w:eastAsia="Arial" w:hAnsi="Arial"/>
          <w:sz w:val="13"/>
          <w:szCs w:val="13"/>
          <w:color w:val="auto"/>
        </w:rPr>
        <w:t>others:</w:t>
      </w:r>
    </w:p>
    <w:p>
      <w:pPr>
        <w:spacing w:after="0" w:line="92" w:lineRule="exact"/>
        <w:rPr>
          <w:sz w:val="20"/>
          <w:szCs w:val="20"/>
          <w:color w:val="auto"/>
        </w:rPr>
      </w:pPr>
    </w:p>
    <w:p>
      <w:pPr>
        <w:ind w:left="1300" w:hanging="208"/>
        <w:spacing w:after="0"/>
        <w:tabs>
          <w:tab w:leader="none" w:pos="13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volume and timing of our product orders received and delivered during the quarter;</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our ability and the ability of our key suppliers to respond to changes on demand as needed;</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our suppliers’ inability to perform and deliver on time as a result of their financial condition, component shortages or other supply chain constraints;</w:t>
      </w:r>
    </w:p>
    <w:p>
      <w:pPr>
        <w:spacing w:after="0" w:line="31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27" w:name="page28"/>
    <w:bookmarkEnd w:id="2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5" w:lineRule="exact"/>
        <w:rPr>
          <w:sz w:val="20"/>
          <w:szCs w:val="20"/>
          <w:color w:val="auto"/>
        </w:rPr>
      </w:pPr>
    </w:p>
    <w:p>
      <w:pPr>
        <w:ind w:left="1300" w:hanging="208"/>
        <w:spacing w:after="0"/>
        <w:tabs>
          <w:tab w:leader="none" w:pos="13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our sales cycles can be lengthy;</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continued market expansion through strategic alliances;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continued timely rollout of new product functionality and features;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increased competition resulting in downward pressures on the price of our products and services;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unexpected delays in the schedule for shipments of existing products and new generations of the existing platforms;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failure to realize expected cost improvement throughout our supply chain;</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order cancellations or postponements in product deliveries resulting in delayed revenue recognition;</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seasonality in the purchasing habits of our customers;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war and acts of terrorism;</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natural disasters;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 ability of our customers to obtain financing to enable their purchase of our products;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fluctuations in international currency exchange rates;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regulatory developments including denial of export and import licenses; and</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general economic conditions worldwide.</w:t>
      </w:r>
    </w:p>
    <w:p>
      <w:pPr>
        <w:spacing w:after="0" w:line="62" w:lineRule="exact"/>
        <w:rPr>
          <w:sz w:val="20"/>
          <w:szCs w:val="20"/>
          <w:color w:val="auto"/>
        </w:rPr>
      </w:pPr>
    </w:p>
    <w:p>
      <w:pPr>
        <w:ind w:left="680" w:right="20" w:firstLine="399"/>
        <w:spacing w:after="0" w:line="309" w:lineRule="auto"/>
        <w:rPr>
          <w:sz w:val="20"/>
          <w:szCs w:val="20"/>
          <w:color w:val="auto"/>
        </w:rPr>
      </w:pPr>
      <w:r>
        <w:rPr>
          <w:rFonts w:ascii="Arial" w:cs="Arial" w:eastAsia="Arial" w:hAnsi="Arial"/>
          <w:sz w:val="12"/>
          <w:szCs w:val="12"/>
          <w:color w:val="auto"/>
        </w:rPr>
        <w:t>Our quarterly results are expected to be difficult to predict and delays in product delivery or closing a sale can cause revenue and net income or loss to fluctuate significantly from anticipated levels. In addition, we may increase spending in response to competition or in pursuit of new market opportunities. Accordingly, we cannot provide assurances that we will be able to achieve profitability in the future or that if profitability is attained, that we will be able to sustain profitability, particularly on a quarter-to-quarter basis.</w:t>
      </w:r>
    </w:p>
    <w:p>
      <w:pPr>
        <w:spacing w:after="0" w:line="122" w:lineRule="exact"/>
        <w:rPr>
          <w:sz w:val="20"/>
          <w:szCs w:val="20"/>
          <w:color w:val="auto"/>
        </w:rPr>
      </w:pPr>
    </w:p>
    <w:p>
      <w:pPr>
        <w:ind w:left="880" w:right="60"/>
        <w:spacing w:after="0" w:line="294" w:lineRule="auto"/>
        <w:rPr>
          <w:sz w:val="20"/>
          <w:szCs w:val="20"/>
          <w:color w:val="auto"/>
        </w:rPr>
      </w:pPr>
      <w:r>
        <w:rPr>
          <w:rFonts w:ascii="Arial" w:cs="Arial" w:eastAsia="Arial" w:hAnsi="Arial"/>
          <w:sz w:val="13"/>
          <w:szCs w:val="13"/>
          <w:b w:val="1"/>
          <w:bCs w:val="1"/>
          <w:i w:val="1"/>
          <w:iCs w:val="1"/>
          <w:color w:val="auto"/>
        </w:rPr>
        <w:t>Anti-takeover provisions of Delaware law, provisions in our amended and restated certificate of incorporation, amended and restated bylaws and our stockholders’ rights plan, or poison pill, could make a third-party acquisition of us difficult.</w:t>
      </w:r>
    </w:p>
    <w:p>
      <w:pPr>
        <w:spacing w:after="0" w:line="47" w:lineRule="exact"/>
        <w:rPr>
          <w:sz w:val="20"/>
          <w:szCs w:val="20"/>
          <w:color w:val="auto"/>
        </w:rPr>
      </w:pPr>
    </w:p>
    <w:p>
      <w:pPr>
        <w:ind w:left="680" w:firstLine="399"/>
        <w:spacing w:after="0" w:line="295" w:lineRule="auto"/>
        <w:rPr>
          <w:sz w:val="20"/>
          <w:szCs w:val="20"/>
          <w:color w:val="auto"/>
        </w:rPr>
      </w:pPr>
      <w:r>
        <w:rPr>
          <w:rFonts w:ascii="Arial" w:cs="Arial" w:eastAsia="Arial" w:hAnsi="Arial"/>
          <w:sz w:val="12"/>
          <w:szCs w:val="12"/>
          <w:color w:val="auto"/>
        </w:rPr>
        <w:t>Because we are a Delaware corporation, the anti-takeover provisions of Delaware law could make it more difficult for a third party to acquire control of us, even if the change in control would be beneficial to stockholders. We are subject to the provisions of Section 203 of the General Corporation Law of Delaware, which prohibits us from engaging in certain business combinations, unless the business combination is approved in a prescribed manner. In addition, our amended and restated certificate of incorporation and amended and restated bylaws also contain certain provisions that may make a third-party acquisition of us difficult, including the ability of the board of directors to issue preferred stock and the requirement that nominations for directors and other proposals by stockholders must be made in advance of the meeting at which directors are elected or the proposals are voted upon.</w:t>
      </w:r>
    </w:p>
    <w:p>
      <w:pPr>
        <w:spacing w:after="0" w:line="49" w:lineRule="exact"/>
        <w:rPr>
          <w:sz w:val="20"/>
          <w:szCs w:val="20"/>
          <w:color w:val="auto"/>
        </w:rPr>
      </w:pPr>
    </w:p>
    <w:p>
      <w:pPr>
        <w:ind w:left="680" w:firstLine="399"/>
        <w:spacing w:after="0" w:line="295" w:lineRule="auto"/>
        <w:rPr>
          <w:sz w:val="20"/>
          <w:szCs w:val="20"/>
          <w:color w:val="auto"/>
        </w:rPr>
      </w:pPr>
      <w:r>
        <w:rPr>
          <w:rFonts w:ascii="Arial" w:cs="Arial" w:eastAsia="Arial" w:hAnsi="Arial"/>
          <w:sz w:val="12"/>
          <w:szCs w:val="12"/>
          <w:color w:val="auto"/>
        </w:rPr>
        <w:t>On April 20, 2009, we adopted a stockholders’ rights plan, also called a poison pill, which could make it uneconomical for a third party to acquire our company on a hostile basis. The rights plan has the potential effect of significantly diluting the ownership interest in us of any person that acquires beneficial ownership of 15% or more of our common stock or commences or announces its intent to commence a tender offer that would result in a person or group owning 15% or more of our common stock. The rights plan is due to expire on January 20, 2010. These provisions, as well as Section 203, may discourage certain types of transactions in which our stockholders might otherwise receive a premium for their shares over then current market price, and may limit the ability of our stockholders to approve transactions that they think may be in their best interests.</w:t>
      </w:r>
    </w:p>
    <w:p>
      <w:pPr>
        <w:spacing w:after="0" w:line="12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may face risks related to pending litigation over the restatement of our financial statements.</w:t>
      </w:r>
    </w:p>
    <w:p>
      <w:pPr>
        <w:spacing w:after="0" w:line="102" w:lineRule="exact"/>
        <w:rPr>
          <w:sz w:val="20"/>
          <w:szCs w:val="20"/>
          <w:color w:val="auto"/>
        </w:rPr>
      </w:pPr>
    </w:p>
    <w:p>
      <w:pPr>
        <w:ind w:left="680" w:right="380" w:firstLine="399"/>
        <w:spacing w:after="0" w:line="338" w:lineRule="auto"/>
        <w:rPr>
          <w:sz w:val="20"/>
          <w:szCs w:val="20"/>
          <w:color w:val="auto"/>
        </w:rPr>
      </w:pPr>
      <w:r>
        <w:rPr>
          <w:rFonts w:ascii="Arial" w:cs="Arial" w:eastAsia="Arial" w:hAnsi="Arial"/>
          <w:sz w:val="12"/>
          <w:szCs w:val="12"/>
          <w:color w:val="auto"/>
        </w:rPr>
        <w:t>In connection with our identification of the material weaknesses in internal control described in our fiscal 2008 Annual Report on Form 10-K filed with the Securities and Exchange Commission on September 25, 2008, we have had to restate our interim consolidated financial statements for the first three fiscal quarters of fiscal 2008 (the</w:t>
      </w:r>
    </w:p>
    <w:p>
      <w:pPr>
        <w:spacing w:after="0" w:line="236"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00"/>
          </w:cols>
          <w:pgMar w:left="220" w:top="349" w:right="1079" w:bottom="1440" w:gutter="0" w:footer="0" w:header="0"/>
        </w:sectPr>
      </w:pPr>
    </w:p>
    <w:bookmarkStart w:id="28" w:name="page29"/>
    <w:bookmarkEnd w:id="2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quarters ended March 28, 2008, December 28, 2007 and September 28, 2007) and our consolidated financial statements for the fiscal years ended June 29, 2007, June 30, 2006 and</w:t>
      </w:r>
    </w:p>
    <w:p>
      <w:pPr>
        <w:spacing w:after="0" w:line="22" w:lineRule="exact"/>
        <w:rPr>
          <w:sz w:val="20"/>
          <w:szCs w:val="20"/>
          <w:color w:val="auto"/>
        </w:rPr>
      </w:pPr>
    </w:p>
    <w:p>
      <w:pPr>
        <w:ind w:left="680" w:right="820"/>
        <w:spacing w:after="0" w:line="277" w:lineRule="auto"/>
        <w:rPr>
          <w:sz w:val="20"/>
          <w:szCs w:val="20"/>
          <w:color w:val="auto"/>
        </w:rPr>
      </w:pPr>
      <w:r>
        <w:rPr>
          <w:rFonts w:ascii="Arial" w:cs="Arial" w:eastAsia="Arial" w:hAnsi="Arial"/>
          <w:sz w:val="13"/>
          <w:szCs w:val="13"/>
          <w:color w:val="auto"/>
        </w:rPr>
        <w:t>July 1, 2005 in order to correct errors contained in those financial statements. We also announced on July 30, 2008 that investors should no longer rely on our previously issued financial statements for those periods.</w:t>
      </w:r>
    </w:p>
    <w:p>
      <w:pPr>
        <w:spacing w:after="0" w:line="58" w:lineRule="exact"/>
        <w:rPr>
          <w:sz w:val="20"/>
          <w:szCs w:val="20"/>
          <w:color w:val="auto"/>
        </w:rPr>
      </w:pPr>
    </w:p>
    <w:p>
      <w:pPr>
        <w:ind w:left="680" w:right="840" w:firstLine="399"/>
        <w:spacing w:after="0" w:line="263" w:lineRule="auto"/>
        <w:rPr>
          <w:sz w:val="20"/>
          <w:szCs w:val="20"/>
          <w:color w:val="auto"/>
        </w:rPr>
      </w:pPr>
      <w:r>
        <w:rPr>
          <w:rFonts w:ascii="Arial" w:cs="Arial" w:eastAsia="Arial" w:hAnsi="Arial"/>
          <w:sz w:val="13"/>
          <w:szCs w:val="13"/>
          <w:color w:val="auto"/>
        </w:rPr>
        <w:t>We and certain of our current and former executive officers and directors were named in a federal securities class action complaint filed on September 15, 2008 in the United States District Court for the District of Delaware by plaintiff Norfolk County Retirement System on behalf of an alleged class of purchasers of our securities from January 29, 2007 to July 30, 2008, including shareholders of Stratex Networks, Inc. who exchanged shares of Stratex Networks, Inc. for our shares as part of the merger between Stratex Networks and the Microwave Communications Division of Harris Corporation. This action relates to the restatement of our prior financial statements as discussed in our fiscal 2008 Annual Report on Form 10-K filed with the Securities and Exchange Commission on September 25, 2008. Similar complaints were filed in the United States District Court of Delaware on October 6 and October 30, 2008. Each complaint alleges violations of Sections 10(b) and 20(a) of the Securities Exchange Act of 1934 and Rule 10b-5 promulgated thereunder, as well as violations of Sections 11 and 15 of the Securities Act of 1933 and seeks, among other relief, determinations that the action is a proper class action, unspecified compensatory damages and reasonable attorneys’ fees and costs. The actions were consolidated on June 5, 2009 and a consolidated class action complaint was filed on July 29, 2009. We believe that we have meritorious defenses and intend to defend ourselves vigorously.</w:t>
      </w:r>
    </w:p>
    <w:p>
      <w:pPr>
        <w:spacing w:after="0" w:line="146"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1B.</w:t>
      </w:r>
      <w:r>
        <w:rPr>
          <w:sz w:val="20"/>
          <w:szCs w:val="20"/>
          <w:color w:val="auto"/>
        </w:rPr>
        <w:tab/>
      </w:r>
      <w:r>
        <w:rPr>
          <w:rFonts w:ascii="Arial" w:cs="Arial" w:eastAsia="Arial" w:hAnsi="Arial"/>
          <w:sz w:val="11"/>
          <w:szCs w:val="11"/>
          <w:b w:val="1"/>
          <w:bCs w:val="1"/>
          <w:i w:val="1"/>
          <w:iCs w:val="1"/>
          <w:color w:val="auto"/>
        </w:rPr>
        <w:t>Unresolved Staff Comments.</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None.</w:t>
      </w:r>
    </w:p>
    <w:p>
      <w:pPr>
        <w:spacing w:after="0" w:line="181"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2.</w:t>
      </w:r>
      <w:r>
        <w:rPr>
          <w:sz w:val="20"/>
          <w:szCs w:val="20"/>
          <w:color w:val="auto"/>
        </w:rPr>
        <w:tab/>
      </w:r>
      <w:r>
        <w:rPr>
          <w:rFonts w:ascii="Arial" w:cs="Arial" w:eastAsia="Arial" w:hAnsi="Arial"/>
          <w:sz w:val="11"/>
          <w:szCs w:val="11"/>
          <w:b w:val="1"/>
          <w:bCs w:val="1"/>
          <w:i w:val="1"/>
          <w:iCs w:val="1"/>
          <w:color w:val="auto"/>
        </w:rPr>
        <w:t>Properties.</w:t>
      </w:r>
    </w:p>
    <w:p>
      <w:pPr>
        <w:spacing w:after="0" w:line="104" w:lineRule="exact"/>
        <w:rPr>
          <w:sz w:val="20"/>
          <w:szCs w:val="20"/>
          <w:color w:val="auto"/>
        </w:rPr>
      </w:pPr>
    </w:p>
    <w:p>
      <w:pPr>
        <w:ind w:left="680" w:right="940" w:firstLine="399"/>
        <w:spacing w:after="0" w:line="338" w:lineRule="auto"/>
        <w:rPr>
          <w:sz w:val="20"/>
          <w:szCs w:val="20"/>
          <w:color w:val="auto"/>
        </w:rPr>
      </w:pPr>
      <w:r>
        <w:rPr>
          <w:rFonts w:ascii="Arial" w:cs="Arial" w:eastAsia="Arial" w:hAnsi="Arial"/>
          <w:sz w:val="12"/>
          <w:szCs w:val="12"/>
          <w:color w:val="auto"/>
        </w:rPr>
        <w:t>As of July 3, 2009, we conducted operations using facilities in the U.S., Canada, Europe, Central America, South America, Africa and Asia. Our principal executive offices are located at leased facilities in Morrisville, North Carolina. There are no material encumbrances on any of our facilities. Remaining initial lease periods extend to 2018.</w:t>
      </w:r>
    </w:p>
    <w:p>
      <w:pPr>
        <w:spacing w:after="0" w:line="2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As of July 3, 2009, the locations and approximate floor space of our principal offices and facilities in productive use were as follows: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80" w:type="dxa"/>
            <w:vAlign w:val="bottom"/>
          </w:tcPr>
          <w:p>
            <w:pPr>
              <w:spacing w:after="0"/>
              <w:rPr>
                <w:sz w:val="11"/>
                <w:szCs w:val="11"/>
                <w:color w:val="auto"/>
              </w:rPr>
            </w:pPr>
          </w:p>
        </w:tc>
        <w:tc>
          <w:tcPr>
            <w:tcW w:w="3040" w:type="dxa"/>
            <w:vAlign w:val="bottom"/>
          </w:tcPr>
          <w:p>
            <w:pPr>
              <w:spacing w:after="0"/>
              <w:rPr>
                <w:sz w:val="20"/>
                <w:szCs w:val="20"/>
                <w:color w:val="auto"/>
              </w:rPr>
            </w:pPr>
            <w:r>
              <w:rPr>
                <w:rFonts w:ascii="Arial" w:cs="Arial" w:eastAsia="Arial" w:hAnsi="Arial"/>
                <w:sz w:val="11"/>
                <w:szCs w:val="11"/>
                <w:b w:val="1"/>
                <w:bCs w:val="1"/>
                <w:u w:val="single" w:color="auto"/>
                <w:color w:val="auto"/>
              </w:rPr>
              <w:t>L</w:t>
            </w:r>
            <w:r>
              <w:rPr>
                <w:rFonts w:ascii="Arial" w:cs="Arial" w:eastAsia="Arial" w:hAnsi="Arial"/>
                <w:sz w:val="11"/>
                <w:szCs w:val="11"/>
                <w:b w:val="1"/>
                <w:bCs w:val="1"/>
                <w:color w:val="auto"/>
              </w:rPr>
              <w:t>ocation</w:t>
            </w:r>
          </w:p>
        </w:tc>
        <w:tc>
          <w:tcPr>
            <w:tcW w:w="4860" w:type="dxa"/>
            <w:vAlign w:val="bottom"/>
          </w:tcPr>
          <w:p>
            <w:pPr>
              <w:ind w:left="2800"/>
              <w:spacing w:after="0"/>
              <w:rPr>
                <w:sz w:val="20"/>
                <w:szCs w:val="20"/>
                <w:color w:val="auto"/>
              </w:rPr>
            </w:pPr>
            <w:r>
              <w:rPr>
                <w:rFonts w:ascii="Arial" w:cs="Arial" w:eastAsia="Arial" w:hAnsi="Arial"/>
                <w:sz w:val="11"/>
                <w:szCs w:val="11"/>
                <w:b w:val="1"/>
                <w:bCs w:val="1"/>
                <w:color w:val="auto"/>
              </w:rPr>
              <w:t>Major Activities</w:t>
            </w:r>
          </w:p>
        </w:tc>
        <w:tc>
          <w:tcPr>
            <w:tcW w:w="1200" w:type="dxa"/>
            <w:vAlign w:val="bottom"/>
            <w:gridSpan w:val="2"/>
          </w:tcPr>
          <w:p>
            <w:pPr>
              <w:ind w:left="240"/>
              <w:spacing w:after="0"/>
              <w:rPr>
                <w:sz w:val="20"/>
                <w:szCs w:val="20"/>
                <w:color w:val="auto"/>
              </w:rPr>
            </w:pPr>
            <w:r>
              <w:rPr>
                <w:rFonts w:ascii="Arial" w:cs="Arial" w:eastAsia="Arial" w:hAnsi="Arial"/>
                <w:sz w:val="11"/>
                <w:szCs w:val="11"/>
                <w:b w:val="1"/>
                <w:bCs w:val="1"/>
                <w:color w:val="auto"/>
              </w:rPr>
              <w:t>Owned</w:t>
            </w:r>
          </w:p>
        </w:tc>
        <w:tc>
          <w:tcPr>
            <w:tcW w:w="880" w:type="dxa"/>
            <w:vAlign w:val="bottom"/>
            <w:gridSpan w:val="2"/>
          </w:tcPr>
          <w:p>
            <w:pPr>
              <w:ind w:left="240"/>
              <w:spacing w:after="0"/>
              <w:rPr>
                <w:sz w:val="20"/>
                <w:szCs w:val="20"/>
                <w:color w:val="auto"/>
              </w:rPr>
            </w:pPr>
            <w:r>
              <w:rPr>
                <w:rFonts w:ascii="Arial" w:cs="Arial" w:eastAsia="Arial" w:hAnsi="Arial"/>
                <w:sz w:val="11"/>
                <w:szCs w:val="11"/>
                <w:b w:val="1"/>
                <w:bCs w:val="1"/>
                <w:color w:val="auto"/>
              </w:rPr>
              <w:t>Leased</w:t>
            </w: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68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4860" w:type="dxa"/>
            <w:vAlign w:val="bottom"/>
          </w:tcPr>
          <w:p>
            <w:pPr>
              <w:spacing w:after="0"/>
              <w:rPr>
                <w:sz w:val="11"/>
                <w:szCs w:val="11"/>
                <w:color w:val="auto"/>
              </w:rPr>
            </w:pPr>
          </w:p>
        </w:tc>
        <w:tc>
          <w:tcPr>
            <w:tcW w:w="820" w:type="dxa"/>
            <w:vAlign w:val="bottom"/>
            <w:tcBorders>
              <w:top w:val="single" w:sz="8" w:color="auto"/>
            </w:tcBorders>
          </w:tcPr>
          <w:p>
            <w:pPr>
              <w:jc w:val="right"/>
              <w:ind w:right="54"/>
              <w:spacing w:after="0"/>
              <w:rPr>
                <w:sz w:val="20"/>
                <w:szCs w:val="20"/>
                <w:color w:val="auto"/>
              </w:rPr>
            </w:pPr>
            <w:r>
              <w:rPr>
                <w:rFonts w:ascii="Arial" w:cs="Arial" w:eastAsia="Arial" w:hAnsi="Arial"/>
                <w:sz w:val="11"/>
                <w:szCs w:val="11"/>
                <w:b w:val="1"/>
                <w:bCs w:val="1"/>
                <w:color w:val="auto"/>
              </w:rPr>
              <w:t>(Square feet)</w:t>
            </w:r>
          </w:p>
        </w:tc>
        <w:tc>
          <w:tcPr>
            <w:tcW w:w="380" w:type="dxa"/>
            <w:vAlign w:val="bottom"/>
          </w:tcPr>
          <w:p>
            <w:pPr>
              <w:spacing w:after="0"/>
              <w:rPr>
                <w:sz w:val="11"/>
                <w:szCs w:val="11"/>
                <w:color w:val="auto"/>
              </w:rPr>
            </w:pPr>
          </w:p>
        </w:tc>
        <w:tc>
          <w:tcPr>
            <w:tcW w:w="800" w:type="dxa"/>
            <w:vAlign w:val="bottom"/>
            <w:tcBorders>
              <w:top w:val="single" w:sz="8" w:color="auto"/>
            </w:tcBorders>
          </w:tcPr>
          <w:p>
            <w:pPr>
              <w:jc w:val="right"/>
              <w:ind w:right="34"/>
              <w:spacing w:after="0"/>
              <w:rPr>
                <w:sz w:val="20"/>
                <w:szCs w:val="20"/>
                <w:color w:val="auto"/>
              </w:rPr>
            </w:pPr>
            <w:r>
              <w:rPr>
                <w:rFonts w:ascii="Arial" w:cs="Arial" w:eastAsia="Arial" w:hAnsi="Arial"/>
                <w:sz w:val="11"/>
                <w:szCs w:val="11"/>
                <w:b w:val="1"/>
                <w:bCs w:val="1"/>
                <w:color w:val="auto"/>
              </w:rPr>
              <w:t>(Square feet)</w:t>
            </w: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3"/>
                <w:szCs w:val="13"/>
                <w:color w:val="auto"/>
              </w:rPr>
              <w:t>San Antonio, Texas</w:t>
            </w:r>
          </w:p>
        </w:tc>
        <w:tc>
          <w:tcPr>
            <w:tcW w:w="4860" w:type="dxa"/>
            <w:vAlign w:val="bottom"/>
            <w:shd w:val="clear" w:color="auto" w:fill="CCEEFF"/>
          </w:tcPr>
          <w:p>
            <w:pPr>
              <w:ind w:left="1060"/>
              <w:spacing w:after="0"/>
              <w:rPr>
                <w:sz w:val="20"/>
                <w:szCs w:val="20"/>
                <w:color w:val="auto"/>
              </w:rPr>
            </w:pPr>
            <w:r>
              <w:rPr>
                <w:rFonts w:ascii="Arial" w:cs="Arial" w:eastAsia="Arial" w:hAnsi="Arial"/>
                <w:sz w:val="13"/>
                <w:szCs w:val="13"/>
                <w:color w:val="auto"/>
              </w:rPr>
              <w:t>Office, manufacturing</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130,000</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3040" w:type="dxa"/>
            <w:vAlign w:val="bottom"/>
          </w:tcPr>
          <w:p>
            <w:pPr>
              <w:spacing w:after="0"/>
              <w:rPr>
                <w:sz w:val="20"/>
                <w:szCs w:val="20"/>
                <w:color w:val="auto"/>
              </w:rPr>
            </w:pPr>
            <w:r>
              <w:rPr>
                <w:rFonts w:ascii="Arial" w:cs="Arial" w:eastAsia="Arial" w:hAnsi="Arial"/>
                <w:sz w:val="13"/>
                <w:szCs w:val="13"/>
                <w:color w:val="auto"/>
              </w:rPr>
              <w:t>Wellington, New Zealand</w:t>
            </w:r>
          </w:p>
        </w:tc>
        <w:tc>
          <w:tcPr>
            <w:tcW w:w="4860" w:type="dxa"/>
            <w:vAlign w:val="bottom"/>
          </w:tcPr>
          <w:p>
            <w:pPr>
              <w:ind w:left="1060"/>
              <w:spacing w:after="0"/>
              <w:rPr>
                <w:sz w:val="20"/>
                <w:szCs w:val="20"/>
                <w:color w:val="auto"/>
              </w:rPr>
            </w:pPr>
            <w:r>
              <w:rPr>
                <w:rFonts w:ascii="Arial" w:cs="Arial" w:eastAsia="Arial" w:hAnsi="Arial"/>
                <w:sz w:val="13"/>
                <w:szCs w:val="13"/>
                <w:color w:val="auto"/>
              </w:rPr>
              <w:t>Office, R&amp;D center</w:t>
            </w:r>
          </w:p>
        </w:tc>
        <w:tc>
          <w:tcPr>
            <w:tcW w:w="1200" w:type="dxa"/>
            <w:vAlign w:val="bottom"/>
            <w:gridSpan w:val="2"/>
          </w:tcPr>
          <w:p>
            <w:pPr>
              <w:jc w:val="right"/>
              <w:ind w:right="380"/>
              <w:spacing w:after="0"/>
              <w:rPr>
                <w:sz w:val="20"/>
                <w:szCs w:val="20"/>
                <w:color w:val="auto"/>
              </w:rPr>
            </w:pPr>
            <w:r>
              <w:rPr>
                <w:rFonts w:ascii="Arial" w:cs="Arial" w:eastAsia="Arial" w:hAnsi="Arial"/>
                <w:sz w:val="13"/>
                <w:szCs w:val="13"/>
                <w:color w:val="auto"/>
              </w:rPr>
              <w:t>58,000</w:t>
            </w:r>
          </w:p>
        </w:tc>
        <w:tc>
          <w:tcPr>
            <w:tcW w:w="8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3"/>
                <w:szCs w:val="13"/>
                <w:color w:val="auto"/>
              </w:rPr>
              <w:t>Lanarkshire, Scotland</w:t>
            </w:r>
          </w:p>
        </w:tc>
        <w:tc>
          <w:tcPr>
            <w:tcW w:w="4860" w:type="dxa"/>
            <w:vAlign w:val="bottom"/>
            <w:shd w:val="clear" w:color="auto" w:fill="CCEEFF"/>
          </w:tcPr>
          <w:p>
            <w:pPr>
              <w:ind w:left="1060"/>
              <w:spacing w:after="0"/>
              <w:rPr>
                <w:sz w:val="20"/>
                <w:szCs w:val="20"/>
                <w:color w:val="auto"/>
              </w:rPr>
            </w:pPr>
            <w:r>
              <w:rPr>
                <w:rFonts w:ascii="Arial" w:cs="Arial" w:eastAsia="Arial" w:hAnsi="Arial"/>
                <w:sz w:val="13"/>
                <w:szCs w:val="13"/>
                <w:color w:val="auto"/>
              </w:rPr>
              <w:t>Office, repair center</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52,000</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3040" w:type="dxa"/>
            <w:vAlign w:val="bottom"/>
          </w:tcPr>
          <w:p>
            <w:pPr>
              <w:spacing w:after="0"/>
              <w:rPr>
                <w:sz w:val="20"/>
                <w:szCs w:val="20"/>
                <w:color w:val="auto"/>
              </w:rPr>
            </w:pPr>
            <w:r>
              <w:rPr>
                <w:rFonts w:ascii="Arial" w:cs="Arial" w:eastAsia="Arial" w:hAnsi="Arial"/>
                <w:sz w:val="13"/>
                <w:szCs w:val="13"/>
                <w:color w:val="auto"/>
              </w:rPr>
              <w:t>San Jose, California (three facilities)</w:t>
            </w:r>
          </w:p>
        </w:tc>
        <w:tc>
          <w:tcPr>
            <w:tcW w:w="4860" w:type="dxa"/>
            <w:vAlign w:val="bottom"/>
          </w:tcPr>
          <w:p>
            <w:pPr>
              <w:ind w:left="1060"/>
              <w:spacing w:after="0"/>
              <w:rPr>
                <w:sz w:val="20"/>
                <w:szCs w:val="20"/>
                <w:color w:val="auto"/>
              </w:rPr>
            </w:pPr>
            <w:r>
              <w:rPr>
                <w:rFonts w:ascii="Arial" w:cs="Arial" w:eastAsia="Arial" w:hAnsi="Arial"/>
                <w:sz w:val="13"/>
                <w:szCs w:val="13"/>
                <w:color w:val="auto"/>
              </w:rPr>
              <w:t>Offices, R&amp;D center, warehouse</w:t>
            </w:r>
          </w:p>
        </w:tc>
        <w:tc>
          <w:tcPr>
            <w:tcW w:w="120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3"/>
                <w:szCs w:val="13"/>
                <w:color w:val="auto"/>
              </w:rPr>
              <w:t>128,000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3"/>
                <w:szCs w:val="13"/>
                <w:color w:val="auto"/>
              </w:rPr>
              <w:t>Morrisville, North Carolina</w:t>
            </w:r>
          </w:p>
        </w:tc>
        <w:tc>
          <w:tcPr>
            <w:tcW w:w="4860" w:type="dxa"/>
            <w:vAlign w:val="bottom"/>
            <w:shd w:val="clear" w:color="auto" w:fill="CCEEFF"/>
          </w:tcPr>
          <w:p>
            <w:pPr>
              <w:ind w:left="1060"/>
              <w:spacing w:after="0"/>
              <w:rPr>
                <w:sz w:val="20"/>
                <w:szCs w:val="20"/>
                <w:color w:val="auto"/>
              </w:rPr>
            </w:pPr>
            <w:r>
              <w:rPr>
                <w:rFonts w:ascii="Arial" w:cs="Arial" w:eastAsia="Arial" w:hAnsi="Arial"/>
                <w:sz w:val="13"/>
                <w:szCs w:val="13"/>
                <w:color w:val="auto"/>
              </w:rPr>
              <w:t>Headquarters, R&amp;D center</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60,000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3040" w:type="dxa"/>
            <w:vAlign w:val="bottom"/>
          </w:tcPr>
          <w:p>
            <w:pPr>
              <w:spacing w:after="0"/>
              <w:rPr>
                <w:sz w:val="20"/>
                <w:szCs w:val="20"/>
                <w:color w:val="auto"/>
              </w:rPr>
            </w:pPr>
            <w:r>
              <w:rPr>
                <w:rFonts w:ascii="Arial" w:cs="Arial" w:eastAsia="Arial" w:hAnsi="Arial"/>
                <w:sz w:val="13"/>
                <w:szCs w:val="13"/>
                <w:color w:val="auto"/>
              </w:rPr>
              <w:t>India (three facilities)</w:t>
            </w:r>
          </w:p>
        </w:tc>
        <w:tc>
          <w:tcPr>
            <w:tcW w:w="4860" w:type="dxa"/>
            <w:vAlign w:val="bottom"/>
          </w:tcPr>
          <w:p>
            <w:pPr>
              <w:ind w:left="1060"/>
              <w:spacing w:after="0"/>
              <w:rPr>
                <w:sz w:val="20"/>
                <w:szCs w:val="20"/>
                <w:color w:val="auto"/>
              </w:rPr>
            </w:pPr>
            <w:r>
              <w:rPr>
                <w:rFonts w:ascii="Arial" w:cs="Arial" w:eastAsia="Arial" w:hAnsi="Arial"/>
                <w:sz w:val="13"/>
                <w:szCs w:val="13"/>
                <w:color w:val="auto"/>
              </w:rPr>
              <w:t>Office, R&amp;D center</w:t>
            </w:r>
          </w:p>
        </w:tc>
        <w:tc>
          <w:tcPr>
            <w:tcW w:w="120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3"/>
                <w:szCs w:val="13"/>
                <w:color w:val="auto"/>
              </w:rPr>
              <w:t>53,000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3"/>
                <w:szCs w:val="13"/>
                <w:color w:val="auto"/>
              </w:rPr>
              <w:t>Slovenia</w:t>
            </w:r>
          </w:p>
        </w:tc>
        <w:tc>
          <w:tcPr>
            <w:tcW w:w="4860" w:type="dxa"/>
            <w:vAlign w:val="bottom"/>
            <w:shd w:val="clear" w:color="auto" w:fill="CCEEFF"/>
          </w:tcPr>
          <w:p>
            <w:pPr>
              <w:ind w:left="1060"/>
              <w:spacing w:after="0"/>
              <w:rPr>
                <w:sz w:val="20"/>
                <w:szCs w:val="20"/>
                <w:color w:val="auto"/>
              </w:rPr>
            </w:pPr>
            <w:r>
              <w:rPr>
                <w:rFonts w:ascii="Arial" w:cs="Arial" w:eastAsia="Arial" w:hAnsi="Arial"/>
                <w:sz w:val="13"/>
                <w:szCs w:val="13"/>
                <w:color w:val="auto"/>
              </w:rPr>
              <w:t>Office, R&amp;D center</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20,000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3040" w:type="dxa"/>
            <w:vAlign w:val="bottom"/>
          </w:tcPr>
          <w:p>
            <w:pPr>
              <w:spacing w:after="0"/>
              <w:rPr>
                <w:sz w:val="20"/>
                <w:szCs w:val="20"/>
                <w:color w:val="auto"/>
              </w:rPr>
            </w:pPr>
            <w:r>
              <w:rPr>
                <w:rFonts w:ascii="Arial" w:cs="Arial" w:eastAsia="Arial" w:hAnsi="Arial"/>
                <w:sz w:val="13"/>
                <w:szCs w:val="13"/>
                <w:color w:val="auto"/>
              </w:rPr>
              <w:t>Philippine Islands (two facilities)</w:t>
            </w:r>
          </w:p>
        </w:tc>
        <w:tc>
          <w:tcPr>
            <w:tcW w:w="4860" w:type="dxa"/>
            <w:vAlign w:val="bottom"/>
          </w:tcPr>
          <w:p>
            <w:pPr>
              <w:ind w:left="1060"/>
              <w:spacing w:after="0"/>
              <w:rPr>
                <w:sz w:val="20"/>
                <w:szCs w:val="20"/>
                <w:color w:val="auto"/>
              </w:rPr>
            </w:pPr>
            <w:r>
              <w:rPr>
                <w:rFonts w:ascii="Arial" w:cs="Arial" w:eastAsia="Arial" w:hAnsi="Arial"/>
                <w:sz w:val="13"/>
                <w:szCs w:val="13"/>
                <w:color w:val="auto"/>
              </w:rPr>
              <w:t>Office</w:t>
            </w:r>
          </w:p>
        </w:tc>
        <w:tc>
          <w:tcPr>
            <w:tcW w:w="120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3"/>
                <w:szCs w:val="13"/>
                <w:color w:val="auto"/>
              </w:rPr>
              <w:t>17,000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3"/>
                <w:szCs w:val="13"/>
                <w:color w:val="auto"/>
              </w:rPr>
              <w:t>Republic of Singapore</w:t>
            </w:r>
          </w:p>
        </w:tc>
        <w:tc>
          <w:tcPr>
            <w:tcW w:w="4860" w:type="dxa"/>
            <w:vAlign w:val="bottom"/>
            <w:shd w:val="clear" w:color="auto" w:fill="CCEEFF"/>
          </w:tcPr>
          <w:p>
            <w:pPr>
              <w:ind w:left="1060"/>
              <w:spacing w:after="0"/>
              <w:rPr>
                <w:sz w:val="20"/>
                <w:szCs w:val="20"/>
                <w:color w:val="auto"/>
              </w:rPr>
            </w:pPr>
            <w:r>
              <w:rPr>
                <w:rFonts w:ascii="Arial" w:cs="Arial" w:eastAsia="Arial" w:hAnsi="Arial"/>
                <w:sz w:val="13"/>
                <w:szCs w:val="13"/>
                <w:color w:val="auto"/>
              </w:rPr>
              <w:t>Office</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13,000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3040" w:type="dxa"/>
            <w:vAlign w:val="bottom"/>
          </w:tcPr>
          <w:p>
            <w:pPr>
              <w:spacing w:after="0"/>
              <w:rPr>
                <w:sz w:val="20"/>
                <w:szCs w:val="20"/>
                <w:color w:val="auto"/>
              </w:rPr>
            </w:pPr>
            <w:r>
              <w:rPr>
                <w:rFonts w:ascii="Arial" w:cs="Arial" w:eastAsia="Arial" w:hAnsi="Arial"/>
                <w:sz w:val="13"/>
                <w:szCs w:val="13"/>
                <w:color w:val="auto"/>
              </w:rPr>
              <w:t>People’s Republic of China</w:t>
            </w:r>
          </w:p>
        </w:tc>
        <w:tc>
          <w:tcPr>
            <w:tcW w:w="4860" w:type="dxa"/>
            <w:vAlign w:val="bottom"/>
          </w:tcPr>
          <w:p>
            <w:pPr>
              <w:ind w:left="1060"/>
              <w:spacing w:after="0"/>
              <w:rPr>
                <w:sz w:val="20"/>
                <w:szCs w:val="20"/>
                <w:color w:val="auto"/>
              </w:rPr>
            </w:pPr>
            <w:r>
              <w:rPr>
                <w:rFonts w:ascii="Arial" w:cs="Arial" w:eastAsia="Arial" w:hAnsi="Arial"/>
                <w:sz w:val="13"/>
                <w:szCs w:val="13"/>
                <w:color w:val="auto"/>
              </w:rPr>
              <w:t>Office</w:t>
            </w:r>
          </w:p>
        </w:tc>
        <w:tc>
          <w:tcPr>
            <w:tcW w:w="120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3"/>
                <w:szCs w:val="13"/>
                <w:color w:val="auto"/>
              </w:rPr>
              <w:t>8,000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3"/>
                <w:szCs w:val="13"/>
                <w:color w:val="auto"/>
              </w:rPr>
              <w:t>Paris, France</w:t>
            </w:r>
          </w:p>
        </w:tc>
        <w:tc>
          <w:tcPr>
            <w:tcW w:w="4860" w:type="dxa"/>
            <w:vAlign w:val="bottom"/>
            <w:shd w:val="clear" w:color="auto" w:fill="CCEEFF"/>
          </w:tcPr>
          <w:p>
            <w:pPr>
              <w:ind w:left="1060"/>
              <w:spacing w:after="0"/>
              <w:rPr>
                <w:sz w:val="20"/>
                <w:szCs w:val="20"/>
                <w:color w:val="auto"/>
              </w:rPr>
            </w:pPr>
            <w:r>
              <w:rPr>
                <w:rFonts w:ascii="Arial" w:cs="Arial" w:eastAsia="Arial" w:hAnsi="Arial"/>
                <w:sz w:val="13"/>
                <w:szCs w:val="13"/>
                <w:color w:val="auto"/>
              </w:rPr>
              <w:t>Office</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8,000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3040" w:type="dxa"/>
            <w:vAlign w:val="bottom"/>
          </w:tcPr>
          <w:p>
            <w:pPr>
              <w:spacing w:after="0"/>
              <w:rPr>
                <w:sz w:val="20"/>
                <w:szCs w:val="20"/>
                <w:color w:val="auto"/>
              </w:rPr>
            </w:pPr>
            <w:r>
              <w:rPr>
                <w:rFonts w:ascii="Arial" w:cs="Arial" w:eastAsia="Arial" w:hAnsi="Arial"/>
                <w:sz w:val="13"/>
                <w:szCs w:val="13"/>
                <w:color w:val="auto"/>
              </w:rPr>
              <w:t>Mexico City, Mexico</w:t>
            </w:r>
          </w:p>
        </w:tc>
        <w:tc>
          <w:tcPr>
            <w:tcW w:w="4860" w:type="dxa"/>
            <w:vAlign w:val="bottom"/>
          </w:tcPr>
          <w:p>
            <w:pPr>
              <w:ind w:left="1060"/>
              <w:spacing w:after="0"/>
              <w:rPr>
                <w:sz w:val="20"/>
                <w:szCs w:val="20"/>
                <w:color w:val="auto"/>
              </w:rPr>
            </w:pPr>
            <w:r>
              <w:rPr>
                <w:rFonts w:ascii="Arial" w:cs="Arial" w:eastAsia="Arial" w:hAnsi="Arial"/>
                <w:sz w:val="13"/>
                <w:szCs w:val="13"/>
                <w:color w:val="auto"/>
              </w:rPr>
              <w:t>Office</w:t>
            </w:r>
          </w:p>
        </w:tc>
        <w:tc>
          <w:tcPr>
            <w:tcW w:w="120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3"/>
                <w:szCs w:val="13"/>
                <w:color w:val="auto"/>
              </w:rPr>
              <w:t>8,000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3"/>
                <w:szCs w:val="13"/>
                <w:color w:val="auto"/>
              </w:rPr>
              <w:t>Montreal, Canada</w:t>
            </w:r>
          </w:p>
        </w:tc>
        <w:tc>
          <w:tcPr>
            <w:tcW w:w="4860" w:type="dxa"/>
            <w:vAlign w:val="bottom"/>
            <w:shd w:val="clear" w:color="auto" w:fill="CCEEFF"/>
          </w:tcPr>
          <w:p>
            <w:pPr>
              <w:ind w:left="1060"/>
              <w:spacing w:after="0"/>
              <w:rPr>
                <w:sz w:val="20"/>
                <w:szCs w:val="20"/>
                <w:color w:val="auto"/>
              </w:rPr>
            </w:pPr>
            <w:r>
              <w:rPr>
                <w:rFonts w:ascii="Arial" w:cs="Arial" w:eastAsia="Arial" w:hAnsi="Arial"/>
                <w:sz w:val="13"/>
                <w:szCs w:val="13"/>
                <w:color w:val="auto"/>
              </w:rPr>
              <w:t>Office</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6,000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3040" w:type="dxa"/>
            <w:vAlign w:val="bottom"/>
          </w:tcPr>
          <w:p>
            <w:pPr>
              <w:spacing w:after="0"/>
              <w:rPr>
                <w:sz w:val="20"/>
                <w:szCs w:val="20"/>
                <w:color w:val="auto"/>
              </w:rPr>
            </w:pPr>
            <w:r>
              <w:rPr>
                <w:rFonts w:ascii="Arial" w:cs="Arial" w:eastAsia="Arial" w:hAnsi="Arial"/>
                <w:sz w:val="13"/>
                <w:szCs w:val="13"/>
                <w:color w:val="auto"/>
              </w:rPr>
              <w:t>Other facilities</w:t>
            </w:r>
          </w:p>
        </w:tc>
        <w:tc>
          <w:tcPr>
            <w:tcW w:w="4860" w:type="dxa"/>
            <w:vAlign w:val="bottom"/>
          </w:tcPr>
          <w:p>
            <w:pPr>
              <w:ind w:left="1060"/>
              <w:spacing w:after="0"/>
              <w:rPr>
                <w:sz w:val="20"/>
                <w:szCs w:val="20"/>
                <w:color w:val="auto"/>
              </w:rPr>
            </w:pPr>
            <w:r>
              <w:rPr>
                <w:rFonts w:ascii="Arial" w:cs="Arial" w:eastAsia="Arial" w:hAnsi="Arial"/>
                <w:sz w:val="13"/>
                <w:szCs w:val="13"/>
                <w:color w:val="auto"/>
              </w:rPr>
              <w:t>Offices</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67,000</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3"/>
                <w:szCs w:val="13"/>
                <w:color w:val="auto"/>
              </w:rPr>
              <w:t>Totals</w:t>
            </w:r>
          </w:p>
        </w:tc>
        <w:tc>
          <w:tcPr>
            <w:tcW w:w="486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240,000</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388,000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4860" w:type="dxa"/>
            <w:vAlign w:val="bottom"/>
            <w:vMerge w:val="restart"/>
          </w:tcPr>
          <w:p>
            <w:pPr>
              <w:ind w:left="1880"/>
              <w:spacing w:after="0"/>
              <w:rPr>
                <w:sz w:val="20"/>
                <w:szCs w:val="20"/>
                <w:color w:val="auto"/>
              </w:rPr>
            </w:pPr>
            <w:r>
              <w:rPr>
                <w:rFonts w:ascii="Arial" w:cs="Arial" w:eastAsia="Arial" w:hAnsi="Arial"/>
                <w:sz w:val="13"/>
                <w:szCs w:val="13"/>
                <w:color w:val="auto"/>
              </w:rPr>
              <w:t>28</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6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486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680" w:type="dxa"/>
            <w:vAlign w:val="bottom"/>
            <w:tcBorders>
              <w:bottom w:val="single" w:sz="8" w:color="808080"/>
            </w:tcBorders>
          </w:tcPr>
          <w:p>
            <w:pPr>
              <w:spacing w:after="0"/>
              <w:rPr>
                <w:sz w:val="14"/>
                <w:szCs w:val="14"/>
                <w:color w:val="auto"/>
              </w:rPr>
            </w:pPr>
          </w:p>
        </w:tc>
        <w:tc>
          <w:tcPr>
            <w:tcW w:w="3040" w:type="dxa"/>
            <w:vAlign w:val="bottom"/>
            <w:tcBorders>
              <w:bottom w:val="single" w:sz="8" w:color="808080"/>
            </w:tcBorders>
          </w:tcPr>
          <w:p>
            <w:pPr>
              <w:spacing w:after="0"/>
              <w:rPr>
                <w:sz w:val="14"/>
                <w:szCs w:val="14"/>
                <w:color w:val="auto"/>
              </w:rPr>
            </w:pPr>
          </w:p>
        </w:tc>
        <w:tc>
          <w:tcPr>
            <w:tcW w:w="4860" w:type="dxa"/>
            <w:vAlign w:val="bottom"/>
            <w:tcBorders>
              <w:bottom w:val="single" w:sz="8" w:color="808080"/>
            </w:tcBorders>
          </w:tcPr>
          <w:p>
            <w:pPr>
              <w:spacing w:after="0"/>
              <w:rPr>
                <w:sz w:val="14"/>
                <w:szCs w:val="14"/>
                <w:color w:val="auto"/>
              </w:rPr>
            </w:pPr>
          </w:p>
        </w:tc>
        <w:tc>
          <w:tcPr>
            <w:tcW w:w="8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4140200</wp:posOffset>
            </wp:positionH>
            <wp:positionV relativeFrom="paragraph">
              <wp:posOffset>-2088515</wp:posOffset>
            </wp:positionV>
            <wp:extent cx="25400" cy="63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400" cy="6350"/>
                    </a:xfrm>
                    <a:prstGeom prst="rect">
                      <a:avLst/>
                    </a:prstGeom>
                    <a:noFill/>
                  </pic:spPr>
                </pic:pic>
              </a:graphicData>
            </a:graphic>
          </wp:anchor>
        </w:drawing>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12700" cy="63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9" w:right="219" w:bottom="1440" w:gutter="0" w:footer="0" w:header="0"/>
        </w:sectPr>
      </w:pPr>
    </w:p>
    <w:bookmarkStart w:id="29" w:name="page30"/>
    <w:bookmarkEnd w:id="2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firstLine="399"/>
        <w:spacing w:after="0" w:line="299" w:lineRule="auto"/>
        <w:rPr>
          <w:sz w:val="20"/>
          <w:szCs w:val="20"/>
          <w:color w:val="auto"/>
        </w:rPr>
      </w:pPr>
      <w:r>
        <w:rPr>
          <w:rFonts w:ascii="Arial" w:cs="Arial" w:eastAsia="Arial" w:hAnsi="Arial"/>
          <w:sz w:val="12"/>
          <w:szCs w:val="12"/>
          <w:color w:val="auto"/>
        </w:rPr>
        <w:t>During fiscal 2007, in connection with the acquisition of Stratex, we ceased operations at, and subsequently vacated leased facilities in Seattle, Washington, and San Jose and Milpitas, California. These three facilities consist of approximately 139,000 square feet, of which approximately 90,000 square feet have been subleased to third parties. Additionally, we ceased most operations at, and mostly vacated a fourth leased 60,000 square foot facility in San Jose, California. We have retained 40,400 square feet for our use and subleased 4,500 square feet of the remaining space to a third party. As the lessee, we have ongoing lease commitments, which extend into fiscal year 2011 for these four facilities.</w:t>
      </w:r>
    </w:p>
    <w:p>
      <w:pPr>
        <w:spacing w:after="0" w:line="48" w:lineRule="exact"/>
        <w:rPr>
          <w:sz w:val="20"/>
          <w:szCs w:val="20"/>
          <w:color w:val="auto"/>
        </w:rPr>
      </w:pPr>
    </w:p>
    <w:p>
      <w:pPr>
        <w:ind w:left="680" w:right="260" w:firstLine="399"/>
        <w:spacing w:after="0" w:line="276" w:lineRule="auto"/>
        <w:rPr>
          <w:sz w:val="20"/>
          <w:szCs w:val="20"/>
          <w:color w:val="auto"/>
        </w:rPr>
      </w:pPr>
      <w:r>
        <w:rPr>
          <w:rFonts w:ascii="Arial" w:cs="Arial" w:eastAsia="Arial" w:hAnsi="Arial"/>
          <w:sz w:val="13"/>
          <w:szCs w:val="13"/>
          <w:color w:val="auto"/>
        </w:rPr>
        <w:t>We maintain our facilities in good operating condition, and believe that they are suitable and adequate for our current and projected needs. We continuously review our anticipated requirements for facilities and may, from time to time, acquire additional facilities, expand existing facilities, or dispose of existing facilities or parts thereof, as we deem necessary.</w:t>
      </w:r>
    </w:p>
    <w:p>
      <w:pPr>
        <w:spacing w:after="0" w:line="59" w:lineRule="exact"/>
        <w:rPr>
          <w:sz w:val="20"/>
          <w:szCs w:val="20"/>
          <w:color w:val="auto"/>
        </w:rPr>
      </w:pPr>
    </w:p>
    <w:p>
      <w:pPr>
        <w:ind w:left="680" w:right="100" w:firstLine="399"/>
        <w:spacing w:after="0" w:line="294" w:lineRule="auto"/>
        <w:rPr>
          <w:sz w:val="20"/>
          <w:szCs w:val="20"/>
          <w:color w:val="auto"/>
        </w:rPr>
      </w:pPr>
      <w:r>
        <w:rPr>
          <w:rFonts w:ascii="Arial" w:cs="Arial" w:eastAsia="Arial" w:hAnsi="Arial"/>
          <w:sz w:val="13"/>
          <w:szCs w:val="13"/>
          <w:color w:val="auto"/>
        </w:rPr>
        <w:t>For more information about our lease obligations, see “Note Q — Operating Lease Commitments” and “Note K — Restructuring Activities” of Notes to Consolidated Financial Statements, which are included in Part II, Item 8 of this Annual Report on Form 10-K.</w:t>
      </w:r>
    </w:p>
    <w:p>
      <w:pPr>
        <w:spacing w:after="0" w:line="125"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3.</w:t>
      </w:r>
      <w:r>
        <w:rPr>
          <w:sz w:val="20"/>
          <w:szCs w:val="20"/>
          <w:color w:val="auto"/>
        </w:rPr>
        <w:tab/>
      </w:r>
      <w:r>
        <w:rPr>
          <w:rFonts w:ascii="Arial" w:cs="Arial" w:eastAsia="Arial" w:hAnsi="Arial"/>
          <w:sz w:val="11"/>
          <w:szCs w:val="11"/>
          <w:b w:val="1"/>
          <w:bCs w:val="1"/>
          <w:i w:val="1"/>
          <w:iCs w:val="1"/>
          <w:color w:val="auto"/>
        </w:rPr>
        <w:t>Legal Proceedings.</w:t>
      </w:r>
    </w:p>
    <w:p>
      <w:pPr>
        <w:spacing w:after="0" w:line="104" w:lineRule="exact"/>
        <w:rPr>
          <w:sz w:val="20"/>
          <w:szCs w:val="20"/>
          <w:color w:val="auto"/>
        </w:rPr>
      </w:pPr>
    </w:p>
    <w:p>
      <w:pPr>
        <w:ind w:left="680" w:right="40" w:firstLine="399"/>
        <w:spacing w:after="0" w:line="263" w:lineRule="auto"/>
        <w:rPr>
          <w:sz w:val="20"/>
          <w:szCs w:val="20"/>
          <w:color w:val="auto"/>
        </w:rPr>
      </w:pPr>
      <w:r>
        <w:rPr>
          <w:rFonts w:ascii="Arial" w:cs="Arial" w:eastAsia="Arial" w:hAnsi="Arial"/>
          <w:sz w:val="13"/>
          <w:szCs w:val="13"/>
          <w:color w:val="auto"/>
        </w:rPr>
        <w:t>We and certain of our current and former executive officers and directors were named in a federal securities class action complaint filed on September 15, 2008 in the United States District Court for the District of Delaware by plaintiff Norfolk County Retirement System on behalf of an alleged class of purchasers of our securities from January 29, 2007 to July 30, 2008, including shareholders of Stratex Networks, Inc. who exchanged shares of Stratex Networks, Inc. for our shares as part of the merger between Stratex Networks and the Microwave Communications Division of Harris Corporation. This action relates to the restatement of our prior financial statements as discussed in our fiscal 2008 Annual Report on Form 10-K filed with the Securities and Exchange Commission on September 25, 2008. Similar complaints were filed in the United States District Court of Delaware on October 6 and October 30, 2008. Each complaint alleges violations of Sections 10(b) and 20(a) of the Securities Exchange Act of 1934 and Rule 10b-5 promulgated thereunder, as well as violations of Sections 11 and 15 of the Securities Act of 1933 and seeks, among other relief, determinations that the action is a proper class action, unspecified compensatory damages and reasonable attorneys’ fees and costs. The actions were consolidated on June 5, 2009 and a consolidated class action complaint was filed on July 29, 2009. We believe that we have meritorious defenses and intend to defend ourselves vigorously.</w:t>
      </w:r>
    </w:p>
    <w:p>
      <w:pPr>
        <w:spacing w:after="0" w:line="67" w:lineRule="exact"/>
        <w:rPr>
          <w:sz w:val="20"/>
          <w:szCs w:val="20"/>
          <w:color w:val="auto"/>
        </w:rPr>
      </w:pPr>
    </w:p>
    <w:p>
      <w:pPr>
        <w:ind w:left="680" w:right="200" w:firstLine="399"/>
        <w:spacing w:after="0" w:line="270" w:lineRule="auto"/>
        <w:rPr>
          <w:sz w:val="20"/>
          <w:szCs w:val="20"/>
          <w:color w:val="auto"/>
        </w:rPr>
      </w:pPr>
      <w:r>
        <w:rPr>
          <w:rFonts w:ascii="Arial" w:cs="Arial" w:eastAsia="Arial" w:hAnsi="Arial"/>
          <w:sz w:val="13"/>
          <w:szCs w:val="13"/>
          <w:color w:val="auto"/>
        </w:rPr>
        <w:t>On February 8, 2007, a court order was entered against Stratex do Brasil, a subsidiary of Harris Stratex Networks Operating Company, in Brazil, to enforce performance of an alleged agreement between the former Stratex Networks, Inc. entity and a supplier. We have not determined what, if any, liability this may result in, as the court did not award any damages. We have appealed the decision to enforce the alleged agreement, and do not expect this litigation to have a material adverse effect on our business, operating results or financial condition.</w:t>
      </w:r>
    </w:p>
    <w:p>
      <w:pPr>
        <w:spacing w:after="0" w:line="63" w:lineRule="exact"/>
        <w:rPr>
          <w:sz w:val="20"/>
          <w:szCs w:val="20"/>
          <w:color w:val="auto"/>
        </w:rPr>
      </w:pPr>
    </w:p>
    <w:p>
      <w:pPr>
        <w:ind w:left="680" w:right="20" w:firstLine="399"/>
        <w:spacing w:after="0" w:line="270" w:lineRule="auto"/>
        <w:rPr>
          <w:sz w:val="20"/>
          <w:szCs w:val="20"/>
          <w:color w:val="auto"/>
        </w:rPr>
      </w:pPr>
      <w:r>
        <w:rPr>
          <w:rFonts w:ascii="Arial" w:cs="Arial" w:eastAsia="Arial" w:hAnsi="Arial"/>
          <w:sz w:val="13"/>
          <w:szCs w:val="13"/>
          <w:color w:val="auto"/>
        </w:rPr>
        <w:t>From time to time, as a normal incident of the nature and kind of businesses in which we are engaged, various claims or charges are asserted and litigation commenced against us arising from or related to: personal injury, patents, trademarks, trade secrets or other intellectual property; labor and employee disputes; commercial or contractual disputes; the sale or use of products containing restricted or hazardous materials; breach of warranty; or environmental matters. Claimed amounts may be substantial but may not bear any reasonable relationship to the merits of the claim or the extent of any real risk of court or arbitral awards.</w:t>
      </w:r>
    </w:p>
    <w:p>
      <w:pPr>
        <w:spacing w:after="0" w:line="141"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4.</w:t>
      </w:r>
      <w:r>
        <w:rPr>
          <w:sz w:val="20"/>
          <w:szCs w:val="20"/>
          <w:color w:val="auto"/>
        </w:rPr>
        <w:tab/>
      </w:r>
      <w:r>
        <w:rPr>
          <w:rFonts w:ascii="Arial" w:cs="Arial" w:eastAsia="Arial" w:hAnsi="Arial"/>
          <w:sz w:val="11"/>
          <w:szCs w:val="11"/>
          <w:b w:val="1"/>
          <w:bCs w:val="1"/>
          <w:i w:val="1"/>
          <w:iCs w:val="1"/>
          <w:color w:val="auto"/>
        </w:rPr>
        <w:t>Submissions of Matters to a Vote of Security Holders.</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 matters were submitted by us to a vote of our security holders, through the solicitation of proxies or otherwise, during the fourth quarter of fiscal 2009.</w:t>
      </w:r>
    </w:p>
    <w:p>
      <w:pPr>
        <w:spacing w:after="0" w:line="31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30" w:name="page31"/>
    <w:bookmarkEnd w:id="3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EXECUTIVE OFFICERS OF THE REGISTRANT</w:t>
      </w:r>
    </w:p>
    <w:p>
      <w:pPr>
        <w:spacing w:after="0" w:line="104" w:lineRule="exact"/>
        <w:rPr>
          <w:sz w:val="20"/>
          <w:szCs w:val="20"/>
          <w:color w:val="auto"/>
        </w:rPr>
      </w:pPr>
    </w:p>
    <w:p>
      <w:pPr>
        <w:ind w:left="680" w:right="80" w:firstLine="399"/>
        <w:spacing w:after="0" w:line="294" w:lineRule="auto"/>
        <w:rPr>
          <w:sz w:val="20"/>
          <w:szCs w:val="20"/>
          <w:color w:val="auto"/>
        </w:rPr>
      </w:pPr>
      <w:r>
        <w:rPr>
          <w:rFonts w:ascii="Arial" w:cs="Arial" w:eastAsia="Arial" w:hAnsi="Arial"/>
          <w:sz w:val="13"/>
          <w:szCs w:val="13"/>
          <w:color w:val="auto"/>
        </w:rPr>
        <w:t>The name, age, position held with us, and principal occupation and employment during at least the past 5 years for each of our executive officers as of September 3, 2009, are as follows:</w:t>
      </w:r>
    </w:p>
    <w:p>
      <w:pPr>
        <w:spacing w:after="0" w:line="51" w:lineRule="exact"/>
        <w:rPr>
          <w:sz w:val="20"/>
          <w:szCs w:val="20"/>
          <w:color w:val="auto"/>
        </w:rPr>
      </w:pPr>
    </w:p>
    <w:tbl>
      <w:tblPr>
        <w:tblLayout w:type="fixed"/>
        <w:tblInd w:w="680" w:type="dxa"/>
        <w:tblCellMar>
          <w:top w:w="0" w:type="dxa"/>
          <w:left w:w="0" w:type="dxa"/>
          <w:bottom w:w="0" w:type="dxa"/>
          <w:right w:w="0" w:type="dxa"/>
        </w:tblCellMar>
      </w:tblPr>
      <w:tr>
        <w:trPr>
          <w:trHeight w:val="138"/>
        </w:trPr>
        <w:tc>
          <w:tcPr>
            <w:tcW w:w="2160" w:type="dxa"/>
            <w:vAlign w:val="bottom"/>
          </w:tcPr>
          <w:p>
            <w:pPr>
              <w:spacing w:after="0"/>
              <w:rPr>
                <w:sz w:val="20"/>
                <w:szCs w:val="20"/>
                <w:color w:val="auto"/>
              </w:rPr>
            </w:pPr>
            <w:r>
              <w:rPr>
                <w:rFonts w:ascii="Arial" w:cs="Arial" w:eastAsia="Arial" w:hAnsi="Arial"/>
                <w:sz w:val="11"/>
                <w:szCs w:val="11"/>
                <w:b w:val="1"/>
                <w:bCs w:val="1"/>
                <w:color w:val="auto"/>
              </w:rPr>
              <w:t>Name and Age</w:t>
            </w:r>
          </w:p>
        </w:tc>
        <w:tc>
          <w:tcPr>
            <w:tcW w:w="7820" w:type="dxa"/>
            <w:vAlign w:val="bottom"/>
            <w:gridSpan w:val="2"/>
          </w:tcPr>
          <w:p>
            <w:pPr>
              <w:ind w:left="4260"/>
              <w:spacing w:after="0"/>
              <w:rPr>
                <w:sz w:val="20"/>
                <w:szCs w:val="20"/>
                <w:color w:val="auto"/>
              </w:rPr>
            </w:pPr>
            <w:r>
              <w:rPr>
                <w:rFonts w:ascii="Arial" w:cs="Arial" w:eastAsia="Arial" w:hAnsi="Arial"/>
                <w:sz w:val="11"/>
                <w:szCs w:val="11"/>
                <w:b w:val="1"/>
                <w:bCs w:val="1"/>
                <w:color w:val="auto"/>
              </w:rPr>
              <w:t>Position Currently Held and Past Business Experience</w:t>
            </w:r>
          </w:p>
        </w:tc>
      </w:tr>
      <w:tr>
        <w:trPr>
          <w:trHeight w:val="20"/>
        </w:trPr>
        <w:tc>
          <w:tcPr>
            <w:tcW w:w="2160" w:type="dxa"/>
            <w:vAlign w:val="bottom"/>
          </w:tcPr>
          <w:p>
            <w:pPr>
              <w:spacing w:after="0" w:line="20" w:lineRule="exact"/>
              <w:rPr>
                <w:sz w:val="1"/>
                <w:szCs w:val="1"/>
                <w:color w:val="auto"/>
              </w:rPr>
            </w:pPr>
          </w:p>
        </w:tc>
        <w:tc>
          <w:tcPr>
            <w:tcW w:w="4320" w:type="dxa"/>
            <w:vAlign w:val="bottom"/>
            <w:tcBorders>
              <w:right w:val="single" w:sz="8" w:color="auto"/>
            </w:tcBorders>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r>
      <w:tr>
        <w:trPr>
          <w:trHeight w:val="181"/>
        </w:trPr>
        <w:tc>
          <w:tcPr>
            <w:tcW w:w="2160" w:type="dxa"/>
            <w:vAlign w:val="bottom"/>
          </w:tcPr>
          <w:p>
            <w:pPr>
              <w:spacing w:after="0"/>
              <w:rPr>
                <w:sz w:val="20"/>
                <w:szCs w:val="20"/>
                <w:color w:val="auto"/>
              </w:rPr>
            </w:pPr>
            <w:r>
              <w:rPr>
                <w:rFonts w:ascii="Arial" w:cs="Arial" w:eastAsia="Arial" w:hAnsi="Arial"/>
                <w:sz w:val="13"/>
                <w:szCs w:val="13"/>
                <w:color w:val="auto"/>
              </w:rPr>
              <w:t>Harald J. Braun, 53</w:t>
            </w:r>
          </w:p>
        </w:tc>
        <w:tc>
          <w:tcPr>
            <w:tcW w:w="7820" w:type="dxa"/>
            <w:vAlign w:val="bottom"/>
            <w:gridSpan w:val="2"/>
          </w:tcPr>
          <w:p>
            <w:pPr>
              <w:ind w:left="760"/>
              <w:spacing w:after="0"/>
              <w:rPr>
                <w:sz w:val="20"/>
                <w:szCs w:val="20"/>
                <w:color w:val="auto"/>
              </w:rPr>
            </w:pPr>
            <w:r>
              <w:rPr>
                <w:rFonts w:ascii="Arial" w:cs="Arial" w:eastAsia="Arial" w:hAnsi="Arial"/>
                <w:sz w:val="13"/>
                <w:szCs w:val="13"/>
                <w:color w:val="auto"/>
                <w:w w:val="98"/>
              </w:rPr>
              <w:t>Mr. Braun was appointed president and chief executive officer of our company in April, 2008 and is a member of our Board of</w:t>
            </w:r>
          </w:p>
        </w:tc>
      </w:tr>
      <w:tr>
        <w:trPr>
          <w:trHeight w:val="161"/>
        </w:trPr>
        <w:tc>
          <w:tcPr>
            <w:tcW w:w="2160" w:type="dxa"/>
            <w:vAlign w:val="bottom"/>
          </w:tcPr>
          <w:p>
            <w:pPr>
              <w:spacing w:after="0"/>
              <w:rPr>
                <w:sz w:val="14"/>
                <w:szCs w:val="14"/>
                <w:color w:val="auto"/>
              </w:rPr>
            </w:pPr>
          </w:p>
        </w:tc>
        <w:tc>
          <w:tcPr>
            <w:tcW w:w="7820" w:type="dxa"/>
            <w:vAlign w:val="bottom"/>
            <w:gridSpan w:val="2"/>
          </w:tcPr>
          <w:p>
            <w:pPr>
              <w:ind w:left="760"/>
              <w:spacing w:after="0"/>
              <w:rPr>
                <w:sz w:val="20"/>
                <w:szCs w:val="20"/>
                <w:color w:val="auto"/>
              </w:rPr>
            </w:pPr>
            <w:r>
              <w:rPr>
                <w:rFonts w:ascii="Arial" w:cs="Arial" w:eastAsia="Arial" w:hAnsi="Arial"/>
                <w:sz w:val="13"/>
                <w:szCs w:val="13"/>
                <w:color w:val="auto"/>
                <w:w w:val="96"/>
              </w:rPr>
              <w:t>Directors. From 2002 to 2008, he worked for Siemens and served in several different capacities including president of Siemens</w:t>
            </w:r>
          </w:p>
        </w:tc>
      </w:tr>
      <w:tr>
        <w:trPr>
          <w:trHeight w:val="161"/>
        </w:trPr>
        <w:tc>
          <w:tcPr>
            <w:tcW w:w="2160" w:type="dxa"/>
            <w:vAlign w:val="bottom"/>
          </w:tcPr>
          <w:p>
            <w:pPr>
              <w:spacing w:after="0"/>
              <w:rPr>
                <w:sz w:val="14"/>
                <w:szCs w:val="14"/>
                <w:color w:val="auto"/>
              </w:rPr>
            </w:pPr>
          </w:p>
        </w:tc>
        <w:tc>
          <w:tcPr>
            <w:tcW w:w="7820" w:type="dxa"/>
            <w:vAlign w:val="bottom"/>
            <w:gridSpan w:val="2"/>
          </w:tcPr>
          <w:p>
            <w:pPr>
              <w:ind w:left="760"/>
              <w:spacing w:after="0"/>
              <w:rPr>
                <w:sz w:val="20"/>
                <w:szCs w:val="20"/>
                <w:color w:val="auto"/>
              </w:rPr>
            </w:pPr>
            <w:r>
              <w:rPr>
                <w:rFonts w:ascii="Arial" w:cs="Arial" w:eastAsia="Arial" w:hAnsi="Arial"/>
                <w:sz w:val="13"/>
                <w:szCs w:val="13"/>
                <w:color w:val="auto"/>
              </w:rPr>
              <w:t>Carrier Networks Division, president and CEO of Siemens Networks LLC and most recently as a senior executive in Nokia</w:t>
            </w:r>
          </w:p>
        </w:tc>
      </w:tr>
      <w:tr>
        <w:trPr>
          <w:trHeight w:val="161"/>
        </w:trPr>
        <w:tc>
          <w:tcPr>
            <w:tcW w:w="2160" w:type="dxa"/>
            <w:vAlign w:val="bottom"/>
          </w:tcPr>
          <w:p>
            <w:pPr>
              <w:spacing w:after="0"/>
              <w:rPr>
                <w:sz w:val="14"/>
                <w:szCs w:val="14"/>
                <w:color w:val="auto"/>
              </w:rPr>
            </w:pPr>
          </w:p>
        </w:tc>
        <w:tc>
          <w:tcPr>
            <w:tcW w:w="7820" w:type="dxa"/>
            <w:vAlign w:val="bottom"/>
            <w:gridSpan w:val="2"/>
          </w:tcPr>
          <w:p>
            <w:pPr>
              <w:ind w:left="760"/>
              <w:spacing w:after="0"/>
              <w:rPr>
                <w:sz w:val="20"/>
                <w:szCs w:val="20"/>
                <w:color w:val="auto"/>
              </w:rPr>
            </w:pPr>
            <w:r>
              <w:rPr>
                <w:rFonts w:ascii="Arial" w:cs="Arial" w:eastAsia="Arial" w:hAnsi="Arial"/>
                <w:sz w:val="13"/>
                <w:szCs w:val="13"/>
                <w:color w:val="auto"/>
              </w:rPr>
              <w:t>Siemens Networks North America.</w:t>
            </w:r>
          </w:p>
        </w:tc>
      </w:tr>
      <w:tr>
        <w:trPr>
          <w:trHeight w:val="161"/>
        </w:trPr>
        <w:tc>
          <w:tcPr>
            <w:tcW w:w="2160" w:type="dxa"/>
            <w:vAlign w:val="bottom"/>
          </w:tcPr>
          <w:p>
            <w:pPr>
              <w:spacing w:after="0"/>
              <w:rPr>
                <w:sz w:val="20"/>
                <w:szCs w:val="20"/>
                <w:color w:val="auto"/>
              </w:rPr>
            </w:pPr>
            <w:r>
              <w:rPr>
                <w:rFonts w:ascii="Arial" w:cs="Arial" w:eastAsia="Arial" w:hAnsi="Arial"/>
                <w:sz w:val="13"/>
                <w:szCs w:val="13"/>
                <w:color w:val="auto"/>
              </w:rPr>
              <w:t>Thomas L. Cronan, III, 49</w:t>
            </w:r>
          </w:p>
        </w:tc>
        <w:tc>
          <w:tcPr>
            <w:tcW w:w="7820" w:type="dxa"/>
            <w:vAlign w:val="bottom"/>
            <w:gridSpan w:val="2"/>
          </w:tcPr>
          <w:p>
            <w:pPr>
              <w:ind w:left="760"/>
              <w:spacing w:after="0"/>
              <w:rPr>
                <w:sz w:val="20"/>
                <w:szCs w:val="20"/>
                <w:color w:val="auto"/>
              </w:rPr>
            </w:pPr>
            <w:r>
              <w:rPr>
                <w:rFonts w:ascii="Arial" w:cs="Arial" w:eastAsia="Arial" w:hAnsi="Arial"/>
                <w:sz w:val="13"/>
                <w:szCs w:val="13"/>
                <w:color w:val="auto"/>
                <w:w w:val="95"/>
              </w:rPr>
              <w:t>Mr. Cronan joined our company as senior vice president and chief financial officer in May 2009. From 2008 to just prior to joining</w:t>
            </w:r>
          </w:p>
        </w:tc>
      </w:tr>
      <w:tr>
        <w:trPr>
          <w:trHeight w:val="161"/>
        </w:trPr>
        <w:tc>
          <w:tcPr>
            <w:tcW w:w="2160" w:type="dxa"/>
            <w:vAlign w:val="bottom"/>
          </w:tcPr>
          <w:p>
            <w:pPr>
              <w:spacing w:after="0"/>
              <w:rPr>
                <w:sz w:val="14"/>
                <w:szCs w:val="14"/>
                <w:color w:val="auto"/>
              </w:rPr>
            </w:pPr>
          </w:p>
        </w:tc>
        <w:tc>
          <w:tcPr>
            <w:tcW w:w="7820" w:type="dxa"/>
            <w:vAlign w:val="bottom"/>
            <w:gridSpan w:val="2"/>
          </w:tcPr>
          <w:p>
            <w:pPr>
              <w:ind w:left="760"/>
              <w:spacing w:after="0"/>
              <w:rPr>
                <w:sz w:val="20"/>
                <w:szCs w:val="20"/>
                <w:color w:val="auto"/>
              </w:rPr>
            </w:pPr>
            <w:r>
              <w:rPr>
                <w:rFonts w:ascii="Arial" w:cs="Arial" w:eastAsia="Arial" w:hAnsi="Arial"/>
                <w:sz w:val="13"/>
                <w:szCs w:val="13"/>
                <w:color w:val="auto"/>
                <w:w w:val="93"/>
              </w:rPr>
              <w:t>Harris Stratex, he served as the chief financial officer at AeroScout, Inc. From 2007 to 2008, he served as the chief financial officer</w:t>
            </w:r>
          </w:p>
        </w:tc>
      </w:tr>
      <w:tr>
        <w:trPr>
          <w:trHeight w:val="161"/>
        </w:trPr>
        <w:tc>
          <w:tcPr>
            <w:tcW w:w="2160" w:type="dxa"/>
            <w:vAlign w:val="bottom"/>
          </w:tcPr>
          <w:p>
            <w:pPr>
              <w:spacing w:after="0"/>
              <w:rPr>
                <w:sz w:val="14"/>
                <w:szCs w:val="14"/>
                <w:color w:val="auto"/>
              </w:rPr>
            </w:pPr>
          </w:p>
        </w:tc>
        <w:tc>
          <w:tcPr>
            <w:tcW w:w="7820" w:type="dxa"/>
            <w:vAlign w:val="bottom"/>
            <w:gridSpan w:val="2"/>
          </w:tcPr>
          <w:p>
            <w:pPr>
              <w:ind w:left="760"/>
              <w:spacing w:after="0"/>
              <w:rPr>
                <w:sz w:val="20"/>
                <w:szCs w:val="20"/>
                <w:color w:val="auto"/>
              </w:rPr>
            </w:pPr>
            <w:r>
              <w:rPr>
                <w:rFonts w:ascii="Arial" w:cs="Arial" w:eastAsia="Arial" w:hAnsi="Arial"/>
                <w:sz w:val="13"/>
                <w:szCs w:val="13"/>
                <w:color w:val="auto"/>
                <w:w w:val="96"/>
              </w:rPr>
              <w:t>of Ooma, Inc. In 2003, Mr. Cronan became the senior vice president of finance and chief financial officer at Redback Networks,</w:t>
            </w:r>
          </w:p>
        </w:tc>
      </w:tr>
      <w:tr>
        <w:trPr>
          <w:trHeight w:val="161"/>
        </w:trPr>
        <w:tc>
          <w:tcPr>
            <w:tcW w:w="2160" w:type="dxa"/>
            <w:vAlign w:val="bottom"/>
          </w:tcPr>
          <w:p>
            <w:pPr>
              <w:spacing w:after="0"/>
              <w:rPr>
                <w:sz w:val="14"/>
                <w:szCs w:val="14"/>
                <w:color w:val="auto"/>
              </w:rPr>
            </w:pPr>
          </w:p>
        </w:tc>
        <w:tc>
          <w:tcPr>
            <w:tcW w:w="7820" w:type="dxa"/>
            <w:vAlign w:val="bottom"/>
            <w:gridSpan w:val="2"/>
          </w:tcPr>
          <w:p>
            <w:pPr>
              <w:ind w:left="760"/>
              <w:spacing w:after="0"/>
              <w:rPr>
                <w:sz w:val="20"/>
                <w:szCs w:val="20"/>
                <w:color w:val="auto"/>
              </w:rPr>
            </w:pPr>
            <w:r>
              <w:rPr>
                <w:rFonts w:ascii="Arial" w:cs="Arial" w:eastAsia="Arial" w:hAnsi="Arial"/>
                <w:sz w:val="13"/>
                <w:szCs w:val="13"/>
                <w:color w:val="auto"/>
              </w:rPr>
              <w:t>Inc.</w:t>
            </w:r>
          </w:p>
        </w:tc>
      </w:tr>
      <w:tr>
        <w:trPr>
          <w:trHeight w:val="161"/>
        </w:trPr>
        <w:tc>
          <w:tcPr>
            <w:tcW w:w="2160" w:type="dxa"/>
            <w:vAlign w:val="bottom"/>
          </w:tcPr>
          <w:p>
            <w:pPr>
              <w:spacing w:after="0"/>
              <w:rPr>
                <w:sz w:val="20"/>
                <w:szCs w:val="20"/>
                <w:color w:val="auto"/>
              </w:rPr>
            </w:pPr>
            <w:r>
              <w:rPr>
                <w:rFonts w:ascii="Arial" w:cs="Arial" w:eastAsia="Arial" w:hAnsi="Arial"/>
                <w:sz w:val="13"/>
                <w:szCs w:val="13"/>
                <w:color w:val="auto"/>
              </w:rPr>
              <w:t>Paul A. Kennard, 58</w:t>
            </w:r>
          </w:p>
        </w:tc>
        <w:tc>
          <w:tcPr>
            <w:tcW w:w="7820" w:type="dxa"/>
            <w:vAlign w:val="bottom"/>
            <w:gridSpan w:val="2"/>
          </w:tcPr>
          <w:p>
            <w:pPr>
              <w:ind w:left="760"/>
              <w:spacing w:after="0"/>
              <w:rPr>
                <w:sz w:val="20"/>
                <w:szCs w:val="20"/>
                <w:color w:val="auto"/>
              </w:rPr>
            </w:pPr>
            <w:r>
              <w:rPr>
                <w:rFonts w:ascii="Arial" w:cs="Arial" w:eastAsia="Arial" w:hAnsi="Arial"/>
                <w:sz w:val="13"/>
                <w:szCs w:val="13"/>
                <w:color w:val="auto"/>
                <w:w w:val="95"/>
              </w:rPr>
              <w:t>Mr. Kennard joined our company as chief technology officer in January 2007 when Harris MCD and Stratex Networks merged. In</w:t>
            </w:r>
          </w:p>
        </w:tc>
      </w:tr>
      <w:tr>
        <w:trPr>
          <w:trHeight w:val="161"/>
        </w:trPr>
        <w:tc>
          <w:tcPr>
            <w:tcW w:w="2160" w:type="dxa"/>
            <w:vAlign w:val="bottom"/>
          </w:tcPr>
          <w:p>
            <w:pPr>
              <w:spacing w:after="0"/>
              <w:rPr>
                <w:sz w:val="14"/>
                <w:szCs w:val="14"/>
                <w:color w:val="auto"/>
              </w:rPr>
            </w:pPr>
          </w:p>
        </w:tc>
        <w:tc>
          <w:tcPr>
            <w:tcW w:w="7820" w:type="dxa"/>
            <w:vAlign w:val="bottom"/>
            <w:gridSpan w:val="2"/>
          </w:tcPr>
          <w:p>
            <w:pPr>
              <w:ind w:left="760"/>
              <w:spacing w:after="0"/>
              <w:rPr>
                <w:sz w:val="20"/>
                <w:szCs w:val="20"/>
                <w:color w:val="auto"/>
              </w:rPr>
            </w:pPr>
            <w:r>
              <w:rPr>
                <w:rFonts w:ascii="Arial" w:cs="Arial" w:eastAsia="Arial" w:hAnsi="Arial"/>
                <w:sz w:val="13"/>
                <w:szCs w:val="13"/>
                <w:color w:val="auto"/>
              </w:rPr>
              <w:t>1996 he joined Stratex Networks as vice president, engineering.</w:t>
            </w:r>
          </w:p>
        </w:tc>
      </w:tr>
      <w:tr>
        <w:trPr>
          <w:trHeight w:val="161"/>
        </w:trPr>
        <w:tc>
          <w:tcPr>
            <w:tcW w:w="2160" w:type="dxa"/>
            <w:vAlign w:val="bottom"/>
          </w:tcPr>
          <w:p>
            <w:pPr>
              <w:spacing w:after="0"/>
              <w:rPr>
                <w:sz w:val="20"/>
                <w:szCs w:val="20"/>
                <w:color w:val="auto"/>
              </w:rPr>
            </w:pPr>
            <w:r>
              <w:rPr>
                <w:rFonts w:ascii="Arial" w:cs="Arial" w:eastAsia="Arial" w:hAnsi="Arial"/>
                <w:sz w:val="13"/>
                <w:szCs w:val="13"/>
                <w:color w:val="auto"/>
              </w:rPr>
              <w:t>Stephen J. Gilmore, 54</w:t>
            </w:r>
          </w:p>
        </w:tc>
        <w:tc>
          <w:tcPr>
            <w:tcW w:w="7820" w:type="dxa"/>
            <w:vAlign w:val="bottom"/>
            <w:gridSpan w:val="2"/>
          </w:tcPr>
          <w:p>
            <w:pPr>
              <w:ind w:left="760"/>
              <w:spacing w:after="0"/>
              <w:rPr>
                <w:sz w:val="20"/>
                <w:szCs w:val="20"/>
                <w:color w:val="auto"/>
              </w:rPr>
            </w:pPr>
            <w:r>
              <w:rPr>
                <w:rFonts w:ascii="Arial" w:cs="Arial" w:eastAsia="Arial" w:hAnsi="Arial"/>
                <w:sz w:val="13"/>
                <w:szCs w:val="13"/>
                <w:color w:val="auto"/>
                <w:w w:val="96"/>
              </w:rPr>
              <w:t>Mr. Gilmore joined our company as vice president, human resources, in January 2007 when Harris MCD and Stratex Networks</w:t>
            </w:r>
          </w:p>
        </w:tc>
      </w:tr>
      <w:tr>
        <w:trPr>
          <w:trHeight w:val="161"/>
        </w:trPr>
        <w:tc>
          <w:tcPr>
            <w:tcW w:w="2160" w:type="dxa"/>
            <w:vAlign w:val="bottom"/>
          </w:tcPr>
          <w:p>
            <w:pPr>
              <w:spacing w:after="0"/>
              <w:rPr>
                <w:sz w:val="14"/>
                <w:szCs w:val="14"/>
                <w:color w:val="auto"/>
              </w:rPr>
            </w:pPr>
          </w:p>
        </w:tc>
        <w:tc>
          <w:tcPr>
            <w:tcW w:w="7820" w:type="dxa"/>
            <w:vAlign w:val="bottom"/>
            <w:gridSpan w:val="2"/>
          </w:tcPr>
          <w:p>
            <w:pPr>
              <w:ind w:left="760"/>
              <w:spacing w:after="0"/>
              <w:rPr>
                <w:sz w:val="20"/>
                <w:szCs w:val="20"/>
                <w:color w:val="auto"/>
              </w:rPr>
            </w:pPr>
            <w:r>
              <w:rPr>
                <w:rFonts w:ascii="Arial" w:cs="Arial" w:eastAsia="Arial" w:hAnsi="Arial"/>
                <w:sz w:val="13"/>
                <w:szCs w:val="13"/>
                <w:color w:val="auto"/>
                <w:w w:val="97"/>
              </w:rPr>
              <w:t>merged. In June 2005 he was appointed vice president, human resources of Harris Corporation’s Microwave Communications</w:t>
            </w:r>
          </w:p>
        </w:tc>
      </w:tr>
      <w:tr>
        <w:trPr>
          <w:trHeight w:val="161"/>
        </w:trPr>
        <w:tc>
          <w:tcPr>
            <w:tcW w:w="2160" w:type="dxa"/>
            <w:vAlign w:val="bottom"/>
          </w:tcPr>
          <w:p>
            <w:pPr>
              <w:spacing w:after="0"/>
              <w:rPr>
                <w:sz w:val="14"/>
                <w:szCs w:val="14"/>
                <w:color w:val="auto"/>
              </w:rPr>
            </w:pPr>
          </w:p>
        </w:tc>
        <w:tc>
          <w:tcPr>
            <w:tcW w:w="7820" w:type="dxa"/>
            <w:vAlign w:val="bottom"/>
            <w:gridSpan w:val="2"/>
          </w:tcPr>
          <w:p>
            <w:pPr>
              <w:ind w:left="760"/>
              <w:spacing w:after="0"/>
              <w:rPr>
                <w:sz w:val="20"/>
                <w:szCs w:val="20"/>
                <w:color w:val="auto"/>
              </w:rPr>
            </w:pPr>
            <w:r>
              <w:rPr>
                <w:rFonts w:ascii="Arial" w:cs="Arial" w:eastAsia="Arial" w:hAnsi="Arial"/>
                <w:sz w:val="13"/>
                <w:szCs w:val="13"/>
                <w:color w:val="auto"/>
              </w:rPr>
              <w:t>Division.</w:t>
            </w:r>
          </w:p>
        </w:tc>
      </w:tr>
      <w:tr>
        <w:trPr>
          <w:trHeight w:val="161"/>
        </w:trPr>
        <w:tc>
          <w:tcPr>
            <w:tcW w:w="2160" w:type="dxa"/>
            <w:vAlign w:val="bottom"/>
          </w:tcPr>
          <w:p>
            <w:pPr>
              <w:spacing w:after="0"/>
              <w:rPr>
                <w:sz w:val="20"/>
                <w:szCs w:val="20"/>
                <w:color w:val="auto"/>
              </w:rPr>
            </w:pPr>
            <w:r>
              <w:rPr>
                <w:rFonts w:ascii="Arial" w:cs="Arial" w:eastAsia="Arial" w:hAnsi="Arial"/>
                <w:sz w:val="13"/>
                <w:szCs w:val="13"/>
                <w:color w:val="auto"/>
              </w:rPr>
              <w:t>Meena L. Elliott, 46</w:t>
            </w:r>
          </w:p>
        </w:tc>
        <w:tc>
          <w:tcPr>
            <w:tcW w:w="7820" w:type="dxa"/>
            <w:vAlign w:val="bottom"/>
            <w:gridSpan w:val="2"/>
          </w:tcPr>
          <w:p>
            <w:pPr>
              <w:ind w:left="760"/>
              <w:spacing w:after="0"/>
              <w:rPr>
                <w:sz w:val="20"/>
                <w:szCs w:val="20"/>
                <w:color w:val="auto"/>
              </w:rPr>
            </w:pPr>
            <w:r>
              <w:rPr>
                <w:rFonts w:ascii="Arial" w:cs="Arial" w:eastAsia="Arial" w:hAnsi="Arial"/>
                <w:sz w:val="13"/>
                <w:szCs w:val="13"/>
                <w:color w:val="auto"/>
                <w:w w:val="95"/>
              </w:rPr>
              <w:t>Ms. Elliott was appointed vice president, general counsel and secretary of the company in July 2009. She joined our company as</w:t>
            </w:r>
          </w:p>
        </w:tc>
      </w:tr>
      <w:tr>
        <w:trPr>
          <w:trHeight w:val="161"/>
        </w:trPr>
        <w:tc>
          <w:tcPr>
            <w:tcW w:w="2160" w:type="dxa"/>
            <w:vAlign w:val="bottom"/>
          </w:tcPr>
          <w:p>
            <w:pPr>
              <w:spacing w:after="0"/>
              <w:rPr>
                <w:sz w:val="14"/>
                <w:szCs w:val="14"/>
                <w:color w:val="auto"/>
              </w:rPr>
            </w:pPr>
          </w:p>
        </w:tc>
        <w:tc>
          <w:tcPr>
            <w:tcW w:w="7820" w:type="dxa"/>
            <w:vAlign w:val="bottom"/>
            <w:gridSpan w:val="2"/>
          </w:tcPr>
          <w:p>
            <w:pPr>
              <w:ind w:left="760"/>
              <w:spacing w:after="0"/>
              <w:rPr>
                <w:sz w:val="20"/>
                <w:szCs w:val="20"/>
                <w:color w:val="auto"/>
              </w:rPr>
            </w:pPr>
            <w:r>
              <w:rPr>
                <w:rFonts w:ascii="Arial" w:cs="Arial" w:eastAsia="Arial" w:hAnsi="Arial"/>
                <w:sz w:val="13"/>
                <w:szCs w:val="13"/>
                <w:color w:val="auto"/>
                <w:w w:val="96"/>
              </w:rPr>
              <w:t>associate general counsel and assistant secretary in January 2007 when Harris MCD and Stratex Networks merged. Ms. Elliott</w:t>
            </w:r>
          </w:p>
        </w:tc>
      </w:tr>
      <w:tr>
        <w:trPr>
          <w:trHeight w:val="161"/>
        </w:trPr>
        <w:tc>
          <w:tcPr>
            <w:tcW w:w="2160" w:type="dxa"/>
            <w:vAlign w:val="bottom"/>
          </w:tcPr>
          <w:p>
            <w:pPr>
              <w:spacing w:after="0"/>
              <w:rPr>
                <w:sz w:val="14"/>
                <w:szCs w:val="14"/>
                <w:color w:val="auto"/>
              </w:rPr>
            </w:pPr>
          </w:p>
        </w:tc>
        <w:tc>
          <w:tcPr>
            <w:tcW w:w="7820" w:type="dxa"/>
            <w:vAlign w:val="bottom"/>
            <w:gridSpan w:val="2"/>
          </w:tcPr>
          <w:p>
            <w:pPr>
              <w:ind w:left="760"/>
              <w:spacing w:after="0"/>
              <w:rPr>
                <w:sz w:val="20"/>
                <w:szCs w:val="20"/>
                <w:color w:val="auto"/>
              </w:rPr>
            </w:pPr>
            <w:r>
              <w:rPr>
                <w:rFonts w:ascii="Arial" w:cs="Arial" w:eastAsia="Arial" w:hAnsi="Arial"/>
                <w:sz w:val="13"/>
                <w:szCs w:val="13"/>
                <w:color w:val="auto"/>
                <w:w w:val="97"/>
              </w:rPr>
              <w:t>joined Harris Corporation’s Microwave Communications Division as division counsel in March 2006. Prior to joining MCD, she</w:t>
            </w:r>
          </w:p>
        </w:tc>
      </w:tr>
      <w:tr>
        <w:trPr>
          <w:trHeight w:val="161"/>
        </w:trPr>
        <w:tc>
          <w:tcPr>
            <w:tcW w:w="2160" w:type="dxa"/>
            <w:vAlign w:val="bottom"/>
          </w:tcPr>
          <w:p>
            <w:pPr>
              <w:spacing w:after="0"/>
              <w:rPr>
                <w:sz w:val="14"/>
                <w:szCs w:val="14"/>
                <w:color w:val="auto"/>
              </w:rPr>
            </w:pPr>
          </w:p>
        </w:tc>
        <w:tc>
          <w:tcPr>
            <w:tcW w:w="7820" w:type="dxa"/>
            <w:vAlign w:val="bottom"/>
            <w:gridSpan w:val="2"/>
          </w:tcPr>
          <w:p>
            <w:pPr>
              <w:ind w:left="760"/>
              <w:spacing w:after="0"/>
              <w:rPr>
                <w:sz w:val="20"/>
                <w:szCs w:val="20"/>
                <w:color w:val="auto"/>
              </w:rPr>
            </w:pPr>
            <w:r>
              <w:rPr>
                <w:rFonts w:ascii="Arial" w:cs="Arial" w:eastAsia="Arial" w:hAnsi="Arial"/>
                <w:sz w:val="13"/>
                <w:szCs w:val="13"/>
                <w:color w:val="auto"/>
              </w:rPr>
              <w:t>was chief counsel at the Department of Commerce, from 2002-2006.</w:t>
            </w:r>
          </w:p>
        </w:tc>
      </w:tr>
      <w:tr>
        <w:trPr>
          <w:trHeight w:val="161"/>
        </w:trPr>
        <w:tc>
          <w:tcPr>
            <w:tcW w:w="2160" w:type="dxa"/>
            <w:vAlign w:val="bottom"/>
          </w:tcPr>
          <w:p>
            <w:pPr>
              <w:spacing w:after="0"/>
              <w:rPr>
                <w:sz w:val="20"/>
                <w:szCs w:val="20"/>
                <w:color w:val="auto"/>
              </w:rPr>
            </w:pPr>
            <w:r>
              <w:rPr>
                <w:rFonts w:ascii="Arial" w:cs="Arial" w:eastAsia="Arial" w:hAnsi="Arial"/>
                <w:sz w:val="13"/>
                <w:szCs w:val="13"/>
                <w:color w:val="auto"/>
              </w:rPr>
              <w:t>Heinz H. Stumpe, 54</w:t>
            </w:r>
          </w:p>
        </w:tc>
        <w:tc>
          <w:tcPr>
            <w:tcW w:w="7820" w:type="dxa"/>
            <w:vAlign w:val="bottom"/>
            <w:gridSpan w:val="2"/>
          </w:tcPr>
          <w:p>
            <w:pPr>
              <w:ind w:left="760"/>
              <w:spacing w:after="0"/>
              <w:rPr>
                <w:sz w:val="20"/>
                <w:szCs w:val="20"/>
                <w:color w:val="auto"/>
              </w:rPr>
            </w:pPr>
            <w:r>
              <w:rPr>
                <w:rFonts w:ascii="Arial" w:cs="Arial" w:eastAsia="Arial" w:hAnsi="Arial"/>
                <w:sz w:val="13"/>
                <w:szCs w:val="13"/>
                <w:color w:val="auto"/>
                <w:w w:val="93"/>
              </w:rPr>
              <w:t>Mr. Stumpe was appointed chief operating officer and senior vice president global operations on June 30, 2008. Previously, he was</w:t>
            </w:r>
          </w:p>
        </w:tc>
      </w:tr>
      <w:tr>
        <w:trPr>
          <w:trHeight w:val="161"/>
        </w:trPr>
        <w:tc>
          <w:tcPr>
            <w:tcW w:w="2160" w:type="dxa"/>
            <w:vAlign w:val="bottom"/>
          </w:tcPr>
          <w:p>
            <w:pPr>
              <w:spacing w:after="0"/>
              <w:rPr>
                <w:sz w:val="14"/>
                <w:szCs w:val="14"/>
                <w:color w:val="auto"/>
              </w:rPr>
            </w:pPr>
          </w:p>
        </w:tc>
        <w:tc>
          <w:tcPr>
            <w:tcW w:w="7820" w:type="dxa"/>
            <w:vAlign w:val="bottom"/>
            <w:gridSpan w:val="2"/>
          </w:tcPr>
          <w:p>
            <w:pPr>
              <w:ind w:left="760"/>
              <w:spacing w:after="0"/>
              <w:rPr>
                <w:sz w:val="20"/>
                <w:szCs w:val="20"/>
                <w:color w:val="auto"/>
              </w:rPr>
            </w:pPr>
            <w:r>
              <w:rPr>
                <w:rFonts w:ascii="Arial" w:cs="Arial" w:eastAsia="Arial" w:hAnsi="Arial"/>
                <w:sz w:val="13"/>
                <w:szCs w:val="13"/>
                <w:color w:val="auto"/>
                <w:w w:val="95"/>
              </w:rPr>
              <w:t>vice president operations. He joined Stratex Networks as director, marketing in 1996. He was promoted to vice president, global</w:t>
            </w:r>
          </w:p>
        </w:tc>
      </w:tr>
      <w:tr>
        <w:trPr>
          <w:trHeight w:val="161"/>
        </w:trPr>
        <w:tc>
          <w:tcPr>
            <w:tcW w:w="2160" w:type="dxa"/>
            <w:vAlign w:val="bottom"/>
          </w:tcPr>
          <w:p>
            <w:pPr>
              <w:spacing w:after="0"/>
              <w:rPr>
                <w:sz w:val="14"/>
                <w:szCs w:val="14"/>
                <w:color w:val="auto"/>
              </w:rPr>
            </w:pPr>
          </w:p>
        </w:tc>
        <w:tc>
          <w:tcPr>
            <w:tcW w:w="7820" w:type="dxa"/>
            <w:vAlign w:val="bottom"/>
            <w:gridSpan w:val="2"/>
          </w:tcPr>
          <w:p>
            <w:pPr>
              <w:ind w:left="760"/>
              <w:spacing w:after="0"/>
              <w:rPr>
                <w:sz w:val="20"/>
                <w:szCs w:val="20"/>
                <w:color w:val="auto"/>
              </w:rPr>
            </w:pPr>
            <w:r>
              <w:rPr>
                <w:rFonts w:ascii="Arial" w:cs="Arial" w:eastAsia="Arial" w:hAnsi="Arial"/>
                <w:sz w:val="13"/>
                <w:szCs w:val="13"/>
                <w:color w:val="auto"/>
              </w:rPr>
              <w:t>accounts in 1999, vice president, strategic accounts in 2002 and vice president, global operations in April 2006.</w:t>
            </w:r>
          </w:p>
        </w:tc>
      </w:tr>
      <w:tr>
        <w:trPr>
          <w:trHeight w:val="161"/>
        </w:trPr>
        <w:tc>
          <w:tcPr>
            <w:tcW w:w="2160" w:type="dxa"/>
            <w:vAlign w:val="bottom"/>
          </w:tcPr>
          <w:p>
            <w:pPr>
              <w:spacing w:after="0"/>
              <w:rPr>
                <w:sz w:val="20"/>
                <w:szCs w:val="20"/>
                <w:color w:val="auto"/>
              </w:rPr>
            </w:pPr>
            <w:r>
              <w:rPr>
                <w:rFonts w:ascii="Arial" w:cs="Arial" w:eastAsia="Arial" w:hAnsi="Arial"/>
                <w:sz w:val="13"/>
                <w:szCs w:val="13"/>
                <w:color w:val="auto"/>
              </w:rPr>
              <w:t>Shaun McFall, 49</w:t>
            </w:r>
          </w:p>
        </w:tc>
        <w:tc>
          <w:tcPr>
            <w:tcW w:w="7820" w:type="dxa"/>
            <w:vAlign w:val="bottom"/>
            <w:gridSpan w:val="2"/>
          </w:tcPr>
          <w:p>
            <w:pPr>
              <w:ind w:left="760"/>
              <w:spacing w:after="0"/>
              <w:rPr>
                <w:sz w:val="20"/>
                <w:szCs w:val="20"/>
                <w:color w:val="auto"/>
              </w:rPr>
            </w:pPr>
            <w:r>
              <w:rPr>
                <w:rFonts w:ascii="Arial" w:cs="Arial" w:eastAsia="Arial" w:hAnsi="Arial"/>
                <w:sz w:val="13"/>
                <w:szCs w:val="13"/>
                <w:color w:val="auto"/>
                <w:w w:val="94"/>
              </w:rPr>
              <w:t>Mr. McFall was named chief marketing officer in July 2008. Previously from 2000-2008, he served as vice president, marketing for</w:t>
            </w:r>
          </w:p>
        </w:tc>
      </w:tr>
      <w:tr>
        <w:trPr>
          <w:trHeight w:val="161"/>
        </w:trPr>
        <w:tc>
          <w:tcPr>
            <w:tcW w:w="2160" w:type="dxa"/>
            <w:vAlign w:val="bottom"/>
          </w:tcPr>
          <w:p>
            <w:pPr>
              <w:spacing w:after="0"/>
              <w:rPr>
                <w:sz w:val="14"/>
                <w:szCs w:val="14"/>
                <w:color w:val="auto"/>
              </w:rPr>
            </w:pPr>
          </w:p>
        </w:tc>
        <w:tc>
          <w:tcPr>
            <w:tcW w:w="7820" w:type="dxa"/>
            <w:vAlign w:val="bottom"/>
            <w:gridSpan w:val="2"/>
          </w:tcPr>
          <w:p>
            <w:pPr>
              <w:ind w:left="760"/>
              <w:spacing w:after="0"/>
              <w:rPr>
                <w:sz w:val="20"/>
                <w:szCs w:val="20"/>
                <w:color w:val="auto"/>
              </w:rPr>
            </w:pPr>
            <w:r>
              <w:rPr>
                <w:rFonts w:ascii="Arial" w:cs="Arial" w:eastAsia="Arial" w:hAnsi="Arial"/>
                <w:sz w:val="13"/>
                <w:szCs w:val="13"/>
                <w:color w:val="auto"/>
              </w:rPr>
              <w:t>Stratex Networks, Inc. He has been with the company since 1989.</w:t>
            </w:r>
          </w:p>
        </w:tc>
      </w:tr>
      <w:tr>
        <w:trPr>
          <w:trHeight w:val="161"/>
        </w:trPr>
        <w:tc>
          <w:tcPr>
            <w:tcW w:w="2160" w:type="dxa"/>
            <w:vAlign w:val="bottom"/>
          </w:tcPr>
          <w:p>
            <w:pPr>
              <w:spacing w:after="0"/>
              <w:rPr>
                <w:sz w:val="20"/>
                <w:szCs w:val="20"/>
                <w:color w:val="auto"/>
              </w:rPr>
            </w:pPr>
            <w:r>
              <w:rPr>
                <w:rFonts w:ascii="Arial" w:cs="Arial" w:eastAsia="Arial" w:hAnsi="Arial"/>
                <w:sz w:val="13"/>
                <w:szCs w:val="13"/>
                <w:color w:val="auto"/>
              </w:rPr>
              <w:t>J. Russell Mincey, 47</w:t>
            </w:r>
          </w:p>
        </w:tc>
        <w:tc>
          <w:tcPr>
            <w:tcW w:w="7820" w:type="dxa"/>
            <w:vAlign w:val="bottom"/>
            <w:gridSpan w:val="2"/>
          </w:tcPr>
          <w:p>
            <w:pPr>
              <w:ind w:left="760"/>
              <w:spacing w:after="0"/>
              <w:rPr>
                <w:sz w:val="20"/>
                <w:szCs w:val="20"/>
                <w:color w:val="auto"/>
              </w:rPr>
            </w:pPr>
            <w:r>
              <w:rPr>
                <w:rFonts w:ascii="Arial" w:cs="Arial" w:eastAsia="Arial" w:hAnsi="Arial"/>
                <w:sz w:val="13"/>
                <w:szCs w:val="13"/>
                <w:color w:val="auto"/>
                <w:w w:val="94"/>
              </w:rPr>
              <w:t>Mr. Mincey joined our company in July 2008 as global corporate controller. From mid-February through mid-May 2009, he served</w:t>
            </w:r>
          </w:p>
        </w:tc>
      </w:tr>
      <w:tr>
        <w:trPr>
          <w:trHeight w:val="161"/>
        </w:trPr>
        <w:tc>
          <w:tcPr>
            <w:tcW w:w="2160" w:type="dxa"/>
            <w:vAlign w:val="bottom"/>
          </w:tcPr>
          <w:p>
            <w:pPr>
              <w:spacing w:after="0"/>
              <w:rPr>
                <w:sz w:val="14"/>
                <w:szCs w:val="14"/>
                <w:color w:val="auto"/>
              </w:rPr>
            </w:pPr>
          </w:p>
        </w:tc>
        <w:tc>
          <w:tcPr>
            <w:tcW w:w="7820" w:type="dxa"/>
            <w:vAlign w:val="bottom"/>
            <w:gridSpan w:val="2"/>
          </w:tcPr>
          <w:p>
            <w:pPr>
              <w:ind w:left="760"/>
              <w:spacing w:after="0"/>
              <w:rPr>
                <w:sz w:val="20"/>
                <w:szCs w:val="20"/>
                <w:color w:val="auto"/>
              </w:rPr>
            </w:pPr>
            <w:r>
              <w:rPr>
                <w:rFonts w:ascii="Arial" w:cs="Arial" w:eastAsia="Arial" w:hAnsi="Arial"/>
                <w:sz w:val="13"/>
                <w:szCs w:val="13"/>
                <w:color w:val="auto"/>
              </w:rPr>
              <w:t>as interim principal financial officer and interim principal accounting officer. In September 2009, he was appointed principal</w:t>
            </w:r>
          </w:p>
        </w:tc>
      </w:tr>
      <w:tr>
        <w:trPr>
          <w:trHeight w:val="161"/>
        </w:trPr>
        <w:tc>
          <w:tcPr>
            <w:tcW w:w="2160" w:type="dxa"/>
            <w:vAlign w:val="bottom"/>
          </w:tcPr>
          <w:p>
            <w:pPr>
              <w:spacing w:after="0"/>
              <w:rPr>
                <w:sz w:val="14"/>
                <w:szCs w:val="14"/>
                <w:color w:val="auto"/>
              </w:rPr>
            </w:pPr>
          </w:p>
        </w:tc>
        <w:tc>
          <w:tcPr>
            <w:tcW w:w="7820" w:type="dxa"/>
            <w:vAlign w:val="bottom"/>
            <w:gridSpan w:val="2"/>
          </w:tcPr>
          <w:p>
            <w:pPr>
              <w:ind w:left="760"/>
              <w:spacing w:after="0"/>
              <w:rPr>
                <w:sz w:val="20"/>
                <w:szCs w:val="20"/>
                <w:color w:val="auto"/>
              </w:rPr>
            </w:pPr>
            <w:r>
              <w:rPr>
                <w:rFonts w:ascii="Arial" w:cs="Arial" w:eastAsia="Arial" w:hAnsi="Arial"/>
                <w:sz w:val="13"/>
                <w:szCs w:val="13"/>
                <w:color w:val="auto"/>
                <w:w w:val="95"/>
              </w:rPr>
              <w:t>accounting officer, along with his continued position as global corporate controller. From October 2005 to April 2008, Mr. Mincey</w:t>
            </w:r>
          </w:p>
        </w:tc>
      </w:tr>
      <w:tr>
        <w:trPr>
          <w:trHeight w:val="161"/>
        </w:trPr>
        <w:tc>
          <w:tcPr>
            <w:tcW w:w="2160" w:type="dxa"/>
            <w:vAlign w:val="bottom"/>
          </w:tcPr>
          <w:p>
            <w:pPr>
              <w:spacing w:after="0"/>
              <w:rPr>
                <w:sz w:val="14"/>
                <w:szCs w:val="14"/>
                <w:color w:val="auto"/>
              </w:rPr>
            </w:pPr>
          </w:p>
        </w:tc>
        <w:tc>
          <w:tcPr>
            <w:tcW w:w="7820" w:type="dxa"/>
            <w:vAlign w:val="bottom"/>
            <w:gridSpan w:val="2"/>
          </w:tcPr>
          <w:p>
            <w:pPr>
              <w:ind w:left="760"/>
              <w:spacing w:after="0"/>
              <w:rPr>
                <w:sz w:val="20"/>
                <w:szCs w:val="20"/>
                <w:color w:val="auto"/>
              </w:rPr>
            </w:pPr>
            <w:r>
              <w:rPr>
                <w:rFonts w:ascii="Arial" w:cs="Arial" w:eastAsia="Arial" w:hAnsi="Arial"/>
                <w:sz w:val="13"/>
                <w:szCs w:val="13"/>
                <w:color w:val="auto"/>
                <w:w w:val="98"/>
              </w:rPr>
              <w:t>was chief financial officer at the Industrial Components Division of Carlisle Companies. He served as vice president and chief</w:t>
            </w:r>
          </w:p>
        </w:tc>
      </w:tr>
      <w:tr>
        <w:trPr>
          <w:trHeight w:val="161"/>
        </w:trPr>
        <w:tc>
          <w:tcPr>
            <w:tcW w:w="2160" w:type="dxa"/>
            <w:vAlign w:val="bottom"/>
          </w:tcPr>
          <w:p>
            <w:pPr>
              <w:spacing w:after="0"/>
              <w:rPr>
                <w:sz w:val="14"/>
                <w:szCs w:val="14"/>
                <w:color w:val="auto"/>
              </w:rPr>
            </w:pPr>
          </w:p>
        </w:tc>
        <w:tc>
          <w:tcPr>
            <w:tcW w:w="7820" w:type="dxa"/>
            <w:vAlign w:val="bottom"/>
            <w:gridSpan w:val="2"/>
          </w:tcPr>
          <w:p>
            <w:pPr>
              <w:ind w:left="760"/>
              <w:spacing w:after="0"/>
              <w:rPr>
                <w:sz w:val="20"/>
                <w:szCs w:val="20"/>
                <w:color w:val="auto"/>
              </w:rPr>
            </w:pPr>
            <w:r>
              <w:rPr>
                <w:rFonts w:ascii="Arial" w:cs="Arial" w:eastAsia="Arial" w:hAnsi="Arial"/>
                <w:sz w:val="13"/>
                <w:szCs w:val="13"/>
                <w:color w:val="auto"/>
              </w:rPr>
              <w:t>financial officer of Draka Comteq (previously known as Alcatel Fiber Optic Cable Division) from July 2004 through October</w:t>
            </w:r>
          </w:p>
        </w:tc>
      </w:tr>
      <w:tr>
        <w:trPr>
          <w:trHeight w:val="161"/>
        </w:trPr>
        <w:tc>
          <w:tcPr>
            <w:tcW w:w="2160" w:type="dxa"/>
            <w:vAlign w:val="bottom"/>
          </w:tcPr>
          <w:p>
            <w:pPr>
              <w:spacing w:after="0"/>
              <w:rPr>
                <w:sz w:val="14"/>
                <w:szCs w:val="14"/>
                <w:color w:val="auto"/>
              </w:rPr>
            </w:pPr>
          </w:p>
        </w:tc>
        <w:tc>
          <w:tcPr>
            <w:tcW w:w="4320" w:type="dxa"/>
            <w:vAlign w:val="bottom"/>
          </w:tcPr>
          <w:p>
            <w:pPr>
              <w:ind w:left="760"/>
              <w:spacing w:after="0"/>
              <w:rPr>
                <w:sz w:val="20"/>
                <w:szCs w:val="20"/>
                <w:color w:val="auto"/>
              </w:rPr>
            </w:pPr>
            <w:r>
              <w:rPr>
                <w:rFonts w:ascii="Arial" w:cs="Arial" w:eastAsia="Arial" w:hAnsi="Arial"/>
                <w:sz w:val="13"/>
                <w:szCs w:val="13"/>
                <w:color w:val="auto"/>
              </w:rPr>
              <w:t>2005.</w:t>
            </w:r>
          </w:p>
        </w:tc>
        <w:tc>
          <w:tcPr>
            <w:tcW w:w="3500" w:type="dxa"/>
            <w:vAlign w:val="bottom"/>
          </w:tcPr>
          <w:p>
            <w:pPr>
              <w:spacing w:after="0"/>
              <w:rPr>
                <w:sz w:val="14"/>
                <w:szCs w:val="14"/>
                <w:color w:val="auto"/>
              </w:rPr>
            </w:pPr>
          </w:p>
        </w:tc>
      </w:tr>
      <w:tr>
        <w:trPr>
          <w:trHeight w:val="161"/>
        </w:trPr>
        <w:tc>
          <w:tcPr>
            <w:tcW w:w="2160" w:type="dxa"/>
            <w:vAlign w:val="bottom"/>
          </w:tcPr>
          <w:p>
            <w:pPr>
              <w:spacing w:after="0"/>
              <w:rPr>
                <w:sz w:val="20"/>
                <w:szCs w:val="20"/>
                <w:color w:val="auto"/>
              </w:rPr>
            </w:pPr>
            <w:r>
              <w:rPr>
                <w:rFonts w:ascii="Arial" w:cs="Arial" w:eastAsia="Arial" w:hAnsi="Arial"/>
                <w:sz w:val="13"/>
                <w:szCs w:val="13"/>
                <w:color w:val="auto"/>
              </w:rPr>
              <w:t>Michael Pangia, 48</w:t>
            </w:r>
          </w:p>
        </w:tc>
        <w:tc>
          <w:tcPr>
            <w:tcW w:w="7820" w:type="dxa"/>
            <w:vAlign w:val="bottom"/>
            <w:gridSpan w:val="2"/>
          </w:tcPr>
          <w:p>
            <w:pPr>
              <w:ind w:left="760"/>
              <w:spacing w:after="0"/>
              <w:rPr>
                <w:sz w:val="20"/>
                <w:szCs w:val="20"/>
                <w:color w:val="auto"/>
              </w:rPr>
            </w:pPr>
            <w:r>
              <w:rPr>
                <w:rFonts w:ascii="Arial" w:cs="Arial" w:eastAsia="Arial" w:hAnsi="Arial"/>
                <w:sz w:val="13"/>
                <w:szCs w:val="13"/>
                <w:color w:val="auto"/>
                <w:w w:val="98"/>
              </w:rPr>
              <w:t>Mr. Pangia was named senior vice president and chief sales officer in March 2009. Prior to joining Harris Stratex, Mr. Pangia</w:t>
            </w:r>
          </w:p>
        </w:tc>
      </w:tr>
      <w:tr>
        <w:trPr>
          <w:trHeight w:val="161"/>
        </w:trPr>
        <w:tc>
          <w:tcPr>
            <w:tcW w:w="2160" w:type="dxa"/>
            <w:vAlign w:val="bottom"/>
          </w:tcPr>
          <w:p>
            <w:pPr>
              <w:spacing w:after="0"/>
              <w:rPr>
                <w:sz w:val="14"/>
                <w:szCs w:val="14"/>
                <w:color w:val="auto"/>
              </w:rPr>
            </w:pPr>
          </w:p>
        </w:tc>
        <w:tc>
          <w:tcPr>
            <w:tcW w:w="7820" w:type="dxa"/>
            <w:vAlign w:val="bottom"/>
            <w:gridSpan w:val="2"/>
          </w:tcPr>
          <w:p>
            <w:pPr>
              <w:ind w:left="760"/>
              <w:spacing w:after="0"/>
              <w:rPr>
                <w:sz w:val="20"/>
                <w:szCs w:val="20"/>
                <w:color w:val="auto"/>
              </w:rPr>
            </w:pPr>
            <w:r>
              <w:rPr>
                <w:rFonts w:ascii="Arial" w:cs="Arial" w:eastAsia="Arial" w:hAnsi="Arial"/>
                <w:sz w:val="13"/>
                <w:szCs w:val="13"/>
                <w:color w:val="auto"/>
                <w:w w:val="96"/>
              </w:rPr>
              <w:t>served as senior vice president, Global Sales Operations and Strategy at Nortel. From 2006 through 2008, he was president of</w:t>
            </w:r>
          </w:p>
        </w:tc>
      </w:tr>
      <w:tr>
        <w:trPr>
          <w:trHeight w:val="161"/>
        </w:trPr>
        <w:tc>
          <w:tcPr>
            <w:tcW w:w="2160" w:type="dxa"/>
            <w:vAlign w:val="bottom"/>
          </w:tcPr>
          <w:p>
            <w:pPr>
              <w:spacing w:after="0"/>
              <w:rPr>
                <w:sz w:val="14"/>
                <w:szCs w:val="14"/>
                <w:color w:val="auto"/>
              </w:rPr>
            </w:pPr>
          </w:p>
        </w:tc>
        <w:tc>
          <w:tcPr>
            <w:tcW w:w="7820" w:type="dxa"/>
            <w:vAlign w:val="bottom"/>
            <w:gridSpan w:val="2"/>
          </w:tcPr>
          <w:p>
            <w:pPr>
              <w:ind w:left="760"/>
              <w:spacing w:after="0"/>
              <w:rPr>
                <w:sz w:val="20"/>
                <w:szCs w:val="20"/>
                <w:color w:val="auto"/>
              </w:rPr>
            </w:pPr>
            <w:r>
              <w:rPr>
                <w:rFonts w:ascii="Arial" w:cs="Arial" w:eastAsia="Arial" w:hAnsi="Arial"/>
                <w:sz w:val="13"/>
                <w:szCs w:val="13"/>
                <w:color w:val="auto"/>
                <w:w w:val="97"/>
              </w:rPr>
              <w:t>Nortel’s Asia region, responsible for sales and overall business management for all countries where Nortel did business in that</w:t>
            </w:r>
          </w:p>
        </w:tc>
      </w:tr>
      <w:tr>
        <w:trPr>
          <w:trHeight w:val="172"/>
        </w:trPr>
        <w:tc>
          <w:tcPr>
            <w:tcW w:w="2160" w:type="dxa"/>
            <w:vAlign w:val="bottom"/>
          </w:tcPr>
          <w:p>
            <w:pPr>
              <w:spacing w:after="0"/>
              <w:rPr>
                <w:sz w:val="14"/>
                <w:szCs w:val="14"/>
                <w:color w:val="auto"/>
              </w:rPr>
            </w:pPr>
          </w:p>
        </w:tc>
        <w:tc>
          <w:tcPr>
            <w:tcW w:w="7820" w:type="dxa"/>
            <w:vAlign w:val="bottom"/>
            <w:gridSpan w:val="2"/>
          </w:tcPr>
          <w:p>
            <w:pPr>
              <w:ind w:left="760"/>
              <w:spacing w:after="0"/>
              <w:rPr>
                <w:sz w:val="20"/>
                <w:szCs w:val="20"/>
                <w:color w:val="auto"/>
              </w:rPr>
            </w:pPr>
            <w:r>
              <w:rPr>
                <w:rFonts w:ascii="Arial" w:cs="Arial" w:eastAsia="Arial" w:hAnsi="Arial"/>
                <w:sz w:val="13"/>
                <w:szCs w:val="13"/>
                <w:color w:val="auto"/>
              </w:rPr>
              <w:t>region and he was the chief operating officer of Nortel’s Asia region from 2005 to 2006.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-3307080</wp:posOffset>
            </wp:positionV>
            <wp:extent cx="19050" cy="63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9050" cy="6350"/>
                    </a:xfrm>
                    <a:prstGeom prst="rect">
                      <a:avLst/>
                    </a:prstGeom>
                    <a:noFill/>
                  </pic:spPr>
                </pic:pic>
              </a:graphicData>
            </a:graphic>
          </wp:anchor>
        </w:drawing>
      </w:r>
    </w:p>
    <w:p>
      <w:pPr>
        <w:spacing w:after="0" w:line="60" w:lineRule="exact"/>
        <w:rPr>
          <w:sz w:val="20"/>
          <w:szCs w:val="20"/>
          <w:color w:val="auto"/>
        </w:rPr>
      </w:pPr>
    </w:p>
    <w:p>
      <w:pPr>
        <w:ind w:left="680" w:right="340" w:firstLine="399"/>
        <w:spacing w:after="0" w:line="338" w:lineRule="auto"/>
        <w:rPr>
          <w:sz w:val="20"/>
          <w:szCs w:val="20"/>
          <w:color w:val="auto"/>
        </w:rPr>
      </w:pPr>
      <w:r>
        <w:rPr>
          <w:rFonts w:ascii="Arial" w:cs="Arial" w:eastAsia="Arial" w:hAnsi="Arial"/>
          <w:sz w:val="12"/>
          <w:szCs w:val="12"/>
          <w:color w:val="auto"/>
        </w:rPr>
        <w:t>There is no family relationship between any of our executive officers or directors, and there are no arrangements or understandings between any of our executive officers or directors and any other person pursuant to which any of them was appointed or elected as an officer or director, other than arrangements or understandings</w:t>
      </w:r>
    </w:p>
    <w:p>
      <w:pPr>
        <w:spacing w:after="0" w:line="236"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31" w:name="page32"/>
    <w:bookmarkEnd w:id="3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with our directors or officers acting solely in their capacities as such. All of our executive officers are elected annually and serve at the pleasure of our Board of Directors.</w:t>
      </w:r>
    </w:p>
    <w:p>
      <w:pPr>
        <w:spacing w:after="0" w:line="262" w:lineRule="exact"/>
        <w:rPr>
          <w:sz w:val="20"/>
          <w:szCs w:val="20"/>
          <w:color w:val="auto"/>
        </w:rPr>
      </w:pPr>
    </w:p>
    <w:p>
      <w:pPr>
        <w:ind w:left="5440"/>
        <w:spacing w:after="0"/>
        <w:rPr>
          <w:sz w:val="20"/>
          <w:szCs w:val="20"/>
          <w:color w:val="auto"/>
        </w:rPr>
      </w:pPr>
      <w:r>
        <w:rPr>
          <w:rFonts w:ascii="Arial" w:cs="Arial" w:eastAsia="Arial" w:hAnsi="Arial"/>
          <w:sz w:val="13"/>
          <w:szCs w:val="13"/>
          <w:b w:val="1"/>
          <w:bCs w:val="1"/>
          <w:color w:val="auto"/>
        </w:rPr>
        <w:t>PART II</w:t>
      </w:r>
    </w:p>
    <w:p>
      <w:pPr>
        <w:spacing w:after="0" w:line="183"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5.</w:t>
      </w:r>
      <w:r>
        <w:rPr>
          <w:sz w:val="20"/>
          <w:szCs w:val="20"/>
          <w:color w:val="auto"/>
        </w:rPr>
        <w:tab/>
      </w:r>
      <w:r>
        <w:rPr>
          <w:rFonts w:ascii="Arial" w:cs="Arial" w:eastAsia="Arial" w:hAnsi="Arial"/>
          <w:sz w:val="11"/>
          <w:szCs w:val="11"/>
          <w:b w:val="1"/>
          <w:bCs w:val="1"/>
          <w:i w:val="1"/>
          <w:iCs w:val="1"/>
          <w:color w:val="auto"/>
        </w:rPr>
        <w:t>Market for Registrant’s Common Equity, Related Stockholder Matters and Issuer Purchases of Equity Securities.</w:t>
      </w:r>
    </w:p>
    <w:p>
      <w:pPr>
        <w:spacing w:after="0" w:line="10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Market Information and Price Range of Common Stock</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Our Class A Common Stock, with a par value of $0.01 per share, is listed and primarily traded on the NASDAQ Global Market (“NASDAQ”), under the ticker symbol HSTX.</w:t>
      </w:r>
    </w:p>
    <w:p>
      <w:pPr>
        <w:spacing w:after="0" w:line="34"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There was no established trading market for the shares of our Class A or Class B Common Stock prior to January 29, 2007.</w:t>
      </w:r>
    </w:p>
    <w:p>
      <w:pPr>
        <w:spacing w:after="0" w:line="92"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From the time we acquired Stratex on January 26, 2007, Harris owned 32,913,377 shares or 100% of our Class B Common Stock which approximated 56% of the total shares of our common stock. On May 27, 2009, Harris distributed all of those shares to the Harris stockholders as a taxable pro rata stock dividend. Upon the distribution, the Class B Common Stock converted automatically into shares of Class A Common Stock, which is now our only outstanding class of stock.</w:t>
      </w:r>
    </w:p>
    <w:p>
      <w:pPr>
        <w:spacing w:after="0" w:line="59"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According to the records of our transfer agent, as of August 28, 2009, there were approximately 5,800 holders of record of our Class A Common Stock. The following table sets forth the high and low reported sale prices for a share of our Class A Common Stock on NASDAQ Global Market system for the periods indicated during our fiscal years 2009 and 2008:</w:t>
      </w:r>
    </w:p>
    <w:p>
      <w:pPr>
        <w:spacing w:after="0" w:line="62" w:lineRule="exact"/>
        <w:rPr>
          <w:sz w:val="20"/>
          <w:szCs w:val="20"/>
          <w:color w:val="auto"/>
        </w:rPr>
      </w:pPr>
    </w:p>
    <w:tbl>
      <w:tblPr>
        <w:tblLayout w:type="fixed"/>
        <w:tblInd w:w="680" w:type="dxa"/>
        <w:tblCellMar>
          <w:top w:w="0" w:type="dxa"/>
          <w:left w:w="0" w:type="dxa"/>
          <w:bottom w:w="0" w:type="dxa"/>
          <w:right w:w="0" w:type="dxa"/>
        </w:tblCellMar>
      </w:tblPr>
      <w:tr>
        <w:trPr>
          <w:trHeight w:val="128"/>
        </w:trPr>
        <w:tc>
          <w:tcPr>
            <w:tcW w:w="7200" w:type="dxa"/>
            <w:vAlign w:val="bottom"/>
          </w:tcPr>
          <w:p>
            <w:pPr>
              <w:spacing w:after="0"/>
              <w:rPr>
                <w:sz w:val="11"/>
                <w:szCs w:val="11"/>
                <w:color w:val="auto"/>
              </w:rPr>
            </w:pPr>
          </w:p>
        </w:tc>
        <w:tc>
          <w:tcPr>
            <w:tcW w:w="860" w:type="dxa"/>
            <w:vAlign w:val="bottom"/>
            <w:tcBorders>
              <w:bottom w:val="single" w:sz="8" w:color="auto"/>
            </w:tcBorders>
            <w:gridSpan w:val="3"/>
          </w:tcPr>
          <w:p>
            <w:pPr>
              <w:ind w:left="320"/>
              <w:spacing w:after="0"/>
              <w:rPr>
                <w:sz w:val="20"/>
                <w:szCs w:val="20"/>
                <w:color w:val="auto"/>
              </w:rPr>
            </w:pPr>
            <w:r>
              <w:rPr>
                <w:rFonts w:ascii="Arial" w:cs="Arial" w:eastAsia="Arial" w:hAnsi="Arial"/>
                <w:sz w:val="11"/>
                <w:szCs w:val="11"/>
                <w:b w:val="1"/>
                <w:bCs w:val="1"/>
                <w:color w:val="auto"/>
                <w:w w:val="88"/>
              </w:rPr>
              <w:t>Fiscal 2009</w:t>
            </w:r>
          </w:p>
        </w:tc>
        <w:tc>
          <w:tcPr>
            <w:tcW w:w="28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Borders>
              <w:bottom w:val="single" w:sz="8" w:color="auto"/>
            </w:tcBorders>
            <w:gridSpan w:val="3"/>
          </w:tcPr>
          <w:p>
            <w:pPr>
              <w:ind w:left="340"/>
              <w:spacing w:after="0"/>
              <w:rPr>
                <w:sz w:val="20"/>
                <w:szCs w:val="20"/>
                <w:color w:val="auto"/>
              </w:rPr>
            </w:pPr>
            <w:r>
              <w:rPr>
                <w:rFonts w:ascii="Arial" w:cs="Arial" w:eastAsia="Arial" w:hAnsi="Arial"/>
                <w:sz w:val="11"/>
                <w:szCs w:val="11"/>
                <w:b w:val="1"/>
                <w:bCs w:val="1"/>
                <w:color w:val="auto"/>
                <w:w w:val="85"/>
              </w:rPr>
              <w:t>Fiscal 2008</w:t>
            </w:r>
          </w:p>
        </w:tc>
        <w:tc>
          <w:tcPr>
            <w:tcW w:w="3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84"/>
        </w:trPr>
        <w:tc>
          <w:tcPr>
            <w:tcW w:w="7200" w:type="dxa"/>
            <w:vAlign w:val="bottom"/>
          </w:tcPr>
          <w:p>
            <w:pPr>
              <w:spacing w:after="0"/>
              <w:rPr>
                <w:sz w:val="7"/>
                <w:szCs w:val="7"/>
                <w:color w:val="auto"/>
              </w:rPr>
            </w:pPr>
          </w:p>
        </w:tc>
        <w:tc>
          <w:tcPr>
            <w:tcW w:w="860" w:type="dxa"/>
            <w:vAlign w:val="bottom"/>
            <w:gridSpan w:val="3"/>
          </w:tcPr>
          <w:p>
            <w:pPr>
              <w:ind w:left="100"/>
              <w:spacing w:after="0" w:line="84" w:lineRule="exact"/>
              <w:rPr>
                <w:sz w:val="20"/>
                <w:szCs w:val="20"/>
                <w:color w:val="auto"/>
              </w:rPr>
            </w:pPr>
            <w:r>
              <w:rPr>
                <w:rFonts w:ascii="Arial" w:cs="Arial" w:eastAsia="Arial" w:hAnsi="Arial"/>
                <w:sz w:val="9"/>
                <w:szCs w:val="9"/>
                <w:b w:val="1"/>
                <w:bCs w:val="1"/>
                <w:color w:val="auto"/>
              </w:rPr>
              <w:t>High</w:t>
            </w:r>
          </w:p>
        </w:tc>
        <w:tc>
          <w:tcPr>
            <w:tcW w:w="280" w:type="dxa"/>
            <w:vAlign w:val="bottom"/>
          </w:tcPr>
          <w:p>
            <w:pPr>
              <w:ind w:left="20"/>
              <w:spacing w:after="0" w:line="84" w:lineRule="exact"/>
              <w:rPr>
                <w:sz w:val="20"/>
                <w:szCs w:val="20"/>
                <w:color w:val="auto"/>
              </w:rPr>
            </w:pPr>
            <w:r>
              <w:rPr>
                <w:rFonts w:ascii="Arial" w:cs="Arial" w:eastAsia="Arial" w:hAnsi="Arial"/>
                <w:sz w:val="9"/>
                <w:szCs w:val="9"/>
                <w:b w:val="1"/>
                <w:bCs w:val="1"/>
                <w:color w:val="auto"/>
              </w:rPr>
              <w:t>Low</w:t>
            </w:r>
          </w:p>
        </w:tc>
        <w:tc>
          <w:tcPr>
            <w:tcW w:w="380" w:type="dxa"/>
            <w:vAlign w:val="bottom"/>
          </w:tcPr>
          <w:p>
            <w:pPr>
              <w:spacing w:after="0"/>
              <w:rPr>
                <w:sz w:val="7"/>
                <w:szCs w:val="7"/>
                <w:color w:val="auto"/>
              </w:rPr>
            </w:pPr>
          </w:p>
        </w:tc>
        <w:tc>
          <w:tcPr>
            <w:tcW w:w="860" w:type="dxa"/>
            <w:vAlign w:val="bottom"/>
            <w:gridSpan w:val="3"/>
          </w:tcPr>
          <w:p>
            <w:pPr>
              <w:ind w:left="80"/>
              <w:spacing w:after="0" w:line="84" w:lineRule="exact"/>
              <w:rPr>
                <w:sz w:val="20"/>
                <w:szCs w:val="20"/>
                <w:color w:val="auto"/>
              </w:rPr>
            </w:pPr>
            <w:r>
              <w:rPr>
                <w:rFonts w:ascii="Arial" w:cs="Arial" w:eastAsia="Arial" w:hAnsi="Arial"/>
                <w:sz w:val="9"/>
                <w:szCs w:val="9"/>
                <w:b w:val="1"/>
                <w:bCs w:val="1"/>
                <w:color w:val="auto"/>
              </w:rPr>
              <w:t>High</w:t>
            </w:r>
          </w:p>
        </w:tc>
        <w:tc>
          <w:tcPr>
            <w:tcW w:w="320" w:type="dxa"/>
            <w:vAlign w:val="bottom"/>
          </w:tcPr>
          <w:p>
            <w:pPr>
              <w:jc w:val="right"/>
              <w:ind w:right="39"/>
              <w:spacing w:after="0" w:line="84" w:lineRule="exact"/>
              <w:rPr>
                <w:sz w:val="20"/>
                <w:szCs w:val="20"/>
                <w:color w:val="auto"/>
              </w:rPr>
            </w:pPr>
            <w:r>
              <w:rPr>
                <w:rFonts w:ascii="Arial" w:cs="Arial" w:eastAsia="Arial" w:hAnsi="Arial"/>
                <w:sz w:val="9"/>
                <w:szCs w:val="9"/>
                <w:b w:val="1"/>
                <w:bCs w:val="1"/>
                <w:color w:val="auto"/>
              </w:rPr>
              <w:t>Low</w:t>
            </w:r>
          </w:p>
        </w:tc>
        <w:tc>
          <w:tcPr>
            <w:tcW w:w="80" w:type="dxa"/>
            <w:vAlign w:val="bottom"/>
          </w:tcPr>
          <w:p>
            <w:pPr>
              <w:spacing w:after="0"/>
              <w:rPr>
                <w:sz w:val="7"/>
                <w:szCs w:val="7"/>
                <w:color w:val="auto"/>
              </w:rPr>
            </w:pPr>
          </w:p>
        </w:tc>
      </w:tr>
      <w:tr>
        <w:trPr>
          <w:trHeight w:val="128"/>
        </w:trPr>
        <w:tc>
          <w:tcPr>
            <w:tcW w:w="7200" w:type="dxa"/>
            <w:vAlign w:val="bottom"/>
          </w:tcPr>
          <w:p>
            <w:pPr>
              <w:spacing w:after="0"/>
              <w:rPr>
                <w:sz w:val="11"/>
                <w:szCs w:val="11"/>
                <w:color w:val="auto"/>
              </w:rPr>
            </w:pPr>
          </w:p>
        </w:tc>
        <w:tc>
          <w:tcPr>
            <w:tcW w:w="420" w:type="dxa"/>
            <w:vAlign w:val="bottom"/>
            <w:tcBorders>
              <w:bottom w:val="single" w:sz="8" w:color="auto"/>
            </w:tcBorders>
          </w:tcPr>
          <w:p>
            <w:pPr>
              <w:jc w:val="right"/>
              <w:ind w:right="80"/>
              <w:spacing w:after="0"/>
              <w:rPr>
                <w:sz w:val="20"/>
                <w:szCs w:val="20"/>
                <w:color w:val="auto"/>
              </w:rPr>
            </w:pPr>
            <w:r>
              <w:rPr>
                <w:rFonts w:ascii="Arial" w:cs="Arial" w:eastAsia="Arial" w:hAnsi="Arial"/>
                <w:sz w:val="11"/>
                <w:szCs w:val="11"/>
                <w:b w:val="1"/>
                <w:bCs w:val="1"/>
                <w:color w:val="auto"/>
              </w:rPr>
              <w:t>($)</w:t>
            </w:r>
          </w:p>
        </w:tc>
        <w:tc>
          <w:tcPr>
            <w:tcW w:w="3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ind w:left="60"/>
              <w:spacing w:after="0"/>
              <w:rPr>
                <w:sz w:val="20"/>
                <w:szCs w:val="20"/>
                <w:color w:val="auto"/>
              </w:rPr>
            </w:pPr>
            <w:r>
              <w:rPr>
                <w:rFonts w:ascii="Arial" w:cs="Arial" w:eastAsia="Arial" w:hAnsi="Arial"/>
                <w:sz w:val="11"/>
                <w:szCs w:val="11"/>
                <w:b w:val="1"/>
                <w:bCs w:val="1"/>
                <w:color w:val="auto"/>
              </w:rPr>
              <w:t>($)</w:t>
            </w:r>
          </w:p>
        </w:tc>
        <w:tc>
          <w:tcPr>
            <w:tcW w:w="380" w:type="dxa"/>
            <w:vAlign w:val="bottom"/>
          </w:tcPr>
          <w:p>
            <w:pPr>
              <w:spacing w:after="0"/>
              <w:rPr>
                <w:sz w:val="11"/>
                <w:szCs w:val="11"/>
                <w:color w:val="auto"/>
              </w:rPr>
            </w:pP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11"/>
                <w:szCs w:val="11"/>
                <w:b w:val="1"/>
                <w:bCs w:val="1"/>
                <w:color w:val="auto"/>
              </w:rPr>
              <w:t>($)</w:t>
            </w:r>
          </w:p>
        </w:tc>
        <w:tc>
          <w:tcPr>
            <w:tcW w:w="3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11"/>
                <w:szCs w:val="11"/>
                <w:color w:val="auto"/>
              </w:rPr>
            </w:pPr>
          </w:p>
        </w:tc>
      </w:tr>
      <w:tr>
        <w:trPr>
          <w:trHeight w:val="30"/>
        </w:trPr>
        <w:tc>
          <w:tcPr>
            <w:tcW w:w="7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61"/>
        </w:trPr>
        <w:tc>
          <w:tcPr>
            <w:tcW w:w="7200" w:type="dxa"/>
            <w:vAlign w:val="bottom"/>
            <w:shd w:val="clear" w:color="auto" w:fill="CCEEFF"/>
          </w:tcPr>
          <w:p>
            <w:pPr>
              <w:spacing w:after="0"/>
              <w:rPr>
                <w:sz w:val="20"/>
                <w:szCs w:val="20"/>
                <w:color w:val="auto"/>
              </w:rPr>
            </w:pPr>
            <w:r>
              <w:rPr>
                <w:rFonts w:ascii="Arial" w:cs="Arial" w:eastAsia="Arial" w:hAnsi="Arial"/>
                <w:sz w:val="13"/>
                <w:szCs w:val="13"/>
                <w:color w:val="auto"/>
              </w:rPr>
              <w:t>First Quarter</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11.45</w:t>
            </w:r>
          </w:p>
        </w:tc>
        <w:tc>
          <w:tcPr>
            <w:tcW w:w="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6.85</w:t>
            </w:r>
          </w:p>
        </w:tc>
        <w:tc>
          <w:tcPr>
            <w:tcW w:w="7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20.90</w:t>
            </w:r>
          </w:p>
        </w:tc>
        <w:tc>
          <w:tcPr>
            <w:tcW w:w="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2"/>
              </w:rPr>
              <w:t>15.90</w:t>
            </w:r>
          </w:p>
        </w:tc>
      </w:tr>
      <w:tr>
        <w:trPr>
          <w:trHeight w:val="161"/>
        </w:trPr>
        <w:tc>
          <w:tcPr>
            <w:tcW w:w="7200" w:type="dxa"/>
            <w:vAlign w:val="bottom"/>
          </w:tcPr>
          <w:p>
            <w:pPr>
              <w:spacing w:after="0"/>
              <w:rPr>
                <w:sz w:val="20"/>
                <w:szCs w:val="20"/>
                <w:color w:val="auto"/>
              </w:rPr>
            </w:pPr>
            <w:r>
              <w:rPr>
                <w:rFonts w:ascii="Arial" w:cs="Arial" w:eastAsia="Arial" w:hAnsi="Arial"/>
                <w:sz w:val="13"/>
                <w:szCs w:val="13"/>
                <w:color w:val="auto"/>
              </w:rPr>
              <w:t>Second Quarter</w:t>
            </w:r>
          </w:p>
        </w:tc>
        <w:tc>
          <w:tcPr>
            <w:tcW w:w="800" w:type="dxa"/>
            <w:vAlign w:val="bottom"/>
            <w:gridSpan w:val="2"/>
          </w:tcPr>
          <w:p>
            <w:pPr>
              <w:jc w:val="right"/>
              <w:ind w:right="380"/>
              <w:spacing w:after="0"/>
              <w:rPr>
                <w:sz w:val="20"/>
                <w:szCs w:val="20"/>
                <w:color w:val="auto"/>
              </w:rPr>
            </w:pPr>
            <w:r>
              <w:rPr>
                <w:rFonts w:ascii="Arial" w:cs="Arial" w:eastAsia="Arial" w:hAnsi="Arial"/>
                <w:sz w:val="13"/>
                <w:szCs w:val="13"/>
                <w:color w:val="auto"/>
              </w:rPr>
              <w:t>7.85</w:t>
            </w:r>
          </w:p>
        </w:tc>
        <w:tc>
          <w:tcPr>
            <w:tcW w:w="60" w:type="dxa"/>
            <w:vAlign w:val="bottom"/>
          </w:tcPr>
          <w:p>
            <w:pPr>
              <w:spacing w:after="0"/>
              <w:rPr>
                <w:sz w:val="14"/>
                <w:szCs w:val="14"/>
                <w:color w:val="auto"/>
              </w:rPr>
            </w:pPr>
          </w:p>
        </w:tc>
        <w:tc>
          <w:tcPr>
            <w:tcW w:w="660" w:type="dxa"/>
            <w:vAlign w:val="bottom"/>
            <w:gridSpan w:val="2"/>
          </w:tcPr>
          <w:p>
            <w:pPr>
              <w:ind w:left="40"/>
              <w:spacing w:after="0"/>
              <w:rPr>
                <w:sz w:val="20"/>
                <w:szCs w:val="20"/>
                <w:color w:val="auto"/>
              </w:rPr>
            </w:pPr>
            <w:r>
              <w:rPr>
                <w:rFonts w:ascii="Arial" w:cs="Arial" w:eastAsia="Arial" w:hAnsi="Arial"/>
                <w:sz w:val="13"/>
                <w:szCs w:val="13"/>
                <w:color w:val="auto"/>
              </w:rPr>
              <w:t>3.26</w:t>
            </w:r>
          </w:p>
        </w:tc>
        <w:tc>
          <w:tcPr>
            <w:tcW w:w="780" w:type="dxa"/>
            <w:vAlign w:val="bottom"/>
            <w:gridSpan w:val="2"/>
          </w:tcPr>
          <w:p>
            <w:pPr>
              <w:ind w:left="100"/>
              <w:spacing w:after="0"/>
              <w:rPr>
                <w:sz w:val="20"/>
                <w:szCs w:val="20"/>
                <w:color w:val="auto"/>
              </w:rPr>
            </w:pPr>
            <w:r>
              <w:rPr>
                <w:rFonts w:ascii="Arial" w:cs="Arial" w:eastAsia="Arial" w:hAnsi="Arial"/>
                <w:sz w:val="13"/>
                <w:szCs w:val="13"/>
                <w:color w:val="auto"/>
              </w:rPr>
              <w:t>19.97</w:t>
            </w:r>
          </w:p>
        </w:tc>
        <w:tc>
          <w:tcPr>
            <w:tcW w:w="80" w:type="dxa"/>
            <w:vAlign w:val="bottom"/>
          </w:tcPr>
          <w:p>
            <w:pPr>
              <w:spacing w:after="0"/>
              <w:rPr>
                <w:sz w:val="14"/>
                <w:szCs w:val="14"/>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3"/>
                <w:szCs w:val="13"/>
                <w:color w:val="auto"/>
                <w:w w:val="92"/>
              </w:rPr>
              <w:t>15.41</w:t>
            </w:r>
          </w:p>
        </w:tc>
      </w:tr>
      <w:tr>
        <w:trPr>
          <w:trHeight w:val="161"/>
        </w:trPr>
        <w:tc>
          <w:tcPr>
            <w:tcW w:w="7200" w:type="dxa"/>
            <w:vAlign w:val="bottom"/>
            <w:shd w:val="clear" w:color="auto" w:fill="CCEEFF"/>
          </w:tcPr>
          <w:p>
            <w:pPr>
              <w:spacing w:after="0"/>
              <w:rPr>
                <w:sz w:val="20"/>
                <w:szCs w:val="20"/>
                <w:color w:val="auto"/>
              </w:rPr>
            </w:pPr>
            <w:r>
              <w:rPr>
                <w:rFonts w:ascii="Arial" w:cs="Arial" w:eastAsia="Arial" w:hAnsi="Arial"/>
                <w:sz w:val="13"/>
                <w:szCs w:val="13"/>
                <w:color w:val="auto"/>
              </w:rPr>
              <w:t>Third Quarter</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7.24</w:t>
            </w:r>
          </w:p>
        </w:tc>
        <w:tc>
          <w:tcPr>
            <w:tcW w:w="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3.00</w:t>
            </w:r>
          </w:p>
        </w:tc>
        <w:tc>
          <w:tcPr>
            <w:tcW w:w="7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18.75</w:t>
            </w:r>
          </w:p>
        </w:tc>
        <w:tc>
          <w:tcPr>
            <w:tcW w:w="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8.53</w:t>
            </w:r>
          </w:p>
        </w:tc>
      </w:tr>
      <w:tr>
        <w:trPr>
          <w:trHeight w:val="172"/>
        </w:trPr>
        <w:tc>
          <w:tcPr>
            <w:tcW w:w="7200" w:type="dxa"/>
            <w:vAlign w:val="bottom"/>
          </w:tcPr>
          <w:p>
            <w:pPr>
              <w:spacing w:after="0"/>
              <w:rPr>
                <w:sz w:val="20"/>
                <w:szCs w:val="20"/>
                <w:color w:val="auto"/>
              </w:rPr>
            </w:pPr>
            <w:r>
              <w:rPr>
                <w:rFonts w:ascii="Arial" w:cs="Arial" w:eastAsia="Arial" w:hAnsi="Arial"/>
                <w:sz w:val="13"/>
                <w:szCs w:val="13"/>
                <w:color w:val="auto"/>
              </w:rPr>
              <w:t>Fourth Quarter</w:t>
            </w:r>
          </w:p>
        </w:tc>
        <w:tc>
          <w:tcPr>
            <w:tcW w:w="800" w:type="dxa"/>
            <w:vAlign w:val="bottom"/>
            <w:gridSpan w:val="2"/>
          </w:tcPr>
          <w:p>
            <w:pPr>
              <w:jc w:val="right"/>
              <w:ind w:right="380"/>
              <w:spacing w:after="0"/>
              <w:rPr>
                <w:sz w:val="20"/>
                <w:szCs w:val="20"/>
                <w:color w:val="auto"/>
              </w:rPr>
            </w:pPr>
            <w:r>
              <w:rPr>
                <w:rFonts w:ascii="Arial" w:cs="Arial" w:eastAsia="Arial" w:hAnsi="Arial"/>
                <w:sz w:val="13"/>
                <w:szCs w:val="13"/>
                <w:color w:val="auto"/>
              </w:rPr>
              <w:t>6.75</w:t>
            </w:r>
          </w:p>
        </w:tc>
        <w:tc>
          <w:tcPr>
            <w:tcW w:w="60" w:type="dxa"/>
            <w:vAlign w:val="bottom"/>
          </w:tcPr>
          <w:p>
            <w:pPr>
              <w:spacing w:after="0"/>
              <w:rPr>
                <w:sz w:val="14"/>
                <w:szCs w:val="14"/>
                <w:color w:val="auto"/>
              </w:rPr>
            </w:pPr>
          </w:p>
        </w:tc>
        <w:tc>
          <w:tcPr>
            <w:tcW w:w="660" w:type="dxa"/>
            <w:vAlign w:val="bottom"/>
            <w:gridSpan w:val="2"/>
          </w:tcPr>
          <w:p>
            <w:pPr>
              <w:ind w:left="40"/>
              <w:spacing w:after="0"/>
              <w:rPr>
                <w:sz w:val="20"/>
                <w:szCs w:val="20"/>
                <w:color w:val="auto"/>
              </w:rPr>
            </w:pPr>
            <w:r>
              <w:rPr>
                <w:rFonts w:ascii="Arial" w:cs="Arial" w:eastAsia="Arial" w:hAnsi="Arial"/>
                <w:sz w:val="13"/>
                <w:szCs w:val="13"/>
                <w:color w:val="auto"/>
              </w:rPr>
              <w:t>3.91</w:t>
            </w:r>
          </w:p>
        </w:tc>
        <w:tc>
          <w:tcPr>
            <w:tcW w:w="780" w:type="dxa"/>
            <w:vAlign w:val="bottom"/>
            <w:gridSpan w:val="2"/>
          </w:tcPr>
          <w:p>
            <w:pPr>
              <w:ind w:left="100"/>
              <w:spacing w:after="0"/>
              <w:rPr>
                <w:sz w:val="20"/>
                <w:szCs w:val="20"/>
                <w:color w:val="auto"/>
              </w:rPr>
            </w:pPr>
            <w:r>
              <w:rPr>
                <w:rFonts w:ascii="Arial" w:cs="Arial" w:eastAsia="Arial" w:hAnsi="Arial"/>
                <w:sz w:val="13"/>
                <w:szCs w:val="13"/>
                <w:color w:val="auto"/>
              </w:rPr>
              <w:t>11.44</w:t>
            </w:r>
          </w:p>
        </w:tc>
        <w:tc>
          <w:tcPr>
            <w:tcW w:w="80" w:type="dxa"/>
            <w:vAlign w:val="bottom"/>
          </w:tcPr>
          <w:p>
            <w:pPr>
              <w:spacing w:after="0"/>
              <w:rPr>
                <w:sz w:val="14"/>
                <w:szCs w:val="14"/>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3"/>
                <w:szCs w:val="13"/>
                <w:color w:val="auto"/>
              </w:rPr>
              <w:t>8.88</w:t>
            </w:r>
          </w:p>
        </w:tc>
      </w:tr>
    </w:tbl>
    <w:p>
      <w:pPr>
        <w:spacing w:after="0" w:line="6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On August 28, 2009, the last sale price of our common stock as reported in the NASDAQ Global Market system was $6.09 per share.</w:t>
      </w:r>
    </w:p>
    <w:p>
      <w:pPr>
        <w:spacing w:after="0" w:line="18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Dividend Policy</w:t>
      </w:r>
    </w:p>
    <w:p>
      <w:pPr>
        <w:spacing w:after="0" w:line="104" w:lineRule="exact"/>
        <w:rPr>
          <w:sz w:val="20"/>
          <w:szCs w:val="20"/>
          <w:color w:val="auto"/>
        </w:rPr>
      </w:pPr>
    </w:p>
    <w:p>
      <w:pPr>
        <w:jc w:val="both"/>
        <w:ind w:left="680" w:right="40" w:firstLine="399"/>
        <w:spacing w:after="0" w:line="276" w:lineRule="auto"/>
        <w:rPr>
          <w:sz w:val="20"/>
          <w:szCs w:val="20"/>
          <w:color w:val="auto"/>
        </w:rPr>
      </w:pPr>
      <w:r>
        <w:rPr>
          <w:rFonts w:ascii="Arial" w:cs="Arial" w:eastAsia="Arial" w:hAnsi="Arial"/>
          <w:sz w:val="13"/>
          <w:szCs w:val="13"/>
          <w:color w:val="auto"/>
        </w:rPr>
        <w:t>We have not paid cash dividends on our common stock and do not intend to pay cash dividends in the foreseeable future. We intend to retain any earnings for use in our business. In addition, the covenants of our $70 million credit facility restrict us from paying dividends or making other distributions to our shareholders under certain circumstances. We also may enter into other credit facilities or debt financing arrangements that further limit our ability to pay dividends or make other distributions.</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Sales of Unregistered Securities</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During the fourth quarter of fiscal 2009, we did not issue or sell any unregistered securities.</w:t>
      </w:r>
    </w:p>
    <w:p>
      <w:pPr>
        <w:spacing w:after="0" w:line="18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Issuer Repurchases of Equity Securities</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During the fourth quarter of fiscal 2009, we did not repurchase any equity securities.</w:t>
      </w:r>
    </w:p>
    <w:p>
      <w:pPr>
        <w:spacing w:after="0" w:line="31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32" w:name="page33"/>
    <w:bookmarkEnd w:id="3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Performance Graph</w:t>
      </w:r>
    </w:p>
    <w:p>
      <w:pPr>
        <w:spacing w:after="0" w:line="104" w:lineRule="exact"/>
        <w:rPr>
          <w:sz w:val="20"/>
          <w:szCs w:val="20"/>
          <w:color w:val="auto"/>
        </w:rPr>
      </w:pPr>
    </w:p>
    <w:p>
      <w:pPr>
        <w:ind w:left="680" w:firstLine="399"/>
        <w:spacing w:after="0" w:line="270" w:lineRule="auto"/>
        <w:rPr>
          <w:sz w:val="20"/>
          <w:szCs w:val="20"/>
          <w:color w:val="auto"/>
        </w:rPr>
      </w:pPr>
      <w:r>
        <w:rPr>
          <w:rFonts w:ascii="Arial" w:cs="Arial" w:eastAsia="Arial" w:hAnsi="Arial"/>
          <w:sz w:val="13"/>
          <w:szCs w:val="13"/>
          <w:color w:val="auto"/>
        </w:rPr>
        <w:t>The following graph and accompanying data compares the cumulative total return on our Class A Common Stock with the cumulative total return of the Total Return Index for The NASDAQ Composite Market (U.S. Companies) and the NASDAQ Telecommunications Index for the two-year, five month period commencing January 29, 2007 and ending July 3, 2009. The stock price performance shown on the graph below is not necessarily indicative of future price performance. Note that this graph and accompanying data is “furnished,” not “filed,” with the Securities and Exchange Commission.</w:t>
      </w:r>
    </w:p>
    <w:p>
      <w:pPr>
        <w:spacing w:after="0" w:line="222" w:lineRule="exact"/>
        <w:rPr>
          <w:sz w:val="20"/>
          <w:szCs w:val="20"/>
          <w:color w:val="auto"/>
        </w:rPr>
      </w:pPr>
    </w:p>
    <w:p>
      <w:pPr>
        <w:ind w:left="3440"/>
        <w:spacing w:after="0"/>
        <w:rPr>
          <w:sz w:val="20"/>
          <w:szCs w:val="20"/>
          <w:color w:val="auto"/>
        </w:rPr>
      </w:pPr>
      <w:r>
        <w:rPr>
          <w:rFonts w:ascii="Arial" w:cs="Arial" w:eastAsia="Arial" w:hAnsi="Arial"/>
          <w:sz w:val="13"/>
          <w:szCs w:val="13"/>
          <w:b w:val="1"/>
          <w:bCs w:val="1"/>
          <w:color w:val="auto"/>
        </w:rPr>
        <w:t>COMPARISON OF 2 YEAR, 5 MONTH CUMULATIVE TOTAL RETURN*</w:t>
      </w:r>
    </w:p>
    <w:p>
      <w:pPr>
        <w:spacing w:after="0" w:line="102" w:lineRule="exact"/>
        <w:rPr>
          <w:sz w:val="20"/>
          <w:szCs w:val="20"/>
          <w:color w:val="auto"/>
        </w:rPr>
      </w:pPr>
    </w:p>
    <w:p>
      <w:pPr>
        <w:ind w:left="3640"/>
        <w:spacing w:after="0"/>
        <w:rPr>
          <w:sz w:val="20"/>
          <w:szCs w:val="20"/>
          <w:color w:val="auto"/>
        </w:rPr>
      </w:pPr>
      <w:r>
        <w:rPr>
          <w:rFonts w:ascii="Arial" w:cs="Arial" w:eastAsia="Arial" w:hAnsi="Arial"/>
          <w:sz w:val="13"/>
          <w:szCs w:val="13"/>
          <w:b w:val="1"/>
          <w:bCs w:val="1"/>
          <w:color w:val="auto"/>
        </w:rPr>
        <w:t>Among Harris Stratex Networks, Inc., The NASDAQ Composite Index</w:t>
      </w:r>
    </w:p>
    <w:p>
      <w:pPr>
        <w:spacing w:after="0" w:line="24" w:lineRule="exact"/>
        <w:rPr>
          <w:sz w:val="20"/>
          <w:szCs w:val="20"/>
          <w:color w:val="auto"/>
        </w:rPr>
      </w:pPr>
    </w:p>
    <w:p>
      <w:pPr>
        <w:ind w:left="4380"/>
        <w:spacing w:after="0"/>
        <w:rPr>
          <w:sz w:val="20"/>
          <w:szCs w:val="20"/>
          <w:color w:val="auto"/>
        </w:rPr>
      </w:pPr>
      <w:r>
        <w:rPr>
          <w:rFonts w:ascii="Arial" w:cs="Arial" w:eastAsia="Arial" w:hAnsi="Arial"/>
          <w:sz w:val="13"/>
          <w:szCs w:val="13"/>
          <w:b w:val="1"/>
          <w:bCs w:val="1"/>
          <w:color w:val="auto"/>
        </w:rPr>
        <w:t>and the NASDAQ Telecommunications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1696085</wp:posOffset>
            </wp:positionH>
            <wp:positionV relativeFrom="paragraph">
              <wp:posOffset>65405</wp:posOffset>
            </wp:positionV>
            <wp:extent cx="3820160" cy="16313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820160" cy="1631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690" w:type="dxa"/>
        <w:tblCellMar>
          <w:top w:w="0" w:type="dxa"/>
          <w:left w:w="0" w:type="dxa"/>
          <w:bottom w:w="0" w:type="dxa"/>
          <w:right w:w="0" w:type="dxa"/>
        </w:tblCellMar>
      </w:tblPr>
      <w:tr>
        <w:trPr>
          <w:trHeight w:val="121"/>
        </w:trPr>
        <w:tc>
          <w:tcPr>
            <w:tcW w:w="5000" w:type="dxa"/>
            <w:vAlign w:val="bottom"/>
            <w:tcBorders>
              <w:top w:val="single" w:sz="8" w:color="auto"/>
              <w:left w:val="single" w:sz="8" w:color="auto"/>
              <w:bottom w:val="single" w:sz="8" w:color="auto"/>
              <w:right w:val="single" w:sz="8" w:color="auto"/>
            </w:tcBorders>
          </w:tcPr>
          <w:p>
            <w:pPr>
              <w:spacing w:after="0"/>
              <w:rPr>
                <w:sz w:val="10"/>
                <w:szCs w:val="10"/>
                <w:color w:val="auto"/>
              </w:rPr>
            </w:pPr>
          </w:p>
        </w:tc>
        <w:tc>
          <w:tcPr>
            <w:tcW w:w="1300" w:type="dxa"/>
            <w:vAlign w:val="bottom"/>
            <w:tcBorders>
              <w:top w:val="single" w:sz="8" w:color="auto"/>
              <w:bottom w:val="single" w:sz="8" w:color="auto"/>
              <w:right w:val="single" w:sz="8" w:color="auto"/>
            </w:tcBorders>
          </w:tcPr>
          <w:p>
            <w:pPr>
              <w:jc w:val="right"/>
              <w:ind w:right="376"/>
              <w:spacing w:after="0" w:line="121" w:lineRule="exact"/>
              <w:rPr>
                <w:sz w:val="20"/>
                <w:szCs w:val="20"/>
                <w:color w:val="auto"/>
              </w:rPr>
            </w:pPr>
            <w:r>
              <w:rPr>
                <w:rFonts w:ascii="Arial" w:cs="Arial" w:eastAsia="Arial" w:hAnsi="Arial"/>
                <w:sz w:val="11"/>
                <w:szCs w:val="11"/>
                <w:b w:val="1"/>
                <w:bCs w:val="1"/>
                <w:color w:val="auto"/>
              </w:rPr>
              <w:t>1/29/2007</w:t>
            </w:r>
          </w:p>
        </w:tc>
        <w:tc>
          <w:tcPr>
            <w:tcW w:w="1280" w:type="dxa"/>
            <w:vAlign w:val="bottom"/>
            <w:tcBorders>
              <w:top w:val="single" w:sz="8" w:color="auto"/>
              <w:bottom w:val="single" w:sz="8" w:color="auto"/>
              <w:right w:val="single" w:sz="8" w:color="auto"/>
            </w:tcBorders>
          </w:tcPr>
          <w:p>
            <w:pPr>
              <w:jc w:val="right"/>
              <w:ind w:right="376"/>
              <w:spacing w:after="0" w:line="121" w:lineRule="exact"/>
              <w:rPr>
                <w:sz w:val="20"/>
                <w:szCs w:val="20"/>
                <w:color w:val="auto"/>
              </w:rPr>
            </w:pPr>
            <w:r>
              <w:rPr>
                <w:rFonts w:ascii="Arial" w:cs="Arial" w:eastAsia="Arial" w:hAnsi="Arial"/>
                <w:sz w:val="11"/>
                <w:szCs w:val="11"/>
                <w:b w:val="1"/>
                <w:bCs w:val="1"/>
                <w:color w:val="auto"/>
              </w:rPr>
              <w:t>6/29/2007</w:t>
            </w:r>
          </w:p>
        </w:tc>
        <w:tc>
          <w:tcPr>
            <w:tcW w:w="1260" w:type="dxa"/>
            <w:vAlign w:val="bottom"/>
            <w:tcBorders>
              <w:top w:val="single" w:sz="8" w:color="auto"/>
              <w:bottom w:val="single" w:sz="8" w:color="auto"/>
              <w:right w:val="single" w:sz="8" w:color="auto"/>
            </w:tcBorders>
          </w:tcPr>
          <w:p>
            <w:pPr>
              <w:jc w:val="right"/>
              <w:ind w:right="356"/>
              <w:spacing w:after="0" w:line="121" w:lineRule="exact"/>
              <w:rPr>
                <w:sz w:val="20"/>
                <w:szCs w:val="20"/>
                <w:color w:val="auto"/>
              </w:rPr>
            </w:pPr>
            <w:r>
              <w:rPr>
                <w:rFonts w:ascii="Arial" w:cs="Arial" w:eastAsia="Arial" w:hAnsi="Arial"/>
                <w:sz w:val="11"/>
                <w:szCs w:val="11"/>
                <w:b w:val="1"/>
                <w:bCs w:val="1"/>
                <w:color w:val="auto"/>
              </w:rPr>
              <w:t>6/27/2008</w:t>
            </w:r>
          </w:p>
        </w:tc>
        <w:tc>
          <w:tcPr>
            <w:tcW w:w="1160" w:type="dxa"/>
            <w:vAlign w:val="bottom"/>
            <w:tcBorders>
              <w:top w:val="single" w:sz="8" w:color="auto"/>
              <w:bottom w:val="single" w:sz="8" w:color="auto"/>
              <w:right w:val="single" w:sz="8" w:color="auto"/>
            </w:tcBorders>
          </w:tcPr>
          <w:p>
            <w:pPr>
              <w:jc w:val="right"/>
              <w:ind w:right="316"/>
              <w:spacing w:after="0" w:line="121" w:lineRule="exact"/>
              <w:rPr>
                <w:sz w:val="20"/>
                <w:szCs w:val="20"/>
                <w:color w:val="auto"/>
              </w:rPr>
            </w:pPr>
            <w:r>
              <w:rPr>
                <w:rFonts w:ascii="Arial" w:cs="Arial" w:eastAsia="Arial" w:hAnsi="Arial"/>
                <w:sz w:val="11"/>
                <w:szCs w:val="11"/>
                <w:b w:val="1"/>
                <w:bCs w:val="1"/>
                <w:color w:val="auto"/>
              </w:rPr>
              <w:t>7/3/2009</w:t>
            </w:r>
          </w:p>
        </w:tc>
      </w:tr>
      <w:tr>
        <w:trPr>
          <w:trHeight w:val="151"/>
        </w:trPr>
        <w:tc>
          <w:tcPr>
            <w:tcW w:w="50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Harris Stratex Networks, Inc.</w:t>
            </w:r>
          </w:p>
        </w:tc>
        <w:tc>
          <w:tcPr>
            <w:tcW w:w="1300" w:type="dxa"/>
            <w:vAlign w:val="bottom"/>
            <w:tcBorders>
              <w:bottom w:val="single" w:sz="8" w:color="auto"/>
              <w:right w:val="single" w:sz="8" w:color="auto"/>
            </w:tcBorders>
          </w:tcPr>
          <w:p>
            <w:pPr>
              <w:jc w:val="right"/>
              <w:ind w:right="676"/>
              <w:spacing w:after="0"/>
              <w:rPr>
                <w:sz w:val="20"/>
                <w:szCs w:val="20"/>
                <w:color w:val="auto"/>
              </w:rPr>
            </w:pPr>
            <w:r>
              <w:rPr>
                <w:rFonts w:ascii="Arial" w:cs="Arial" w:eastAsia="Arial" w:hAnsi="Arial"/>
                <w:sz w:val="13"/>
                <w:szCs w:val="13"/>
                <w:color w:val="auto"/>
              </w:rPr>
              <w:t>100.00</w:t>
            </w:r>
          </w:p>
        </w:tc>
        <w:tc>
          <w:tcPr>
            <w:tcW w:w="1280" w:type="dxa"/>
            <w:vAlign w:val="bottom"/>
            <w:tcBorders>
              <w:bottom w:val="single" w:sz="8" w:color="auto"/>
              <w:right w:val="single" w:sz="8" w:color="auto"/>
            </w:tcBorders>
          </w:tcPr>
          <w:p>
            <w:pPr>
              <w:jc w:val="right"/>
              <w:ind w:right="676"/>
              <w:spacing w:after="0"/>
              <w:rPr>
                <w:sz w:val="20"/>
                <w:szCs w:val="20"/>
                <w:color w:val="auto"/>
              </w:rPr>
            </w:pPr>
            <w:r>
              <w:rPr>
                <w:rFonts w:ascii="Arial" w:cs="Arial" w:eastAsia="Arial" w:hAnsi="Arial"/>
                <w:sz w:val="13"/>
                <w:szCs w:val="13"/>
                <w:color w:val="auto"/>
              </w:rPr>
              <w:t>89.90</w:t>
            </w:r>
          </w:p>
        </w:tc>
        <w:tc>
          <w:tcPr>
            <w:tcW w:w="1260" w:type="dxa"/>
            <w:vAlign w:val="bottom"/>
            <w:tcBorders>
              <w:bottom w:val="single" w:sz="8" w:color="auto"/>
              <w:right w:val="single" w:sz="8" w:color="auto"/>
            </w:tcBorders>
          </w:tcPr>
          <w:p>
            <w:pPr>
              <w:jc w:val="right"/>
              <w:ind w:right="716"/>
              <w:spacing w:after="0"/>
              <w:rPr>
                <w:sz w:val="20"/>
                <w:szCs w:val="20"/>
                <w:color w:val="auto"/>
              </w:rPr>
            </w:pPr>
            <w:r>
              <w:rPr>
                <w:rFonts w:ascii="Arial" w:cs="Arial" w:eastAsia="Arial" w:hAnsi="Arial"/>
                <w:sz w:val="13"/>
                <w:szCs w:val="13"/>
                <w:color w:val="auto"/>
              </w:rPr>
              <w:t>47.90</w:t>
            </w:r>
          </w:p>
        </w:tc>
        <w:tc>
          <w:tcPr>
            <w:tcW w:w="1160" w:type="dxa"/>
            <w:vAlign w:val="bottom"/>
            <w:tcBorders>
              <w:bottom w:val="single" w:sz="8" w:color="auto"/>
              <w:right w:val="single" w:sz="8" w:color="auto"/>
            </w:tcBorders>
          </w:tcPr>
          <w:p>
            <w:pPr>
              <w:jc w:val="right"/>
              <w:ind w:right="636"/>
              <w:spacing w:after="0"/>
              <w:rPr>
                <w:sz w:val="20"/>
                <w:szCs w:val="20"/>
                <w:color w:val="auto"/>
              </w:rPr>
            </w:pPr>
            <w:r>
              <w:rPr>
                <w:rFonts w:ascii="Arial" w:cs="Arial" w:eastAsia="Arial" w:hAnsi="Arial"/>
                <w:sz w:val="13"/>
                <w:szCs w:val="13"/>
                <w:color w:val="auto"/>
              </w:rPr>
              <w:t>30.75</w:t>
            </w:r>
          </w:p>
        </w:tc>
      </w:tr>
      <w:tr>
        <w:trPr>
          <w:trHeight w:val="151"/>
        </w:trPr>
        <w:tc>
          <w:tcPr>
            <w:tcW w:w="50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3"/>
                <w:szCs w:val="13"/>
                <w:color w:val="auto"/>
              </w:rPr>
              <w:t>NASDAQ Composite</w:t>
            </w:r>
          </w:p>
        </w:tc>
        <w:tc>
          <w:tcPr>
            <w:tcW w:w="1300" w:type="dxa"/>
            <w:vAlign w:val="bottom"/>
            <w:tcBorders>
              <w:bottom w:val="single" w:sz="8" w:color="auto"/>
              <w:right w:val="single" w:sz="8" w:color="auto"/>
            </w:tcBorders>
          </w:tcPr>
          <w:p>
            <w:pPr>
              <w:jc w:val="right"/>
              <w:ind w:right="676"/>
              <w:spacing w:after="0"/>
              <w:rPr>
                <w:sz w:val="20"/>
                <w:szCs w:val="20"/>
                <w:color w:val="auto"/>
              </w:rPr>
            </w:pPr>
            <w:r>
              <w:rPr>
                <w:rFonts w:ascii="Arial" w:cs="Arial" w:eastAsia="Arial" w:hAnsi="Arial"/>
                <w:sz w:val="13"/>
                <w:szCs w:val="13"/>
                <w:color w:val="auto"/>
              </w:rPr>
              <w:t>100.00</w:t>
            </w:r>
          </w:p>
        </w:tc>
        <w:tc>
          <w:tcPr>
            <w:tcW w:w="1280" w:type="dxa"/>
            <w:vAlign w:val="bottom"/>
            <w:tcBorders>
              <w:bottom w:val="single" w:sz="8" w:color="auto"/>
              <w:right w:val="single" w:sz="8" w:color="auto"/>
            </w:tcBorders>
          </w:tcPr>
          <w:p>
            <w:pPr>
              <w:jc w:val="right"/>
              <w:ind w:right="676"/>
              <w:spacing w:after="0"/>
              <w:rPr>
                <w:sz w:val="20"/>
                <w:szCs w:val="20"/>
                <w:color w:val="auto"/>
              </w:rPr>
            </w:pPr>
            <w:r>
              <w:rPr>
                <w:rFonts w:ascii="Arial" w:cs="Arial" w:eastAsia="Arial" w:hAnsi="Arial"/>
                <w:sz w:val="13"/>
                <w:szCs w:val="13"/>
                <w:color w:val="auto"/>
              </w:rPr>
              <w:t>107.65</w:t>
            </w:r>
          </w:p>
        </w:tc>
        <w:tc>
          <w:tcPr>
            <w:tcW w:w="1260" w:type="dxa"/>
            <w:vAlign w:val="bottom"/>
            <w:tcBorders>
              <w:bottom w:val="single" w:sz="8" w:color="auto"/>
              <w:right w:val="single" w:sz="8" w:color="auto"/>
            </w:tcBorders>
          </w:tcPr>
          <w:p>
            <w:pPr>
              <w:jc w:val="right"/>
              <w:ind w:right="716"/>
              <w:spacing w:after="0"/>
              <w:rPr>
                <w:sz w:val="20"/>
                <w:szCs w:val="20"/>
                <w:color w:val="auto"/>
              </w:rPr>
            </w:pPr>
            <w:r>
              <w:rPr>
                <w:rFonts w:ascii="Arial" w:cs="Arial" w:eastAsia="Arial" w:hAnsi="Arial"/>
                <w:sz w:val="13"/>
                <w:szCs w:val="13"/>
                <w:color w:val="auto"/>
              </w:rPr>
              <w:t>95.36</w:t>
            </w:r>
          </w:p>
        </w:tc>
        <w:tc>
          <w:tcPr>
            <w:tcW w:w="1160" w:type="dxa"/>
            <w:vAlign w:val="bottom"/>
            <w:tcBorders>
              <w:bottom w:val="single" w:sz="8" w:color="auto"/>
              <w:right w:val="single" w:sz="8" w:color="auto"/>
            </w:tcBorders>
          </w:tcPr>
          <w:p>
            <w:pPr>
              <w:jc w:val="right"/>
              <w:ind w:right="636"/>
              <w:spacing w:after="0"/>
              <w:rPr>
                <w:sz w:val="20"/>
                <w:szCs w:val="20"/>
                <w:color w:val="auto"/>
              </w:rPr>
            </w:pPr>
            <w:r>
              <w:rPr>
                <w:rFonts w:ascii="Arial" w:cs="Arial" w:eastAsia="Arial" w:hAnsi="Arial"/>
                <w:sz w:val="13"/>
                <w:szCs w:val="13"/>
                <w:color w:val="auto"/>
              </w:rPr>
              <w:t>75.51</w:t>
            </w:r>
          </w:p>
        </w:tc>
      </w:tr>
      <w:tr>
        <w:trPr>
          <w:trHeight w:val="151"/>
        </w:trPr>
        <w:tc>
          <w:tcPr>
            <w:tcW w:w="50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3"/>
                <w:szCs w:val="13"/>
                <w:color w:val="auto"/>
              </w:rPr>
              <w:t>NASDAQ Telecommunications</w:t>
            </w:r>
          </w:p>
        </w:tc>
        <w:tc>
          <w:tcPr>
            <w:tcW w:w="1300" w:type="dxa"/>
            <w:vAlign w:val="bottom"/>
            <w:tcBorders>
              <w:bottom w:val="single" w:sz="8" w:color="auto"/>
              <w:right w:val="single" w:sz="8" w:color="auto"/>
            </w:tcBorders>
          </w:tcPr>
          <w:p>
            <w:pPr>
              <w:jc w:val="right"/>
              <w:ind w:right="676"/>
              <w:spacing w:after="0"/>
              <w:rPr>
                <w:sz w:val="20"/>
                <w:szCs w:val="20"/>
                <w:color w:val="auto"/>
              </w:rPr>
            </w:pPr>
            <w:r>
              <w:rPr>
                <w:rFonts w:ascii="Arial" w:cs="Arial" w:eastAsia="Arial" w:hAnsi="Arial"/>
                <w:sz w:val="13"/>
                <w:szCs w:val="13"/>
                <w:color w:val="auto"/>
              </w:rPr>
              <w:t>100.00</w:t>
            </w:r>
          </w:p>
        </w:tc>
        <w:tc>
          <w:tcPr>
            <w:tcW w:w="1280" w:type="dxa"/>
            <w:vAlign w:val="bottom"/>
            <w:tcBorders>
              <w:bottom w:val="single" w:sz="8" w:color="auto"/>
              <w:right w:val="single" w:sz="8" w:color="auto"/>
            </w:tcBorders>
          </w:tcPr>
          <w:p>
            <w:pPr>
              <w:jc w:val="right"/>
              <w:ind w:right="676"/>
              <w:spacing w:after="0"/>
              <w:rPr>
                <w:sz w:val="20"/>
                <w:szCs w:val="20"/>
                <w:color w:val="auto"/>
              </w:rPr>
            </w:pPr>
            <w:r>
              <w:rPr>
                <w:rFonts w:ascii="Arial" w:cs="Arial" w:eastAsia="Arial" w:hAnsi="Arial"/>
                <w:sz w:val="13"/>
                <w:szCs w:val="13"/>
                <w:color w:val="auto"/>
              </w:rPr>
              <w:t>109.76</w:t>
            </w:r>
          </w:p>
        </w:tc>
        <w:tc>
          <w:tcPr>
            <w:tcW w:w="1260" w:type="dxa"/>
            <w:vAlign w:val="bottom"/>
            <w:tcBorders>
              <w:bottom w:val="single" w:sz="8" w:color="auto"/>
              <w:right w:val="single" w:sz="8" w:color="auto"/>
            </w:tcBorders>
          </w:tcPr>
          <w:p>
            <w:pPr>
              <w:jc w:val="right"/>
              <w:ind w:right="716"/>
              <w:spacing w:after="0"/>
              <w:rPr>
                <w:sz w:val="20"/>
                <w:szCs w:val="20"/>
                <w:color w:val="auto"/>
              </w:rPr>
            </w:pPr>
            <w:r>
              <w:rPr>
                <w:rFonts w:ascii="Arial" w:cs="Arial" w:eastAsia="Arial" w:hAnsi="Arial"/>
                <w:sz w:val="13"/>
                <w:szCs w:val="13"/>
                <w:color w:val="auto"/>
              </w:rPr>
              <w:t>93.92</w:t>
            </w:r>
          </w:p>
        </w:tc>
        <w:tc>
          <w:tcPr>
            <w:tcW w:w="1160" w:type="dxa"/>
            <w:vAlign w:val="bottom"/>
            <w:tcBorders>
              <w:bottom w:val="single" w:sz="8" w:color="auto"/>
              <w:right w:val="single" w:sz="8" w:color="auto"/>
            </w:tcBorders>
          </w:tcPr>
          <w:p>
            <w:pPr>
              <w:jc w:val="right"/>
              <w:ind w:right="636"/>
              <w:spacing w:after="0"/>
              <w:rPr>
                <w:sz w:val="20"/>
                <w:szCs w:val="20"/>
                <w:color w:val="auto"/>
              </w:rPr>
            </w:pPr>
            <w:r>
              <w:rPr>
                <w:rFonts w:ascii="Arial" w:cs="Arial" w:eastAsia="Arial" w:hAnsi="Arial"/>
                <w:sz w:val="13"/>
                <w:szCs w:val="13"/>
                <w:color w:val="auto"/>
              </w:rPr>
              <w:t>76.99</w:t>
            </w:r>
          </w:p>
        </w:tc>
      </w:tr>
    </w:tbl>
    <w:p>
      <w:pPr>
        <w:spacing w:after="0" w:line="50" w:lineRule="exact"/>
        <w:rPr>
          <w:sz w:val="20"/>
          <w:szCs w:val="20"/>
          <w:color w:val="auto"/>
        </w:rPr>
      </w:pPr>
    </w:p>
    <w:p>
      <w:pPr>
        <w:ind w:left="900" w:right="500" w:hanging="212"/>
        <w:spacing w:after="0" w:line="294" w:lineRule="auto"/>
        <w:tabs>
          <w:tab w:leader="none" w:pos="9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Assumes (i) $100 invested on January 29, 2007 in Harris Stratex Networks, Inc. Class A Common Stock, the Total Return Index for The NASDAQ Composite Market (U.S. companies) and the NASDAQ Telecommunications Index; and (ii) immediate reinvestment of all dividends.</w:t>
      </w:r>
    </w:p>
    <w:p>
      <w:pPr>
        <w:spacing w:after="0" w:line="25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33" w:name="page34"/>
    <w:bookmarkEnd w:id="3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3"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6.</w:t>
      </w:r>
      <w:r>
        <w:rPr>
          <w:sz w:val="20"/>
          <w:szCs w:val="20"/>
          <w:color w:val="auto"/>
        </w:rPr>
        <w:tab/>
      </w:r>
      <w:r>
        <w:rPr>
          <w:rFonts w:ascii="Arial" w:cs="Arial" w:eastAsia="Arial" w:hAnsi="Arial"/>
          <w:sz w:val="11"/>
          <w:szCs w:val="11"/>
          <w:b w:val="1"/>
          <w:bCs w:val="1"/>
          <w:i w:val="1"/>
          <w:iCs w:val="1"/>
          <w:color w:val="auto"/>
        </w:rPr>
        <w:t>Selected Financial Data.</w:t>
      </w:r>
    </w:p>
    <w:p>
      <w:pPr>
        <w:spacing w:after="0" w:line="104" w:lineRule="exact"/>
        <w:rPr>
          <w:sz w:val="20"/>
          <w:szCs w:val="20"/>
          <w:color w:val="auto"/>
        </w:rPr>
      </w:pPr>
    </w:p>
    <w:p>
      <w:pPr>
        <w:ind w:left="680" w:right="880" w:firstLine="399"/>
        <w:spacing w:after="0" w:line="267" w:lineRule="auto"/>
        <w:rPr>
          <w:sz w:val="20"/>
          <w:szCs w:val="20"/>
          <w:color w:val="auto"/>
        </w:rPr>
      </w:pPr>
      <w:r>
        <w:rPr>
          <w:rFonts w:ascii="Arial" w:cs="Arial" w:eastAsia="Arial" w:hAnsi="Arial"/>
          <w:sz w:val="13"/>
          <w:szCs w:val="13"/>
          <w:color w:val="auto"/>
        </w:rPr>
        <w:t>The following table summarizes our selected historical financial information for each of the last five fiscal years. The selected financial information as of and for the fiscal years ended July 3, 2009, June 27, 2008, June 29, 2007, June 30, 2006 and July 1, 2005 has been derived from our audited consolidated financial statements, for which data presented for fiscal years 2009, 2008 and 2007 are included elsewhere in this Annual Report on Form 10-K. This table should be read in conjunction with our other financial information, including “Item 7. Management’s Discussion and Analysis of Financial Condition and Results of Operations” and the Consolidated Financial Statements and Notes, included elsewhere in this Annual Report on Form 10-K.</w:t>
      </w:r>
    </w:p>
    <w:p>
      <w:pPr>
        <w:spacing w:after="0" w:line="69" w:lineRule="exact"/>
        <w:rPr>
          <w:sz w:val="20"/>
          <w:szCs w:val="20"/>
          <w:color w:val="auto"/>
        </w:rPr>
      </w:pPr>
    </w:p>
    <w:tbl>
      <w:tblPr>
        <w:tblLayout w:type="fixed"/>
        <w:tblInd w:w="680" w:type="dxa"/>
        <w:tblCellMar>
          <w:top w:w="0" w:type="dxa"/>
          <w:left w:w="0" w:type="dxa"/>
          <w:bottom w:w="0" w:type="dxa"/>
          <w:right w:w="0" w:type="dxa"/>
        </w:tblCellMar>
      </w:tblPr>
      <w:tr>
        <w:trPr>
          <w:trHeight w:val="128"/>
        </w:trPr>
        <w:tc>
          <w:tcPr>
            <w:tcW w:w="130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gridSpan w:val="6"/>
          </w:tcPr>
          <w:p>
            <w:pPr>
              <w:jc w:val="right"/>
              <w:ind w:right="280"/>
              <w:spacing w:after="0"/>
              <w:rPr>
                <w:sz w:val="20"/>
                <w:szCs w:val="20"/>
                <w:color w:val="auto"/>
              </w:rPr>
            </w:pPr>
            <w:r>
              <w:rPr>
                <w:rFonts w:ascii="Arial" w:cs="Arial" w:eastAsia="Arial" w:hAnsi="Arial"/>
                <w:sz w:val="11"/>
                <w:szCs w:val="11"/>
                <w:b w:val="1"/>
                <w:bCs w:val="1"/>
                <w:color w:val="auto"/>
                <w:w w:val="93"/>
              </w:rPr>
              <w:t>Fiscal Years Ended</w:t>
            </w: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84"/>
        </w:trPr>
        <w:tc>
          <w:tcPr>
            <w:tcW w:w="1300" w:type="dxa"/>
            <w:vAlign w:val="bottom"/>
          </w:tcPr>
          <w:p>
            <w:pPr>
              <w:spacing w:after="0"/>
              <w:rPr>
                <w:sz w:val="7"/>
                <w:szCs w:val="7"/>
                <w:color w:val="auto"/>
              </w:rPr>
            </w:pPr>
          </w:p>
        </w:tc>
        <w:tc>
          <w:tcPr>
            <w:tcW w:w="4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gridSpan w:val="4"/>
          </w:tcPr>
          <w:p>
            <w:pPr>
              <w:jc w:val="center"/>
              <w:ind w:right="500"/>
              <w:spacing w:after="0" w:line="84" w:lineRule="exact"/>
              <w:rPr>
                <w:sz w:val="20"/>
                <w:szCs w:val="20"/>
                <w:color w:val="auto"/>
              </w:rPr>
            </w:pPr>
            <w:r>
              <w:rPr>
                <w:rFonts w:ascii="Arial" w:cs="Arial" w:eastAsia="Arial" w:hAnsi="Arial"/>
                <w:sz w:val="9"/>
                <w:szCs w:val="9"/>
                <w:b w:val="1"/>
                <w:bCs w:val="1"/>
                <w:color w:val="auto"/>
              </w:rPr>
              <w:t>July 3,</w:t>
            </w:r>
          </w:p>
        </w:tc>
        <w:tc>
          <w:tcPr>
            <w:tcW w:w="780" w:type="dxa"/>
            <w:vAlign w:val="bottom"/>
            <w:gridSpan w:val="5"/>
          </w:tcPr>
          <w:p>
            <w:pPr>
              <w:jc w:val="center"/>
              <w:ind w:right="160"/>
              <w:spacing w:after="0" w:line="84" w:lineRule="exact"/>
              <w:rPr>
                <w:sz w:val="20"/>
                <w:szCs w:val="20"/>
                <w:color w:val="auto"/>
              </w:rPr>
            </w:pPr>
            <w:r>
              <w:rPr>
                <w:rFonts w:ascii="Arial" w:cs="Arial" w:eastAsia="Arial" w:hAnsi="Arial"/>
                <w:sz w:val="9"/>
                <w:szCs w:val="9"/>
                <w:b w:val="1"/>
                <w:bCs w:val="1"/>
                <w:color w:val="auto"/>
              </w:rPr>
              <w:t>June 27,</w:t>
            </w: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gridSpan w:val="4"/>
          </w:tcPr>
          <w:p>
            <w:pPr>
              <w:spacing w:after="0" w:line="84" w:lineRule="exact"/>
              <w:rPr>
                <w:sz w:val="20"/>
                <w:szCs w:val="20"/>
                <w:color w:val="auto"/>
              </w:rPr>
            </w:pPr>
            <w:r>
              <w:rPr>
                <w:rFonts w:ascii="Arial" w:cs="Arial" w:eastAsia="Arial" w:hAnsi="Arial"/>
                <w:sz w:val="9"/>
                <w:szCs w:val="9"/>
                <w:b w:val="1"/>
                <w:bCs w:val="1"/>
                <w:color w:val="auto"/>
              </w:rPr>
              <w:t>June 29,</w:t>
            </w:r>
          </w:p>
        </w:tc>
        <w:tc>
          <w:tcPr>
            <w:tcW w:w="980" w:type="dxa"/>
            <w:vAlign w:val="bottom"/>
            <w:gridSpan w:val="5"/>
          </w:tcPr>
          <w:p>
            <w:pPr>
              <w:jc w:val="center"/>
              <w:ind w:right="360"/>
              <w:spacing w:after="0" w:line="84" w:lineRule="exact"/>
              <w:rPr>
                <w:sz w:val="20"/>
                <w:szCs w:val="20"/>
                <w:color w:val="auto"/>
              </w:rPr>
            </w:pPr>
            <w:r>
              <w:rPr>
                <w:rFonts w:ascii="Arial" w:cs="Arial" w:eastAsia="Arial" w:hAnsi="Arial"/>
                <w:sz w:val="9"/>
                <w:szCs w:val="9"/>
                <w:b w:val="1"/>
                <w:bCs w:val="1"/>
                <w:color w:val="auto"/>
              </w:rPr>
              <w:t>June 30,</w:t>
            </w:r>
          </w:p>
        </w:tc>
        <w:tc>
          <w:tcPr>
            <w:tcW w:w="100" w:type="dxa"/>
            <w:vAlign w:val="bottom"/>
          </w:tcPr>
          <w:p>
            <w:pPr>
              <w:spacing w:after="0"/>
              <w:rPr>
                <w:sz w:val="7"/>
                <w:szCs w:val="7"/>
                <w:color w:val="auto"/>
              </w:rPr>
            </w:pPr>
          </w:p>
        </w:tc>
        <w:tc>
          <w:tcPr>
            <w:tcW w:w="500" w:type="dxa"/>
            <w:vAlign w:val="bottom"/>
            <w:gridSpan w:val="2"/>
          </w:tcPr>
          <w:p>
            <w:pPr>
              <w:jc w:val="right"/>
              <w:ind w:right="78"/>
              <w:spacing w:after="0" w:line="84" w:lineRule="exact"/>
              <w:rPr>
                <w:sz w:val="20"/>
                <w:szCs w:val="20"/>
                <w:color w:val="auto"/>
              </w:rPr>
            </w:pPr>
            <w:r>
              <w:rPr>
                <w:rFonts w:ascii="Arial" w:cs="Arial" w:eastAsia="Arial" w:hAnsi="Arial"/>
                <w:sz w:val="9"/>
                <w:szCs w:val="9"/>
                <w:b w:val="1"/>
                <w:bCs w:val="1"/>
                <w:color w:val="auto"/>
              </w:rPr>
              <w:t>July 1,</w:t>
            </w:r>
          </w:p>
        </w:tc>
        <w:tc>
          <w:tcPr>
            <w:tcW w:w="80" w:type="dxa"/>
            <w:vAlign w:val="bottom"/>
          </w:tcPr>
          <w:p>
            <w:pPr>
              <w:spacing w:after="0"/>
              <w:rPr>
                <w:sz w:val="7"/>
                <w:szCs w:val="7"/>
                <w:color w:val="auto"/>
              </w:rPr>
            </w:pPr>
          </w:p>
        </w:tc>
      </w:tr>
      <w:tr>
        <w:trPr>
          <w:trHeight w:val="128"/>
        </w:trPr>
        <w:tc>
          <w:tcPr>
            <w:tcW w:w="130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gridSpan w:val="2"/>
          </w:tcPr>
          <w:p>
            <w:pPr>
              <w:jc w:val="right"/>
              <w:ind w:right="77"/>
              <w:spacing w:after="0"/>
              <w:rPr>
                <w:sz w:val="20"/>
                <w:szCs w:val="20"/>
                <w:color w:val="auto"/>
              </w:rPr>
            </w:pPr>
            <w:r>
              <w:rPr>
                <w:rFonts w:ascii="Arial" w:cs="Arial" w:eastAsia="Arial" w:hAnsi="Arial"/>
                <w:sz w:val="11"/>
                <w:szCs w:val="11"/>
                <w:b w:val="1"/>
                <w:bCs w:val="1"/>
                <w:color w:val="auto"/>
                <w:w w:val="94"/>
              </w:rPr>
              <w:t>2009(1)</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3"/>
          </w:tcPr>
          <w:p>
            <w:pPr>
              <w:jc w:val="right"/>
              <w:ind w:right="55"/>
              <w:spacing w:after="0"/>
              <w:rPr>
                <w:sz w:val="20"/>
                <w:szCs w:val="20"/>
                <w:color w:val="auto"/>
              </w:rPr>
            </w:pPr>
            <w:r>
              <w:rPr>
                <w:rFonts w:ascii="Arial" w:cs="Arial" w:eastAsia="Arial" w:hAnsi="Arial"/>
                <w:sz w:val="11"/>
                <w:szCs w:val="11"/>
                <w:b w:val="1"/>
                <w:bCs w:val="1"/>
                <w:color w:val="auto"/>
              </w:rPr>
              <w:t>2008(2)</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4"/>
          </w:tcPr>
          <w:p>
            <w:pPr>
              <w:jc w:val="right"/>
              <w:ind w:right="78"/>
              <w:spacing w:after="0"/>
              <w:rPr>
                <w:sz w:val="20"/>
                <w:szCs w:val="20"/>
                <w:color w:val="auto"/>
              </w:rPr>
            </w:pPr>
            <w:r>
              <w:rPr>
                <w:rFonts w:ascii="Arial" w:cs="Arial" w:eastAsia="Arial" w:hAnsi="Arial"/>
                <w:sz w:val="11"/>
                <w:szCs w:val="11"/>
                <w:b w:val="1"/>
                <w:bCs w:val="1"/>
                <w:color w:val="auto"/>
              </w:rPr>
              <w:t>2007(3)</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3"/>
          </w:tcPr>
          <w:p>
            <w:pPr>
              <w:jc w:val="right"/>
              <w:ind w:right="55"/>
              <w:spacing w:after="0"/>
              <w:rPr>
                <w:sz w:val="20"/>
                <w:szCs w:val="20"/>
                <w:color w:val="auto"/>
              </w:rPr>
            </w:pPr>
            <w:r>
              <w:rPr>
                <w:rFonts w:ascii="Arial" w:cs="Arial" w:eastAsia="Arial" w:hAnsi="Arial"/>
                <w:sz w:val="11"/>
                <w:szCs w:val="11"/>
                <w:b w:val="1"/>
                <w:bCs w:val="1"/>
                <w:color w:val="auto"/>
              </w:rPr>
              <w:t>2006(4)</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ind w:left="20"/>
              <w:spacing w:after="0"/>
              <w:rPr>
                <w:sz w:val="20"/>
                <w:szCs w:val="20"/>
                <w:color w:val="auto"/>
              </w:rPr>
            </w:pPr>
            <w:r>
              <w:rPr>
                <w:rFonts w:ascii="Arial" w:cs="Arial" w:eastAsia="Arial" w:hAnsi="Arial"/>
                <w:sz w:val="11"/>
                <w:szCs w:val="11"/>
                <w:b w:val="1"/>
                <w:bCs w:val="1"/>
                <w:color w:val="auto"/>
              </w:rPr>
              <w:t>2005</w:t>
            </w:r>
          </w:p>
        </w:tc>
        <w:tc>
          <w:tcPr>
            <w:tcW w:w="80" w:type="dxa"/>
            <w:vAlign w:val="bottom"/>
          </w:tcPr>
          <w:p>
            <w:pPr>
              <w:spacing w:after="0"/>
              <w:rPr>
                <w:sz w:val="11"/>
                <w:szCs w:val="11"/>
                <w:color w:val="auto"/>
              </w:rPr>
            </w:pPr>
          </w:p>
        </w:tc>
      </w:tr>
      <w:tr>
        <w:trPr>
          <w:trHeight w:val="135"/>
        </w:trPr>
        <w:tc>
          <w:tcPr>
            <w:tcW w:w="130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Borders>
              <w:top w:val="single" w:sz="8" w:color="auto"/>
            </w:tcBorders>
            <w:gridSpan w:val="3"/>
          </w:tcPr>
          <w:p>
            <w:pPr>
              <w:spacing w:after="0"/>
              <w:rPr>
                <w:sz w:val="20"/>
                <w:szCs w:val="20"/>
                <w:color w:val="auto"/>
              </w:rPr>
            </w:pPr>
            <w:r>
              <w:rPr>
                <w:rFonts w:ascii="Arial" w:cs="Arial" w:eastAsia="Arial" w:hAnsi="Arial"/>
                <w:sz w:val="11"/>
                <w:szCs w:val="11"/>
                <w:b w:val="1"/>
                <w:bCs w:val="1"/>
                <w:color w:val="auto"/>
                <w:w w:val="93"/>
              </w:rPr>
              <w:t>(In millions)</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67"/>
        </w:trPr>
        <w:tc>
          <w:tcPr>
            <w:tcW w:w="5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Revenue from product sales and services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679.9</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3"/>
                <w:szCs w:val="13"/>
                <w:color w:val="auto"/>
                <w:w w:val="82"/>
              </w:rPr>
              <w:t>$</w:t>
            </w:r>
          </w:p>
        </w:tc>
        <w:tc>
          <w:tcPr>
            <w:tcW w:w="8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8"/>
              </w:rPr>
              <w:t>718.4</w:t>
            </w:r>
          </w:p>
        </w:tc>
        <w:tc>
          <w:tcPr>
            <w:tcW w:w="80" w:type="dxa"/>
            <w:vAlign w:val="bottom"/>
            <w:shd w:val="clear" w:color="auto" w:fill="CCEEFF"/>
          </w:tcPr>
          <w:p>
            <w:pPr>
              <w:spacing w:after="0"/>
              <w:rPr>
                <w:sz w:val="14"/>
                <w:szCs w:val="14"/>
                <w:color w:val="auto"/>
              </w:rPr>
            </w:pP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507.9</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4"/>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2"/>
              </w:rPr>
              <w:t>357.5</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310.4</w:t>
            </w:r>
          </w:p>
        </w:tc>
      </w:tr>
      <w:tr>
        <w:trPr>
          <w:trHeight w:val="161"/>
        </w:trPr>
        <w:tc>
          <w:tcPr>
            <w:tcW w:w="5300" w:type="dxa"/>
            <w:vAlign w:val="bottom"/>
            <w:gridSpan w:val="2"/>
          </w:tcPr>
          <w:p>
            <w:pPr>
              <w:spacing w:after="0"/>
              <w:rPr>
                <w:sz w:val="20"/>
                <w:szCs w:val="20"/>
                <w:color w:val="auto"/>
              </w:rPr>
            </w:pPr>
            <w:r>
              <w:rPr>
                <w:rFonts w:ascii="Arial" w:cs="Arial" w:eastAsia="Arial" w:hAnsi="Arial"/>
                <w:sz w:val="13"/>
                <w:szCs w:val="13"/>
                <w:color w:val="auto"/>
              </w:rPr>
              <w:t>Cost of product sales and services</w:t>
            </w:r>
          </w:p>
        </w:tc>
        <w:tc>
          <w:tcPr>
            <w:tcW w:w="100" w:type="dxa"/>
            <w:vAlign w:val="bottom"/>
          </w:tcPr>
          <w:p>
            <w:pPr>
              <w:spacing w:after="0"/>
              <w:rPr>
                <w:sz w:val="14"/>
                <w:szCs w:val="14"/>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3"/>
                <w:szCs w:val="13"/>
                <w:color w:val="auto"/>
              </w:rPr>
              <w:t>(505.5)</w:t>
            </w:r>
          </w:p>
        </w:tc>
        <w:tc>
          <w:tcPr>
            <w:tcW w:w="200" w:type="dxa"/>
            <w:vAlign w:val="bottom"/>
          </w:tcPr>
          <w:p>
            <w:pPr>
              <w:spacing w:after="0"/>
              <w:rPr>
                <w:sz w:val="14"/>
                <w:szCs w:val="14"/>
                <w:color w:val="auto"/>
              </w:rPr>
            </w:pPr>
          </w:p>
        </w:tc>
        <w:tc>
          <w:tcPr>
            <w:tcW w:w="700" w:type="dxa"/>
            <w:vAlign w:val="bottom"/>
            <w:gridSpan w:val="4"/>
          </w:tcPr>
          <w:p>
            <w:pPr>
              <w:jc w:val="right"/>
              <w:ind w:right="40"/>
              <w:spacing w:after="0"/>
              <w:rPr>
                <w:sz w:val="20"/>
                <w:szCs w:val="20"/>
                <w:color w:val="auto"/>
              </w:rPr>
            </w:pPr>
            <w:r>
              <w:rPr>
                <w:rFonts w:ascii="Arial" w:cs="Arial" w:eastAsia="Arial" w:hAnsi="Arial"/>
                <w:sz w:val="13"/>
                <w:szCs w:val="13"/>
                <w:color w:val="auto"/>
              </w:rPr>
              <w:t>(528.2)</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(361.2)</w:t>
            </w:r>
          </w:p>
        </w:tc>
        <w:tc>
          <w:tcPr>
            <w:tcW w:w="200" w:type="dxa"/>
            <w:vAlign w:val="bottom"/>
          </w:tcPr>
          <w:p>
            <w:pPr>
              <w:spacing w:after="0"/>
              <w:rPr>
                <w:sz w:val="14"/>
                <w:szCs w:val="14"/>
                <w:color w:val="auto"/>
              </w:rPr>
            </w:pPr>
          </w:p>
        </w:tc>
        <w:tc>
          <w:tcPr>
            <w:tcW w:w="700" w:type="dxa"/>
            <w:vAlign w:val="bottom"/>
            <w:gridSpan w:val="4"/>
          </w:tcPr>
          <w:p>
            <w:pPr>
              <w:jc w:val="right"/>
              <w:ind w:right="40"/>
              <w:spacing w:after="0"/>
              <w:rPr>
                <w:sz w:val="20"/>
                <w:szCs w:val="20"/>
                <w:color w:val="auto"/>
              </w:rPr>
            </w:pPr>
            <w:r>
              <w:rPr>
                <w:rFonts w:ascii="Arial" w:cs="Arial" w:eastAsia="Arial" w:hAnsi="Arial"/>
                <w:sz w:val="13"/>
                <w:szCs w:val="13"/>
                <w:color w:val="auto"/>
              </w:rPr>
              <w:t>(275.2)</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rPr>
              <w:t>(223.5)</w:t>
            </w:r>
          </w:p>
        </w:tc>
      </w:tr>
      <w:tr>
        <w:trPr>
          <w:trHeight w:val="161"/>
        </w:trPr>
        <w:tc>
          <w:tcPr>
            <w:tcW w:w="5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loss</w:t>
            </w:r>
          </w:p>
        </w:tc>
        <w:tc>
          <w:tcPr>
            <w:tcW w:w="100" w:type="dxa"/>
            <w:vAlign w:val="bottom"/>
            <w:shd w:val="clear" w:color="auto" w:fill="CCEEFF"/>
          </w:tcPr>
          <w:p>
            <w:pPr>
              <w:spacing w:after="0"/>
              <w:rPr>
                <w:sz w:val="14"/>
                <w:szCs w:val="14"/>
                <w:color w:val="auto"/>
              </w:rPr>
            </w:pPr>
          </w:p>
        </w:tc>
        <w:tc>
          <w:tcPr>
            <w:tcW w:w="70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(355.0)</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(11.9)</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(21.8)</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(38.6)</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(6.8)</w:t>
            </w:r>
          </w:p>
        </w:tc>
      </w:tr>
      <w:tr>
        <w:trPr>
          <w:trHeight w:val="172"/>
        </w:trPr>
        <w:tc>
          <w:tcPr>
            <w:tcW w:w="5300" w:type="dxa"/>
            <w:vAlign w:val="bottom"/>
            <w:gridSpan w:val="2"/>
          </w:tcPr>
          <w:p>
            <w:pPr>
              <w:spacing w:after="0"/>
              <w:rPr>
                <w:sz w:val="20"/>
                <w:szCs w:val="20"/>
                <w:color w:val="auto"/>
              </w:rPr>
            </w:pPr>
            <w:r>
              <w:rPr>
                <w:rFonts w:ascii="Arial" w:cs="Arial" w:eastAsia="Arial" w:hAnsi="Arial"/>
                <w:sz w:val="13"/>
                <w:szCs w:val="13"/>
                <w:color w:val="auto"/>
              </w:rPr>
              <w:t>Basic and diluted net loss per common share</w:t>
            </w:r>
          </w:p>
        </w:tc>
        <w:tc>
          <w:tcPr>
            <w:tcW w:w="100" w:type="dxa"/>
            <w:vAlign w:val="bottom"/>
          </w:tcPr>
          <w:p>
            <w:pPr>
              <w:spacing w:after="0"/>
              <w:rPr>
                <w:sz w:val="14"/>
                <w:szCs w:val="14"/>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3"/>
                <w:szCs w:val="13"/>
                <w:color w:val="auto"/>
              </w:rPr>
              <w:t>(6.05)</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3"/>
                <w:szCs w:val="13"/>
                <w:color w:val="auto"/>
              </w:rPr>
              <w:t>(0.20)</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(0.88)</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3"/>
          </w:tcPr>
          <w:p>
            <w:pPr>
              <w:jc w:val="right"/>
              <w:ind w:right="380"/>
              <w:spacing w:after="0"/>
              <w:rPr>
                <w:sz w:val="20"/>
                <w:szCs w:val="20"/>
                <w:color w:val="auto"/>
              </w:rPr>
            </w:pPr>
            <w:r>
              <w:rPr>
                <w:rFonts w:ascii="Arial" w:cs="Arial" w:eastAsia="Arial" w:hAnsi="Arial"/>
                <w:sz w:val="13"/>
                <w:szCs w:val="13"/>
                <w:color w:val="auto"/>
              </w:rPr>
              <w:t>N/A</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tcPr>
          <w:p>
            <w:pPr>
              <w:ind w:left="180"/>
              <w:spacing w:after="0"/>
              <w:rPr>
                <w:sz w:val="20"/>
                <w:szCs w:val="20"/>
                <w:color w:val="auto"/>
              </w:rPr>
            </w:pPr>
            <w:r>
              <w:rPr>
                <w:rFonts w:ascii="Arial" w:cs="Arial" w:eastAsia="Arial" w:hAnsi="Arial"/>
                <w:sz w:val="13"/>
                <w:szCs w:val="13"/>
                <w:color w:val="auto"/>
              </w:rPr>
              <w:t>N/A</w:t>
            </w:r>
          </w:p>
        </w:tc>
      </w:tr>
      <w:tr>
        <w:trPr>
          <w:trHeight w:val="282"/>
        </w:trPr>
        <w:tc>
          <w:tcPr>
            <w:tcW w:w="130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3"/>
          </w:tcPr>
          <w:p>
            <w:pPr>
              <w:jc w:val="right"/>
              <w:ind w:right="460"/>
              <w:spacing w:after="0"/>
              <w:rPr>
                <w:sz w:val="20"/>
                <w:szCs w:val="20"/>
                <w:color w:val="auto"/>
              </w:rPr>
            </w:pPr>
            <w:r>
              <w:rPr>
                <w:rFonts w:ascii="Arial" w:cs="Arial" w:eastAsia="Arial" w:hAnsi="Arial"/>
                <w:sz w:val="11"/>
                <w:szCs w:val="11"/>
                <w:b w:val="1"/>
                <w:bCs w:val="1"/>
                <w:color w:val="auto"/>
              </w:rPr>
              <w:t>As of</w:t>
            </w: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84"/>
        </w:trPr>
        <w:tc>
          <w:tcPr>
            <w:tcW w:w="1300" w:type="dxa"/>
            <w:vAlign w:val="bottom"/>
          </w:tcPr>
          <w:p>
            <w:pPr>
              <w:spacing w:after="0"/>
              <w:rPr>
                <w:sz w:val="7"/>
                <w:szCs w:val="7"/>
                <w:color w:val="auto"/>
              </w:rPr>
            </w:pPr>
          </w:p>
        </w:tc>
        <w:tc>
          <w:tcPr>
            <w:tcW w:w="4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gridSpan w:val="3"/>
          </w:tcPr>
          <w:p>
            <w:pPr>
              <w:jc w:val="right"/>
              <w:ind w:right="300"/>
              <w:spacing w:after="0" w:line="84" w:lineRule="exact"/>
              <w:rPr>
                <w:sz w:val="20"/>
                <w:szCs w:val="20"/>
                <w:color w:val="auto"/>
              </w:rPr>
            </w:pPr>
            <w:r>
              <w:rPr>
                <w:rFonts w:ascii="Arial" w:cs="Arial" w:eastAsia="Arial" w:hAnsi="Arial"/>
                <w:sz w:val="9"/>
                <w:szCs w:val="9"/>
                <w:b w:val="1"/>
                <w:bCs w:val="1"/>
                <w:color w:val="auto"/>
              </w:rPr>
              <w:t>July 3,</w:t>
            </w:r>
          </w:p>
        </w:tc>
        <w:tc>
          <w:tcPr>
            <w:tcW w:w="200" w:type="dxa"/>
            <w:vAlign w:val="bottom"/>
          </w:tcPr>
          <w:p>
            <w:pPr>
              <w:spacing w:after="0"/>
              <w:rPr>
                <w:sz w:val="7"/>
                <w:szCs w:val="7"/>
                <w:color w:val="auto"/>
              </w:rPr>
            </w:pPr>
          </w:p>
        </w:tc>
        <w:tc>
          <w:tcPr>
            <w:tcW w:w="580" w:type="dxa"/>
            <w:vAlign w:val="bottom"/>
            <w:gridSpan w:val="4"/>
          </w:tcPr>
          <w:p>
            <w:pPr>
              <w:jc w:val="right"/>
              <w:ind w:right="120"/>
              <w:spacing w:after="0" w:line="84" w:lineRule="exact"/>
              <w:rPr>
                <w:sz w:val="20"/>
                <w:szCs w:val="20"/>
                <w:color w:val="auto"/>
              </w:rPr>
            </w:pPr>
            <w:r>
              <w:rPr>
                <w:rFonts w:ascii="Arial" w:cs="Arial" w:eastAsia="Arial" w:hAnsi="Arial"/>
                <w:sz w:val="9"/>
                <w:szCs w:val="9"/>
                <w:b w:val="1"/>
                <w:bCs w:val="1"/>
                <w:color w:val="auto"/>
              </w:rPr>
              <w:t>June 27,</w:t>
            </w: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gridSpan w:val="3"/>
          </w:tcPr>
          <w:p>
            <w:pPr>
              <w:jc w:val="right"/>
              <w:ind w:right="360"/>
              <w:spacing w:after="0" w:line="84" w:lineRule="exact"/>
              <w:rPr>
                <w:sz w:val="20"/>
                <w:szCs w:val="20"/>
                <w:color w:val="auto"/>
              </w:rPr>
            </w:pPr>
            <w:r>
              <w:rPr>
                <w:rFonts w:ascii="Arial" w:cs="Arial" w:eastAsia="Arial" w:hAnsi="Arial"/>
                <w:sz w:val="9"/>
                <w:szCs w:val="9"/>
                <w:b w:val="1"/>
                <w:bCs w:val="1"/>
                <w:color w:val="auto"/>
              </w:rPr>
              <w:t>June 29,</w:t>
            </w:r>
          </w:p>
        </w:tc>
        <w:tc>
          <w:tcPr>
            <w:tcW w:w="200" w:type="dxa"/>
            <w:vAlign w:val="bottom"/>
          </w:tcPr>
          <w:p>
            <w:pPr>
              <w:spacing w:after="0"/>
              <w:rPr>
                <w:sz w:val="7"/>
                <w:szCs w:val="7"/>
                <w:color w:val="auto"/>
              </w:rPr>
            </w:pPr>
          </w:p>
        </w:tc>
        <w:tc>
          <w:tcPr>
            <w:tcW w:w="780" w:type="dxa"/>
            <w:vAlign w:val="bottom"/>
            <w:gridSpan w:val="4"/>
          </w:tcPr>
          <w:p>
            <w:pPr>
              <w:jc w:val="right"/>
              <w:ind w:right="340"/>
              <w:spacing w:after="0" w:line="84" w:lineRule="exact"/>
              <w:rPr>
                <w:sz w:val="20"/>
                <w:szCs w:val="20"/>
                <w:color w:val="auto"/>
              </w:rPr>
            </w:pPr>
            <w:r>
              <w:rPr>
                <w:rFonts w:ascii="Arial" w:cs="Arial" w:eastAsia="Arial" w:hAnsi="Arial"/>
                <w:sz w:val="9"/>
                <w:szCs w:val="9"/>
                <w:b w:val="1"/>
                <w:bCs w:val="1"/>
                <w:color w:val="auto"/>
              </w:rPr>
              <w:t>June 30,</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ind w:left="20"/>
              <w:spacing w:after="0" w:line="84" w:lineRule="exact"/>
              <w:rPr>
                <w:sz w:val="20"/>
                <w:szCs w:val="20"/>
                <w:color w:val="auto"/>
              </w:rPr>
            </w:pPr>
            <w:r>
              <w:rPr>
                <w:rFonts w:ascii="Arial" w:cs="Arial" w:eastAsia="Arial" w:hAnsi="Arial"/>
                <w:sz w:val="9"/>
                <w:szCs w:val="9"/>
                <w:b w:val="1"/>
                <w:bCs w:val="1"/>
                <w:color w:val="auto"/>
              </w:rPr>
              <w:t>July 1,</w:t>
            </w:r>
          </w:p>
        </w:tc>
        <w:tc>
          <w:tcPr>
            <w:tcW w:w="80" w:type="dxa"/>
            <w:vAlign w:val="bottom"/>
          </w:tcPr>
          <w:p>
            <w:pPr>
              <w:spacing w:after="0"/>
              <w:rPr>
                <w:sz w:val="7"/>
                <w:szCs w:val="7"/>
                <w:color w:val="auto"/>
              </w:rPr>
            </w:pPr>
          </w:p>
        </w:tc>
      </w:tr>
      <w:tr>
        <w:trPr>
          <w:trHeight w:val="128"/>
        </w:trPr>
        <w:tc>
          <w:tcPr>
            <w:tcW w:w="130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1"/>
                <w:szCs w:val="11"/>
                <w:b w:val="1"/>
                <w:bCs w:val="1"/>
                <w:color w:val="auto"/>
              </w:rPr>
              <w:t>2009(1)</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1"/>
                <w:szCs w:val="11"/>
                <w:b w:val="1"/>
                <w:bCs w:val="1"/>
                <w:color w:val="auto"/>
                <w:w w:val="84"/>
              </w:rPr>
              <w:t>2008(2)</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1"/>
                <w:szCs w:val="11"/>
                <w:b w:val="1"/>
                <w:bCs w:val="1"/>
                <w:color w:val="auto"/>
              </w:rPr>
              <w:t>2007(3)</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1"/>
                <w:szCs w:val="11"/>
                <w:b w:val="1"/>
                <w:bCs w:val="1"/>
                <w:color w:val="auto"/>
                <w:w w:val="84"/>
              </w:rPr>
              <w:t>2006(4)</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ind w:right="78"/>
              <w:spacing w:after="0"/>
              <w:rPr>
                <w:sz w:val="20"/>
                <w:szCs w:val="20"/>
                <w:color w:val="auto"/>
              </w:rPr>
            </w:pPr>
            <w:r>
              <w:rPr>
                <w:rFonts w:ascii="Arial" w:cs="Arial" w:eastAsia="Arial" w:hAnsi="Arial"/>
                <w:sz w:val="11"/>
                <w:szCs w:val="11"/>
                <w:b w:val="1"/>
                <w:bCs w:val="1"/>
                <w:color w:val="auto"/>
              </w:rPr>
              <w:t>2005</w:t>
            </w:r>
          </w:p>
        </w:tc>
        <w:tc>
          <w:tcPr>
            <w:tcW w:w="80" w:type="dxa"/>
            <w:vAlign w:val="bottom"/>
          </w:tcPr>
          <w:p>
            <w:pPr>
              <w:spacing w:after="0"/>
              <w:rPr>
                <w:sz w:val="11"/>
                <w:szCs w:val="11"/>
                <w:color w:val="auto"/>
              </w:rPr>
            </w:pPr>
          </w:p>
        </w:tc>
      </w:tr>
      <w:tr>
        <w:trPr>
          <w:trHeight w:val="136"/>
        </w:trPr>
        <w:tc>
          <w:tcPr>
            <w:tcW w:w="130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Borders>
              <w:top w:val="single" w:sz="8" w:color="auto"/>
            </w:tcBorders>
            <w:gridSpan w:val="3"/>
          </w:tcPr>
          <w:p>
            <w:pPr>
              <w:jc w:val="right"/>
              <w:ind w:right="100"/>
              <w:spacing w:after="0"/>
              <w:rPr>
                <w:sz w:val="20"/>
                <w:szCs w:val="20"/>
                <w:color w:val="auto"/>
              </w:rPr>
            </w:pPr>
            <w:r>
              <w:rPr>
                <w:rFonts w:ascii="Arial" w:cs="Arial" w:eastAsia="Arial" w:hAnsi="Arial"/>
                <w:sz w:val="11"/>
                <w:szCs w:val="11"/>
                <w:b w:val="1"/>
                <w:bCs w:val="1"/>
                <w:color w:val="auto"/>
                <w:w w:val="93"/>
              </w:rPr>
              <w:t>(In millions)</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67"/>
        </w:trPr>
        <w:tc>
          <w:tcPr>
            <w:tcW w:w="5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assets</w:t>
            </w:r>
          </w:p>
        </w:tc>
        <w:tc>
          <w:tcPr>
            <w:tcW w:w="100" w:type="dxa"/>
            <w:vAlign w:val="bottom"/>
            <w:shd w:val="clear" w:color="auto" w:fill="CCEEFF"/>
          </w:tcPr>
          <w:p>
            <w:pPr>
              <w:spacing w:after="0"/>
              <w:rPr>
                <w:sz w:val="14"/>
                <w:szCs w:val="14"/>
                <w:color w:val="auto"/>
              </w:rPr>
            </w:pPr>
          </w:p>
        </w:tc>
        <w:tc>
          <w:tcPr>
            <w:tcW w:w="900" w:type="dxa"/>
            <w:vAlign w:val="bottom"/>
            <w:gridSpan w:val="4"/>
            <w:shd w:val="clear" w:color="auto" w:fill="CCEEFF"/>
          </w:tcPr>
          <w:p>
            <w:pPr>
              <w:jc w:val="right"/>
              <w:ind w:right="200"/>
              <w:spacing w:after="0"/>
              <w:rPr>
                <w:sz w:val="20"/>
                <w:szCs w:val="20"/>
                <w:color w:val="auto"/>
              </w:rPr>
            </w:pPr>
            <w:r>
              <w:rPr>
                <w:rFonts w:ascii="Arial" w:cs="Arial" w:eastAsia="Arial" w:hAnsi="Arial"/>
                <w:sz w:val="13"/>
                <w:szCs w:val="13"/>
                <w:color w:val="auto"/>
              </w:rPr>
              <w:t>$  600.2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0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977.3</w:t>
            </w:r>
          </w:p>
        </w:tc>
        <w:tc>
          <w:tcPr>
            <w:tcW w:w="440" w:type="dxa"/>
            <w:vAlign w:val="bottom"/>
            <w:gridSpan w:val="3"/>
            <w:shd w:val="clear" w:color="auto" w:fill="CCEEFF"/>
          </w:tcPr>
          <w:p>
            <w:pPr>
              <w:ind w:left="340"/>
              <w:spacing w:after="0"/>
              <w:rPr>
                <w:sz w:val="20"/>
                <w:szCs w:val="20"/>
                <w:color w:val="auto"/>
              </w:rPr>
            </w:pPr>
            <w:r>
              <w:rPr>
                <w:rFonts w:ascii="Arial" w:cs="Arial" w:eastAsia="Arial" w:hAnsi="Arial"/>
                <w:sz w:val="13"/>
                <w:szCs w:val="13"/>
                <w:color w:val="auto"/>
              </w:rPr>
              <w:t>$</w:t>
            </w:r>
          </w:p>
        </w:tc>
        <w:tc>
          <w:tcPr>
            <w:tcW w:w="80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1,025.5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3"/>
            <w:shd w:val="clear" w:color="auto" w:fill="CCEEFF"/>
          </w:tcPr>
          <w:p>
            <w:pPr>
              <w:jc w:val="right"/>
              <w:ind w:right="280"/>
              <w:spacing w:after="0"/>
              <w:rPr>
                <w:sz w:val="20"/>
                <w:szCs w:val="20"/>
                <w:color w:val="auto"/>
              </w:rPr>
            </w:pPr>
            <w:r>
              <w:rPr>
                <w:rFonts w:ascii="Arial" w:cs="Arial" w:eastAsia="Arial" w:hAnsi="Arial"/>
                <w:sz w:val="13"/>
                <w:szCs w:val="13"/>
                <w:color w:val="auto"/>
              </w:rPr>
              <w:t>344.9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358.1</w:t>
            </w:r>
          </w:p>
        </w:tc>
      </w:tr>
      <w:tr>
        <w:trPr>
          <w:trHeight w:val="161"/>
        </w:trPr>
        <w:tc>
          <w:tcPr>
            <w:tcW w:w="5300" w:type="dxa"/>
            <w:vAlign w:val="bottom"/>
            <w:gridSpan w:val="2"/>
          </w:tcPr>
          <w:p>
            <w:pPr>
              <w:spacing w:after="0"/>
              <w:rPr>
                <w:sz w:val="20"/>
                <w:szCs w:val="20"/>
                <w:color w:val="auto"/>
              </w:rPr>
            </w:pPr>
            <w:r>
              <w:rPr>
                <w:rFonts w:ascii="Arial" w:cs="Arial" w:eastAsia="Arial" w:hAnsi="Arial"/>
                <w:sz w:val="13"/>
                <w:szCs w:val="13"/>
                <w:color w:val="auto"/>
              </w:rPr>
              <w:t>Long-term liabilities</w:t>
            </w:r>
          </w:p>
        </w:tc>
        <w:tc>
          <w:tcPr>
            <w:tcW w:w="100" w:type="dxa"/>
            <w:vAlign w:val="bottom"/>
          </w:tcPr>
          <w:p>
            <w:pPr>
              <w:spacing w:after="0"/>
              <w:rPr>
                <w:sz w:val="14"/>
                <w:szCs w:val="14"/>
                <w:color w:val="auto"/>
              </w:rPr>
            </w:pPr>
          </w:p>
        </w:tc>
        <w:tc>
          <w:tcPr>
            <w:tcW w:w="900" w:type="dxa"/>
            <w:vAlign w:val="bottom"/>
            <w:gridSpan w:val="4"/>
          </w:tcPr>
          <w:p>
            <w:pPr>
              <w:jc w:val="right"/>
              <w:ind w:right="200"/>
              <w:spacing w:after="0"/>
              <w:rPr>
                <w:sz w:val="20"/>
                <w:szCs w:val="20"/>
                <w:color w:val="auto"/>
              </w:rPr>
            </w:pPr>
            <w:r>
              <w:rPr>
                <w:rFonts w:ascii="Arial" w:cs="Arial" w:eastAsia="Arial" w:hAnsi="Arial"/>
                <w:sz w:val="13"/>
                <w:szCs w:val="13"/>
                <w:color w:val="auto"/>
              </w:rPr>
              <w:t>17.9</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3"/>
          </w:tcPr>
          <w:p>
            <w:pPr>
              <w:jc w:val="right"/>
              <w:ind w:right="60"/>
              <w:spacing w:after="0"/>
              <w:rPr>
                <w:sz w:val="20"/>
                <w:szCs w:val="20"/>
                <w:color w:val="auto"/>
              </w:rPr>
            </w:pPr>
            <w:r>
              <w:rPr>
                <w:rFonts w:ascii="Arial" w:cs="Arial" w:eastAsia="Arial" w:hAnsi="Arial"/>
                <w:sz w:val="13"/>
                <w:szCs w:val="13"/>
                <w:color w:val="auto"/>
              </w:rPr>
              <w:t>28.1</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3"/>
          </w:tcPr>
          <w:p>
            <w:pPr>
              <w:jc w:val="right"/>
              <w:ind w:right="200"/>
              <w:spacing w:after="0"/>
              <w:rPr>
                <w:sz w:val="20"/>
                <w:szCs w:val="20"/>
                <w:color w:val="auto"/>
              </w:rPr>
            </w:pPr>
            <w:r>
              <w:rPr>
                <w:rFonts w:ascii="Arial" w:cs="Arial" w:eastAsia="Arial" w:hAnsi="Arial"/>
                <w:sz w:val="13"/>
                <w:szCs w:val="13"/>
                <w:color w:val="auto"/>
              </w:rPr>
              <w:t>65.0</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3"/>
          </w:tcPr>
          <w:p>
            <w:pPr>
              <w:jc w:val="right"/>
              <w:ind w:right="280"/>
              <w:spacing w:after="0"/>
              <w:rPr>
                <w:sz w:val="20"/>
                <w:szCs w:val="20"/>
                <w:color w:val="auto"/>
              </w:rPr>
            </w:pPr>
            <w:r>
              <w:rPr>
                <w:rFonts w:ascii="Arial" w:cs="Arial" w:eastAsia="Arial" w:hAnsi="Arial"/>
                <w:sz w:val="13"/>
                <w:szCs w:val="13"/>
                <w:color w:val="auto"/>
              </w:rPr>
              <w:t>12.6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3"/>
                <w:szCs w:val="13"/>
                <w:color w:val="auto"/>
              </w:rPr>
              <w:t>14.2</w:t>
            </w:r>
          </w:p>
        </w:tc>
      </w:tr>
      <w:tr>
        <w:trPr>
          <w:trHeight w:val="161"/>
        </w:trPr>
        <w:tc>
          <w:tcPr>
            <w:tcW w:w="5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net assets</w:t>
            </w:r>
          </w:p>
        </w:tc>
        <w:tc>
          <w:tcPr>
            <w:tcW w:w="100" w:type="dxa"/>
            <w:vAlign w:val="bottom"/>
            <w:shd w:val="clear" w:color="auto" w:fill="CCEEFF"/>
          </w:tcPr>
          <w:p>
            <w:pPr>
              <w:spacing w:after="0"/>
              <w:rPr>
                <w:sz w:val="14"/>
                <w:szCs w:val="14"/>
                <w:color w:val="auto"/>
              </w:rPr>
            </w:pPr>
          </w:p>
        </w:tc>
        <w:tc>
          <w:tcPr>
            <w:tcW w:w="900" w:type="dxa"/>
            <w:vAlign w:val="bottom"/>
            <w:gridSpan w:val="4"/>
            <w:shd w:val="clear" w:color="auto" w:fill="CCEEFF"/>
          </w:tcPr>
          <w:p>
            <w:pPr>
              <w:jc w:val="right"/>
              <w:ind w:right="200"/>
              <w:spacing w:after="0"/>
              <w:rPr>
                <w:sz w:val="20"/>
                <w:szCs w:val="20"/>
                <w:color w:val="auto"/>
              </w:rPr>
            </w:pPr>
            <w:r>
              <w:rPr>
                <w:rFonts w:ascii="Arial" w:cs="Arial" w:eastAsia="Arial" w:hAnsi="Arial"/>
                <w:sz w:val="13"/>
                <w:szCs w:val="13"/>
                <w:color w:val="auto"/>
              </w:rPr>
              <w:t>387.9</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748.2</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746.4</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3"/>
            <w:shd w:val="clear" w:color="auto" w:fill="CCEEFF"/>
          </w:tcPr>
          <w:p>
            <w:pPr>
              <w:jc w:val="right"/>
              <w:ind w:right="280"/>
              <w:spacing w:after="0"/>
              <w:rPr>
                <w:sz w:val="20"/>
                <w:szCs w:val="20"/>
                <w:color w:val="auto"/>
              </w:rPr>
            </w:pPr>
            <w:r>
              <w:rPr>
                <w:rFonts w:ascii="Arial" w:cs="Arial" w:eastAsia="Arial" w:hAnsi="Arial"/>
                <w:sz w:val="13"/>
                <w:szCs w:val="13"/>
                <w:color w:val="auto"/>
              </w:rPr>
              <w:t>244.3</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275.4</w:t>
            </w:r>
          </w:p>
        </w:tc>
      </w:tr>
      <w:tr>
        <w:trPr>
          <w:trHeight w:val="101"/>
        </w:trPr>
        <w:tc>
          <w:tcPr>
            <w:tcW w:w="1300" w:type="dxa"/>
            <w:vAlign w:val="bottom"/>
            <w:tcBorders>
              <w:bottom w:val="single" w:sz="8" w:color="auto"/>
            </w:tcBorders>
          </w:tcPr>
          <w:p>
            <w:pPr>
              <w:spacing w:after="0"/>
              <w:rPr>
                <w:sz w:val="8"/>
                <w:szCs w:val="8"/>
                <w:color w:val="auto"/>
              </w:rPr>
            </w:pPr>
          </w:p>
        </w:tc>
        <w:tc>
          <w:tcPr>
            <w:tcW w:w="4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r>
    </w:tbl>
    <w:p>
      <w:pPr>
        <w:spacing w:after="0" w:line="4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summarizes certain charges and expenses included in our net losses for each of the fiscal years in the five year period ended July 3, 2009 (none during fiscal</w:t>
      </w:r>
    </w:p>
    <w:p>
      <w:pPr>
        <w:spacing w:after="0" w:line="2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2005).</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680" w:type="dxa"/>
            <w:vAlign w:val="bottom"/>
          </w:tcPr>
          <w:p>
            <w:pPr>
              <w:spacing w:after="0"/>
              <w:rPr>
                <w:sz w:val="11"/>
                <w:szCs w:val="11"/>
                <w:color w:val="auto"/>
              </w:rPr>
            </w:pPr>
          </w:p>
        </w:tc>
        <w:tc>
          <w:tcPr>
            <w:tcW w:w="67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gridSpan w:val="5"/>
          </w:tcPr>
          <w:p>
            <w:pPr>
              <w:ind w:left="140"/>
              <w:spacing w:after="0"/>
              <w:rPr>
                <w:sz w:val="20"/>
                <w:szCs w:val="20"/>
                <w:color w:val="auto"/>
              </w:rPr>
            </w:pPr>
            <w:r>
              <w:rPr>
                <w:rFonts w:ascii="Arial" w:cs="Arial" w:eastAsia="Arial" w:hAnsi="Arial"/>
                <w:sz w:val="11"/>
                <w:szCs w:val="11"/>
                <w:b w:val="1"/>
                <w:bCs w:val="1"/>
                <w:color w:val="auto"/>
              </w:rPr>
              <w:t>Fiscal Years Ended</w:t>
            </w:r>
          </w:p>
        </w:tc>
        <w:tc>
          <w:tcPr>
            <w:tcW w:w="1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680" w:type="dxa"/>
            <w:vAlign w:val="bottom"/>
          </w:tcPr>
          <w:p>
            <w:pPr>
              <w:spacing w:after="0"/>
              <w:rPr>
                <w:sz w:val="7"/>
                <w:szCs w:val="7"/>
                <w:color w:val="auto"/>
              </w:rPr>
            </w:pPr>
          </w:p>
        </w:tc>
        <w:tc>
          <w:tcPr>
            <w:tcW w:w="670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gridSpan w:val="2"/>
          </w:tcPr>
          <w:p>
            <w:pPr>
              <w:jc w:val="center"/>
              <w:ind w:right="480"/>
              <w:spacing w:after="0" w:line="84" w:lineRule="exact"/>
              <w:rPr>
                <w:sz w:val="20"/>
                <w:szCs w:val="20"/>
                <w:color w:val="auto"/>
              </w:rPr>
            </w:pPr>
            <w:r>
              <w:rPr>
                <w:rFonts w:ascii="Arial" w:cs="Arial" w:eastAsia="Arial" w:hAnsi="Arial"/>
                <w:sz w:val="9"/>
                <w:szCs w:val="9"/>
                <w:b w:val="1"/>
                <w:bCs w:val="1"/>
                <w:color w:val="auto"/>
              </w:rPr>
              <w:t>July 3,</w:t>
            </w:r>
          </w:p>
        </w:tc>
        <w:tc>
          <w:tcPr>
            <w:tcW w:w="920" w:type="dxa"/>
            <w:vAlign w:val="bottom"/>
            <w:gridSpan w:val="3"/>
          </w:tcPr>
          <w:p>
            <w:pPr>
              <w:jc w:val="center"/>
              <w:ind w:right="420"/>
              <w:spacing w:after="0" w:line="84" w:lineRule="exact"/>
              <w:rPr>
                <w:sz w:val="20"/>
                <w:szCs w:val="20"/>
                <w:color w:val="auto"/>
              </w:rPr>
            </w:pPr>
            <w:r>
              <w:rPr>
                <w:rFonts w:ascii="Arial" w:cs="Arial" w:eastAsia="Arial" w:hAnsi="Arial"/>
                <w:sz w:val="9"/>
                <w:szCs w:val="9"/>
                <w:b w:val="1"/>
                <w:bCs w:val="1"/>
                <w:color w:val="auto"/>
              </w:rPr>
              <w:t>June 27,</w:t>
            </w:r>
          </w:p>
        </w:tc>
        <w:tc>
          <w:tcPr>
            <w:tcW w:w="880" w:type="dxa"/>
            <w:vAlign w:val="bottom"/>
            <w:gridSpan w:val="3"/>
          </w:tcPr>
          <w:p>
            <w:pPr>
              <w:ind w:left="60"/>
              <w:spacing w:after="0" w:line="84" w:lineRule="exact"/>
              <w:rPr>
                <w:sz w:val="20"/>
                <w:szCs w:val="20"/>
                <w:color w:val="auto"/>
              </w:rPr>
            </w:pPr>
            <w:r>
              <w:rPr>
                <w:rFonts w:ascii="Arial" w:cs="Arial" w:eastAsia="Arial" w:hAnsi="Arial"/>
                <w:sz w:val="9"/>
                <w:szCs w:val="9"/>
                <w:b w:val="1"/>
                <w:bCs w:val="1"/>
                <w:color w:val="auto"/>
              </w:rPr>
              <w:t>June 29,</w:t>
            </w:r>
          </w:p>
        </w:tc>
        <w:tc>
          <w:tcPr>
            <w:tcW w:w="500" w:type="dxa"/>
            <w:vAlign w:val="bottom"/>
            <w:gridSpan w:val="2"/>
          </w:tcPr>
          <w:p>
            <w:pPr>
              <w:jc w:val="right"/>
              <w:spacing w:after="0" w:line="84" w:lineRule="exact"/>
              <w:rPr>
                <w:sz w:val="20"/>
                <w:szCs w:val="20"/>
                <w:color w:val="auto"/>
              </w:rPr>
            </w:pPr>
            <w:r>
              <w:rPr>
                <w:rFonts w:ascii="Arial" w:cs="Arial" w:eastAsia="Arial" w:hAnsi="Arial"/>
                <w:sz w:val="9"/>
                <w:szCs w:val="9"/>
                <w:b w:val="1"/>
                <w:bCs w:val="1"/>
                <w:color w:val="auto"/>
              </w:rPr>
              <w:t>June 30,</w:t>
            </w: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67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ind w:right="75"/>
              <w:spacing w:after="0"/>
              <w:rPr>
                <w:sz w:val="20"/>
                <w:szCs w:val="20"/>
                <w:color w:val="auto"/>
              </w:rPr>
            </w:pPr>
            <w:r>
              <w:rPr>
                <w:rFonts w:ascii="Arial" w:cs="Arial" w:eastAsia="Arial" w:hAnsi="Arial"/>
                <w:sz w:val="11"/>
                <w:szCs w:val="11"/>
                <w:b w:val="1"/>
                <w:bCs w:val="1"/>
                <w:color w:val="auto"/>
              </w:rPr>
              <w:t>2009</w:t>
            </w: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ind w:right="75"/>
              <w:spacing w:after="0"/>
              <w:rPr>
                <w:sz w:val="20"/>
                <w:szCs w:val="20"/>
                <w:color w:val="auto"/>
              </w:rPr>
            </w:pPr>
            <w:r>
              <w:rPr>
                <w:rFonts w:ascii="Arial" w:cs="Arial" w:eastAsia="Arial" w:hAnsi="Arial"/>
                <w:sz w:val="11"/>
                <w:szCs w:val="11"/>
                <w:b w:val="1"/>
                <w:bCs w:val="1"/>
                <w:color w:val="auto"/>
                <w:w w:val="89"/>
              </w:rPr>
              <w:t>2008</w:t>
            </w: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74"/>
              <w:spacing w:after="0"/>
              <w:rPr>
                <w:sz w:val="20"/>
                <w:szCs w:val="20"/>
                <w:color w:val="auto"/>
              </w:rPr>
            </w:pPr>
            <w:r>
              <w:rPr>
                <w:rFonts w:ascii="Arial" w:cs="Arial" w:eastAsia="Arial" w:hAnsi="Arial"/>
                <w:sz w:val="11"/>
                <w:szCs w:val="11"/>
                <w:b w:val="1"/>
                <w:bCs w:val="1"/>
                <w:color w:val="auto"/>
                <w:w w:val="97"/>
              </w:rPr>
              <w:t>2007</w:t>
            </w:r>
          </w:p>
        </w:tc>
        <w:tc>
          <w:tcPr>
            <w:tcW w:w="3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ind w:right="74"/>
              <w:spacing w:after="0"/>
              <w:rPr>
                <w:sz w:val="20"/>
                <w:szCs w:val="20"/>
                <w:color w:val="auto"/>
              </w:rPr>
            </w:pPr>
            <w:r>
              <w:rPr>
                <w:rFonts w:ascii="Arial" w:cs="Arial" w:eastAsia="Arial" w:hAnsi="Arial"/>
                <w:sz w:val="11"/>
                <w:szCs w:val="11"/>
                <w:b w:val="1"/>
                <w:bCs w:val="1"/>
                <w:color w:val="auto"/>
                <w:w w:val="89"/>
              </w:rPr>
              <w:t>2006</w:t>
            </w: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6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3"/>
          </w:tcPr>
          <w:p>
            <w:pPr>
              <w:jc w:val="right"/>
              <w:spacing w:after="0"/>
              <w:rPr>
                <w:sz w:val="20"/>
                <w:szCs w:val="20"/>
                <w:color w:val="auto"/>
              </w:rPr>
            </w:pPr>
            <w:r>
              <w:rPr>
                <w:rFonts w:ascii="Arial" w:cs="Arial" w:eastAsia="Arial" w:hAnsi="Arial"/>
                <w:sz w:val="11"/>
                <w:szCs w:val="11"/>
                <w:b w:val="1"/>
                <w:bCs w:val="1"/>
                <w:color w:val="auto"/>
              </w:rPr>
              <w:t>(In millions)</w:t>
            </w: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Goodwill impairment charges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279.0</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6700" w:type="dxa"/>
            <w:vAlign w:val="bottom"/>
          </w:tcPr>
          <w:p>
            <w:pPr>
              <w:spacing w:after="0"/>
              <w:rPr>
                <w:sz w:val="20"/>
                <w:szCs w:val="20"/>
                <w:color w:val="auto"/>
              </w:rPr>
            </w:pPr>
            <w:r>
              <w:rPr>
                <w:rFonts w:ascii="Arial" w:cs="Arial" w:eastAsia="Arial" w:hAnsi="Arial"/>
                <w:sz w:val="13"/>
                <w:szCs w:val="13"/>
                <w:color w:val="auto"/>
              </w:rPr>
              <w:t>Impairment charges for the trade name “Stratex”</w:t>
            </w:r>
          </w:p>
        </w:tc>
        <w:tc>
          <w:tcPr>
            <w:tcW w:w="80" w:type="dxa"/>
            <w:vAlign w:val="bottom"/>
          </w:tcPr>
          <w:p>
            <w:pPr>
              <w:spacing w:after="0"/>
              <w:rPr>
                <w:sz w:val="14"/>
                <w:szCs w:val="14"/>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32.6</w:t>
            </w:r>
          </w:p>
        </w:tc>
        <w:tc>
          <w:tcPr>
            <w:tcW w:w="120" w:type="dxa"/>
            <w:vAlign w:val="bottom"/>
          </w:tcPr>
          <w:p>
            <w:pPr>
              <w:spacing w:after="0"/>
              <w:rPr>
                <w:sz w:val="14"/>
                <w:szCs w:val="14"/>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Charges for product transition and product discontinuances</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29.8</w:t>
            </w: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39.6</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6700" w:type="dxa"/>
            <w:vAlign w:val="bottom"/>
          </w:tcPr>
          <w:p>
            <w:pPr>
              <w:spacing w:after="0"/>
              <w:rPr>
                <w:sz w:val="20"/>
                <w:szCs w:val="20"/>
                <w:color w:val="auto"/>
              </w:rPr>
            </w:pPr>
            <w:r>
              <w:rPr>
                <w:rFonts w:ascii="Arial" w:cs="Arial" w:eastAsia="Arial" w:hAnsi="Arial"/>
                <w:sz w:val="13"/>
                <w:szCs w:val="13"/>
                <w:color w:val="auto"/>
              </w:rPr>
              <w:t>Restructuring charges</w:t>
            </w:r>
          </w:p>
        </w:tc>
        <w:tc>
          <w:tcPr>
            <w:tcW w:w="80" w:type="dxa"/>
            <w:vAlign w:val="bottom"/>
          </w:tcPr>
          <w:p>
            <w:pPr>
              <w:spacing w:after="0"/>
              <w:rPr>
                <w:sz w:val="14"/>
                <w:szCs w:val="14"/>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8.2</w:t>
            </w:r>
          </w:p>
        </w:tc>
        <w:tc>
          <w:tcPr>
            <w:tcW w:w="120" w:type="dxa"/>
            <w:vAlign w:val="bottom"/>
          </w:tcPr>
          <w:p>
            <w:pPr>
              <w:spacing w:after="0"/>
              <w:rPr>
                <w:sz w:val="14"/>
                <w:szCs w:val="14"/>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9.3</w:t>
            </w:r>
          </w:p>
        </w:tc>
        <w:tc>
          <w:tcPr>
            <w:tcW w:w="100" w:type="dxa"/>
            <w:vAlign w:val="bottom"/>
          </w:tcPr>
          <w:p>
            <w:pPr>
              <w:spacing w:after="0"/>
              <w:rPr>
                <w:sz w:val="14"/>
                <w:szCs w:val="14"/>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3"/>
                <w:szCs w:val="13"/>
                <w:color w:val="auto"/>
              </w:rPr>
              <w:t>9.3</w:t>
            </w:r>
          </w:p>
        </w:tc>
        <w:tc>
          <w:tcPr>
            <w:tcW w:w="120" w:type="dxa"/>
            <w:vAlign w:val="bottom"/>
          </w:tcPr>
          <w:p>
            <w:pPr>
              <w:spacing w:after="0"/>
              <w:rPr>
                <w:sz w:val="14"/>
                <w:szCs w:val="14"/>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Amortization of developed technology</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7.5</w:t>
            </w: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7.1</w:t>
            </w: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3.0</w:t>
            </w:r>
          </w:p>
        </w:tc>
        <w:tc>
          <w:tcPr>
            <w:tcW w:w="12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6700" w:type="dxa"/>
            <w:vAlign w:val="bottom"/>
          </w:tcPr>
          <w:p>
            <w:pPr>
              <w:spacing w:after="0"/>
              <w:rPr>
                <w:sz w:val="20"/>
                <w:szCs w:val="20"/>
                <w:color w:val="auto"/>
              </w:rPr>
            </w:pPr>
            <w:r>
              <w:rPr>
                <w:rFonts w:ascii="Arial" w:cs="Arial" w:eastAsia="Arial" w:hAnsi="Arial"/>
                <w:sz w:val="13"/>
                <w:szCs w:val="13"/>
                <w:color w:val="auto"/>
              </w:rPr>
              <w:t>Amortization of trade names, customer relationships, non-competition agreements and contract backlog</w:t>
            </w:r>
          </w:p>
        </w:tc>
        <w:tc>
          <w:tcPr>
            <w:tcW w:w="80" w:type="dxa"/>
            <w:vAlign w:val="bottom"/>
          </w:tcPr>
          <w:p>
            <w:pPr>
              <w:spacing w:after="0"/>
              <w:rPr>
                <w:sz w:val="14"/>
                <w:szCs w:val="14"/>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5.7</w:t>
            </w:r>
          </w:p>
        </w:tc>
        <w:tc>
          <w:tcPr>
            <w:tcW w:w="120" w:type="dxa"/>
            <w:vAlign w:val="bottom"/>
          </w:tcPr>
          <w:p>
            <w:pPr>
              <w:spacing w:after="0"/>
              <w:rPr>
                <w:sz w:val="14"/>
                <w:szCs w:val="14"/>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6.7</w:t>
            </w:r>
          </w:p>
        </w:tc>
        <w:tc>
          <w:tcPr>
            <w:tcW w:w="100" w:type="dxa"/>
            <w:vAlign w:val="bottom"/>
          </w:tcPr>
          <w:p>
            <w:pPr>
              <w:spacing w:after="0"/>
              <w:rPr>
                <w:sz w:val="14"/>
                <w:szCs w:val="14"/>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3"/>
                <w:szCs w:val="13"/>
                <w:color w:val="auto"/>
              </w:rPr>
              <w:t>7.5</w:t>
            </w:r>
          </w:p>
        </w:tc>
        <w:tc>
          <w:tcPr>
            <w:tcW w:w="120" w:type="dxa"/>
            <w:vAlign w:val="bottom"/>
          </w:tcPr>
          <w:p>
            <w:pPr>
              <w:spacing w:after="0"/>
              <w:rPr>
                <w:sz w:val="14"/>
                <w:szCs w:val="14"/>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Software impairment charges</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3.2</w:t>
            </w: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6700" w:type="dxa"/>
            <w:vAlign w:val="bottom"/>
          </w:tcPr>
          <w:p>
            <w:pPr>
              <w:spacing w:after="0"/>
              <w:rPr>
                <w:sz w:val="20"/>
                <w:szCs w:val="20"/>
                <w:color w:val="auto"/>
              </w:rPr>
            </w:pPr>
            <w:r>
              <w:rPr>
                <w:rFonts w:ascii="Arial" w:cs="Arial" w:eastAsia="Arial" w:hAnsi="Arial"/>
                <w:sz w:val="13"/>
                <w:szCs w:val="13"/>
                <w:color w:val="auto"/>
              </w:rPr>
              <w:t>Acquired in-process research and development</w:t>
            </w:r>
          </w:p>
        </w:tc>
        <w:tc>
          <w:tcPr>
            <w:tcW w:w="80" w:type="dxa"/>
            <w:vAlign w:val="bottom"/>
          </w:tcPr>
          <w:p>
            <w:pPr>
              <w:spacing w:after="0"/>
              <w:rPr>
                <w:sz w:val="14"/>
                <w:szCs w:val="14"/>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2.4</w:t>
            </w:r>
          </w:p>
        </w:tc>
        <w:tc>
          <w:tcPr>
            <w:tcW w:w="120" w:type="dxa"/>
            <w:vAlign w:val="bottom"/>
          </w:tcPr>
          <w:p>
            <w:pPr>
              <w:spacing w:after="0"/>
              <w:rPr>
                <w:sz w:val="14"/>
                <w:szCs w:val="14"/>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3"/>
                <w:szCs w:val="13"/>
                <w:color w:val="auto"/>
              </w:rPr>
              <w:t>15.3</w:t>
            </w:r>
          </w:p>
        </w:tc>
        <w:tc>
          <w:tcPr>
            <w:tcW w:w="120" w:type="dxa"/>
            <w:vAlign w:val="bottom"/>
          </w:tcPr>
          <w:p>
            <w:pPr>
              <w:spacing w:after="0"/>
              <w:rPr>
                <w:sz w:val="14"/>
                <w:szCs w:val="14"/>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Amortization of the fair value adjustments related to fixed assets and inventory</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w:t>
            </w: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2.8</w:t>
            </w: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9.0</w:t>
            </w:r>
          </w:p>
        </w:tc>
        <w:tc>
          <w:tcPr>
            <w:tcW w:w="12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6700" w:type="dxa"/>
            <w:vAlign w:val="bottom"/>
          </w:tcPr>
          <w:p>
            <w:pPr>
              <w:spacing w:after="0"/>
              <w:rPr>
                <w:sz w:val="20"/>
                <w:szCs w:val="20"/>
                <w:color w:val="auto"/>
              </w:rPr>
            </w:pPr>
            <w:r>
              <w:rPr>
                <w:rFonts w:ascii="Arial" w:cs="Arial" w:eastAsia="Arial" w:hAnsi="Arial"/>
                <w:sz w:val="13"/>
                <w:szCs w:val="13"/>
                <w:color w:val="auto"/>
              </w:rPr>
              <w:t>Cost of integration activities undertaken in connection with the merger</w:t>
            </w:r>
          </w:p>
        </w:tc>
        <w:tc>
          <w:tcPr>
            <w:tcW w:w="80" w:type="dxa"/>
            <w:vAlign w:val="bottom"/>
          </w:tcPr>
          <w:p>
            <w:pPr>
              <w:spacing w:after="0"/>
              <w:rPr>
                <w:sz w:val="14"/>
                <w:szCs w:val="14"/>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11.9</w:t>
            </w:r>
          </w:p>
        </w:tc>
        <w:tc>
          <w:tcPr>
            <w:tcW w:w="100" w:type="dxa"/>
            <w:vAlign w:val="bottom"/>
          </w:tcPr>
          <w:p>
            <w:pPr>
              <w:spacing w:after="0"/>
              <w:rPr>
                <w:sz w:val="14"/>
                <w:szCs w:val="14"/>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3"/>
                <w:szCs w:val="13"/>
                <w:color w:val="auto"/>
              </w:rPr>
              <w:t>5.4</w:t>
            </w:r>
          </w:p>
        </w:tc>
        <w:tc>
          <w:tcPr>
            <w:tcW w:w="120" w:type="dxa"/>
            <w:vAlign w:val="bottom"/>
          </w:tcPr>
          <w:p>
            <w:pPr>
              <w:spacing w:after="0"/>
              <w:rPr>
                <w:sz w:val="14"/>
                <w:szCs w:val="14"/>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Inventory mark-downs</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14.7</w:t>
            </w: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6700" w:type="dxa"/>
            <w:vAlign w:val="bottom"/>
          </w:tcPr>
          <w:p>
            <w:pPr>
              <w:spacing w:after="0"/>
              <w:rPr>
                <w:sz w:val="20"/>
                <w:szCs w:val="20"/>
                <w:color w:val="auto"/>
              </w:rPr>
            </w:pPr>
            <w:r>
              <w:rPr>
                <w:rFonts w:ascii="Arial" w:cs="Arial" w:eastAsia="Arial" w:hAnsi="Arial"/>
                <w:sz w:val="13"/>
                <w:szCs w:val="13"/>
                <w:color w:val="auto"/>
              </w:rPr>
              <w:t>Share-based compensation expense</w:t>
            </w:r>
          </w:p>
        </w:tc>
        <w:tc>
          <w:tcPr>
            <w:tcW w:w="80" w:type="dxa"/>
            <w:vAlign w:val="bottom"/>
          </w:tcPr>
          <w:p>
            <w:pPr>
              <w:spacing w:after="0"/>
              <w:rPr>
                <w:sz w:val="14"/>
                <w:szCs w:val="14"/>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2.9</w:t>
            </w:r>
          </w:p>
        </w:tc>
        <w:tc>
          <w:tcPr>
            <w:tcW w:w="120" w:type="dxa"/>
            <w:vAlign w:val="bottom"/>
          </w:tcPr>
          <w:p>
            <w:pPr>
              <w:spacing w:after="0"/>
              <w:rPr>
                <w:sz w:val="14"/>
                <w:szCs w:val="14"/>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7.8</w:t>
            </w:r>
          </w:p>
        </w:tc>
        <w:tc>
          <w:tcPr>
            <w:tcW w:w="100" w:type="dxa"/>
            <w:vAlign w:val="bottom"/>
          </w:tcPr>
          <w:p>
            <w:pPr>
              <w:spacing w:after="0"/>
              <w:rPr>
                <w:sz w:val="14"/>
                <w:szCs w:val="14"/>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3"/>
                <w:szCs w:val="13"/>
                <w:color w:val="auto"/>
              </w:rPr>
              <w:t>5.7</w:t>
            </w:r>
          </w:p>
        </w:tc>
        <w:tc>
          <w:tcPr>
            <w:tcW w:w="120" w:type="dxa"/>
            <w:vAlign w:val="bottom"/>
          </w:tcPr>
          <w:p>
            <w:pPr>
              <w:spacing w:after="0"/>
              <w:rPr>
                <w:sz w:val="14"/>
                <w:szCs w:val="14"/>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3"/>
                <w:szCs w:val="13"/>
                <w:color w:val="auto"/>
              </w:rPr>
              <w:t>1.7</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680" w:type="dxa"/>
            <w:vAlign w:val="bottom"/>
          </w:tcPr>
          <w:p>
            <w:pPr>
              <w:spacing w:after="0"/>
              <w:rPr>
                <w:sz w:val="14"/>
                <w:szCs w:val="14"/>
                <w:color w:val="auto"/>
              </w:rPr>
            </w:pPr>
          </w:p>
        </w:tc>
        <w:tc>
          <w:tcPr>
            <w:tcW w:w="67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373.0</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60.3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55.2</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41.3</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6700" w:type="dxa"/>
            <w:vAlign w:val="bottom"/>
            <w:vMerge w:val="restart"/>
          </w:tcPr>
          <w:p>
            <w:pPr>
              <w:ind w:left="4920"/>
              <w:spacing w:after="0"/>
              <w:rPr>
                <w:sz w:val="20"/>
                <w:szCs w:val="20"/>
                <w:color w:val="auto"/>
              </w:rPr>
            </w:pPr>
            <w:r>
              <w:rPr>
                <w:rFonts w:ascii="Arial" w:cs="Arial" w:eastAsia="Arial" w:hAnsi="Arial"/>
                <w:sz w:val="13"/>
                <w:szCs w:val="13"/>
                <w:color w:val="auto"/>
              </w:rPr>
              <w:t>33</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680" w:type="dxa"/>
            <w:vAlign w:val="bottom"/>
          </w:tcPr>
          <w:p>
            <w:pPr>
              <w:spacing w:after="0"/>
              <w:rPr>
                <w:sz w:val="24"/>
                <w:szCs w:val="24"/>
                <w:color w:val="auto"/>
              </w:rPr>
            </w:pPr>
          </w:p>
        </w:tc>
        <w:tc>
          <w:tcPr>
            <w:tcW w:w="67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680" w:type="dxa"/>
            <w:vAlign w:val="bottom"/>
            <w:tcBorders>
              <w:bottom w:val="single" w:sz="8" w:color="808080"/>
            </w:tcBorders>
          </w:tcPr>
          <w:p>
            <w:pPr>
              <w:spacing w:after="0"/>
              <w:rPr>
                <w:sz w:val="14"/>
                <w:szCs w:val="14"/>
                <w:color w:val="auto"/>
              </w:rPr>
            </w:pPr>
          </w:p>
        </w:tc>
        <w:tc>
          <w:tcPr>
            <w:tcW w:w="67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12700" cy="63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9" w:right="219" w:bottom="1440" w:gutter="0" w:footer="0" w:header="0"/>
        </w:sectPr>
      </w:pPr>
    </w:p>
    <w:bookmarkStart w:id="34" w:name="page35"/>
    <w:bookmarkEnd w:id="3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7.</w:t>
      </w:r>
      <w:r>
        <w:rPr>
          <w:sz w:val="20"/>
          <w:szCs w:val="20"/>
          <w:color w:val="auto"/>
        </w:rPr>
        <w:tab/>
      </w:r>
      <w:r>
        <w:rPr>
          <w:rFonts w:ascii="Arial" w:cs="Arial" w:eastAsia="Arial" w:hAnsi="Arial"/>
          <w:sz w:val="11"/>
          <w:szCs w:val="11"/>
          <w:b w:val="1"/>
          <w:bCs w:val="1"/>
          <w:i w:val="1"/>
          <w:iCs w:val="1"/>
          <w:color w:val="auto"/>
        </w:rPr>
        <w:t>Management’s Discussion and Analysis of Financial Condition and Results of Operations.</w:t>
      </w:r>
    </w:p>
    <w:p>
      <w:pPr>
        <w:spacing w:after="0" w:line="10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Overview of our Business and Products; Operating Environment and Key Factors Impacting Fiscal 2009 and 2010 Results</w:t>
      </w:r>
    </w:p>
    <w:p>
      <w:pPr>
        <w:spacing w:after="0" w:line="104" w:lineRule="exact"/>
        <w:rPr>
          <w:sz w:val="20"/>
          <w:szCs w:val="20"/>
          <w:color w:val="auto"/>
        </w:rPr>
      </w:pPr>
    </w:p>
    <w:p>
      <w:pPr>
        <w:ind w:left="680" w:right="200" w:firstLine="399"/>
        <w:spacing w:after="0" w:line="338" w:lineRule="auto"/>
        <w:rPr>
          <w:sz w:val="20"/>
          <w:szCs w:val="20"/>
          <w:color w:val="auto"/>
        </w:rPr>
      </w:pPr>
      <w:r>
        <w:rPr>
          <w:rFonts w:ascii="Arial" w:cs="Arial" w:eastAsia="Arial" w:hAnsi="Arial"/>
          <w:sz w:val="12"/>
          <w:szCs w:val="12"/>
          <w:color w:val="auto"/>
        </w:rPr>
        <w:t>The following Management’s Discussion and Analysis (“MD&amp;A”) is intended to help the reader understand the results of operations and financial condition of Harris Stratex Networks Corporation. MD&amp;A is provided as a supplement to, and should be read in conjunction with, our financial statements and the accompanying notes.</w:t>
      </w:r>
    </w:p>
    <w:p>
      <w:pPr>
        <w:spacing w:after="0" w:line="24" w:lineRule="exact"/>
        <w:rPr>
          <w:sz w:val="20"/>
          <w:szCs w:val="20"/>
          <w:color w:val="auto"/>
        </w:rPr>
      </w:pPr>
    </w:p>
    <w:p>
      <w:pPr>
        <w:ind w:left="680" w:right="100" w:firstLine="399"/>
        <w:spacing w:after="0" w:line="267" w:lineRule="auto"/>
        <w:rPr>
          <w:sz w:val="20"/>
          <w:szCs w:val="20"/>
          <w:color w:val="auto"/>
        </w:rPr>
      </w:pPr>
      <w:r>
        <w:rPr>
          <w:rFonts w:ascii="Arial" w:cs="Arial" w:eastAsia="Arial" w:hAnsi="Arial"/>
          <w:sz w:val="13"/>
          <w:szCs w:val="13"/>
          <w:color w:val="auto"/>
        </w:rPr>
        <w:t>We generate revenue by designing, developing, manufacturing and supporting a range of wireless networking products, solutions and services for mobile and fixed telephone service providers, private network operators, government agencies, transportation and utility companies, public safety agencies and broadcast system operators across the globe. Our products include broadband wireless access base stations and customer premise equipment based upon the IEEE 802.16d-2004 and 16e-2005 standards for fixed and mobile WiMAX, point-to-point digital microwave radio systems for access, backhaul, trunking and license-exempt applications, supporting new network deployments, network expansion, and capacity upgrades.</w:t>
      </w:r>
    </w:p>
    <w:p>
      <w:pPr>
        <w:spacing w:after="0" w:line="65"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We work continuously to improve our established brands and to create new products that meet our customers’ evolving needs and preferences. Our fundamental business goal is to generate superior returns for our stockholders over the long term. We believe that increases in revenue, segment operating profits, earnings per share, and return on average total capital are the key measures of financial performance for our business.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objectives are to consistently deliver:</w:t>
      </w:r>
    </w:p>
    <w:p>
      <w:pPr>
        <w:spacing w:after="0" w:line="102" w:lineRule="exact"/>
        <w:rPr>
          <w:sz w:val="20"/>
          <w:szCs w:val="20"/>
          <w:color w:val="auto"/>
        </w:rPr>
      </w:pPr>
    </w:p>
    <w:p>
      <w:pPr>
        <w:ind w:left="1300" w:hanging="208"/>
        <w:spacing w:after="0"/>
        <w:tabs>
          <w:tab w:leader="none" w:pos="13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Profitable revenue growth in all segments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Maintain an efficient capital structure</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Reduce costs across all aspects of our business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Focus on increased operational efficiencies</w:t>
      </w:r>
    </w:p>
    <w:p>
      <w:pPr>
        <w:spacing w:after="0" w:line="18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Business Overview</w:t>
      </w:r>
    </w:p>
    <w:p>
      <w:pPr>
        <w:spacing w:after="0" w:line="104" w:lineRule="exact"/>
        <w:rPr>
          <w:sz w:val="20"/>
          <w:szCs w:val="20"/>
          <w:color w:val="auto"/>
        </w:rPr>
      </w:pPr>
    </w:p>
    <w:p>
      <w:pPr>
        <w:ind w:left="680" w:right="40" w:firstLine="399"/>
        <w:spacing w:after="0" w:line="299" w:lineRule="auto"/>
        <w:rPr>
          <w:sz w:val="20"/>
          <w:szCs w:val="20"/>
          <w:color w:val="auto"/>
        </w:rPr>
      </w:pPr>
      <w:r>
        <w:rPr>
          <w:rFonts w:ascii="Arial" w:cs="Arial" w:eastAsia="Arial" w:hAnsi="Arial"/>
          <w:sz w:val="12"/>
          <w:szCs w:val="12"/>
          <w:color w:val="auto"/>
        </w:rPr>
        <w:t>The majority of our goodwill and the trade name “Stratex” were recorded in connection with the acquisition of Stratex Networks, Inc. (“Stratex”) in January 2007 and were included in the International Microwave segment of our business. In January 2009, we determined that based on the current global economic environment and the decline of our market capitalization, it was likely that an indicator of goodwill impairment existed as of the end of the second quarter of fiscal 2009. As a result, we performed an interim review for impairment as of the end of the second quarter of fiscal 2009 of our goodwill and other indefinite-lived intangible assets (consisting solely of the trade name “Stratex”).</w:t>
      </w:r>
    </w:p>
    <w:p>
      <w:pPr>
        <w:spacing w:after="0" w:line="48" w:lineRule="exact"/>
        <w:rPr>
          <w:sz w:val="20"/>
          <w:szCs w:val="20"/>
          <w:color w:val="auto"/>
        </w:rPr>
      </w:pPr>
    </w:p>
    <w:p>
      <w:pPr>
        <w:ind w:left="680" w:firstLine="399"/>
        <w:spacing w:after="0" w:line="265" w:lineRule="auto"/>
        <w:rPr>
          <w:sz w:val="20"/>
          <w:szCs w:val="20"/>
          <w:color w:val="auto"/>
        </w:rPr>
      </w:pPr>
      <w:r>
        <w:rPr>
          <w:rFonts w:ascii="Arial" w:cs="Arial" w:eastAsia="Arial" w:hAnsi="Arial"/>
          <w:sz w:val="13"/>
          <w:szCs w:val="13"/>
          <w:color w:val="auto"/>
        </w:rPr>
        <w:t>To test for potential impairment of our goodwill, we determined the fair value of each of our reporting segments based on projected discounted cash flows and market-based multiples applied to sales and earnings. The results indicated an impairment to goodwill, because the current carrying value of the North America Microwave and International Microwave segments exceeded their fair value. We then allocated these fair values to the respective underlying assets and liabilities to determine the implied fair value of goodwill, resulting in a $279.0 million charge to write down all of our goodwill. We determined the fair value of the trade name “Stratex” by performing a projected discounted cash flow analysis based on the relief-from-royalty approach, resulting in a $22.0 million charge to write down the trade name “Stratex” to $11.0 million as of April 3, 2009, the end of our third quarter in fiscal 2009.</w:t>
      </w:r>
    </w:p>
    <w:p>
      <w:pPr>
        <w:spacing w:after="0" w:line="68" w:lineRule="exact"/>
        <w:rPr>
          <w:sz w:val="20"/>
          <w:szCs w:val="20"/>
          <w:color w:val="auto"/>
        </w:rPr>
      </w:pPr>
    </w:p>
    <w:p>
      <w:pPr>
        <w:ind w:left="680" w:right="20" w:firstLine="399"/>
        <w:spacing w:after="0" w:line="267" w:lineRule="auto"/>
        <w:rPr>
          <w:sz w:val="20"/>
          <w:szCs w:val="20"/>
          <w:color w:val="auto"/>
        </w:rPr>
      </w:pPr>
      <w:r>
        <w:rPr>
          <w:rFonts w:ascii="Arial" w:cs="Arial" w:eastAsia="Arial" w:hAnsi="Arial"/>
          <w:sz w:val="13"/>
          <w:szCs w:val="13"/>
          <w:color w:val="auto"/>
        </w:rPr>
        <w:t>During June 2009, subsequent to the May 27, 2009 spin-off by Harris of its majority interest or 56 percent of our common stock, Harris notified us of its intent to terminate the trademark license in effect between us since January 26, 2007. The new name of our Company will not include Harris or Stratex. Accordingly, the fair value of the indefinite-lived trade name “Stratex” was deemed to be impaired. Furthermore, we anticipate making this change by December 2009, which is a known definite life of six months from July 3, 2009, the end of our fiscal year 2009. As a result, we determined the fair value of the trade name “Stratex” as of July 3, 2009 by performing a projected discounted cash flow analysis based on the relief-from-royalty approach, resulting in a $10.6 million</w:t>
      </w:r>
    </w:p>
    <w:p>
      <w:pPr>
        <w:spacing w:after="0" w:line="277"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20"/>
          </w:cols>
          <w:pgMar w:left="220" w:top="349" w:right="1059" w:bottom="1440" w:gutter="0" w:footer="0" w:header="0"/>
        </w:sectPr>
      </w:pPr>
    </w:p>
    <w:bookmarkStart w:id="35" w:name="page36"/>
    <w:bookmarkEnd w:id="3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charge to write down a majority of the trade name “Stratex” to a fair value of $0.4 million with a six-month remaining life.</w:t>
      </w:r>
    </w:p>
    <w:p>
      <w:pPr>
        <w:spacing w:after="0" w:line="102" w:lineRule="exact"/>
        <w:rPr>
          <w:sz w:val="20"/>
          <w:szCs w:val="20"/>
          <w:color w:val="auto"/>
        </w:rPr>
      </w:pPr>
    </w:p>
    <w:p>
      <w:pPr>
        <w:ind w:left="680" w:right="40" w:firstLine="399"/>
        <w:spacing w:after="0" w:line="338" w:lineRule="auto"/>
        <w:rPr>
          <w:sz w:val="20"/>
          <w:szCs w:val="20"/>
          <w:color w:val="auto"/>
        </w:rPr>
      </w:pPr>
      <w:r>
        <w:rPr>
          <w:rFonts w:ascii="Arial" w:cs="Arial" w:eastAsia="Arial" w:hAnsi="Arial"/>
          <w:sz w:val="12"/>
          <w:szCs w:val="12"/>
          <w:color w:val="auto"/>
        </w:rPr>
        <w:t>We will not be required to make any current or future cash expenditures as a result of these impairments, and these impairments do not impact our financial covenant compliance under our credit arrangements or our ongoing financial performance. We did not record any impairment losses on identifiable intangible assets or goodwill in fiscal 2008 or 2007.</w:t>
      </w:r>
    </w:p>
    <w:p>
      <w:pPr>
        <w:spacing w:after="0" w:line="24" w:lineRule="exact"/>
        <w:rPr>
          <w:sz w:val="20"/>
          <w:szCs w:val="20"/>
          <w:color w:val="auto"/>
        </w:rPr>
      </w:pPr>
    </w:p>
    <w:p>
      <w:pPr>
        <w:ind w:left="680" w:right="120" w:firstLine="399"/>
        <w:spacing w:after="0" w:line="309" w:lineRule="auto"/>
        <w:rPr>
          <w:sz w:val="20"/>
          <w:szCs w:val="20"/>
          <w:color w:val="auto"/>
        </w:rPr>
      </w:pPr>
      <w:r>
        <w:rPr>
          <w:rFonts w:ascii="Arial" w:cs="Arial" w:eastAsia="Arial" w:hAnsi="Arial"/>
          <w:sz w:val="12"/>
          <w:szCs w:val="12"/>
          <w:color w:val="auto"/>
        </w:rPr>
        <w:t>In fiscal 2010, the challenges of the macro-economic climate will continue to remain a challenge for us. In any given region, we can be faced with currency issues, poor economic conditions, limited access to capital as credit markets remain tight, reduced capital spending or customer consolidation. While customer consolidation can generate attractive volume opportunities, it can also result in pricing pressures. Regardless of these challenges, we are committed to our strategic vision as we continue to make significant progress.</w:t>
      </w:r>
    </w:p>
    <w:p>
      <w:pPr>
        <w:spacing w:after="0" w:line="41" w:lineRule="exact"/>
        <w:rPr>
          <w:sz w:val="20"/>
          <w:szCs w:val="20"/>
          <w:color w:val="auto"/>
        </w:rPr>
      </w:pPr>
    </w:p>
    <w:p>
      <w:pPr>
        <w:ind w:left="680" w:firstLine="399"/>
        <w:spacing w:after="0" w:line="338" w:lineRule="auto"/>
        <w:rPr>
          <w:sz w:val="20"/>
          <w:szCs w:val="20"/>
          <w:color w:val="auto"/>
        </w:rPr>
      </w:pPr>
      <w:r>
        <w:rPr>
          <w:rFonts w:ascii="Arial" w:cs="Arial" w:eastAsia="Arial" w:hAnsi="Arial"/>
          <w:sz w:val="12"/>
          <w:szCs w:val="12"/>
          <w:color w:val="auto"/>
        </w:rPr>
        <w:t>We will continue to execute on our four growth strategies announced last year — expanding our customer reach geographically, introducing a broader range of services to support our customers’ growing needs, moving quickly to a fully-outsourced contract manufacturing model, and rebalancing our R&amp;D investment to fund additional innovation incubators.</w:t>
      </w:r>
    </w:p>
    <w:p>
      <w:pPr>
        <w:spacing w:after="0" w:line="24" w:lineRule="exact"/>
        <w:rPr>
          <w:sz w:val="20"/>
          <w:szCs w:val="20"/>
          <w:color w:val="auto"/>
        </w:rPr>
      </w:pPr>
    </w:p>
    <w:p>
      <w:pPr>
        <w:ind w:left="680" w:right="240" w:firstLine="399"/>
        <w:spacing w:after="0" w:line="270" w:lineRule="auto"/>
        <w:rPr>
          <w:sz w:val="20"/>
          <w:szCs w:val="20"/>
          <w:color w:val="auto"/>
        </w:rPr>
      </w:pPr>
      <w:r>
        <w:rPr>
          <w:rFonts w:ascii="Arial" w:cs="Arial" w:eastAsia="Arial" w:hAnsi="Arial"/>
          <w:sz w:val="13"/>
          <w:szCs w:val="13"/>
          <w:color w:val="auto"/>
        </w:rPr>
        <w:t>During the past year, we have laid the foundation for long-term growth by delivering innovative products and services, creating opportunities for our customers, improving customer satisfaction with key audiences and improving our internal business processes. Our focus in fiscal 2010 is to continue to build on this foundation and to execute well in key areas, including continuing to focus on converging to a common IP-based microwave platform, which will increase R&amp;D efficiency, simplify our supply chain, improve lead times, reduce component cost, and decrease the number of products required to support our company’s worldwide customer base.</w:t>
      </w:r>
    </w:p>
    <w:p>
      <w:pPr>
        <w:spacing w:after="0" w:line="63" w:lineRule="exact"/>
        <w:rPr>
          <w:sz w:val="20"/>
          <w:szCs w:val="20"/>
          <w:color w:val="auto"/>
        </w:rPr>
      </w:pPr>
    </w:p>
    <w:p>
      <w:pPr>
        <w:ind w:left="680" w:right="140" w:firstLine="399"/>
        <w:spacing w:after="0" w:line="270" w:lineRule="auto"/>
        <w:rPr>
          <w:sz w:val="20"/>
          <w:szCs w:val="20"/>
          <w:color w:val="auto"/>
        </w:rPr>
      </w:pPr>
      <w:r>
        <w:rPr>
          <w:rFonts w:ascii="Arial" w:cs="Arial" w:eastAsia="Arial" w:hAnsi="Arial"/>
          <w:sz w:val="13"/>
          <w:szCs w:val="13"/>
          <w:color w:val="auto"/>
        </w:rPr>
        <w:t>In our global network services business, we are driving to meet the needs of our customers to optimize their investments, reduce their operational expenses and improve productivity. To help manage networks for enterprise carrier and State and Local Government customers, we recently commissioned a state-of-the-art network operations center, or NOC, at our Raleigh, North Carolina headquarters. Our NOC provides 24/7 energy, security and surveillance controls for subscribers worldwide, as well as performance monitoring to ensure productivity.</w:t>
      </w:r>
    </w:p>
    <w:p>
      <w:pPr>
        <w:spacing w:after="0" w:line="63"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rapidly increased popularity of smart phones, and the applications that they enable, is driving the need for more bandwidth in the backhaul portion of the mobile network.</w:t>
      </w:r>
    </w:p>
    <w:p>
      <w:pPr>
        <w:spacing w:after="0" w:line="34" w:lineRule="exact"/>
        <w:rPr>
          <w:sz w:val="20"/>
          <w:szCs w:val="20"/>
          <w:color w:val="auto"/>
        </w:rPr>
      </w:pPr>
    </w:p>
    <w:p>
      <w:pPr>
        <w:ind w:left="680"/>
        <w:spacing w:after="0"/>
        <w:rPr>
          <w:sz w:val="20"/>
          <w:szCs w:val="20"/>
          <w:color w:val="auto"/>
        </w:rPr>
      </w:pPr>
      <w:r>
        <w:rPr>
          <w:rFonts w:ascii="Arial" w:cs="Arial" w:eastAsia="Arial" w:hAnsi="Arial"/>
          <w:sz w:val="13"/>
          <w:szCs w:val="13"/>
          <w:color w:val="auto"/>
        </w:rPr>
        <w:t>Our IP backhaul solutions are a compelling alternative in more cases than in the past, and we are optimistic about the future of this sector.</w:t>
      </w:r>
    </w:p>
    <w:p>
      <w:pPr>
        <w:spacing w:after="0" w:line="92" w:lineRule="exact"/>
        <w:rPr>
          <w:sz w:val="20"/>
          <w:szCs w:val="20"/>
          <w:color w:val="auto"/>
        </w:rPr>
      </w:pPr>
    </w:p>
    <w:p>
      <w:pPr>
        <w:jc w:val="both"/>
        <w:ind w:left="680" w:right="120" w:firstLine="399"/>
        <w:spacing w:after="0" w:line="276" w:lineRule="auto"/>
        <w:rPr>
          <w:sz w:val="20"/>
          <w:szCs w:val="20"/>
          <w:color w:val="auto"/>
        </w:rPr>
      </w:pPr>
      <w:r>
        <w:rPr>
          <w:rFonts w:ascii="Arial" w:cs="Arial" w:eastAsia="Arial" w:hAnsi="Arial"/>
          <w:sz w:val="13"/>
          <w:szCs w:val="13"/>
          <w:color w:val="auto"/>
        </w:rPr>
        <w:t>The American Recovery and Reinvestment Act creates another area of opportunity. Rural broadband is a perfect fit for what we offer specifically, backhaul over long distances and WiMAX in the last mile. Our ability to provide an end-to-end solution, including long-term managed service support, is closely aligned with the need of many small networks, and will be developed. Our backhaul solutions have now been accepted by the Rural Utility Services, RUS, a telecommunications program.</w:t>
      </w:r>
    </w:p>
    <w:p>
      <w:pPr>
        <w:spacing w:after="0" w:line="59" w:lineRule="exact"/>
        <w:rPr>
          <w:sz w:val="20"/>
          <w:szCs w:val="20"/>
          <w:color w:val="auto"/>
        </w:rPr>
      </w:pPr>
    </w:p>
    <w:p>
      <w:pPr>
        <w:ind w:left="680" w:right="40" w:firstLine="399"/>
        <w:spacing w:after="0" w:line="270" w:lineRule="auto"/>
        <w:rPr>
          <w:sz w:val="20"/>
          <w:szCs w:val="20"/>
          <w:color w:val="auto"/>
        </w:rPr>
      </w:pPr>
      <w:r>
        <w:rPr>
          <w:rFonts w:ascii="Arial" w:cs="Arial" w:eastAsia="Arial" w:hAnsi="Arial"/>
          <w:sz w:val="13"/>
          <w:szCs w:val="13"/>
          <w:color w:val="auto"/>
        </w:rPr>
        <w:t>Internationally, Africa remains a region of relative strength when measured by customer demand and network infrastructure expansion. We continue to have a leadership position in Africa, but the region is not without its own challenges. Cash and credit excess are becoming increasingly important to customers, and roll-off has been slow. The strength of the U.S. dollar also makes network deployments more expensive. Despite these challenges, our long term outlook remains positive for this region. The acceptance of our two new growth areas, WiMAX and energy and security, continue to confirm that our products and services are a perfect match for this continent.</w:t>
      </w:r>
    </w:p>
    <w:p>
      <w:pPr>
        <w:spacing w:after="0" w:line="63" w:lineRule="exact"/>
        <w:rPr>
          <w:sz w:val="20"/>
          <w:szCs w:val="20"/>
          <w:color w:val="auto"/>
        </w:rPr>
      </w:pPr>
    </w:p>
    <w:p>
      <w:pPr>
        <w:jc w:val="both"/>
        <w:ind w:left="680" w:right="180" w:firstLine="399"/>
        <w:spacing w:after="0" w:line="276" w:lineRule="auto"/>
        <w:rPr>
          <w:sz w:val="20"/>
          <w:szCs w:val="20"/>
          <w:color w:val="auto"/>
        </w:rPr>
      </w:pPr>
      <w:r>
        <w:rPr>
          <w:rFonts w:ascii="Arial" w:cs="Arial" w:eastAsia="Arial" w:hAnsi="Arial"/>
          <w:sz w:val="13"/>
          <w:szCs w:val="13"/>
          <w:color w:val="auto"/>
        </w:rPr>
        <w:t>In our EMER region, which comprises Europe, the Middle East and Russia, the challenges continue, and may last longer than originally anticipated. Across Europe, especially Eastern Europe, operators continue to focus on their cash positions and are constraining their capital spending. The expansion plan of some Middle East operators has stalled, as they weigh strategic options. Select large operators, however, are investing in their future growth.</w:t>
      </w:r>
    </w:p>
    <w:p>
      <w:pPr>
        <w:spacing w:after="0" w:line="59" w:lineRule="exact"/>
        <w:rPr>
          <w:sz w:val="20"/>
          <w:szCs w:val="20"/>
          <w:color w:val="auto"/>
        </w:rPr>
      </w:pPr>
    </w:p>
    <w:p>
      <w:pPr>
        <w:ind w:left="680" w:right="240" w:firstLine="399"/>
        <w:spacing w:after="0" w:line="294" w:lineRule="auto"/>
        <w:rPr>
          <w:sz w:val="20"/>
          <w:szCs w:val="20"/>
          <w:color w:val="auto"/>
        </w:rPr>
      </w:pPr>
      <w:r>
        <w:rPr>
          <w:rFonts w:ascii="Arial" w:cs="Arial" w:eastAsia="Arial" w:hAnsi="Arial"/>
          <w:sz w:val="13"/>
          <w:szCs w:val="13"/>
          <w:color w:val="auto"/>
        </w:rPr>
        <w:t>Asia-Pacific continues to deliver a number of growth opportunities. During the quarter, we captured several WiMAX rollouts and 2G expansions in the Philippines, Thailand, Indonesia and India.</w:t>
      </w:r>
    </w:p>
    <w:p>
      <w:pPr>
        <w:spacing w:after="0" w:line="25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36" w:name="page37"/>
    <w:bookmarkEnd w:id="3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Overall, we remain watchful of the risk profiles in all of the regions we serve. We do see signs of stabilization, but remain cautious in our extended growth outlook. Africa remains a region of relative strength for us, when measured by the demand and opportunity, as does Asia-Pacific. We believe we are establishing a competitive position in India, largely as a result of our acquisition, and expect to enlarge our footprint in other countries as well.</w:t>
      </w:r>
    </w:p>
    <w:p>
      <w:pPr>
        <w:spacing w:after="0" w:line="137" w:lineRule="exact"/>
        <w:rPr>
          <w:sz w:val="20"/>
          <w:szCs w:val="20"/>
          <w:color w:val="auto"/>
        </w:rPr>
      </w:pPr>
    </w:p>
    <w:p>
      <w:pPr>
        <w:jc w:val="right"/>
        <w:ind w:right="8500"/>
        <w:spacing w:after="0"/>
        <w:rPr>
          <w:sz w:val="20"/>
          <w:szCs w:val="20"/>
          <w:color w:val="auto"/>
        </w:rPr>
      </w:pPr>
      <w:r>
        <w:rPr>
          <w:rFonts w:ascii="Arial" w:cs="Arial" w:eastAsia="Arial" w:hAnsi="Arial"/>
          <w:sz w:val="13"/>
          <w:szCs w:val="13"/>
          <w:b w:val="1"/>
          <w:bCs w:val="1"/>
          <w:color w:val="auto"/>
        </w:rPr>
        <w:t>OPERATIONS REVIEW</w:t>
      </w:r>
    </w:p>
    <w:p>
      <w:pPr>
        <w:spacing w:after="0" w:line="104" w:lineRule="exact"/>
        <w:rPr>
          <w:sz w:val="20"/>
          <w:szCs w:val="20"/>
          <w:color w:val="auto"/>
        </w:rPr>
      </w:pPr>
    </w:p>
    <w:p>
      <w:pPr>
        <w:jc w:val="right"/>
        <w:ind w:right="8540"/>
        <w:spacing w:after="0"/>
        <w:rPr>
          <w:sz w:val="20"/>
          <w:szCs w:val="20"/>
          <w:color w:val="auto"/>
        </w:rPr>
      </w:pPr>
      <w:r>
        <w:rPr>
          <w:rFonts w:ascii="Arial" w:cs="Arial" w:eastAsia="Arial" w:hAnsi="Arial"/>
          <w:sz w:val="13"/>
          <w:szCs w:val="13"/>
          <w:b w:val="1"/>
          <w:bCs w:val="1"/>
          <w:i w:val="1"/>
          <w:iCs w:val="1"/>
          <w:color w:val="auto"/>
        </w:rPr>
        <w:t>Revenue and Net Loss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130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gridSpan w:val="2"/>
          </w:tcPr>
          <w:p>
            <w:pPr>
              <w:jc w:val="center"/>
              <w:ind w:left="202"/>
              <w:spacing w:after="0"/>
              <w:rPr>
                <w:sz w:val="20"/>
                <w:szCs w:val="20"/>
                <w:color w:val="auto"/>
              </w:rPr>
            </w:pPr>
            <w:r>
              <w:rPr>
                <w:rFonts w:ascii="Arial" w:cs="Arial" w:eastAsia="Arial" w:hAnsi="Arial"/>
                <w:sz w:val="11"/>
                <w:szCs w:val="11"/>
                <w:b w:val="1"/>
                <w:bCs w:val="1"/>
                <w:color w:val="auto"/>
                <w:w w:val="88"/>
              </w:rPr>
              <w:t>2009/2008</w:t>
            </w: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80" w:type="dxa"/>
            <w:vAlign w:val="bottom"/>
          </w:tcPr>
          <w:p>
            <w:pPr>
              <w:jc w:val="center"/>
              <w:spacing w:after="0"/>
              <w:rPr>
                <w:sz w:val="20"/>
                <w:szCs w:val="20"/>
                <w:color w:val="auto"/>
              </w:rPr>
            </w:pPr>
            <w:r>
              <w:rPr>
                <w:rFonts w:ascii="Arial" w:cs="Arial" w:eastAsia="Arial" w:hAnsi="Arial"/>
                <w:sz w:val="11"/>
                <w:szCs w:val="11"/>
                <w:b w:val="1"/>
                <w:bCs w:val="1"/>
                <w:color w:val="auto"/>
                <w:w w:val="88"/>
              </w:rPr>
              <w:t>2008/2007</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1300" w:type="dxa"/>
            <w:vAlign w:val="bottom"/>
          </w:tcPr>
          <w:p>
            <w:pPr>
              <w:spacing w:after="0"/>
              <w:rPr>
                <w:sz w:val="9"/>
                <w:szCs w:val="9"/>
                <w:color w:val="auto"/>
              </w:rPr>
            </w:pPr>
          </w:p>
        </w:tc>
        <w:tc>
          <w:tcPr>
            <w:tcW w:w="3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vMerge w:val="restart"/>
          </w:tcPr>
          <w:p>
            <w:pPr>
              <w:jc w:val="right"/>
              <w:ind w:right="116"/>
              <w:spacing w:after="0"/>
              <w:rPr>
                <w:sz w:val="20"/>
                <w:szCs w:val="20"/>
                <w:color w:val="auto"/>
              </w:rPr>
            </w:pPr>
            <w:r>
              <w:rPr>
                <w:rFonts w:ascii="Arial" w:cs="Arial" w:eastAsia="Arial" w:hAnsi="Arial"/>
                <w:sz w:val="11"/>
                <w:szCs w:val="11"/>
                <w:b w:val="1"/>
                <w:bCs w:val="1"/>
                <w:color w:val="auto"/>
              </w:rPr>
              <w:t>2009</w:t>
            </w: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vMerge w:val="restart"/>
          </w:tcPr>
          <w:p>
            <w:pPr>
              <w:jc w:val="right"/>
              <w:ind w:right="56"/>
              <w:spacing w:after="0"/>
              <w:rPr>
                <w:sz w:val="20"/>
                <w:szCs w:val="20"/>
                <w:color w:val="auto"/>
              </w:rPr>
            </w:pPr>
            <w:r>
              <w:rPr>
                <w:rFonts w:ascii="Arial" w:cs="Arial" w:eastAsia="Arial" w:hAnsi="Arial"/>
                <w:sz w:val="11"/>
                <w:szCs w:val="11"/>
                <w:b w:val="1"/>
                <w:bCs w:val="1"/>
                <w:color w:val="auto"/>
                <w:w w:val="97"/>
              </w:rPr>
              <w:t>2008</w:t>
            </w: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40" w:type="dxa"/>
            <w:vAlign w:val="bottom"/>
            <w:gridSpan w:val="2"/>
          </w:tcPr>
          <w:p>
            <w:pPr>
              <w:jc w:val="center"/>
              <w:ind w:right="412"/>
              <w:spacing w:after="0" w:line="111" w:lineRule="exact"/>
              <w:rPr>
                <w:sz w:val="20"/>
                <w:szCs w:val="20"/>
                <w:color w:val="auto"/>
              </w:rPr>
            </w:pPr>
            <w:r>
              <w:rPr>
                <w:rFonts w:ascii="Arial" w:cs="Arial" w:eastAsia="Arial" w:hAnsi="Arial"/>
                <w:sz w:val="11"/>
                <w:szCs w:val="11"/>
                <w:b w:val="1"/>
                <w:bCs w:val="1"/>
                <w:color w:val="auto"/>
                <w:w w:val="89"/>
              </w:rPr>
              <w:t>% Increase/</w:t>
            </w:r>
          </w:p>
        </w:tc>
        <w:tc>
          <w:tcPr>
            <w:tcW w:w="100" w:type="dxa"/>
            <w:vAlign w:val="bottom"/>
          </w:tcPr>
          <w:p>
            <w:pPr>
              <w:spacing w:after="0"/>
              <w:rPr>
                <w:sz w:val="9"/>
                <w:szCs w:val="9"/>
                <w:color w:val="auto"/>
              </w:rPr>
            </w:pPr>
          </w:p>
        </w:tc>
        <w:tc>
          <w:tcPr>
            <w:tcW w:w="380" w:type="dxa"/>
            <w:vAlign w:val="bottom"/>
            <w:vMerge w:val="restart"/>
          </w:tcPr>
          <w:p>
            <w:pPr>
              <w:jc w:val="right"/>
              <w:ind w:right="76"/>
              <w:spacing w:after="0"/>
              <w:rPr>
                <w:sz w:val="20"/>
                <w:szCs w:val="20"/>
                <w:color w:val="auto"/>
              </w:rPr>
            </w:pPr>
            <w:r>
              <w:rPr>
                <w:rFonts w:ascii="Arial" w:cs="Arial" w:eastAsia="Arial" w:hAnsi="Arial"/>
                <w:sz w:val="11"/>
                <w:szCs w:val="11"/>
                <w:b w:val="1"/>
                <w:bCs w:val="1"/>
                <w:color w:val="auto"/>
                <w:w w:val="89"/>
              </w:rPr>
              <w:t>2007</w:t>
            </w:r>
          </w:p>
        </w:tc>
        <w:tc>
          <w:tcPr>
            <w:tcW w:w="460" w:type="dxa"/>
            <w:vAlign w:val="bottom"/>
          </w:tcPr>
          <w:p>
            <w:pPr>
              <w:spacing w:after="0"/>
              <w:rPr>
                <w:sz w:val="9"/>
                <w:szCs w:val="9"/>
                <w:color w:val="auto"/>
              </w:rPr>
            </w:pPr>
          </w:p>
        </w:tc>
        <w:tc>
          <w:tcPr>
            <w:tcW w:w="900" w:type="dxa"/>
            <w:vAlign w:val="bottom"/>
            <w:gridSpan w:val="2"/>
          </w:tcPr>
          <w:p>
            <w:pPr>
              <w:jc w:val="center"/>
              <w:ind w:right="120"/>
              <w:spacing w:after="0" w:line="111" w:lineRule="exact"/>
              <w:rPr>
                <w:sz w:val="20"/>
                <w:szCs w:val="20"/>
                <w:color w:val="auto"/>
              </w:rPr>
            </w:pPr>
            <w:r>
              <w:rPr>
                <w:rFonts w:ascii="Arial" w:cs="Arial" w:eastAsia="Arial" w:hAnsi="Arial"/>
                <w:sz w:val="11"/>
                <w:szCs w:val="11"/>
                <w:b w:val="1"/>
                <w:bCs w:val="1"/>
                <w:color w:val="auto"/>
                <w:w w:val="89"/>
              </w:rPr>
              <w:t>% Increase/</w:t>
            </w:r>
          </w:p>
        </w:tc>
        <w:tc>
          <w:tcPr>
            <w:tcW w:w="0" w:type="dxa"/>
            <w:vAlign w:val="bottom"/>
          </w:tcPr>
          <w:p>
            <w:pPr>
              <w:spacing w:after="0"/>
              <w:rPr>
                <w:sz w:val="1"/>
                <w:szCs w:val="1"/>
                <w:color w:val="auto"/>
              </w:rPr>
            </w:pPr>
          </w:p>
        </w:tc>
      </w:tr>
      <w:tr>
        <w:trPr>
          <w:trHeight w:val="128"/>
        </w:trPr>
        <w:tc>
          <w:tcPr>
            <w:tcW w:w="130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jc w:val="center"/>
              <w:ind w:right="392"/>
              <w:spacing w:after="0"/>
              <w:rPr>
                <w:sz w:val="20"/>
                <w:szCs w:val="20"/>
                <w:color w:val="auto"/>
              </w:rPr>
            </w:pPr>
            <w:r>
              <w:rPr>
                <w:rFonts w:ascii="Arial" w:cs="Arial" w:eastAsia="Arial" w:hAnsi="Arial"/>
                <w:sz w:val="11"/>
                <w:szCs w:val="11"/>
                <w:b w:val="1"/>
                <w:bCs w:val="1"/>
                <w:color w:val="auto"/>
                <w:w w:val="85"/>
              </w:rPr>
              <w:t>(Decrease)</w:t>
            </w:r>
          </w:p>
        </w:tc>
        <w:tc>
          <w:tcPr>
            <w:tcW w:w="100" w:type="dxa"/>
            <w:vAlign w:val="bottom"/>
          </w:tcPr>
          <w:p>
            <w:pPr>
              <w:spacing w:after="0"/>
              <w:rPr>
                <w:sz w:val="11"/>
                <w:szCs w:val="11"/>
                <w:color w:val="auto"/>
              </w:rPr>
            </w:pPr>
          </w:p>
        </w:tc>
        <w:tc>
          <w:tcPr>
            <w:tcW w:w="380" w:type="dxa"/>
            <w:vAlign w:val="bottom"/>
            <w:vMerge w:val="continue"/>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8"/>
              </w:rPr>
              <w:t>(Decrease)</w:t>
            </w:r>
          </w:p>
        </w:tc>
        <w:tc>
          <w:tcPr>
            <w:tcW w:w="0" w:type="dxa"/>
            <w:vAlign w:val="bottom"/>
          </w:tcPr>
          <w:p>
            <w:pPr>
              <w:spacing w:after="0"/>
              <w:rPr>
                <w:sz w:val="1"/>
                <w:szCs w:val="1"/>
                <w:color w:val="auto"/>
              </w:rPr>
            </w:pPr>
          </w:p>
        </w:tc>
      </w:tr>
      <w:tr>
        <w:trPr>
          <w:trHeight w:val="136"/>
        </w:trPr>
        <w:tc>
          <w:tcPr>
            <w:tcW w:w="130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(In</w:t>
            </w:r>
          </w:p>
        </w:tc>
        <w:tc>
          <w:tcPr>
            <w:tcW w:w="780" w:type="dxa"/>
            <w:vAlign w:val="bottom"/>
            <w:tcBorders>
              <w:top w:val="single" w:sz="8" w:color="auto"/>
            </w:tcBorders>
          </w:tcPr>
          <w:p>
            <w:pPr>
              <w:spacing w:after="0"/>
              <w:rPr>
                <w:sz w:val="20"/>
                <w:szCs w:val="20"/>
                <w:color w:val="auto"/>
              </w:rPr>
            </w:pPr>
            <w:r>
              <w:rPr>
                <w:rFonts w:ascii="Arial" w:cs="Arial" w:eastAsia="Arial" w:hAnsi="Arial"/>
                <w:sz w:val="11"/>
                <w:szCs w:val="11"/>
                <w:b w:val="1"/>
                <w:bCs w:val="1"/>
                <w:color w:val="auto"/>
                <w:w w:val="92"/>
              </w:rPr>
              <w:t>millions, except</w:t>
            </w:r>
          </w:p>
        </w:tc>
        <w:tc>
          <w:tcPr>
            <w:tcW w:w="460" w:type="dxa"/>
            <w:vAlign w:val="bottom"/>
          </w:tcPr>
          <w:p>
            <w:pPr>
              <w:jc w:val="right"/>
              <w:spacing w:after="0"/>
              <w:rPr>
                <w:sz w:val="20"/>
                <w:szCs w:val="20"/>
                <w:color w:val="auto"/>
              </w:rPr>
            </w:pPr>
            <w:r>
              <w:rPr>
                <w:rFonts w:ascii="Arial" w:cs="Arial" w:eastAsia="Arial" w:hAnsi="Arial"/>
                <w:sz w:val="10"/>
                <w:szCs w:val="10"/>
                <w:b w:val="1"/>
                <w:bCs w:val="1"/>
                <w:color w:val="auto"/>
                <w:w w:val="70"/>
              </w:rPr>
              <w:t>percentages)</w:t>
            </w:r>
          </w:p>
        </w:tc>
        <w:tc>
          <w:tcPr>
            <w:tcW w:w="10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5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Revenue</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679.9</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718.4</w:t>
            </w:r>
          </w:p>
        </w:tc>
        <w:tc>
          <w:tcPr>
            <w:tcW w:w="1500" w:type="dxa"/>
            <w:vAlign w:val="bottom"/>
            <w:gridSpan w:val="3"/>
            <w:shd w:val="clear" w:color="auto" w:fill="CCEEFF"/>
          </w:tcPr>
          <w:p>
            <w:pPr>
              <w:jc w:val="right"/>
              <w:ind w:right="252"/>
              <w:spacing w:after="0"/>
              <w:rPr>
                <w:sz w:val="20"/>
                <w:szCs w:val="20"/>
                <w:color w:val="auto"/>
              </w:rPr>
            </w:pPr>
            <w:r>
              <w:rPr>
                <w:rFonts w:ascii="Arial" w:cs="Arial" w:eastAsia="Arial" w:hAnsi="Arial"/>
                <w:sz w:val="13"/>
                <w:szCs w:val="13"/>
                <w:color w:val="auto"/>
              </w:rPr>
              <w:t>(5.4)%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507.9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41.4%</w:t>
            </w:r>
          </w:p>
        </w:tc>
        <w:tc>
          <w:tcPr>
            <w:tcW w:w="0" w:type="dxa"/>
            <w:vAlign w:val="bottom"/>
          </w:tcPr>
          <w:p>
            <w:pPr>
              <w:spacing w:after="0"/>
              <w:rPr>
                <w:sz w:val="1"/>
                <w:szCs w:val="1"/>
                <w:color w:val="auto"/>
              </w:rPr>
            </w:pPr>
          </w:p>
        </w:tc>
      </w:tr>
      <w:tr>
        <w:trPr>
          <w:trHeight w:val="161"/>
        </w:trPr>
        <w:tc>
          <w:tcPr>
            <w:tcW w:w="5000" w:type="dxa"/>
            <w:vAlign w:val="bottom"/>
            <w:gridSpan w:val="2"/>
          </w:tcPr>
          <w:p>
            <w:pPr>
              <w:spacing w:after="0"/>
              <w:rPr>
                <w:sz w:val="20"/>
                <w:szCs w:val="20"/>
                <w:color w:val="auto"/>
              </w:rPr>
            </w:pPr>
            <w:r>
              <w:rPr>
                <w:rFonts w:ascii="Arial" w:cs="Arial" w:eastAsia="Arial" w:hAnsi="Arial"/>
                <w:sz w:val="13"/>
                <w:szCs w:val="13"/>
                <w:color w:val="auto"/>
              </w:rPr>
              <w:t>Net loss</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340"/>
              <w:spacing w:after="0"/>
              <w:rPr>
                <w:sz w:val="20"/>
                <w:szCs w:val="20"/>
                <w:color w:val="auto"/>
              </w:rPr>
            </w:pPr>
            <w:r>
              <w:rPr>
                <w:rFonts w:ascii="Arial" w:cs="Arial" w:eastAsia="Arial" w:hAnsi="Arial"/>
                <w:sz w:val="13"/>
                <w:szCs w:val="13"/>
                <w:color w:val="auto"/>
              </w:rPr>
              <w:t>(355.0)</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gridSpan w:val="2"/>
          </w:tcPr>
          <w:p>
            <w:pPr>
              <w:jc w:val="right"/>
              <w:ind w:right="140"/>
              <w:spacing w:after="0"/>
              <w:rPr>
                <w:sz w:val="20"/>
                <w:szCs w:val="20"/>
                <w:color w:val="auto"/>
              </w:rPr>
            </w:pPr>
            <w:r>
              <w:rPr>
                <w:rFonts w:ascii="Arial" w:cs="Arial" w:eastAsia="Arial" w:hAnsi="Arial"/>
                <w:sz w:val="13"/>
                <w:szCs w:val="13"/>
                <w:color w:val="auto"/>
              </w:rPr>
              <w:t>(11.9)</w:t>
            </w:r>
          </w:p>
        </w:tc>
        <w:tc>
          <w:tcPr>
            <w:tcW w:w="260" w:type="dxa"/>
            <w:vAlign w:val="bottom"/>
          </w:tcPr>
          <w:p>
            <w:pPr>
              <w:spacing w:after="0"/>
              <w:rPr>
                <w:sz w:val="14"/>
                <w:szCs w:val="14"/>
                <w:color w:val="auto"/>
              </w:rPr>
            </w:pPr>
          </w:p>
        </w:tc>
        <w:tc>
          <w:tcPr>
            <w:tcW w:w="1240" w:type="dxa"/>
            <w:vAlign w:val="bottom"/>
            <w:gridSpan w:val="2"/>
          </w:tcPr>
          <w:p>
            <w:pPr>
              <w:jc w:val="right"/>
              <w:ind w:right="412"/>
              <w:spacing w:after="0"/>
              <w:rPr>
                <w:sz w:val="20"/>
                <w:szCs w:val="20"/>
                <w:color w:val="auto"/>
              </w:rPr>
            </w:pPr>
            <w:r>
              <w:rPr>
                <w:rFonts w:ascii="Arial" w:cs="Arial" w:eastAsia="Arial" w:hAnsi="Arial"/>
                <w:sz w:val="13"/>
                <w:szCs w:val="13"/>
                <w:color w:val="auto"/>
              </w:rPr>
              <w:t>N/M</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420"/>
              <w:spacing w:after="0"/>
              <w:rPr>
                <w:sz w:val="20"/>
                <w:szCs w:val="20"/>
                <w:color w:val="auto"/>
              </w:rPr>
            </w:pPr>
            <w:r>
              <w:rPr>
                <w:rFonts w:ascii="Arial" w:cs="Arial" w:eastAsia="Arial" w:hAnsi="Arial"/>
                <w:sz w:val="13"/>
                <w:szCs w:val="13"/>
                <w:color w:val="auto"/>
              </w:rPr>
              <w:t>(21.8)</w:t>
            </w: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auto"/>
              </w:rPr>
              <w:t>N/M</w:t>
            </w:r>
          </w:p>
        </w:tc>
        <w:tc>
          <w:tcPr>
            <w:tcW w:w="0" w:type="dxa"/>
            <w:vAlign w:val="bottom"/>
          </w:tcPr>
          <w:p>
            <w:pPr>
              <w:spacing w:after="0"/>
              <w:rPr>
                <w:sz w:val="1"/>
                <w:szCs w:val="1"/>
                <w:color w:val="auto"/>
              </w:rPr>
            </w:pPr>
          </w:p>
        </w:tc>
      </w:tr>
      <w:tr>
        <w:trPr>
          <w:trHeight w:val="161"/>
        </w:trPr>
        <w:tc>
          <w:tcPr>
            <w:tcW w:w="5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 of revenue</w:t>
            </w:r>
          </w:p>
        </w:tc>
        <w:tc>
          <w:tcPr>
            <w:tcW w:w="1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N/M</w:t>
            </w: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(1.7)%</w:t>
            </w:r>
          </w:p>
        </w:tc>
        <w:tc>
          <w:tcPr>
            <w:tcW w:w="26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412"/>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(4.3)%</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01"/>
        </w:trPr>
        <w:tc>
          <w:tcPr>
            <w:tcW w:w="1300" w:type="dxa"/>
            <w:vAlign w:val="bottom"/>
            <w:tcBorders>
              <w:bottom w:val="single" w:sz="8" w:color="auto"/>
            </w:tcBorders>
          </w:tcPr>
          <w:p>
            <w:pPr>
              <w:spacing w:after="0"/>
              <w:rPr>
                <w:sz w:val="8"/>
                <w:szCs w:val="8"/>
                <w:color w:val="auto"/>
              </w:rPr>
            </w:pPr>
          </w:p>
        </w:tc>
        <w:tc>
          <w:tcPr>
            <w:tcW w:w="3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N/M = Not meaningful, as used in tables throughout this MD&amp;A.</w:t>
      </w:r>
    </w:p>
    <w:p>
      <w:pPr>
        <w:spacing w:after="0" w:line="18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Fiscal 2009 Compared with Fiscal 2008</w:t>
      </w:r>
    </w:p>
    <w:p>
      <w:pPr>
        <w:spacing w:after="0" w:line="104" w:lineRule="exact"/>
        <w:rPr>
          <w:sz w:val="20"/>
          <w:szCs w:val="20"/>
          <w:color w:val="auto"/>
        </w:rPr>
      </w:pPr>
    </w:p>
    <w:p>
      <w:pPr>
        <w:ind w:left="680" w:right="180" w:firstLine="399"/>
        <w:spacing w:after="0" w:line="267" w:lineRule="auto"/>
        <w:rPr>
          <w:sz w:val="20"/>
          <w:szCs w:val="20"/>
          <w:color w:val="auto"/>
        </w:rPr>
      </w:pPr>
      <w:r>
        <w:rPr>
          <w:rFonts w:ascii="Arial" w:cs="Arial" w:eastAsia="Arial" w:hAnsi="Arial"/>
          <w:sz w:val="13"/>
          <w:szCs w:val="13"/>
          <w:color w:val="auto"/>
        </w:rPr>
        <w:t>Our revenue in fiscal 2009 was $679.9 million, a decrease of $38.5 million or 5.4%, compared with fiscal 2008. This decrease in revenue resulted from declines in all regions (except Africa) primarily due to the global economic recession and the continuing credit crisis adversely affecting our customers expansion, as well as increased competition from our competitors. Compared with fiscal 2008, revenue in fiscal 2009 in Europe, Middle East and Russia declined by $23.4 million, Latin America and Asia-Pacific declined $15.1 million, and North America was down $5.4 million. These decreases were partially offset by growth in Africa ($15.1 million increase) as customers in this region continued to expand their network infrastructures prior to the slowdown in the third quarter of fiscal 2009.</w:t>
      </w:r>
    </w:p>
    <w:p>
      <w:pPr>
        <w:spacing w:after="0" w:line="65" w:lineRule="exact"/>
        <w:rPr>
          <w:sz w:val="20"/>
          <w:szCs w:val="20"/>
          <w:color w:val="auto"/>
        </w:rPr>
      </w:pPr>
    </w:p>
    <w:p>
      <w:pPr>
        <w:jc w:val="both"/>
        <w:ind w:left="680" w:right="20" w:firstLine="399"/>
        <w:spacing w:after="0" w:line="276" w:lineRule="auto"/>
        <w:rPr>
          <w:sz w:val="20"/>
          <w:szCs w:val="20"/>
          <w:color w:val="auto"/>
        </w:rPr>
      </w:pPr>
      <w:r>
        <w:rPr>
          <w:rFonts w:ascii="Arial" w:cs="Arial" w:eastAsia="Arial" w:hAnsi="Arial"/>
          <w:sz w:val="13"/>
          <w:szCs w:val="13"/>
          <w:color w:val="auto"/>
        </w:rPr>
        <w:t>During fiscal 2009, the MTN group in Africa accounted for 17% of our total revenue compared with 13% during fiscal 2008. We have entered into separate and distinct contracts with MTN as well as separate arrangements with MTN group subsidiaries. None of such other contracts on an individual basis are material to our operations. The loss of all MTN group business could adversely affect our results of operations, cash flows and financial position.</w:t>
      </w:r>
    </w:p>
    <w:p>
      <w:pPr>
        <w:spacing w:after="0" w:line="59" w:lineRule="exact"/>
        <w:rPr>
          <w:sz w:val="20"/>
          <w:szCs w:val="20"/>
          <w:color w:val="auto"/>
        </w:rPr>
      </w:pPr>
    </w:p>
    <w:p>
      <w:pPr>
        <w:ind w:left="680" w:firstLine="399"/>
        <w:spacing w:after="0" w:line="294" w:lineRule="auto"/>
        <w:rPr>
          <w:sz w:val="20"/>
          <w:szCs w:val="20"/>
          <w:color w:val="auto"/>
        </w:rPr>
      </w:pPr>
      <w:r>
        <w:rPr>
          <w:rFonts w:ascii="Arial" w:cs="Arial" w:eastAsia="Arial" w:hAnsi="Arial"/>
          <w:sz w:val="13"/>
          <w:szCs w:val="13"/>
          <w:color w:val="auto"/>
        </w:rPr>
        <w:t>Our net loss in fiscal 2009 was $355.0 million compared with $11.9 million in fiscal 2008. The net loss in fiscal 2009 included $311.6 million of impairment charges for goodwill and the trade name “Stratex” and $29.8 million of charges related to the accelerated transition towards a common IP-based platform.</w:t>
      </w:r>
    </w:p>
    <w:p>
      <w:pPr>
        <w:spacing w:after="0" w:line="24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37" w:name="page38"/>
    <w:bookmarkEnd w:id="3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360" w:firstLine="399"/>
        <w:spacing w:after="0" w:line="294" w:lineRule="auto"/>
        <w:rPr>
          <w:sz w:val="20"/>
          <w:szCs w:val="20"/>
          <w:color w:val="auto"/>
        </w:rPr>
      </w:pPr>
      <w:r>
        <w:rPr>
          <w:rFonts w:ascii="Arial" w:cs="Arial" w:eastAsia="Arial" w:hAnsi="Arial"/>
          <w:sz w:val="13"/>
          <w:szCs w:val="13"/>
          <w:color w:val="auto"/>
        </w:rPr>
        <w:t>These charges, as well as purchase accounting adjustments and other expenses related to the acquisitions of Stratex and Telsima, share-based compensation expense and an impairment for software are set forth on a comparative basis in the table below:</w:t>
      </w:r>
    </w:p>
    <w:p>
      <w:pPr>
        <w:spacing w:after="0" w:line="35"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8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ind w:left="40"/>
              <w:spacing w:after="0"/>
              <w:rPr>
                <w:sz w:val="20"/>
                <w:szCs w:val="20"/>
                <w:color w:val="auto"/>
              </w:rPr>
            </w:pPr>
            <w:r>
              <w:rPr>
                <w:rFonts w:ascii="Arial" w:cs="Arial" w:eastAsia="Arial" w:hAnsi="Arial"/>
                <w:sz w:val="11"/>
                <w:szCs w:val="11"/>
                <w:b w:val="1"/>
                <w:bCs w:val="1"/>
                <w:color w:val="auto"/>
              </w:rPr>
              <w:t>Fiscal</w:t>
            </w:r>
          </w:p>
        </w:tc>
        <w:tc>
          <w:tcPr>
            <w:tcW w:w="480" w:type="dxa"/>
            <w:vAlign w:val="bottom"/>
            <w:gridSpan w:val="3"/>
          </w:tcPr>
          <w:p>
            <w:pPr>
              <w:ind w:left="60"/>
              <w:spacing w:after="0"/>
              <w:rPr>
                <w:sz w:val="20"/>
                <w:szCs w:val="20"/>
                <w:color w:val="auto"/>
              </w:rPr>
            </w:pPr>
            <w:r>
              <w:rPr>
                <w:rFonts w:ascii="Arial" w:cs="Arial" w:eastAsia="Arial" w:hAnsi="Arial"/>
                <w:sz w:val="11"/>
                <w:szCs w:val="11"/>
                <w:b w:val="1"/>
                <w:bCs w:val="1"/>
                <w:color w:val="auto"/>
              </w:rPr>
              <w:t>Fiscal</w:t>
            </w:r>
          </w:p>
        </w:tc>
        <w:tc>
          <w:tcPr>
            <w:tcW w:w="0" w:type="dxa"/>
            <w:vAlign w:val="bottom"/>
          </w:tcPr>
          <w:p>
            <w:pPr>
              <w:spacing w:after="0"/>
              <w:rPr>
                <w:sz w:val="1"/>
                <w:szCs w:val="1"/>
                <w:color w:val="auto"/>
              </w:rPr>
            </w:pPr>
          </w:p>
        </w:tc>
      </w:tr>
      <w:tr>
        <w:trPr>
          <w:trHeight w:val="128"/>
        </w:trPr>
        <w:tc>
          <w:tcPr>
            <w:tcW w:w="86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ind w:right="75"/>
              <w:spacing w:after="0"/>
              <w:rPr>
                <w:sz w:val="20"/>
                <w:szCs w:val="20"/>
                <w:color w:val="auto"/>
              </w:rPr>
            </w:pPr>
            <w:r>
              <w:rPr>
                <w:rFonts w:ascii="Arial" w:cs="Arial" w:eastAsia="Arial" w:hAnsi="Arial"/>
                <w:sz w:val="11"/>
                <w:szCs w:val="11"/>
                <w:b w:val="1"/>
                <w:bCs w:val="1"/>
                <w:color w:val="auto"/>
              </w:rPr>
              <w:t>2009</w:t>
            </w:r>
          </w:p>
        </w:tc>
        <w:tc>
          <w:tcPr>
            <w:tcW w:w="400" w:type="dxa"/>
            <w:vAlign w:val="bottom"/>
            <w:vMerge w:val="restart"/>
          </w:tcPr>
          <w:p>
            <w:pPr>
              <w:ind w:left="20"/>
              <w:spacing w:after="0"/>
              <w:rPr>
                <w:sz w:val="20"/>
                <w:szCs w:val="20"/>
                <w:color w:val="auto"/>
              </w:rPr>
            </w:pPr>
            <w:r>
              <w:rPr>
                <w:rFonts w:ascii="Arial" w:cs="Arial" w:eastAsia="Arial" w:hAnsi="Arial"/>
                <w:sz w:val="11"/>
                <w:szCs w:val="11"/>
                <w:b w:val="1"/>
                <w:bCs w:val="1"/>
                <w:color w:val="auto"/>
                <w:w w:val="79"/>
              </w:rPr>
              <w:t>millions)</w:t>
            </w: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jc w:val="right"/>
              <w:ind w:right="34"/>
              <w:spacing w:after="0"/>
              <w:rPr>
                <w:sz w:val="20"/>
                <w:szCs w:val="20"/>
                <w:color w:val="auto"/>
              </w:rPr>
            </w:pPr>
            <w:r>
              <w:rPr>
                <w:rFonts w:ascii="Arial" w:cs="Arial" w:eastAsia="Arial" w:hAnsi="Arial"/>
                <w:sz w:val="11"/>
                <w:szCs w:val="11"/>
                <w:b w:val="1"/>
                <w:bCs w:val="1"/>
                <w:color w:val="auto"/>
                <w:w w:val="81"/>
              </w:rPr>
              <w:t>2008</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b w:val="1"/>
                <w:bCs w:val="1"/>
                <w:color w:val="auto"/>
              </w:rPr>
              <w:t>(In</w:t>
            </w:r>
          </w:p>
        </w:tc>
        <w:tc>
          <w:tcPr>
            <w:tcW w:w="4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8600" w:type="dxa"/>
            <w:vAlign w:val="bottom"/>
            <w:shd w:val="clear" w:color="auto" w:fill="CCEEFF"/>
          </w:tcPr>
          <w:p>
            <w:pPr>
              <w:spacing w:after="0"/>
              <w:rPr>
                <w:sz w:val="20"/>
                <w:szCs w:val="20"/>
                <w:color w:val="auto"/>
              </w:rPr>
            </w:pPr>
            <w:r>
              <w:rPr>
                <w:rFonts w:ascii="Arial" w:cs="Arial" w:eastAsia="Arial" w:hAnsi="Arial"/>
                <w:sz w:val="13"/>
                <w:szCs w:val="13"/>
                <w:color w:val="auto"/>
              </w:rPr>
              <w:t>Goodwill impairment charges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346"/>
              <w:spacing w:after="0"/>
              <w:rPr>
                <w:sz w:val="20"/>
                <w:szCs w:val="20"/>
                <w:color w:val="auto"/>
              </w:rPr>
            </w:pPr>
            <w:r>
              <w:rPr>
                <w:rFonts w:ascii="Arial" w:cs="Arial" w:eastAsia="Arial" w:hAnsi="Arial"/>
                <w:sz w:val="13"/>
                <w:szCs w:val="13"/>
                <w:color w:val="auto"/>
              </w:rPr>
              <w:t>279.0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8600" w:type="dxa"/>
            <w:vAlign w:val="bottom"/>
          </w:tcPr>
          <w:p>
            <w:pPr>
              <w:spacing w:after="0"/>
              <w:rPr>
                <w:sz w:val="20"/>
                <w:szCs w:val="20"/>
                <w:color w:val="auto"/>
              </w:rPr>
            </w:pPr>
            <w:r>
              <w:rPr>
                <w:rFonts w:ascii="Arial" w:cs="Arial" w:eastAsia="Arial" w:hAnsi="Arial"/>
                <w:sz w:val="13"/>
                <w:szCs w:val="13"/>
                <w:color w:val="auto"/>
              </w:rPr>
              <w:t>Impairment charges for the trade name “Stratex”</w:t>
            </w:r>
          </w:p>
        </w:tc>
        <w:tc>
          <w:tcPr>
            <w:tcW w:w="80" w:type="dxa"/>
            <w:vAlign w:val="bottom"/>
          </w:tcPr>
          <w:p>
            <w:pPr>
              <w:spacing w:after="0"/>
              <w:rPr>
                <w:sz w:val="14"/>
                <w:szCs w:val="14"/>
                <w:color w:val="auto"/>
              </w:rPr>
            </w:pPr>
          </w:p>
        </w:tc>
        <w:tc>
          <w:tcPr>
            <w:tcW w:w="820" w:type="dxa"/>
            <w:vAlign w:val="bottom"/>
            <w:gridSpan w:val="2"/>
          </w:tcPr>
          <w:p>
            <w:pPr>
              <w:jc w:val="right"/>
              <w:ind w:right="346"/>
              <w:spacing w:after="0"/>
              <w:rPr>
                <w:sz w:val="20"/>
                <w:szCs w:val="20"/>
                <w:color w:val="auto"/>
              </w:rPr>
            </w:pPr>
            <w:r>
              <w:rPr>
                <w:rFonts w:ascii="Arial" w:cs="Arial" w:eastAsia="Arial" w:hAnsi="Arial"/>
                <w:sz w:val="13"/>
                <w:szCs w:val="13"/>
                <w:color w:val="auto"/>
              </w:rPr>
              <w:t>32.6</w:t>
            </w:r>
          </w:p>
        </w:tc>
        <w:tc>
          <w:tcPr>
            <w:tcW w:w="80" w:type="dxa"/>
            <w:vAlign w:val="bottom"/>
          </w:tcPr>
          <w:p>
            <w:pPr>
              <w:spacing w:after="0"/>
              <w:rPr>
                <w:sz w:val="14"/>
                <w:szCs w:val="14"/>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8600" w:type="dxa"/>
            <w:vAlign w:val="bottom"/>
            <w:shd w:val="clear" w:color="auto" w:fill="CCEEFF"/>
          </w:tcPr>
          <w:p>
            <w:pPr>
              <w:spacing w:after="0"/>
              <w:rPr>
                <w:sz w:val="20"/>
                <w:szCs w:val="20"/>
                <w:color w:val="auto"/>
              </w:rPr>
            </w:pPr>
            <w:r>
              <w:rPr>
                <w:rFonts w:ascii="Arial" w:cs="Arial" w:eastAsia="Arial" w:hAnsi="Arial"/>
                <w:sz w:val="13"/>
                <w:szCs w:val="13"/>
                <w:color w:val="auto"/>
              </w:rPr>
              <w:t>Charges for product transition</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346"/>
              <w:spacing w:after="0"/>
              <w:rPr>
                <w:sz w:val="20"/>
                <w:szCs w:val="20"/>
                <w:color w:val="auto"/>
              </w:rPr>
            </w:pPr>
            <w:r>
              <w:rPr>
                <w:rFonts w:ascii="Arial" w:cs="Arial" w:eastAsia="Arial" w:hAnsi="Arial"/>
                <w:sz w:val="13"/>
                <w:szCs w:val="13"/>
                <w:color w:val="auto"/>
              </w:rPr>
              <w:t>29.8</w:t>
            </w:r>
          </w:p>
        </w:tc>
        <w:tc>
          <w:tcPr>
            <w:tcW w:w="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8600" w:type="dxa"/>
            <w:vAlign w:val="bottom"/>
          </w:tcPr>
          <w:p>
            <w:pPr>
              <w:spacing w:after="0"/>
              <w:rPr>
                <w:sz w:val="20"/>
                <w:szCs w:val="20"/>
                <w:color w:val="auto"/>
              </w:rPr>
            </w:pPr>
            <w:r>
              <w:rPr>
                <w:rFonts w:ascii="Arial" w:cs="Arial" w:eastAsia="Arial" w:hAnsi="Arial"/>
                <w:sz w:val="13"/>
                <w:szCs w:val="13"/>
                <w:color w:val="auto"/>
              </w:rPr>
              <w:t>Restructuring charges</w:t>
            </w:r>
          </w:p>
        </w:tc>
        <w:tc>
          <w:tcPr>
            <w:tcW w:w="80" w:type="dxa"/>
            <w:vAlign w:val="bottom"/>
          </w:tcPr>
          <w:p>
            <w:pPr>
              <w:spacing w:after="0"/>
              <w:rPr>
                <w:sz w:val="14"/>
                <w:szCs w:val="14"/>
                <w:color w:val="auto"/>
              </w:rPr>
            </w:pPr>
          </w:p>
        </w:tc>
        <w:tc>
          <w:tcPr>
            <w:tcW w:w="820" w:type="dxa"/>
            <w:vAlign w:val="bottom"/>
            <w:gridSpan w:val="2"/>
          </w:tcPr>
          <w:p>
            <w:pPr>
              <w:jc w:val="right"/>
              <w:ind w:right="346"/>
              <w:spacing w:after="0"/>
              <w:rPr>
                <w:sz w:val="20"/>
                <w:szCs w:val="20"/>
                <w:color w:val="auto"/>
              </w:rPr>
            </w:pPr>
            <w:r>
              <w:rPr>
                <w:rFonts w:ascii="Arial" w:cs="Arial" w:eastAsia="Arial" w:hAnsi="Arial"/>
                <w:sz w:val="13"/>
                <w:szCs w:val="13"/>
                <w:color w:val="auto"/>
              </w:rPr>
              <w:t>8.2</w:t>
            </w:r>
          </w:p>
        </w:tc>
        <w:tc>
          <w:tcPr>
            <w:tcW w:w="80" w:type="dxa"/>
            <w:vAlign w:val="bottom"/>
          </w:tcPr>
          <w:p>
            <w:pPr>
              <w:spacing w:after="0"/>
              <w:rPr>
                <w:sz w:val="14"/>
                <w:szCs w:val="14"/>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3"/>
                <w:szCs w:val="13"/>
                <w:color w:val="auto"/>
              </w:rPr>
              <w:t>9.3</w:t>
            </w:r>
          </w:p>
        </w:tc>
        <w:tc>
          <w:tcPr>
            <w:tcW w:w="0" w:type="dxa"/>
            <w:vAlign w:val="bottom"/>
          </w:tcPr>
          <w:p>
            <w:pPr>
              <w:spacing w:after="0"/>
              <w:rPr>
                <w:sz w:val="1"/>
                <w:szCs w:val="1"/>
                <w:color w:val="auto"/>
              </w:rPr>
            </w:pPr>
          </w:p>
        </w:tc>
      </w:tr>
      <w:tr>
        <w:trPr>
          <w:trHeight w:val="161"/>
        </w:trPr>
        <w:tc>
          <w:tcPr>
            <w:tcW w:w="8600" w:type="dxa"/>
            <w:vAlign w:val="bottom"/>
            <w:shd w:val="clear" w:color="auto" w:fill="CCEEFF"/>
          </w:tcPr>
          <w:p>
            <w:pPr>
              <w:spacing w:after="0"/>
              <w:rPr>
                <w:sz w:val="20"/>
                <w:szCs w:val="20"/>
                <w:color w:val="auto"/>
              </w:rPr>
            </w:pPr>
            <w:r>
              <w:rPr>
                <w:rFonts w:ascii="Arial" w:cs="Arial" w:eastAsia="Arial" w:hAnsi="Arial"/>
                <w:sz w:val="13"/>
                <w:szCs w:val="13"/>
                <w:color w:val="auto"/>
              </w:rPr>
              <w:t>Amortization of developed technology</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346"/>
              <w:spacing w:after="0"/>
              <w:rPr>
                <w:sz w:val="20"/>
                <w:szCs w:val="20"/>
                <w:color w:val="auto"/>
              </w:rPr>
            </w:pPr>
            <w:r>
              <w:rPr>
                <w:rFonts w:ascii="Arial" w:cs="Arial" w:eastAsia="Arial" w:hAnsi="Arial"/>
                <w:sz w:val="13"/>
                <w:szCs w:val="13"/>
                <w:color w:val="auto"/>
              </w:rPr>
              <w:t>7.5</w:t>
            </w:r>
          </w:p>
        </w:tc>
        <w:tc>
          <w:tcPr>
            <w:tcW w:w="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7.1</w:t>
            </w:r>
          </w:p>
        </w:tc>
        <w:tc>
          <w:tcPr>
            <w:tcW w:w="0" w:type="dxa"/>
            <w:vAlign w:val="bottom"/>
          </w:tcPr>
          <w:p>
            <w:pPr>
              <w:spacing w:after="0"/>
              <w:rPr>
                <w:sz w:val="1"/>
                <w:szCs w:val="1"/>
                <w:color w:val="auto"/>
              </w:rPr>
            </w:pPr>
          </w:p>
        </w:tc>
      </w:tr>
      <w:tr>
        <w:trPr>
          <w:trHeight w:val="161"/>
        </w:trPr>
        <w:tc>
          <w:tcPr>
            <w:tcW w:w="8600" w:type="dxa"/>
            <w:vAlign w:val="bottom"/>
          </w:tcPr>
          <w:p>
            <w:pPr>
              <w:spacing w:after="0"/>
              <w:rPr>
                <w:sz w:val="20"/>
                <w:szCs w:val="20"/>
                <w:color w:val="auto"/>
              </w:rPr>
            </w:pPr>
            <w:r>
              <w:rPr>
                <w:rFonts w:ascii="Arial" w:cs="Arial" w:eastAsia="Arial" w:hAnsi="Arial"/>
                <w:sz w:val="13"/>
                <w:szCs w:val="13"/>
                <w:color w:val="auto"/>
              </w:rPr>
              <w:t>Amortization of trade names, customer relationships and non-competition agreements</w:t>
            </w:r>
          </w:p>
        </w:tc>
        <w:tc>
          <w:tcPr>
            <w:tcW w:w="80" w:type="dxa"/>
            <w:vAlign w:val="bottom"/>
          </w:tcPr>
          <w:p>
            <w:pPr>
              <w:spacing w:after="0"/>
              <w:rPr>
                <w:sz w:val="14"/>
                <w:szCs w:val="14"/>
                <w:color w:val="auto"/>
              </w:rPr>
            </w:pPr>
          </w:p>
        </w:tc>
        <w:tc>
          <w:tcPr>
            <w:tcW w:w="820" w:type="dxa"/>
            <w:vAlign w:val="bottom"/>
            <w:gridSpan w:val="2"/>
          </w:tcPr>
          <w:p>
            <w:pPr>
              <w:jc w:val="right"/>
              <w:ind w:right="346"/>
              <w:spacing w:after="0"/>
              <w:rPr>
                <w:sz w:val="20"/>
                <w:szCs w:val="20"/>
                <w:color w:val="auto"/>
              </w:rPr>
            </w:pPr>
            <w:r>
              <w:rPr>
                <w:rFonts w:ascii="Arial" w:cs="Arial" w:eastAsia="Arial" w:hAnsi="Arial"/>
                <w:sz w:val="13"/>
                <w:szCs w:val="13"/>
                <w:color w:val="auto"/>
              </w:rPr>
              <w:t>5.7</w:t>
            </w:r>
          </w:p>
        </w:tc>
        <w:tc>
          <w:tcPr>
            <w:tcW w:w="80" w:type="dxa"/>
            <w:vAlign w:val="bottom"/>
          </w:tcPr>
          <w:p>
            <w:pPr>
              <w:spacing w:after="0"/>
              <w:rPr>
                <w:sz w:val="14"/>
                <w:szCs w:val="14"/>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3"/>
                <w:szCs w:val="13"/>
                <w:color w:val="auto"/>
              </w:rPr>
              <w:t>6.7</w:t>
            </w:r>
          </w:p>
        </w:tc>
        <w:tc>
          <w:tcPr>
            <w:tcW w:w="0" w:type="dxa"/>
            <w:vAlign w:val="bottom"/>
          </w:tcPr>
          <w:p>
            <w:pPr>
              <w:spacing w:after="0"/>
              <w:rPr>
                <w:sz w:val="1"/>
                <w:szCs w:val="1"/>
                <w:color w:val="auto"/>
              </w:rPr>
            </w:pPr>
          </w:p>
        </w:tc>
      </w:tr>
      <w:tr>
        <w:trPr>
          <w:trHeight w:val="161"/>
        </w:trPr>
        <w:tc>
          <w:tcPr>
            <w:tcW w:w="8600" w:type="dxa"/>
            <w:vAlign w:val="bottom"/>
            <w:shd w:val="clear" w:color="auto" w:fill="CCEEFF"/>
          </w:tcPr>
          <w:p>
            <w:pPr>
              <w:spacing w:after="0"/>
              <w:rPr>
                <w:sz w:val="20"/>
                <w:szCs w:val="20"/>
                <w:color w:val="auto"/>
              </w:rPr>
            </w:pPr>
            <w:r>
              <w:rPr>
                <w:rFonts w:ascii="Arial" w:cs="Arial" w:eastAsia="Arial" w:hAnsi="Arial"/>
                <w:sz w:val="13"/>
                <w:szCs w:val="13"/>
                <w:color w:val="auto"/>
              </w:rPr>
              <w:t>Software impairment charges</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346"/>
              <w:spacing w:after="0"/>
              <w:rPr>
                <w:sz w:val="20"/>
                <w:szCs w:val="20"/>
                <w:color w:val="auto"/>
              </w:rPr>
            </w:pPr>
            <w:r>
              <w:rPr>
                <w:rFonts w:ascii="Arial" w:cs="Arial" w:eastAsia="Arial" w:hAnsi="Arial"/>
                <w:sz w:val="13"/>
                <w:szCs w:val="13"/>
                <w:color w:val="auto"/>
              </w:rPr>
              <w:t>3.2</w:t>
            </w:r>
          </w:p>
        </w:tc>
        <w:tc>
          <w:tcPr>
            <w:tcW w:w="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8600" w:type="dxa"/>
            <w:vAlign w:val="bottom"/>
          </w:tcPr>
          <w:p>
            <w:pPr>
              <w:spacing w:after="0"/>
              <w:rPr>
                <w:sz w:val="20"/>
                <w:szCs w:val="20"/>
                <w:color w:val="auto"/>
              </w:rPr>
            </w:pPr>
            <w:r>
              <w:rPr>
                <w:rFonts w:ascii="Arial" w:cs="Arial" w:eastAsia="Arial" w:hAnsi="Arial"/>
                <w:sz w:val="13"/>
                <w:szCs w:val="13"/>
                <w:color w:val="auto"/>
              </w:rPr>
              <w:t>Acquired in-process research and development</w:t>
            </w:r>
          </w:p>
        </w:tc>
        <w:tc>
          <w:tcPr>
            <w:tcW w:w="80" w:type="dxa"/>
            <w:vAlign w:val="bottom"/>
          </w:tcPr>
          <w:p>
            <w:pPr>
              <w:spacing w:after="0"/>
              <w:rPr>
                <w:sz w:val="14"/>
                <w:szCs w:val="14"/>
                <w:color w:val="auto"/>
              </w:rPr>
            </w:pPr>
          </w:p>
        </w:tc>
        <w:tc>
          <w:tcPr>
            <w:tcW w:w="820" w:type="dxa"/>
            <w:vAlign w:val="bottom"/>
            <w:gridSpan w:val="2"/>
          </w:tcPr>
          <w:p>
            <w:pPr>
              <w:jc w:val="right"/>
              <w:ind w:right="346"/>
              <w:spacing w:after="0"/>
              <w:rPr>
                <w:sz w:val="20"/>
                <w:szCs w:val="20"/>
                <w:color w:val="auto"/>
              </w:rPr>
            </w:pPr>
            <w:r>
              <w:rPr>
                <w:rFonts w:ascii="Arial" w:cs="Arial" w:eastAsia="Arial" w:hAnsi="Arial"/>
                <w:sz w:val="13"/>
                <w:szCs w:val="13"/>
                <w:color w:val="auto"/>
              </w:rPr>
              <w:t>2.4</w:t>
            </w:r>
          </w:p>
        </w:tc>
        <w:tc>
          <w:tcPr>
            <w:tcW w:w="80" w:type="dxa"/>
            <w:vAlign w:val="bottom"/>
          </w:tcPr>
          <w:p>
            <w:pPr>
              <w:spacing w:after="0"/>
              <w:rPr>
                <w:sz w:val="14"/>
                <w:szCs w:val="14"/>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8600" w:type="dxa"/>
            <w:vAlign w:val="bottom"/>
            <w:shd w:val="clear" w:color="auto" w:fill="CCEEFF"/>
          </w:tcPr>
          <w:p>
            <w:pPr>
              <w:spacing w:after="0"/>
              <w:rPr>
                <w:sz w:val="20"/>
                <w:szCs w:val="20"/>
                <w:color w:val="auto"/>
              </w:rPr>
            </w:pPr>
            <w:r>
              <w:rPr>
                <w:rFonts w:ascii="Arial" w:cs="Arial" w:eastAsia="Arial" w:hAnsi="Arial"/>
                <w:sz w:val="13"/>
                <w:szCs w:val="13"/>
                <w:color w:val="auto"/>
              </w:rPr>
              <w:t>Amortization of the fair value adjustments related to fixed assets</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346"/>
              <w:spacing w:after="0"/>
              <w:rPr>
                <w:sz w:val="20"/>
                <w:szCs w:val="20"/>
                <w:color w:val="auto"/>
              </w:rPr>
            </w:pPr>
            <w:r>
              <w:rPr>
                <w:rFonts w:ascii="Arial" w:cs="Arial" w:eastAsia="Arial" w:hAnsi="Arial"/>
                <w:sz w:val="13"/>
                <w:szCs w:val="13"/>
                <w:color w:val="auto"/>
              </w:rPr>
              <w:t>1.7</w:t>
            </w:r>
          </w:p>
        </w:tc>
        <w:tc>
          <w:tcPr>
            <w:tcW w:w="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2.8</w:t>
            </w:r>
          </w:p>
        </w:tc>
        <w:tc>
          <w:tcPr>
            <w:tcW w:w="0" w:type="dxa"/>
            <w:vAlign w:val="bottom"/>
          </w:tcPr>
          <w:p>
            <w:pPr>
              <w:spacing w:after="0"/>
              <w:rPr>
                <w:sz w:val="1"/>
                <w:szCs w:val="1"/>
                <w:color w:val="auto"/>
              </w:rPr>
            </w:pPr>
          </w:p>
        </w:tc>
      </w:tr>
      <w:tr>
        <w:trPr>
          <w:trHeight w:val="161"/>
        </w:trPr>
        <w:tc>
          <w:tcPr>
            <w:tcW w:w="8600" w:type="dxa"/>
            <w:vAlign w:val="bottom"/>
          </w:tcPr>
          <w:p>
            <w:pPr>
              <w:spacing w:after="0"/>
              <w:rPr>
                <w:sz w:val="20"/>
                <w:szCs w:val="20"/>
                <w:color w:val="auto"/>
              </w:rPr>
            </w:pPr>
            <w:r>
              <w:rPr>
                <w:rFonts w:ascii="Arial" w:cs="Arial" w:eastAsia="Arial" w:hAnsi="Arial"/>
                <w:sz w:val="13"/>
                <w:szCs w:val="13"/>
                <w:color w:val="auto"/>
              </w:rPr>
              <w:t>Cost of integration activities undertaken in connection with the merger</w:t>
            </w:r>
          </w:p>
        </w:tc>
        <w:tc>
          <w:tcPr>
            <w:tcW w:w="80" w:type="dxa"/>
            <w:vAlign w:val="bottom"/>
          </w:tcPr>
          <w:p>
            <w:pPr>
              <w:spacing w:after="0"/>
              <w:rPr>
                <w:sz w:val="14"/>
                <w:szCs w:val="14"/>
                <w:color w:val="auto"/>
              </w:rPr>
            </w:pPr>
          </w:p>
        </w:tc>
        <w:tc>
          <w:tcPr>
            <w:tcW w:w="820" w:type="dxa"/>
            <w:vAlign w:val="bottom"/>
            <w:gridSpan w:val="2"/>
          </w:tcPr>
          <w:p>
            <w:pPr>
              <w:jc w:val="right"/>
              <w:ind w:right="346"/>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3"/>
                <w:szCs w:val="13"/>
                <w:color w:val="auto"/>
              </w:rPr>
              <w:t>11.9</w:t>
            </w:r>
          </w:p>
        </w:tc>
        <w:tc>
          <w:tcPr>
            <w:tcW w:w="0" w:type="dxa"/>
            <w:vAlign w:val="bottom"/>
          </w:tcPr>
          <w:p>
            <w:pPr>
              <w:spacing w:after="0"/>
              <w:rPr>
                <w:sz w:val="1"/>
                <w:szCs w:val="1"/>
                <w:color w:val="auto"/>
              </w:rPr>
            </w:pPr>
          </w:p>
        </w:tc>
      </w:tr>
      <w:tr>
        <w:trPr>
          <w:trHeight w:val="161"/>
        </w:trPr>
        <w:tc>
          <w:tcPr>
            <w:tcW w:w="8600" w:type="dxa"/>
            <w:vAlign w:val="bottom"/>
            <w:shd w:val="clear" w:color="auto" w:fill="CCEEFF"/>
          </w:tcPr>
          <w:p>
            <w:pPr>
              <w:spacing w:after="0"/>
              <w:rPr>
                <w:sz w:val="20"/>
                <w:szCs w:val="20"/>
                <w:color w:val="auto"/>
              </w:rPr>
            </w:pPr>
            <w:r>
              <w:rPr>
                <w:rFonts w:ascii="Arial" w:cs="Arial" w:eastAsia="Arial" w:hAnsi="Arial"/>
                <w:sz w:val="13"/>
                <w:szCs w:val="13"/>
                <w:color w:val="auto"/>
              </w:rPr>
              <w:t>Inventory mark-downs</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346"/>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14.7</w:t>
            </w:r>
          </w:p>
        </w:tc>
        <w:tc>
          <w:tcPr>
            <w:tcW w:w="0" w:type="dxa"/>
            <w:vAlign w:val="bottom"/>
          </w:tcPr>
          <w:p>
            <w:pPr>
              <w:spacing w:after="0"/>
              <w:rPr>
                <w:sz w:val="1"/>
                <w:szCs w:val="1"/>
                <w:color w:val="auto"/>
              </w:rPr>
            </w:pPr>
          </w:p>
        </w:tc>
      </w:tr>
      <w:tr>
        <w:trPr>
          <w:trHeight w:val="161"/>
        </w:trPr>
        <w:tc>
          <w:tcPr>
            <w:tcW w:w="8600" w:type="dxa"/>
            <w:vAlign w:val="bottom"/>
          </w:tcPr>
          <w:p>
            <w:pPr>
              <w:spacing w:after="0"/>
              <w:rPr>
                <w:sz w:val="20"/>
                <w:szCs w:val="20"/>
                <w:color w:val="auto"/>
              </w:rPr>
            </w:pPr>
            <w:r>
              <w:rPr>
                <w:rFonts w:ascii="Arial" w:cs="Arial" w:eastAsia="Arial" w:hAnsi="Arial"/>
                <w:sz w:val="13"/>
                <w:szCs w:val="13"/>
                <w:color w:val="auto"/>
              </w:rPr>
              <w:t>Share-based compensation expense</w:t>
            </w: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w:t>
            </w:r>
          </w:p>
        </w:tc>
        <w:tc>
          <w:tcPr>
            <w:tcW w:w="4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6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346"/>
              <w:spacing w:after="0"/>
              <w:rPr>
                <w:sz w:val="20"/>
                <w:szCs w:val="20"/>
                <w:color w:val="auto"/>
              </w:rPr>
            </w:pPr>
            <w:r>
              <w:rPr>
                <w:rFonts w:ascii="Arial" w:cs="Arial" w:eastAsia="Arial" w:hAnsi="Arial"/>
                <w:sz w:val="13"/>
                <w:szCs w:val="13"/>
                <w:color w:val="auto"/>
              </w:rPr>
              <w:t>373.0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60.3</w:t>
            </w:r>
          </w:p>
        </w:tc>
        <w:tc>
          <w:tcPr>
            <w:tcW w:w="0" w:type="dxa"/>
            <w:vAlign w:val="bottom"/>
          </w:tcPr>
          <w:p>
            <w:pPr>
              <w:spacing w:after="0"/>
              <w:rPr>
                <w:sz w:val="1"/>
                <w:szCs w:val="1"/>
                <w:color w:val="auto"/>
              </w:rPr>
            </w:pPr>
          </w:p>
        </w:tc>
      </w:tr>
      <w:tr>
        <w:trPr>
          <w:trHeight w:val="20"/>
        </w:trPr>
        <w:tc>
          <w:tcPr>
            <w:tcW w:w="8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60" w:firstLine="399"/>
        <w:spacing w:after="0" w:line="270" w:lineRule="auto"/>
        <w:rPr>
          <w:sz w:val="20"/>
          <w:szCs w:val="20"/>
          <w:color w:val="auto"/>
        </w:rPr>
      </w:pPr>
      <w:r>
        <w:rPr>
          <w:rFonts w:ascii="Arial" w:cs="Arial" w:eastAsia="Arial" w:hAnsi="Arial"/>
          <w:sz w:val="13"/>
          <w:szCs w:val="13"/>
          <w:color w:val="auto"/>
        </w:rPr>
        <w:t>During the first quarter of fiscal 2009, we announced a new restructuring plan (the “Fiscal 2009 Plan”) to reduce our worldwide workforce. During fiscal 2008, Harris Stratex completed its restructuring activities implemented within the merger restructuring plans (the “Fiscal 2007 Plans”) approved in connection with the January 26, 2007 merger between the Microwave Communications Division of Harris Corporation and Stratex. These restructuring plans included the consolidation of facilities and operations of the predecessor entities in Canada, France, the U.S., China, Brazil and, to a lesser extent, Mexico, New Zealand and the United Kingdom.</w:t>
      </w:r>
    </w:p>
    <w:p>
      <w:pPr>
        <w:spacing w:after="0" w:line="6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During fiscal 2009, our net restructuring charges totaled $8.2 million consisted of:</w:t>
      </w:r>
    </w:p>
    <w:p>
      <w:pPr>
        <w:spacing w:after="0" w:line="102" w:lineRule="exact"/>
        <w:rPr>
          <w:sz w:val="20"/>
          <w:szCs w:val="20"/>
          <w:color w:val="auto"/>
        </w:rPr>
      </w:pPr>
    </w:p>
    <w:p>
      <w:pPr>
        <w:ind w:left="1300" w:hanging="208"/>
        <w:spacing w:after="0"/>
        <w:tabs>
          <w:tab w:leader="none" w:pos="13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Severance, retention and related charges associated with reduction in force activities totaling $8.0 million (Fiscal 2009 Plan).</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Impairment of fixed assets (non-cash charges) totaling $0.4 million and facility restoration costs of $0.3 million at our Canadian location (Fiscal 2009 Plan).</w:t>
      </w:r>
    </w:p>
    <w:p>
      <w:pPr>
        <w:spacing w:after="0" w:line="92" w:lineRule="exact"/>
        <w:rPr>
          <w:rFonts w:ascii="Arial" w:cs="Arial" w:eastAsia="Arial" w:hAnsi="Arial"/>
          <w:sz w:val="13"/>
          <w:szCs w:val="13"/>
          <w:color w:val="auto"/>
        </w:rPr>
      </w:pPr>
    </w:p>
    <w:p>
      <w:pPr>
        <w:ind w:left="1300" w:right="260" w:hanging="208"/>
        <w:spacing w:after="0" w:line="294" w:lineRule="auto"/>
        <w:tabs>
          <w:tab w:leader="none" w:pos="13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Adjustments to the restructuring liability under the 2007 Restructuring Plans for changes in estimates related to sub-tenant activity at our U.S. ($0.1 million increase) and Canadian locations ($0.3 million decrease).</w:t>
      </w:r>
    </w:p>
    <w:p>
      <w:pPr>
        <w:spacing w:after="0" w:line="36" w:lineRule="exact"/>
        <w:rPr>
          <w:rFonts w:ascii="Arial" w:cs="Arial" w:eastAsia="Arial" w:hAnsi="Arial"/>
          <w:sz w:val="13"/>
          <w:szCs w:val="13"/>
          <w:color w:val="auto"/>
        </w:rPr>
      </w:pPr>
    </w:p>
    <w:p>
      <w:pPr>
        <w:ind w:left="1080" w:right="140" w:firstLine="12"/>
        <w:spacing w:after="0" w:line="368" w:lineRule="auto"/>
        <w:tabs>
          <w:tab w:leader="none" w:pos="1286" w:val="left"/>
        </w:tabs>
        <w:numPr>
          <w:ilvl w:val="0"/>
          <w:numId w:val="18"/>
        </w:numPr>
        <w:rPr>
          <w:rFonts w:ascii="Arial" w:cs="Arial" w:eastAsia="Arial" w:hAnsi="Arial"/>
          <w:sz w:val="12"/>
          <w:szCs w:val="12"/>
          <w:color w:val="auto"/>
        </w:rPr>
      </w:pPr>
      <w:r>
        <w:rPr>
          <w:rFonts w:ascii="Arial" w:cs="Arial" w:eastAsia="Arial" w:hAnsi="Arial"/>
          <w:sz w:val="12"/>
          <w:szCs w:val="12"/>
          <w:color w:val="auto"/>
        </w:rPr>
        <w:t>Adjustments to the restructuring liability under the 2007 Restructuring Plans for changes in estimates to reduce the severance liability in Canada ($0.3 million decrease). During fiscal 2008, we recorded $9.3 million of restructuring charges in connection with completion of the Fiscal 2007 Plans. These fiscal 2008 restructuring charges consisted</w:t>
      </w:r>
    </w:p>
    <w:p>
      <w:pPr>
        <w:ind w:left="680"/>
        <w:spacing w:after="0"/>
        <w:rPr>
          <w:sz w:val="20"/>
          <w:szCs w:val="20"/>
          <w:color w:val="auto"/>
        </w:rPr>
      </w:pPr>
      <w:r>
        <w:rPr>
          <w:rFonts w:ascii="Arial" w:cs="Arial" w:eastAsia="Arial" w:hAnsi="Arial"/>
          <w:sz w:val="13"/>
          <w:szCs w:val="13"/>
          <w:color w:val="auto"/>
        </w:rPr>
        <w:t>of:</w:t>
      </w:r>
    </w:p>
    <w:p>
      <w:pPr>
        <w:spacing w:after="0" w:line="92" w:lineRule="exact"/>
        <w:rPr>
          <w:sz w:val="20"/>
          <w:szCs w:val="20"/>
          <w:color w:val="auto"/>
        </w:rPr>
      </w:pPr>
    </w:p>
    <w:p>
      <w:pPr>
        <w:ind w:left="1300" w:right="60" w:hanging="208"/>
        <w:spacing w:after="0" w:line="294" w:lineRule="auto"/>
        <w:tabs>
          <w:tab w:leader="none" w:pos="13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Severance, retention and related charges associated with reduction in force activities totaling $3.4 million ($4.0 in fiscal 2008 charges, less $0.6 million for a reduction in the restructuring liability recorded for Canada and France as of June 29, 2007).</w:t>
      </w:r>
    </w:p>
    <w:p>
      <w:pPr>
        <w:spacing w:after="0" w:line="36" w:lineRule="exact"/>
        <w:rPr>
          <w:rFonts w:ascii="Arial" w:cs="Arial" w:eastAsia="Arial" w:hAnsi="Arial"/>
          <w:sz w:val="13"/>
          <w:szCs w:val="13"/>
          <w:color w:val="auto"/>
        </w:rPr>
      </w:pPr>
    </w:p>
    <w:p>
      <w:pPr>
        <w:ind w:left="1300" w:hanging="208"/>
        <w:spacing w:after="0"/>
        <w:tabs>
          <w:tab w:leader="none" w:pos="1300" w:val="left"/>
        </w:tabs>
        <w:numPr>
          <w:ilvl w:val="0"/>
          <w:numId w:val="19"/>
        </w:numPr>
        <w:rPr>
          <w:rFonts w:ascii="Arial" w:cs="Arial" w:eastAsia="Arial" w:hAnsi="Arial"/>
          <w:sz w:val="12"/>
          <w:szCs w:val="12"/>
          <w:color w:val="auto"/>
        </w:rPr>
      </w:pPr>
      <w:r>
        <w:rPr>
          <w:rFonts w:ascii="Arial" w:cs="Arial" w:eastAsia="Arial" w:hAnsi="Arial"/>
          <w:sz w:val="12"/>
          <w:szCs w:val="12"/>
          <w:color w:val="auto"/>
        </w:rPr>
        <w:t>Lease impairment charges totaling $1.8 from implementation of fiscal 2007 plans and changes in estimates related to sub-tenant activity at our U.S. and Canadian locations.</w:t>
      </w:r>
    </w:p>
    <w:p>
      <w:pPr>
        <w:spacing w:after="0" w:line="103" w:lineRule="exact"/>
        <w:rPr>
          <w:rFonts w:ascii="Arial" w:cs="Arial" w:eastAsia="Arial" w:hAnsi="Arial"/>
          <w:sz w:val="12"/>
          <w:szCs w:val="12"/>
          <w:color w:val="auto"/>
        </w:rPr>
      </w:pPr>
    </w:p>
    <w:p>
      <w:pPr>
        <w:ind w:left="1300" w:hanging="208"/>
        <w:spacing w:after="0"/>
        <w:tabs>
          <w:tab w:leader="none" w:pos="13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Impairment of fixed assets and leasehold improvements totaling $1.9 million at our Canadian location.</w:t>
      </w:r>
    </w:p>
    <w:p>
      <w:pPr>
        <w:spacing w:after="0" w:line="31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38" w:name="page39"/>
    <w:bookmarkEnd w:id="3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5" w:lineRule="exact"/>
        <w:rPr>
          <w:sz w:val="20"/>
          <w:szCs w:val="20"/>
          <w:color w:val="auto"/>
        </w:rPr>
      </w:pPr>
    </w:p>
    <w:p>
      <w:pPr>
        <w:ind w:left="1300" w:right="20" w:hanging="208"/>
        <w:spacing w:after="0" w:line="294" w:lineRule="auto"/>
        <w:tabs>
          <w:tab w:leader="none" w:pos="13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Impairment of a recoverable value-added type tax in Brazil totaling $2.2 million resulting from our scaled down operations and reduced activity which negatively affected the fair value of this recoverable asset (included in “Other current assets” on our consolidated balance sheets).</w:t>
      </w:r>
    </w:p>
    <w:p>
      <w:pPr>
        <w:spacing w:after="0" w:line="12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Fiscal 2008 Compared with Fiscal 2007</w:t>
      </w:r>
    </w:p>
    <w:p>
      <w:pPr>
        <w:spacing w:after="0" w:line="104" w:lineRule="exact"/>
        <w:rPr>
          <w:sz w:val="20"/>
          <w:szCs w:val="20"/>
          <w:color w:val="auto"/>
        </w:rPr>
      </w:pPr>
    </w:p>
    <w:p>
      <w:pPr>
        <w:ind w:left="680" w:right="100" w:firstLine="399"/>
        <w:spacing w:after="0" w:line="294" w:lineRule="auto"/>
        <w:rPr>
          <w:sz w:val="20"/>
          <w:szCs w:val="20"/>
          <w:color w:val="auto"/>
        </w:rPr>
      </w:pPr>
      <w:r>
        <w:rPr>
          <w:rFonts w:ascii="Arial" w:cs="Arial" w:eastAsia="Arial" w:hAnsi="Arial"/>
          <w:sz w:val="13"/>
          <w:szCs w:val="13"/>
          <w:color w:val="auto"/>
        </w:rPr>
        <w:t>The results of operations in fiscal 2008 include the operations acquired in the Stratex acquisition for the entire year while the results for fiscal 2007 include the results of Stratex since January 26, 2007 or five months. Historically, Stratex derived its revenues primarily from international markets.</w:t>
      </w:r>
    </w:p>
    <w:p>
      <w:pPr>
        <w:spacing w:after="0" w:line="47" w:lineRule="exact"/>
        <w:rPr>
          <w:sz w:val="20"/>
          <w:szCs w:val="20"/>
          <w:color w:val="auto"/>
        </w:rPr>
      </w:pPr>
    </w:p>
    <w:p>
      <w:pPr>
        <w:ind w:left="680" w:right="60" w:firstLine="399"/>
        <w:spacing w:after="0" w:line="270" w:lineRule="auto"/>
        <w:rPr>
          <w:sz w:val="20"/>
          <w:szCs w:val="20"/>
          <w:color w:val="auto"/>
        </w:rPr>
      </w:pPr>
      <w:r>
        <w:rPr>
          <w:rFonts w:ascii="Arial" w:cs="Arial" w:eastAsia="Arial" w:hAnsi="Arial"/>
          <w:sz w:val="13"/>
          <w:szCs w:val="13"/>
          <w:color w:val="auto"/>
        </w:rPr>
        <w:t>Our revenue in fiscal 2008 was $718.4 million, an increase of $210.5 million or 41.4%, compared with fiscal 2007. Revenue in fiscal 2008 included $353.9 million from sales of former Stratex products and services compared with $123.7 million in fiscal 2007. Excluding the impact of the Stratex acquisition, revenue declined $19.7 million, primarily due to a decrease in sales of the former MCD business products and services in the International Microwave segment. The Network Operations segment operating income increased by $0.1 million in fiscal 2008 compared with fiscal 2007.</w:t>
      </w:r>
    </w:p>
    <w:p>
      <w:pPr>
        <w:spacing w:after="0" w:line="63"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Our net loss in fiscal 2008 was $11.9 million compared with a net loss of $21.8 million in fiscal 2007. The net loss in fiscal 2008 and fiscal 2007 included the following purchase accounting adjustments and other expenses related to the acquisition and integration of Stratex, share-based compensation expense and inventory markdowns and impairment from product transitioning:</w:t>
      </w:r>
    </w:p>
    <w:p>
      <w:pPr>
        <w:spacing w:after="0" w:line="62" w:lineRule="exact"/>
        <w:rPr>
          <w:sz w:val="20"/>
          <w:szCs w:val="20"/>
          <w:color w:val="auto"/>
        </w:rPr>
      </w:pPr>
    </w:p>
    <w:tbl>
      <w:tblPr>
        <w:tblLayout w:type="fixed"/>
        <w:tblInd w:w="680" w:type="dxa"/>
        <w:tblCellMar>
          <w:top w:w="0" w:type="dxa"/>
          <w:left w:w="0" w:type="dxa"/>
          <w:bottom w:w="0" w:type="dxa"/>
          <w:right w:w="0" w:type="dxa"/>
        </w:tblCellMar>
      </w:tblPr>
      <w:tr>
        <w:trPr>
          <w:trHeight w:val="128"/>
        </w:trPr>
        <w:tc>
          <w:tcPr>
            <w:tcW w:w="79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ind w:left="40"/>
              <w:spacing w:after="0"/>
              <w:rPr>
                <w:sz w:val="20"/>
                <w:szCs w:val="20"/>
                <w:color w:val="auto"/>
              </w:rPr>
            </w:pPr>
            <w:r>
              <w:rPr>
                <w:rFonts w:ascii="Arial" w:cs="Arial" w:eastAsia="Arial" w:hAnsi="Arial"/>
                <w:sz w:val="11"/>
                <w:szCs w:val="11"/>
                <w:b w:val="1"/>
                <w:bCs w:val="1"/>
                <w:color w:val="auto"/>
              </w:rPr>
              <w:t>Fiscal 2008</w:t>
            </w: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74"/>
              <w:spacing w:after="0"/>
              <w:rPr>
                <w:sz w:val="20"/>
                <w:szCs w:val="20"/>
                <w:color w:val="auto"/>
              </w:rPr>
            </w:pPr>
            <w:r>
              <w:rPr>
                <w:rFonts w:ascii="Arial" w:cs="Arial" w:eastAsia="Arial" w:hAnsi="Arial"/>
                <w:sz w:val="11"/>
                <w:szCs w:val="11"/>
                <w:b w:val="1"/>
                <w:bCs w:val="1"/>
                <w:color w:val="auto"/>
                <w:w w:val="88"/>
              </w:rPr>
              <w:t>Fiscal 2007</w:t>
            </w:r>
          </w:p>
        </w:tc>
        <w:tc>
          <w:tcPr>
            <w:tcW w:w="80" w:type="dxa"/>
            <w:vAlign w:val="bottom"/>
          </w:tcPr>
          <w:p>
            <w:pPr>
              <w:spacing w:after="0"/>
              <w:rPr>
                <w:sz w:val="11"/>
                <w:szCs w:val="11"/>
                <w:color w:val="auto"/>
              </w:rPr>
            </w:pPr>
          </w:p>
        </w:tc>
      </w:tr>
      <w:tr>
        <w:trPr>
          <w:trHeight w:val="136"/>
        </w:trPr>
        <w:tc>
          <w:tcPr>
            <w:tcW w:w="7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3"/>
          </w:tcPr>
          <w:p>
            <w:pPr>
              <w:jc w:val="right"/>
              <w:spacing w:after="0"/>
              <w:rPr>
                <w:sz w:val="20"/>
                <w:szCs w:val="20"/>
                <w:color w:val="auto"/>
              </w:rPr>
            </w:pPr>
            <w:r>
              <w:rPr>
                <w:rFonts w:ascii="Arial" w:cs="Arial" w:eastAsia="Arial" w:hAnsi="Arial"/>
                <w:sz w:val="11"/>
                <w:szCs w:val="11"/>
                <w:b w:val="1"/>
                <w:bCs w:val="1"/>
                <w:color w:val="auto"/>
              </w:rPr>
              <w:t>(In millions)</w:t>
            </w: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7"/>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Inventory markdowns and impairment from product transitioning</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14.7</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r>
      <w:tr>
        <w:trPr>
          <w:trHeight w:val="161"/>
        </w:trPr>
        <w:tc>
          <w:tcPr>
            <w:tcW w:w="7900" w:type="dxa"/>
            <w:vAlign w:val="bottom"/>
          </w:tcPr>
          <w:p>
            <w:pPr>
              <w:spacing w:after="0"/>
              <w:rPr>
                <w:sz w:val="20"/>
                <w:szCs w:val="20"/>
                <w:color w:val="auto"/>
              </w:rPr>
            </w:pPr>
            <w:r>
              <w:rPr>
                <w:rFonts w:ascii="Arial" w:cs="Arial" w:eastAsia="Arial" w:hAnsi="Arial"/>
                <w:sz w:val="13"/>
                <w:szCs w:val="13"/>
                <w:color w:val="auto"/>
              </w:rPr>
              <w:t>Restructuring charges</w:t>
            </w:r>
          </w:p>
        </w:tc>
        <w:tc>
          <w:tcPr>
            <w:tcW w:w="100" w:type="dxa"/>
            <w:vAlign w:val="bottom"/>
          </w:tcPr>
          <w:p>
            <w:pPr>
              <w:spacing w:after="0"/>
              <w:rPr>
                <w:sz w:val="14"/>
                <w:szCs w:val="14"/>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9.3</w:t>
            </w:r>
          </w:p>
        </w:tc>
        <w:tc>
          <w:tcPr>
            <w:tcW w:w="12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9.3</w:t>
            </w:r>
          </w:p>
        </w:tc>
      </w:tr>
      <w:tr>
        <w:trPr>
          <w:trHeight w:val="161"/>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Cost of integration activities undertaken in connection with the merger</w:t>
            </w:r>
          </w:p>
        </w:tc>
        <w:tc>
          <w:tcPr>
            <w:tcW w:w="1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11.9</w:t>
            </w: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5.4</w:t>
            </w:r>
          </w:p>
        </w:tc>
      </w:tr>
      <w:tr>
        <w:trPr>
          <w:trHeight w:val="161"/>
        </w:trPr>
        <w:tc>
          <w:tcPr>
            <w:tcW w:w="7900" w:type="dxa"/>
            <w:vAlign w:val="bottom"/>
          </w:tcPr>
          <w:p>
            <w:pPr>
              <w:spacing w:after="0"/>
              <w:rPr>
                <w:sz w:val="20"/>
                <w:szCs w:val="20"/>
                <w:color w:val="auto"/>
              </w:rPr>
            </w:pPr>
            <w:r>
              <w:rPr>
                <w:rFonts w:ascii="Arial" w:cs="Arial" w:eastAsia="Arial" w:hAnsi="Arial"/>
                <w:sz w:val="13"/>
                <w:szCs w:val="13"/>
                <w:color w:val="auto"/>
              </w:rPr>
              <w:t>Amortization of developed technology</w:t>
            </w:r>
          </w:p>
        </w:tc>
        <w:tc>
          <w:tcPr>
            <w:tcW w:w="100" w:type="dxa"/>
            <w:vAlign w:val="bottom"/>
          </w:tcPr>
          <w:p>
            <w:pPr>
              <w:spacing w:after="0"/>
              <w:rPr>
                <w:sz w:val="14"/>
                <w:szCs w:val="14"/>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7.1</w:t>
            </w:r>
          </w:p>
        </w:tc>
        <w:tc>
          <w:tcPr>
            <w:tcW w:w="12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3.0</w:t>
            </w:r>
          </w:p>
        </w:tc>
      </w:tr>
      <w:tr>
        <w:trPr>
          <w:trHeight w:val="161"/>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Amortization of trade names, customer relationships and non-competition agreements and backlog</w:t>
            </w:r>
          </w:p>
        </w:tc>
        <w:tc>
          <w:tcPr>
            <w:tcW w:w="1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6.7</w:t>
            </w: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7.5</w:t>
            </w:r>
          </w:p>
        </w:tc>
      </w:tr>
      <w:tr>
        <w:trPr>
          <w:trHeight w:val="161"/>
        </w:trPr>
        <w:tc>
          <w:tcPr>
            <w:tcW w:w="7900" w:type="dxa"/>
            <w:vAlign w:val="bottom"/>
          </w:tcPr>
          <w:p>
            <w:pPr>
              <w:spacing w:after="0"/>
              <w:rPr>
                <w:sz w:val="20"/>
                <w:szCs w:val="20"/>
                <w:color w:val="auto"/>
              </w:rPr>
            </w:pPr>
            <w:r>
              <w:rPr>
                <w:rFonts w:ascii="Arial" w:cs="Arial" w:eastAsia="Arial" w:hAnsi="Arial"/>
                <w:sz w:val="13"/>
                <w:szCs w:val="13"/>
                <w:color w:val="auto"/>
              </w:rPr>
              <w:t>Amortization of the fair value adjustments related to fixed assets and inventory</w:t>
            </w:r>
          </w:p>
        </w:tc>
        <w:tc>
          <w:tcPr>
            <w:tcW w:w="100" w:type="dxa"/>
            <w:vAlign w:val="bottom"/>
          </w:tcPr>
          <w:p>
            <w:pPr>
              <w:spacing w:after="0"/>
              <w:rPr>
                <w:sz w:val="14"/>
                <w:szCs w:val="14"/>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2.8</w:t>
            </w:r>
          </w:p>
        </w:tc>
        <w:tc>
          <w:tcPr>
            <w:tcW w:w="12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9.0</w:t>
            </w:r>
          </w:p>
        </w:tc>
      </w:tr>
      <w:tr>
        <w:trPr>
          <w:trHeight w:val="161"/>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Write-off of in-process research &amp; development</w:t>
            </w:r>
          </w:p>
        </w:tc>
        <w:tc>
          <w:tcPr>
            <w:tcW w:w="1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15.3</w:t>
            </w:r>
          </w:p>
        </w:tc>
      </w:tr>
      <w:tr>
        <w:trPr>
          <w:trHeight w:val="161"/>
        </w:trPr>
        <w:tc>
          <w:tcPr>
            <w:tcW w:w="7900" w:type="dxa"/>
            <w:vAlign w:val="bottom"/>
          </w:tcPr>
          <w:p>
            <w:pPr>
              <w:spacing w:after="0"/>
              <w:rPr>
                <w:sz w:val="20"/>
                <w:szCs w:val="20"/>
                <w:color w:val="auto"/>
              </w:rPr>
            </w:pPr>
            <w:r>
              <w:rPr>
                <w:rFonts w:ascii="Arial" w:cs="Arial" w:eastAsia="Arial" w:hAnsi="Arial"/>
                <w:sz w:val="13"/>
                <w:szCs w:val="13"/>
                <w:color w:val="auto"/>
              </w:rPr>
              <w:t>Share-based compensation expense</w:t>
            </w:r>
          </w:p>
        </w:tc>
        <w:tc>
          <w:tcPr>
            <w:tcW w:w="100" w:type="dxa"/>
            <w:vAlign w:val="bottom"/>
          </w:tcPr>
          <w:p>
            <w:pPr>
              <w:spacing w:after="0"/>
              <w:rPr>
                <w:sz w:val="14"/>
                <w:szCs w:val="14"/>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7.8</w:t>
            </w:r>
          </w:p>
        </w:tc>
        <w:tc>
          <w:tcPr>
            <w:tcW w:w="12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5.7</w:t>
            </w:r>
          </w:p>
        </w:tc>
      </w:tr>
      <w:tr>
        <w:trPr>
          <w:trHeight w:val="20"/>
        </w:trPr>
        <w:tc>
          <w:tcPr>
            <w:tcW w:w="7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1"/>
        </w:trPr>
        <w:tc>
          <w:tcPr>
            <w:tcW w:w="79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60.3</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55.2</w:t>
            </w:r>
          </w:p>
        </w:tc>
      </w:tr>
      <w:tr>
        <w:trPr>
          <w:trHeight w:val="20"/>
        </w:trPr>
        <w:tc>
          <w:tcPr>
            <w:tcW w:w="7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During fiscal 2008, we continued the restructuring activities and plans approved in connection with the Stratex acquisition. These restructuring plans included the consolidation of facilities and operations of the predecessor entities in Canada, France, the U.S., China, Brazil and, to a lesser extent, Mexico, New Zealand and the United Kingdom. These restructuring activities were completed during the fourth quarter of fiscal 2008.</w:t>
      </w:r>
    </w:p>
    <w:p>
      <w:pPr>
        <w:spacing w:after="0" w:line="59" w:lineRule="exact"/>
        <w:rPr>
          <w:sz w:val="20"/>
          <w:szCs w:val="20"/>
          <w:color w:val="auto"/>
        </w:rPr>
      </w:pPr>
    </w:p>
    <w:p>
      <w:pPr>
        <w:jc w:val="both"/>
        <w:ind w:left="680" w:right="100" w:firstLine="399"/>
        <w:spacing w:after="0" w:line="309" w:lineRule="auto"/>
        <w:rPr>
          <w:sz w:val="20"/>
          <w:szCs w:val="20"/>
          <w:color w:val="auto"/>
        </w:rPr>
      </w:pPr>
      <w:r>
        <w:rPr>
          <w:rFonts w:ascii="Arial" w:cs="Arial" w:eastAsia="Arial" w:hAnsi="Arial"/>
          <w:sz w:val="12"/>
          <w:szCs w:val="12"/>
          <w:color w:val="auto"/>
        </w:rPr>
        <w:t>During fiscal 2008, we recorded an additional $9.3 million of restructuring charges in connection with implementation of these fiscal 2007 plans. The costs related to reductions in force consisted primarily of retention, severance and other benefits totaling $3.4 million. We also recorded $1.8 million in restructuring charges related to the impairment of a lease, $1.9 million relating to impairment of fixed assets and leasehold improvements and $2.2 million relating to the reduction in fair value of ICMS tax recoverable in Brazil.</w:t>
      </w:r>
    </w:p>
    <w:p>
      <w:pPr>
        <w:spacing w:after="0" w:line="253"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39" w:name="page40"/>
    <w:bookmarkEnd w:id="3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Gross Margin</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5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gridSpan w:val="2"/>
          </w:tcPr>
          <w:p>
            <w:pPr>
              <w:jc w:val="center"/>
              <w:ind w:left="178"/>
              <w:spacing w:after="0"/>
              <w:rPr>
                <w:sz w:val="20"/>
                <w:szCs w:val="20"/>
                <w:color w:val="auto"/>
              </w:rPr>
            </w:pPr>
            <w:r>
              <w:rPr>
                <w:rFonts w:ascii="Arial" w:cs="Arial" w:eastAsia="Arial" w:hAnsi="Arial"/>
                <w:sz w:val="11"/>
                <w:szCs w:val="11"/>
                <w:b w:val="1"/>
                <w:bCs w:val="1"/>
                <w:color w:val="auto"/>
                <w:w w:val="88"/>
              </w:rPr>
              <w:t>2009/2008</w:t>
            </w: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80" w:type="dxa"/>
            <w:vAlign w:val="bottom"/>
          </w:tcPr>
          <w:p>
            <w:pPr>
              <w:jc w:val="center"/>
              <w:spacing w:after="0"/>
              <w:rPr>
                <w:sz w:val="20"/>
                <w:szCs w:val="20"/>
                <w:color w:val="auto"/>
              </w:rPr>
            </w:pPr>
            <w:r>
              <w:rPr>
                <w:rFonts w:ascii="Arial" w:cs="Arial" w:eastAsia="Arial" w:hAnsi="Arial"/>
                <w:sz w:val="11"/>
                <w:szCs w:val="11"/>
                <w:b w:val="1"/>
                <w:bCs w:val="1"/>
                <w:color w:val="auto"/>
                <w:w w:val="88"/>
              </w:rPr>
              <w:t>2008/2007</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5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vMerge w:val="restart"/>
          </w:tcPr>
          <w:p>
            <w:pPr>
              <w:jc w:val="right"/>
              <w:ind w:right="56"/>
              <w:spacing w:after="0"/>
              <w:rPr>
                <w:sz w:val="20"/>
                <w:szCs w:val="20"/>
                <w:color w:val="auto"/>
              </w:rPr>
            </w:pPr>
            <w:r>
              <w:rPr>
                <w:rFonts w:ascii="Arial" w:cs="Arial" w:eastAsia="Arial" w:hAnsi="Arial"/>
                <w:sz w:val="11"/>
                <w:szCs w:val="11"/>
                <w:b w:val="1"/>
                <w:bCs w:val="1"/>
                <w:color w:val="auto"/>
                <w:w w:val="97"/>
              </w:rPr>
              <w:t>2009</w:t>
            </w: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vMerge w:val="restart"/>
          </w:tcPr>
          <w:p>
            <w:pPr>
              <w:jc w:val="right"/>
              <w:ind w:right="56"/>
              <w:spacing w:after="0"/>
              <w:rPr>
                <w:sz w:val="20"/>
                <w:szCs w:val="20"/>
                <w:color w:val="auto"/>
              </w:rPr>
            </w:pPr>
            <w:r>
              <w:rPr>
                <w:rFonts w:ascii="Arial" w:cs="Arial" w:eastAsia="Arial" w:hAnsi="Arial"/>
                <w:sz w:val="11"/>
                <w:szCs w:val="11"/>
                <w:b w:val="1"/>
                <w:bCs w:val="1"/>
                <w:color w:val="auto"/>
                <w:w w:val="97"/>
              </w:rPr>
              <w:t>2008</w:t>
            </w: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gridSpan w:val="2"/>
          </w:tcPr>
          <w:p>
            <w:pPr>
              <w:jc w:val="center"/>
              <w:ind w:right="412"/>
              <w:spacing w:after="0" w:line="111" w:lineRule="exact"/>
              <w:rPr>
                <w:sz w:val="20"/>
                <w:szCs w:val="20"/>
                <w:color w:val="auto"/>
              </w:rPr>
            </w:pPr>
            <w:r>
              <w:rPr>
                <w:rFonts w:ascii="Arial" w:cs="Arial" w:eastAsia="Arial" w:hAnsi="Arial"/>
                <w:sz w:val="11"/>
                <w:szCs w:val="11"/>
                <w:b w:val="1"/>
                <w:bCs w:val="1"/>
                <w:color w:val="auto"/>
                <w:w w:val="89"/>
              </w:rPr>
              <w:t>% Increase/</w:t>
            </w:r>
          </w:p>
        </w:tc>
        <w:tc>
          <w:tcPr>
            <w:tcW w:w="100" w:type="dxa"/>
            <w:vAlign w:val="bottom"/>
          </w:tcPr>
          <w:p>
            <w:pPr>
              <w:spacing w:after="0"/>
              <w:rPr>
                <w:sz w:val="9"/>
                <w:szCs w:val="9"/>
                <w:color w:val="auto"/>
              </w:rPr>
            </w:pPr>
          </w:p>
        </w:tc>
        <w:tc>
          <w:tcPr>
            <w:tcW w:w="380" w:type="dxa"/>
            <w:vAlign w:val="bottom"/>
            <w:vMerge w:val="restart"/>
          </w:tcPr>
          <w:p>
            <w:pPr>
              <w:jc w:val="right"/>
              <w:ind w:right="76"/>
              <w:spacing w:after="0"/>
              <w:rPr>
                <w:sz w:val="20"/>
                <w:szCs w:val="20"/>
                <w:color w:val="auto"/>
              </w:rPr>
            </w:pPr>
            <w:r>
              <w:rPr>
                <w:rFonts w:ascii="Arial" w:cs="Arial" w:eastAsia="Arial" w:hAnsi="Arial"/>
                <w:sz w:val="11"/>
                <w:szCs w:val="11"/>
                <w:b w:val="1"/>
                <w:bCs w:val="1"/>
                <w:color w:val="auto"/>
                <w:w w:val="89"/>
              </w:rPr>
              <w:t>2007</w:t>
            </w:r>
          </w:p>
        </w:tc>
        <w:tc>
          <w:tcPr>
            <w:tcW w:w="420" w:type="dxa"/>
            <w:vAlign w:val="bottom"/>
          </w:tcPr>
          <w:p>
            <w:pPr>
              <w:spacing w:after="0"/>
              <w:rPr>
                <w:sz w:val="9"/>
                <w:szCs w:val="9"/>
                <w:color w:val="auto"/>
              </w:rPr>
            </w:pPr>
          </w:p>
        </w:tc>
        <w:tc>
          <w:tcPr>
            <w:tcW w:w="900" w:type="dxa"/>
            <w:vAlign w:val="bottom"/>
            <w:gridSpan w:val="2"/>
          </w:tcPr>
          <w:p>
            <w:pPr>
              <w:jc w:val="center"/>
              <w:ind w:right="120"/>
              <w:spacing w:after="0" w:line="111" w:lineRule="exact"/>
              <w:rPr>
                <w:sz w:val="20"/>
                <w:szCs w:val="20"/>
                <w:color w:val="auto"/>
              </w:rPr>
            </w:pPr>
            <w:r>
              <w:rPr>
                <w:rFonts w:ascii="Arial" w:cs="Arial" w:eastAsia="Arial" w:hAnsi="Arial"/>
                <w:sz w:val="11"/>
                <w:szCs w:val="11"/>
                <w:b w:val="1"/>
                <w:bCs w:val="1"/>
                <w:color w:val="auto"/>
                <w:w w:val="89"/>
              </w:rPr>
              <w:t>% Increase/</w:t>
            </w:r>
          </w:p>
        </w:tc>
        <w:tc>
          <w:tcPr>
            <w:tcW w:w="0" w:type="dxa"/>
            <w:vAlign w:val="bottom"/>
          </w:tcPr>
          <w:p>
            <w:pPr>
              <w:spacing w:after="0"/>
              <w:rPr>
                <w:sz w:val="1"/>
                <w:szCs w:val="1"/>
                <w:color w:val="auto"/>
              </w:rPr>
            </w:pPr>
          </w:p>
        </w:tc>
      </w:tr>
      <w:tr>
        <w:trPr>
          <w:trHeight w:val="128"/>
        </w:trPr>
        <w:tc>
          <w:tcPr>
            <w:tcW w:w="5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jc w:val="center"/>
              <w:ind w:right="392"/>
              <w:spacing w:after="0"/>
              <w:rPr>
                <w:sz w:val="20"/>
                <w:szCs w:val="20"/>
                <w:color w:val="auto"/>
              </w:rPr>
            </w:pPr>
            <w:r>
              <w:rPr>
                <w:rFonts w:ascii="Arial" w:cs="Arial" w:eastAsia="Arial" w:hAnsi="Arial"/>
                <w:sz w:val="11"/>
                <w:szCs w:val="11"/>
                <w:b w:val="1"/>
                <w:bCs w:val="1"/>
                <w:color w:val="auto"/>
                <w:w w:val="85"/>
              </w:rPr>
              <w:t>(Decrease)</w:t>
            </w:r>
          </w:p>
        </w:tc>
        <w:tc>
          <w:tcPr>
            <w:tcW w:w="100" w:type="dxa"/>
            <w:vAlign w:val="bottom"/>
          </w:tcPr>
          <w:p>
            <w:pPr>
              <w:spacing w:after="0"/>
              <w:rPr>
                <w:sz w:val="11"/>
                <w:szCs w:val="11"/>
                <w:color w:val="auto"/>
              </w:rPr>
            </w:pPr>
          </w:p>
        </w:tc>
        <w:tc>
          <w:tcPr>
            <w:tcW w:w="38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8"/>
              </w:rPr>
              <w:t>(Decrease)</w:t>
            </w:r>
          </w:p>
        </w:tc>
        <w:tc>
          <w:tcPr>
            <w:tcW w:w="0" w:type="dxa"/>
            <w:vAlign w:val="bottom"/>
          </w:tcPr>
          <w:p>
            <w:pPr>
              <w:spacing w:after="0"/>
              <w:rPr>
                <w:sz w:val="1"/>
                <w:szCs w:val="1"/>
                <w:color w:val="auto"/>
              </w:rPr>
            </w:pPr>
          </w:p>
        </w:tc>
      </w:tr>
      <w:tr>
        <w:trPr>
          <w:trHeight w:val="135"/>
        </w:trPr>
        <w:tc>
          <w:tcPr>
            <w:tcW w:w="5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(In</w:t>
            </w:r>
          </w:p>
        </w:tc>
        <w:tc>
          <w:tcPr>
            <w:tcW w:w="780" w:type="dxa"/>
            <w:vAlign w:val="bottom"/>
            <w:tcBorders>
              <w:top w:val="single" w:sz="8" w:color="auto"/>
            </w:tcBorders>
          </w:tcPr>
          <w:p>
            <w:pPr>
              <w:spacing w:after="0"/>
              <w:rPr>
                <w:sz w:val="20"/>
                <w:szCs w:val="20"/>
                <w:color w:val="auto"/>
              </w:rPr>
            </w:pPr>
            <w:r>
              <w:rPr>
                <w:rFonts w:ascii="Arial" w:cs="Arial" w:eastAsia="Arial" w:hAnsi="Arial"/>
                <w:sz w:val="11"/>
                <w:szCs w:val="11"/>
                <w:b w:val="1"/>
                <w:bCs w:val="1"/>
                <w:color w:val="auto"/>
                <w:w w:val="92"/>
              </w:rPr>
              <w:t>millions, except</w:t>
            </w:r>
          </w:p>
        </w:tc>
        <w:tc>
          <w:tcPr>
            <w:tcW w:w="460" w:type="dxa"/>
            <w:vAlign w:val="bottom"/>
          </w:tcPr>
          <w:p>
            <w:pPr>
              <w:jc w:val="right"/>
              <w:spacing w:after="0"/>
              <w:rPr>
                <w:sz w:val="20"/>
                <w:szCs w:val="20"/>
                <w:color w:val="auto"/>
              </w:rPr>
            </w:pPr>
            <w:r>
              <w:rPr>
                <w:rFonts w:ascii="Arial" w:cs="Arial" w:eastAsia="Arial" w:hAnsi="Arial"/>
                <w:sz w:val="10"/>
                <w:szCs w:val="10"/>
                <w:b w:val="1"/>
                <w:bCs w:val="1"/>
                <w:color w:val="auto"/>
                <w:w w:val="70"/>
              </w:rPr>
              <w:t>percentages)</w:t>
            </w:r>
          </w:p>
        </w:tc>
        <w:tc>
          <w:tcPr>
            <w:tcW w:w="10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5140" w:type="dxa"/>
            <w:vAlign w:val="bottom"/>
            <w:shd w:val="clear" w:color="auto" w:fill="CCEEFF"/>
          </w:tcPr>
          <w:p>
            <w:pPr>
              <w:spacing w:after="0"/>
              <w:rPr>
                <w:sz w:val="20"/>
                <w:szCs w:val="20"/>
                <w:color w:val="auto"/>
              </w:rPr>
            </w:pPr>
            <w:r>
              <w:rPr>
                <w:rFonts w:ascii="Arial" w:cs="Arial" w:eastAsia="Arial" w:hAnsi="Arial"/>
                <w:sz w:val="13"/>
                <w:szCs w:val="13"/>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679.9</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718.4</w:t>
            </w:r>
          </w:p>
        </w:tc>
        <w:tc>
          <w:tcPr>
            <w:tcW w:w="1480" w:type="dxa"/>
            <w:vAlign w:val="bottom"/>
            <w:gridSpan w:val="3"/>
            <w:shd w:val="clear" w:color="auto" w:fill="CCEEFF"/>
          </w:tcPr>
          <w:p>
            <w:pPr>
              <w:jc w:val="right"/>
              <w:ind w:right="252"/>
              <w:spacing w:after="0"/>
              <w:rPr>
                <w:sz w:val="20"/>
                <w:szCs w:val="20"/>
                <w:color w:val="auto"/>
              </w:rPr>
            </w:pPr>
            <w:r>
              <w:rPr>
                <w:rFonts w:ascii="Arial" w:cs="Arial" w:eastAsia="Arial" w:hAnsi="Arial"/>
                <w:sz w:val="13"/>
                <w:szCs w:val="13"/>
                <w:color w:val="auto"/>
              </w:rPr>
              <w:t>(5.4)%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507.9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41.4%</w:t>
            </w:r>
          </w:p>
        </w:tc>
        <w:tc>
          <w:tcPr>
            <w:tcW w:w="0" w:type="dxa"/>
            <w:vAlign w:val="bottom"/>
          </w:tcPr>
          <w:p>
            <w:pPr>
              <w:spacing w:after="0"/>
              <w:rPr>
                <w:sz w:val="1"/>
                <w:szCs w:val="1"/>
                <w:color w:val="auto"/>
              </w:rPr>
            </w:pPr>
          </w:p>
        </w:tc>
      </w:tr>
      <w:tr>
        <w:trPr>
          <w:trHeight w:val="161"/>
        </w:trPr>
        <w:tc>
          <w:tcPr>
            <w:tcW w:w="5140" w:type="dxa"/>
            <w:vAlign w:val="bottom"/>
          </w:tcPr>
          <w:p>
            <w:pPr>
              <w:spacing w:after="0"/>
              <w:rPr>
                <w:sz w:val="20"/>
                <w:szCs w:val="20"/>
                <w:color w:val="auto"/>
              </w:rPr>
            </w:pPr>
            <w:r>
              <w:rPr>
                <w:rFonts w:ascii="Arial" w:cs="Arial" w:eastAsia="Arial" w:hAnsi="Arial"/>
                <w:sz w:val="13"/>
                <w:szCs w:val="13"/>
                <w:color w:val="auto"/>
              </w:rPr>
              <w:t>Cost of product sales and services</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505.5</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gridSpan w:val="2"/>
          </w:tcPr>
          <w:p>
            <w:pPr>
              <w:jc w:val="right"/>
              <w:ind w:right="180"/>
              <w:spacing w:after="0"/>
              <w:rPr>
                <w:sz w:val="20"/>
                <w:szCs w:val="20"/>
                <w:color w:val="auto"/>
              </w:rPr>
            </w:pPr>
            <w:r>
              <w:rPr>
                <w:rFonts w:ascii="Arial" w:cs="Arial" w:eastAsia="Arial" w:hAnsi="Arial"/>
                <w:sz w:val="13"/>
                <w:szCs w:val="13"/>
                <w:color w:val="auto"/>
              </w:rPr>
              <w:t>528.2</w:t>
            </w:r>
          </w:p>
        </w:tc>
        <w:tc>
          <w:tcPr>
            <w:tcW w:w="1480" w:type="dxa"/>
            <w:vAlign w:val="bottom"/>
            <w:gridSpan w:val="3"/>
          </w:tcPr>
          <w:p>
            <w:pPr>
              <w:jc w:val="right"/>
              <w:ind w:right="252"/>
              <w:spacing w:after="0"/>
              <w:rPr>
                <w:sz w:val="20"/>
                <w:szCs w:val="20"/>
                <w:color w:val="auto"/>
              </w:rPr>
            </w:pPr>
            <w:r>
              <w:rPr>
                <w:rFonts w:ascii="Arial" w:cs="Arial" w:eastAsia="Arial" w:hAnsi="Arial"/>
                <w:sz w:val="13"/>
                <w:szCs w:val="13"/>
                <w:color w:val="auto"/>
              </w:rPr>
              <w:t>(4.3)%</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420"/>
              <w:spacing w:after="0"/>
              <w:rPr>
                <w:sz w:val="20"/>
                <w:szCs w:val="20"/>
                <w:color w:val="auto"/>
              </w:rPr>
            </w:pPr>
            <w:r>
              <w:rPr>
                <w:rFonts w:ascii="Arial" w:cs="Arial" w:eastAsia="Arial" w:hAnsi="Arial"/>
                <w:sz w:val="13"/>
                <w:szCs w:val="13"/>
                <w:color w:val="auto"/>
              </w:rPr>
              <w:t>361.2</w:t>
            </w:r>
          </w:p>
        </w:tc>
        <w:tc>
          <w:tcPr>
            <w:tcW w:w="900" w:type="dxa"/>
            <w:vAlign w:val="bottom"/>
            <w:gridSpan w:val="2"/>
          </w:tcPr>
          <w:p>
            <w:pPr>
              <w:jc w:val="right"/>
              <w:spacing w:after="0"/>
              <w:rPr>
                <w:sz w:val="20"/>
                <w:szCs w:val="20"/>
                <w:color w:val="auto"/>
              </w:rPr>
            </w:pPr>
            <w:r>
              <w:rPr>
                <w:rFonts w:ascii="Arial" w:cs="Arial" w:eastAsia="Arial" w:hAnsi="Arial"/>
                <w:sz w:val="13"/>
                <w:szCs w:val="13"/>
                <w:color w:val="auto"/>
              </w:rPr>
              <w:t>46.2%</w:t>
            </w:r>
          </w:p>
        </w:tc>
        <w:tc>
          <w:tcPr>
            <w:tcW w:w="0" w:type="dxa"/>
            <w:vAlign w:val="bottom"/>
          </w:tcPr>
          <w:p>
            <w:pPr>
              <w:spacing w:after="0"/>
              <w:rPr>
                <w:sz w:val="1"/>
                <w:szCs w:val="1"/>
                <w:color w:val="auto"/>
              </w:rPr>
            </w:pPr>
          </w:p>
        </w:tc>
      </w:tr>
      <w:tr>
        <w:trPr>
          <w:trHeight w:val="161"/>
        </w:trPr>
        <w:tc>
          <w:tcPr>
            <w:tcW w:w="5140" w:type="dxa"/>
            <w:vAlign w:val="bottom"/>
            <w:shd w:val="clear" w:color="auto" w:fill="CCEEFF"/>
          </w:tcPr>
          <w:p>
            <w:pPr>
              <w:spacing w:after="0"/>
              <w:rPr>
                <w:sz w:val="20"/>
                <w:szCs w:val="20"/>
                <w:color w:val="auto"/>
              </w:rPr>
            </w:pPr>
            <w:r>
              <w:rPr>
                <w:rFonts w:ascii="Arial" w:cs="Arial" w:eastAsia="Arial" w:hAnsi="Arial"/>
                <w:sz w:val="13"/>
                <w:szCs w:val="13"/>
                <w:color w:val="auto"/>
              </w:rPr>
              <w:t>Gross margin</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174.4</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190.2</w:t>
            </w:r>
          </w:p>
        </w:tc>
        <w:tc>
          <w:tcPr>
            <w:tcW w:w="1480" w:type="dxa"/>
            <w:vAlign w:val="bottom"/>
            <w:gridSpan w:val="3"/>
            <w:shd w:val="clear" w:color="auto" w:fill="CCEEFF"/>
          </w:tcPr>
          <w:p>
            <w:pPr>
              <w:jc w:val="right"/>
              <w:ind w:right="252"/>
              <w:spacing w:after="0"/>
              <w:rPr>
                <w:sz w:val="20"/>
                <w:szCs w:val="20"/>
                <w:color w:val="auto"/>
              </w:rPr>
            </w:pPr>
            <w:r>
              <w:rPr>
                <w:rFonts w:ascii="Arial" w:cs="Arial" w:eastAsia="Arial" w:hAnsi="Arial"/>
                <w:sz w:val="13"/>
                <w:szCs w:val="13"/>
                <w:color w:val="auto"/>
              </w:rPr>
              <w:t>(8.3)%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146.7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29.7%</w:t>
            </w:r>
          </w:p>
        </w:tc>
        <w:tc>
          <w:tcPr>
            <w:tcW w:w="0" w:type="dxa"/>
            <w:vAlign w:val="bottom"/>
          </w:tcPr>
          <w:p>
            <w:pPr>
              <w:spacing w:after="0"/>
              <w:rPr>
                <w:sz w:val="1"/>
                <w:szCs w:val="1"/>
                <w:color w:val="auto"/>
              </w:rPr>
            </w:pPr>
          </w:p>
        </w:tc>
      </w:tr>
      <w:tr>
        <w:trPr>
          <w:trHeight w:val="172"/>
        </w:trPr>
        <w:tc>
          <w:tcPr>
            <w:tcW w:w="5140" w:type="dxa"/>
            <w:vAlign w:val="bottom"/>
          </w:tcPr>
          <w:p>
            <w:pPr>
              <w:spacing w:after="0"/>
              <w:rPr>
                <w:sz w:val="20"/>
                <w:szCs w:val="20"/>
                <w:color w:val="auto"/>
              </w:rPr>
            </w:pPr>
            <w:r>
              <w:rPr>
                <w:rFonts w:ascii="Arial" w:cs="Arial" w:eastAsia="Arial" w:hAnsi="Arial"/>
                <w:sz w:val="13"/>
                <w:szCs w:val="13"/>
                <w:color w:val="auto"/>
              </w:rPr>
              <w:t>% of revenue</w:t>
            </w:r>
          </w:p>
        </w:tc>
        <w:tc>
          <w:tcPr>
            <w:tcW w:w="100" w:type="dxa"/>
            <w:vAlign w:val="bottom"/>
          </w:tcPr>
          <w:p>
            <w:pPr>
              <w:spacing w:after="0"/>
              <w:rPr>
                <w:sz w:val="14"/>
                <w:szCs w:val="14"/>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3"/>
                <w:szCs w:val="13"/>
                <w:color w:val="auto"/>
              </w:rPr>
              <w:t>25.7%</w:t>
            </w:r>
          </w:p>
        </w:tc>
        <w:tc>
          <w:tcPr>
            <w:tcW w:w="10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3"/>
                <w:szCs w:val="13"/>
                <w:color w:val="auto"/>
              </w:rPr>
              <w:t>26.5%</w:t>
            </w:r>
          </w:p>
        </w:tc>
        <w:tc>
          <w:tcPr>
            <w:tcW w:w="240" w:type="dxa"/>
            <w:vAlign w:val="bottom"/>
          </w:tcPr>
          <w:p>
            <w:pPr>
              <w:spacing w:after="0"/>
              <w:rPr>
                <w:sz w:val="14"/>
                <w:szCs w:val="14"/>
                <w:color w:val="auto"/>
              </w:rPr>
            </w:pPr>
          </w:p>
        </w:tc>
        <w:tc>
          <w:tcPr>
            <w:tcW w:w="1240" w:type="dxa"/>
            <w:vAlign w:val="bottom"/>
            <w:gridSpan w:val="2"/>
          </w:tcPr>
          <w:p>
            <w:pPr>
              <w:jc w:val="right"/>
              <w:ind w:right="412"/>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3"/>
                <w:szCs w:val="13"/>
                <w:color w:val="auto"/>
              </w:rPr>
              <w:t>28.9%</w:t>
            </w: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Fiscal 2009 Compared with Fiscal 2008</w:t>
      </w:r>
    </w:p>
    <w:p>
      <w:pPr>
        <w:spacing w:after="0" w:line="104"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Gross margin in fiscal 2009 was $174.4 million, or 25.7% of revenue, compared with $190.2 million, or 26.5% of revenue in fiscal 2008. Gross margin in fiscal 2009 was reduced by $29.8 million in charges related to product transition, $7.5 million for amortization of developed technology and $0.6 million of amortization of the fair value of adjustments for fixed assets acquired from Stratex.</w:t>
      </w:r>
    </w:p>
    <w:p>
      <w:pPr>
        <w:spacing w:after="0" w:line="59" w:lineRule="exact"/>
        <w:rPr>
          <w:sz w:val="20"/>
          <w:szCs w:val="20"/>
          <w:color w:val="auto"/>
        </w:rPr>
      </w:pPr>
    </w:p>
    <w:p>
      <w:pPr>
        <w:jc w:val="both"/>
        <w:ind w:left="680" w:firstLine="399"/>
        <w:spacing w:after="0" w:line="338" w:lineRule="auto"/>
        <w:rPr>
          <w:sz w:val="20"/>
          <w:szCs w:val="20"/>
          <w:color w:val="auto"/>
        </w:rPr>
      </w:pPr>
      <w:r>
        <w:rPr>
          <w:rFonts w:ascii="Arial" w:cs="Arial" w:eastAsia="Arial" w:hAnsi="Arial"/>
          <w:sz w:val="12"/>
          <w:szCs w:val="12"/>
          <w:color w:val="auto"/>
        </w:rPr>
        <w:t>By comparison, gross margin in fiscal 2008 was reduced by $14.7 million for inventory markdowns and impairment relating to product transitioning, $7.1 million of amortization on developed technology, $0.8 million for amortization of the fair value of adjustments for fixed assets acquired from Stratex, and $1.5 million of merger integration costs.</w:t>
      </w:r>
    </w:p>
    <w:p>
      <w:pPr>
        <w:spacing w:after="0" w:line="24" w:lineRule="exact"/>
        <w:rPr>
          <w:sz w:val="20"/>
          <w:szCs w:val="20"/>
          <w:color w:val="auto"/>
        </w:rPr>
      </w:pPr>
    </w:p>
    <w:p>
      <w:pPr>
        <w:ind w:left="680" w:right="60" w:firstLine="399"/>
        <w:spacing w:after="0" w:line="294" w:lineRule="auto"/>
        <w:rPr>
          <w:sz w:val="20"/>
          <w:szCs w:val="20"/>
          <w:color w:val="auto"/>
        </w:rPr>
      </w:pPr>
      <w:r>
        <w:rPr>
          <w:rFonts w:ascii="Arial" w:cs="Arial" w:eastAsia="Arial" w:hAnsi="Arial"/>
          <w:sz w:val="13"/>
          <w:szCs w:val="13"/>
          <w:color w:val="auto"/>
        </w:rPr>
        <w:t>Aside from the charges and expenses mentioned above, gross margin and gross margin percentage benefited from a favorable margin impact on some projects, gains on currency translations, decreased warranty expenses, favorable purchase price variance and product mix.</w:t>
      </w:r>
    </w:p>
    <w:p>
      <w:pPr>
        <w:spacing w:after="0" w:line="12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Fiscal 2008 Compared with Fiscal 2007</w:t>
      </w:r>
    </w:p>
    <w:p>
      <w:pPr>
        <w:spacing w:after="0" w:line="104" w:lineRule="exact"/>
        <w:rPr>
          <w:sz w:val="20"/>
          <w:szCs w:val="20"/>
          <w:color w:val="auto"/>
        </w:rPr>
      </w:pPr>
    </w:p>
    <w:p>
      <w:pPr>
        <w:ind w:left="680" w:right="20" w:firstLine="399"/>
        <w:spacing w:after="0" w:line="270" w:lineRule="auto"/>
        <w:rPr>
          <w:sz w:val="20"/>
          <w:szCs w:val="20"/>
          <w:color w:val="auto"/>
        </w:rPr>
      </w:pPr>
      <w:r>
        <w:rPr>
          <w:rFonts w:ascii="Arial" w:cs="Arial" w:eastAsia="Arial" w:hAnsi="Arial"/>
          <w:sz w:val="13"/>
          <w:szCs w:val="13"/>
          <w:color w:val="auto"/>
        </w:rPr>
        <w:t>Gross margin in fiscal 2008 was $190.2 million, or 26.5% of revenue, compared with $146.7 million, or 28.9% of revenue in fiscal 2007. Gross margin in fiscal 2008 was reduced by $14.7 million for inventory markdowns and impairment relating to product transitioning, $7.1 million of amortization on developed technology, $0.8 million for amortization of the fair value of adjustments for fixed assets acquired from Stratex, and $1.5 million of merger integration costs. Gross margin in fiscal 2007 was reduced by an $8.3 million write-off of a portion of the fair value adjustments related to inventory and fixed assets, and $3.0 million for amortization of developed technology.</w:t>
      </w:r>
    </w:p>
    <w:p>
      <w:pPr>
        <w:spacing w:after="0" w:line="63" w:lineRule="exact"/>
        <w:rPr>
          <w:sz w:val="20"/>
          <w:szCs w:val="20"/>
          <w:color w:val="auto"/>
        </w:rPr>
      </w:pPr>
    </w:p>
    <w:p>
      <w:pPr>
        <w:jc w:val="both"/>
        <w:ind w:left="680" w:right="140" w:firstLine="399"/>
        <w:spacing w:after="0" w:line="276" w:lineRule="auto"/>
        <w:rPr>
          <w:sz w:val="20"/>
          <w:szCs w:val="20"/>
          <w:color w:val="auto"/>
        </w:rPr>
      </w:pPr>
      <w:r>
        <w:rPr>
          <w:rFonts w:ascii="Arial" w:cs="Arial" w:eastAsia="Arial" w:hAnsi="Arial"/>
          <w:sz w:val="13"/>
          <w:szCs w:val="13"/>
          <w:color w:val="auto"/>
        </w:rPr>
        <w:t>Our gross margin percentage during fiscal 2008 was comparatively lower than the gross margin percentage in fiscal 2007 because of the expenses described above and because our International Microwave segment revenue included a significant amount of the lower-margin, low-capacity version of Eclipse microwave radio sales in fiscal 2008. Gross margin percentage continued to be adversely affected by increased freight and service costs in fiscal 2008.</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Research and Development Expenses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54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gridSpan w:val="2"/>
          </w:tcPr>
          <w:p>
            <w:pPr>
              <w:jc w:val="center"/>
              <w:ind w:left="162"/>
              <w:spacing w:after="0"/>
              <w:rPr>
                <w:sz w:val="20"/>
                <w:szCs w:val="20"/>
                <w:color w:val="auto"/>
              </w:rPr>
            </w:pPr>
            <w:r>
              <w:rPr>
                <w:rFonts w:ascii="Arial" w:cs="Arial" w:eastAsia="Arial" w:hAnsi="Arial"/>
                <w:sz w:val="11"/>
                <w:szCs w:val="11"/>
                <w:b w:val="1"/>
                <w:bCs w:val="1"/>
                <w:color w:val="auto"/>
                <w:w w:val="88"/>
              </w:rPr>
              <w:t>2009/2008</w:t>
            </w:r>
          </w:p>
        </w:tc>
        <w:tc>
          <w:tcPr>
            <w:tcW w:w="4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80" w:type="dxa"/>
            <w:vAlign w:val="bottom"/>
          </w:tcPr>
          <w:p>
            <w:pPr>
              <w:jc w:val="center"/>
              <w:spacing w:after="0"/>
              <w:rPr>
                <w:sz w:val="20"/>
                <w:szCs w:val="20"/>
                <w:color w:val="auto"/>
              </w:rPr>
            </w:pPr>
            <w:r>
              <w:rPr>
                <w:rFonts w:ascii="Arial" w:cs="Arial" w:eastAsia="Arial" w:hAnsi="Arial"/>
                <w:sz w:val="11"/>
                <w:szCs w:val="11"/>
                <w:b w:val="1"/>
                <w:bCs w:val="1"/>
                <w:color w:val="auto"/>
                <w:w w:val="88"/>
              </w:rPr>
              <w:t>2008/2007</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5440" w:type="dxa"/>
            <w:vAlign w:val="bottom"/>
          </w:tcPr>
          <w:p>
            <w:pPr>
              <w:spacing w:after="0"/>
              <w:rPr>
                <w:sz w:val="9"/>
                <w:szCs w:val="9"/>
                <w:color w:val="auto"/>
              </w:rPr>
            </w:pPr>
          </w:p>
        </w:tc>
        <w:tc>
          <w:tcPr>
            <w:tcW w:w="380" w:type="dxa"/>
            <w:vAlign w:val="bottom"/>
            <w:vMerge w:val="restart"/>
          </w:tcPr>
          <w:p>
            <w:pPr>
              <w:jc w:val="right"/>
              <w:ind w:right="17"/>
              <w:spacing w:after="0"/>
              <w:rPr>
                <w:sz w:val="20"/>
                <w:szCs w:val="20"/>
                <w:color w:val="auto"/>
              </w:rPr>
            </w:pPr>
            <w:r>
              <w:rPr>
                <w:rFonts w:ascii="Arial" w:cs="Arial" w:eastAsia="Arial" w:hAnsi="Arial"/>
                <w:sz w:val="11"/>
                <w:szCs w:val="11"/>
                <w:b w:val="1"/>
                <w:bCs w:val="1"/>
                <w:color w:val="auto"/>
              </w:rPr>
              <w:t>2009</w:t>
            </w:r>
          </w:p>
        </w:tc>
        <w:tc>
          <w:tcPr>
            <w:tcW w:w="420" w:type="dxa"/>
            <w:vAlign w:val="bottom"/>
          </w:tcPr>
          <w:p>
            <w:pPr>
              <w:spacing w:after="0"/>
              <w:rPr>
                <w:sz w:val="9"/>
                <w:szCs w:val="9"/>
                <w:color w:val="auto"/>
              </w:rPr>
            </w:pPr>
          </w:p>
        </w:tc>
        <w:tc>
          <w:tcPr>
            <w:tcW w:w="380" w:type="dxa"/>
            <w:vAlign w:val="bottom"/>
            <w:vMerge w:val="restart"/>
          </w:tcPr>
          <w:p>
            <w:pPr>
              <w:jc w:val="right"/>
              <w:ind w:right="17"/>
              <w:spacing w:after="0"/>
              <w:rPr>
                <w:sz w:val="20"/>
                <w:szCs w:val="20"/>
                <w:color w:val="auto"/>
              </w:rPr>
            </w:pPr>
            <w:r>
              <w:rPr>
                <w:rFonts w:ascii="Arial" w:cs="Arial" w:eastAsia="Arial" w:hAnsi="Arial"/>
                <w:sz w:val="11"/>
                <w:szCs w:val="11"/>
                <w:b w:val="1"/>
                <w:bCs w:val="1"/>
                <w:color w:val="auto"/>
              </w:rPr>
              <w:t>2008</w:t>
            </w: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gridSpan w:val="2"/>
          </w:tcPr>
          <w:p>
            <w:pPr>
              <w:jc w:val="center"/>
              <w:ind w:right="412"/>
              <w:spacing w:after="0" w:line="111" w:lineRule="exact"/>
              <w:rPr>
                <w:sz w:val="20"/>
                <w:szCs w:val="20"/>
                <w:color w:val="auto"/>
              </w:rPr>
            </w:pPr>
            <w:r>
              <w:rPr>
                <w:rFonts w:ascii="Arial" w:cs="Arial" w:eastAsia="Arial" w:hAnsi="Arial"/>
                <w:sz w:val="11"/>
                <w:szCs w:val="11"/>
                <w:b w:val="1"/>
                <w:bCs w:val="1"/>
                <w:color w:val="auto"/>
                <w:w w:val="89"/>
              </w:rPr>
              <w:t>% Increase/</w:t>
            </w:r>
          </w:p>
        </w:tc>
        <w:tc>
          <w:tcPr>
            <w:tcW w:w="380" w:type="dxa"/>
            <w:vAlign w:val="bottom"/>
            <w:vMerge w:val="restart"/>
          </w:tcPr>
          <w:p>
            <w:pPr>
              <w:jc w:val="right"/>
              <w:ind w:right="17"/>
              <w:spacing w:after="0"/>
              <w:rPr>
                <w:sz w:val="20"/>
                <w:szCs w:val="20"/>
                <w:color w:val="auto"/>
              </w:rPr>
            </w:pPr>
            <w:r>
              <w:rPr>
                <w:rFonts w:ascii="Arial" w:cs="Arial" w:eastAsia="Arial" w:hAnsi="Arial"/>
                <w:sz w:val="11"/>
                <w:szCs w:val="11"/>
                <w:b w:val="1"/>
                <w:bCs w:val="1"/>
                <w:color w:val="auto"/>
              </w:rPr>
              <w:t>2007</w:t>
            </w:r>
          </w:p>
        </w:tc>
        <w:tc>
          <w:tcPr>
            <w:tcW w:w="420" w:type="dxa"/>
            <w:vAlign w:val="bottom"/>
          </w:tcPr>
          <w:p>
            <w:pPr>
              <w:spacing w:after="0"/>
              <w:rPr>
                <w:sz w:val="9"/>
                <w:szCs w:val="9"/>
                <w:color w:val="auto"/>
              </w:rPr>
            </w:pPr>
          </w:p>
        </w:tc>
        <w:tc>
          <w:tcPr>
            <w:tcW w:w="900" w:type="dxa"/>
            <w:vAlign w:val="bottom"/>
            <w:gridSpan w:val="2"/>
          </w:tcPr>
          <w:p>
            <w:pPr>
              <w:jc w:val="center"/>
              <w:ind w:right="120"/>
              <w:spacing w:after="0" w:line="111" w:lineRule="exact"/>
              <w:rPr>
                <w:sz w:val="20"/>
                <w:szCs w:val="20"/>
                <w:color w:val="auto"/>
              </w:rPr>
            </w:pPr>
            <w:r>
              <w:rPr>
                <w:rFonts w:ascii="Arial" w:cs="Arial" w:eastAsia="Arial" w:hAnsi="Arial"/>
                <w:sz w:val="11"/>
                <w:szCs w:val="11"/>
                <w:b w:val="1"/>
                <w:bCs w:val="1"/>
                <w:color w:val="auto"/>
                <w:w w:val="89"/>
              </w:rPr>
              <w:t>% Increase/</w:t>
            </w:r>
          </w:p>
        </w:tc>
        <w:tc>
          <w:tcPr>
            <w:tcW w:w="0" w:type="dxa"/>
            <w:vAlign w:val="bottom"/>
          </w:tcPr>
          <w:p>
            <w:pPr>
              <w:spacing w:after="0"/>
              <w:rPr>
                <w:sz w:val="1"/>
                <w:szCs w:val="1"/>
                <w:color w:val="auto"/>
              </w:rPr>
            </w:pPr>
          </w:p>
        </w:tc>
      </w:tr>
      <w:tr>
        <w:trPr>
          <w:trHeight w:val="128"/>
        </w:trPr>
        <w:tc>
          <w:tcPr>
            <w:tcW w:w="5440" w:type="dxa"/>
            <w:vAlign w:val="bottom"/>
          </w:tcPr>
          <w:p>
            <w:pPr>
              <w:spacing w:after="0"/>
              <w:rPr>
                <w:sz w:val="11"/>
                <w:szCs w:val="11"/>
                <w:color w:val="auto"/>
              </w:rPr>
            </w:pPr>
          </w:p>
        </w:tc>
        <w:tc>
          <w:tcPr>
            <w:tcW w:w="38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gridSpan w:val="2"/>
          </w:tcPr>
          <w:p>
            <w:pPr>
              <w:jc w:val="center"/>
              <w:ind w:right="392"/>
              <w:spacing w:after="0"/>
              <w:rPr>
                <w:sz w:val="20"/>
                <w:szCs w:val="20"/>
                <w:color w:val="auto"/>
              </w:rPr>
            </w:pPr>
            <w:r>
              <w:rPr>
                <w:rFonts w:ascii="Arial" w:cs="Arial" w:eastAsia="Arial" w:hAnsi="Arial"/>
                <w:sz w:val="11"/>
                <w:szCs w:val="11"/>
                <w:b w:val="1"/>
                <w:bCs w:val="1"/>
                <w:color w:val="auto"/>
                <w:w w:val="85"/>
              </w:rPr>
              <w:t>(Decrease)</w:t>
            </w:r>
          </w:p>
        </w:tc>
        <w:tc>
          <w:tcPr>
            <w:tcW w:w="38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8"/>
              </w:rPr>
              <w:t>(Decrease)</w:t>
            </w:r>
          </w:p>
        </w:tc>
        <w:tc>
          <w:tcPr>
            <w:tcW w:w="0" w:type="dxa"/>
            <w:vAlign w:val="bottom"/>
          </w:tcPr>
          <w:p>
            <w:pPr>
              <w:spacing w:after="0"/>
              <w:rPr>
                <w:sz w:val="1"/>
                <w:szCs w:val="1"/>
                <w:color w:val="auto"/>
              </w:rPr>
            </w:pPr>
          </w:p>
        </w:tc>
      </w:tr>
      <w:tr>
        <w:trPr>
          <w:trHeight w:val="130"/>
        </w:trPr>
        <w:tc>
          <w:tcPr>
            <w:tcW w:w="544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ind w:left="100"/>
              <w:spacing w:after="0" w:line="120" w:lineRule="exact"/>
              <w:rPr>
                <w:sz w:val="20"/>
                <w:szCs w:val="20"/>
                <w:color w:val="auto"/>
              </w:rPr>
            </w:pPr>
            <w:r>
              <w:rPr>
                <w:rFonts w:ascii="Arial" w:cs="Arial" w:eastAsia="Arial" w:hAnsi="Arial"/>
                <w:sz w:val="11"/>
                <w:szCs w:val="11"/>
                <w:b w:val="1"/>
                <w:bCs w:val="1"/>
                <w:color w:val="auto"/>
                <w:w w:val="74"/>
              </w:rPr>
              <w:t>(In</w:t>
            </w:r>
          </w:p>
        </w:tc>
        <w:tc>
          <w:tcPr>
            <w:tcW w:w="780" w:type="dxa"/>
            <w:vAlign w:val="bottom"/>
            <w:tcBorders>
              <w:top w:val="single" w:sz="8" w:color="auto"/>
            </w:tcBorders>
          </w:tcPr>
          <w:p>
            <w:pPr>
              <w:jc w:val="center"/>
              <w:spacing w:after="0"/>
              <w:rPr>
                <w:sz w:val="20"/>
                <w:szCs w:val="20"/>
                <w:color w:val="auto"/>
              </w:rPr>
            </w:pPr>
            <w:r>
              <w:rPr>
                <w:rFonts w:ascii="Arial" w:cs="Arial" w:eastAsia="Arial" w:hAnsi="Arial"/>
                <w:sz w:val="11"/>
                <w:szCs w:val="11"/>
                <w:b w:val="1"/>
                <w:bCs w:val="1"/>
                <w:color w:val="auto"/>
                <w:w w:val="87"/>
              </w:rPr>
              <w:t>millions, except</w:t>
            </w:r>
          </w:p>
        </w:tc>
        <w:tc>
          <w:tcPr>
            <w:tcW w:w="460" w:type="dxa"/>
            <w:vAlign w:val="bottom"/>
          </w:tcPr>
          <w:p>
            <w:pPr>
              <w:jc w:val="right"/>
              <w:spacing w:after="0"/>
              <w:rPr>
                <w:sz w:val="20"/>
                <w:szCs w:val="20"/>
                <w:color w:val="auto"/>
              </w:rPr>
            </w:pPr>
            <w:r>
              <w:rPr>
                <w:rFonts w:ascii="Arial" w:cs="Arial" w:eastAsia="Arial" w:hAnsi="Arial"/>
                <w:sz w:val="10"/>
                <w:szCs w:val="10"/>
                <w:b w:val="1"/>
                <w:bCs w:val="1"/>
                <w:color w:val="auto"/>
                <w:w w:val="70"/>
              </w:rPr>
              <w:t>percentages)</w:t>
            </w:r>
          </w:p>
        </w:tc>
        <w:tc>
          <w:tcPr>
            <w:tcW w:w="380" w:type="dxa"/>
            <w:vAlign w:val="bottom"/>
            <w:tcBorders>
              <w:top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5440" w:type="dxa"/>
            <w:vAlign w:val="bottom"/>
          </w:tcPr>
          <w:p>
            <w:pPr>
              <w:spacing w:after="0"/>
              <w:rPr>
                <w:sz w:val="20"/>
                <w:szCs w:val="20"/>
                <w:color w:val="auto"/>
              </w:rPr>
            </w:pPr>
            <w:r>
              <w:rPr>
                <w:rFonts w:ascii="Arial" w:cs="Arial" w:eastAsia="Arial" w:hAnsi="Arial"/>
                <w:sz w:val="13"/>
                <w:szCs w:val="13"/>
                <w:color w:val="auto"/>
              </w:rPr>
              <w:t>Research and development expenses</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$ 40.4</w:t>
            </w:r>
          </w:p>
        </w:tc>
        <w:tc>
          <w:tcPr>
            <w:tcW w:w="580" w:type="dxa"/>
            <w:vAlign w:val="bottom"/>
            <w:gridSpan w:val="2"/>
          </w:tcPr>
          <w:p>
            <w:pPr>
              <w:jc w:val="right"/>
              <w:ind w:right="200"/>
              <w:spacing w:after="0"/>
              <w:rPr>
                <w:sz w:val="20"/>
                <w:szCs w:val="20"/>
                <w:color w:val="auto"/>
              </w:rPr>
            </w:pPr>
            <w:r>
              <w:rPr>
                <w:rFonts w:ascii="Arial" w:cs="Arial" w:eastAsia="Arial" w:hAnsi="Arial"/>
                <w:sz w:val="13"/>
                <w:szCs w:val="13"/>
                <w:color w:val="auto"/>
                <w:w w:val="99"/>
              </w:rPr>
              <w:t>$ 46.1</w:t>
            </w:r>
          </w:p>
        </w:tc>
        <w:tc>
          <w:tcPr>
            <w:tcW w:w="1460" w:type="dxa"/>
            <w:vAlign w:val="bottom"/>
            <w:gridSpan w:val="3"/>
          </w:tcPr>
          <w:p>
            <w:pPr>
              <w:jc w:val="right"/>
              <w:ind w:right="252"/>
              <w:spacing w:after="0"/>
              <w:rPr>
                <w:sz w:val="20"/>
                <w:szCs w:val="20"/>
                <w:color w:val="auto"/>
              </w:rPr>
            </w:pPr>
            <w:r>
              <w:rPr>
                <w:rFonts w:ascii="Arial" w:cs="Arial" w:eastAsia="Arial" w:hAnsi="Arial"/>
                <w:sz w:val="13"/>
                <w:szCs w:val="13"/>
                <w:color w:val="auto"/>
              </w:rPr>
              <w:t>(12.4)%</w:t>
            </w:r>
          </w:p>
        </w:tc>
        <w:tc>
          <w:tcPr>
            <w:tcW w:w="800" w:type="dxa"/>
            <w:vAlign w:val="bottom"/>
            <w:gridSpan w:val="2"/>
          </w:tcPr>
          <w:p>
            <w:pPr>
              <w:jc w:val="right"/>
              <w:ind w:right="420"/>
              <w:spacing w:after="0"/>
              <w:rPr>
                <w:sz w:val="20"/>
                <w:szCs w:val="20"/>
                <w:color w:val="auto"/>
              </w:rPr>
            </w:pPr>
            <w:r>
              <w:rPr>
                <w:rFonts w:ascii="Arial" w:cs="Arial" w:eastAsia="Arial" w:hAnsi="Arial"/>
                <w:sz w:val="13"/>
                <w:szCs w:val="13"/>
                <w:color w:val="auto"/>
                <w:w w:val="99"/>
              </w:rPr>
              <w:t>$ 39.4</w:t>
            </w:r>
          </w:p>
        </w:tc>
        <w:tc>
          <w:tcPr>
            <w:tcW w:w="900" w:type="dxa"/>
            <w:vAlign w:val="bottom"/>
            <w:gridSpan w:val="2"/>
          </w:tcPr>
          <w:p>
            <w:pPr>
              <w:jc w:val="right"/>
              <w:spacing w:after="0"/>
              <w:rPr>
                <w:sz w:val="20"/>
                <w:szCs w:val="20"/>
                <w:color w:val="auto"/>
              </w:rPr>
            </w:pPr>
            <w:r>
              <w:rPr>
                <w:rFonts w:ascii="Arial" w:cs="Arial" w:eastAsia="Arial" w:hAnsi="Arial"/>
                <w:sz w:val="13"/>
                <w:szCs w:val="13"/>
                <w:color w:val="auto"/>
              </w:rPr>
              <w:t>17.0%</w:t>
            </w:r>
          </w:p>
        </w:tc>
        <w:tc>
          <w:tcPr>
            <w:tcW w:w="0" w:type="dxa"/>
            <w:vAlign w:val="bottom"/>
          </w:tcPr>
          <w:p>
            <w:pPr>
              <w:spacing w:after="0"/>
              <w:rPr>
                <w:sz w:val="1"/>
                <w:szCs w:val="1"/>
                <w:color w:val="auto"/>
              </w:rPr>
            </w:pPr>
          </w:p>
        </w:tc>
      </w:tr>
      <w:tr>
        <w:trPr>
          <w:trHeight w:val="172"/>
        </w:trPr>
        <w:tc>
          <w:tcPr>
            <w:tcW w:w="5440" w:type="dxa"/>
            <w:vAlign w:val="bottom"/>
          </w:tcPr>
          <w:p>
            <w:pPr>
              <w:spacing w:after="0"/>
              <w:rPr>
                <w:sz w:val="20"/>
                <w:szCs w:val="20"/>
                <w:color w:val="auto"/>
              </w:rPr>
            </w:pPr>
            <w:r>
              <w:rPr>
                <w:rFonts w:ascii="Arial" w:cs="Arial" w:eastAsia="Arial" w:hAnsi="Arial"/>
                <w:sz w:val="13"/>
                <w:szCs w:val="13"/>
                <w:color w:val="auto"/>
              </w:rPr>
              <w:t>% of revenue</w:t>
            </w:r>
          </w:p>
        </w:tc>
        <w:tc>
          <w:tcPr>
            <w:tcW w:w="800" w:type="dxa"/>
            <w:vAlign w:val="bottom"/>
            <w:gridSpan w:val="2"/>
          </w:tcPr>
          <w:p>
            <w:pPr>
              <w:jc w:val="right"/>
              <w:ind w:right="300"/>
              <w:spacing w:after="0"/>
              <w:rPr>
                <w:sz w:val="20"/>
                <w:szCs w:val="20"/>
                <w:color w:val="auto"/>
              </w:rPr>
            </w:pPr>
            <w:r>
              <w:rPr>
                <w:rFonts w:ascii="Arial" w:cs="Arial" w:eastAsia="Arial" w:hAnsi="Arial"/>
                <w:sz w:val="13"/>
                <w:szCs w:val="13"/>
                <w:color w:val="auto"/>
              </w:rPr>
              <w:t>5.9%</w:t>
            </w: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rPr>
              <w:t>6.4%</w:t>
            </w:r>
          </w:p>
        </w:tc>
        <w:tc>
          <w:tcPr>
            <w:tcW w:w="220" w:type="dxa"/>
            <w:vAlign w:val="bottom"/>
          </w:tcPr>
          <w:p>
            <w:pPr>
              <w:spacing w:after="0"/>
              <w:rPr>
                <w:sz w:val="14"/>
                <w:szCs w:val="14"/>
                <w:color w:val="auto"/>
              </w:rPr>
            </w:pPr>
          </w:p>
        </w:tc>
        <w:tc>
          <w:tcPr>
            <w:tcW w:w="1240" w:type="dxa"/>
            <w:vAlign w:val="bottom"/>
            <w:gridSpan w:val="2"/>
          </w:tcPr>
          <w:p>
            <w:pPr>
              <w:jc w:val="right"/>
              <w:ind w:right="412"/>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3"/>
                <w:szCs w:val="13"/>
                <w:color w:val="auto"/>
              </w:rPr>
              <w:t>7.8%</w:t>
            </w: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159"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Fiscal 2009 Compared with Fiscal 2008</w:t>
      </w:r>
    </w:p>
    <w:p>
      <w:pPr>
        <w:spacing w:after="0" w:line="104" w:lineRule="exact"/>
        <w:rPr>
          <w:sz w:val="20"/>
          <w:szCs w:val="20"/>
          <w:color w:val="auto"/>
        </w:rPr>
      </w:pPr>
    </w:p>
    <w:p>
      <w:pPr>
        <w:ind w:left="680" w:right="280" w:firstLine="399"/>
        <w:spacing w:after="0" w:line="276" w:lineRule="auto"/>
        <w:rPr>
          <w:sz w:val="20"/>
          <w:szCs w:val="20"/>
          <w:color w:val="auto"/>
        </w:rPr>
      </w:pPr>
      <w:r>
        <w:rPr>
          <w:rFonts w:ascii="Arial" w:cs="Arial" w:eastAsia="Arial" w:hAnsi="Arial"/>
          <w:sz w:val="13"/>
          <w:szCs w:val="13"/>
          <w:color w:val="auto"/>
        </w:rPr>
        <w:t>Research and development (“R&amp;D”) expenses were $40.4 million in fiscal 2009 compared with $46.1 million in fiscal 2008. As a percentage of revenue, these expenses decreased to 5.9% in fiscal 2009 from 6.4% in fiscal 2008 due to higher revenue and a decrease in spending. The decrease in spending in fiscal 2009 compared with fiscal 2008 was primarily attributable to the reduction in engineering workforce implemented in our restructuring plans during fiscal 2008.</w:t>
      </w:r>
    </w:p>
    <w:p>
      <w:pPr>
        <w:spacing w:after="0" w:line="270"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40" w:name="page41"/>
    <w:bookmarkEnd w:id="4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Fiscal 2008 Compared with Fiscal 2007</w:t>
      </w:r>
    </w:p>
    <w:p>
      <w:pPr>
        <w:spacing w:after="0" w:line="104" w:lineRule="exact"/>
        <w:rPr>
          <w:sz w:val="20"/>
          <w:szCs w:val="20"/>
          <w:color w:val="auto"/>
        </w:rPr>
      </w:pPr>
    </w:p>
    <w:p>
      <w:pPr>
        <w:ind w:left="680" w:right="280" w:firstLine="399"/>
        <w:spacing w:after="0" w:line="276" w:lineRule="auto"/>
        <w:rPr>
          <w:sz w:val="20"/>
          <w:szCs w:val="20"/>
          <w:color w:val="auto"/>
        </w:rPr>
      </w:pPr>
      <w:r>
        <w:rPr>
          <w:rFonts w:ascii="Arial" w:cs="Arial" w:eastAsia="Arial" w:hAnsi="Arial"/>
          <w:sz w:val="13"/>
          <w:szCs w:val="13"/>
          <w:color w:val="auto"/>
        </w:rPr>
        <w:t>R&amp;D expenses were $46.1 million in fiscal 2008, compared with $39.4 million in fiscal 2007. As a percent of revenue, these expenses decreased from 7.8% in fiscal 2007 to 6.4% in fiscal 2008 due to higher revenue. The majority of the increase in spending in fiscal 2008 compared with fiscal 2007 was attributable to the R&amp;D activities acquired from Stratex. The remainder of the increase was attributable to higher spending in fiscal 2008 related to our TRuepoint 6000 development efforts.</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Selling and Administrative Expenses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5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gridSpan w:val="2"/>
          </w:tcPr>
          <w:p>
            <w:pPr>
              <w:jc w:val="center"/>
              <w:ind w:left="202"/>
              <w:spacing w:after="0"/>
              <w:rPr>
                <w:sz w:val="20"/>
                <w:szCs w:val="20"/>
                <w:color w:val="auto"/>
              </w:rPr>
            </w:pPr>
            <w:r>
              <w:rPr>
                <w:rFonts w:ascii="Arial" w:cs="Arial" w:eastAsia="Arial" w:hAnsi="Arial"/>
                <w:sz w:val="11"/>
                <w:szCs w:val="11"/>
                <w:b w:val="1"/>
                <w:bCs w:val="1"/>
                <w:color w:val="auto"/>
                <w:w w:val="88"/>
              </w:rPr>
              <w:t>2009/2008</w:t>
            </w: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80" w:type="dxa"/>
            <w:vAlign w:val="bottom"/>
          </w:tcPr>
          <w:p>
            <w:pPr>
              <w:jc w:val="center"/>
              <w:spacing w:after="0"/>
              <w:rPr>
                <w:sz w:val="20"/>
                <w:szCs w:val="20"/>
                <w:color w:val="auto"/>
              </w:rPr>
            </w:pPr>
            <w:r>
              <w:rPr>
                <w:rFonts w:ascii="Arial" w:cs="Arial" w:eastAsia="Arial" w:hAnsi="Arial"/>
                <w:sz w:val="11"/>
                <w:szCs w:val="11"/>
                <w:b w:val="1"/>
                <w:bCs w:val="1"/>
                <w:color w:val="auto"/>
                <w:w w:val="88"/>
              </w:rPr>
              <w:t>2008/2007</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5240" w:type="dxa"/>
            <w:vAlign w:val="bottom"/>
          </w:tcPr>
          <w:p>
            <w:pPr>
              <w:spacing w:after="0"/>
              <w:rPr>
                <w:sz w:val="9"/>
                <w:szCs w:val="9"/>
                <w:color w:val="auto"/>
              </w:rPr>
            </w:pPr>
          </w:p>
        </w:tc>
        <w:tc>
          <w:tcPr>
            <w:tcW w:w="480" w:type="dxa"/>
            <w:vAlign w:val="bottom"/>
            <w:vMerge w:val="restart"/>
          </w:tcPr>
          <w:p>
            <w:pPr>
              <w:jc w:val="right"/>
              <w:ind w:right="57"/>
              <w:spacing w:after="0"/>
              <w:rPr>
                <w:sz w:val="20"/>
                <w:szCs w:val="20"/>
                <w:color w:val="auto"/>
              </w:rPr>
            </w:pPr>
            <w:r>
              <w:rPr>
                <w:rFonts w:ascii="Arial" w:cs="Arial" w:eastAsia="Arial" w:hAnsi="Arial"/>
                <w:sz w:val="11"/>
                <w:szCs w:val="11"/>
                <w:b w:val="1"/>
                <w:bCs w:val="1"/>
                <w:color w:val="auto"/>
              </w:rPr>
              <w:t>2009</w:t>
            </w:r>
          </w:p>
        </w:tc>
        <w:tc>
          <w:tcPr>
            <w:tcW w:w="420" w:type="dxa"/>
            <w:vAlign w:val="bottom"/>
          </w:tcPr>
          <w:p>
            <w:pPr>
              <w:spacing w:after="0"/>
              <w:rPr>
                <w:sz w:val="9"/>
                <w:szCs w:val="9"/>
                <w:color w:val="auto"/>
              </w:rPr>
            </w:pPr>
          </w:p>
        </w:tc>
        <w:tc>
          <w:tcPr>
            <w:tcW w:w="480" w:type="dxa"/>
            <w:vAlign w:val="bottom"/>
            <w:vMerge w:val="restart"/>
          </w:tcPr>
          <w:p>
            <w:pPr>
              <w:jc w:val="right"/>
              <w:ind w:right="57"/>
              <w:spacing w:after="0"/>
              <w:rPr>
                <w:sz w:val="20"/>
                <w:szCs w:val="20"/>
                <w:color w:val="auto"/>
              </w:rPr>
            </w:pPr>
            <w:r>
              <w:rPr>
                <w:rFonts w:ascii="Arial" w:cs="Arial" w:eastAsia="Arial" w:hAnsi="Arial"/>
                <w:sz w:val="11"/>
                <w:szCs w:val="11"/>
                <w:b w:val="1"/>
                <w:bCs w:val="1"/>
                <w:color w:val="auto"/>
              </w:rPr>
              <w:t>2008</w:t>
            </w: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40" w:type="dxa"/>
            <w:vAlign w:val="bottom"/>
            <w:gridSpan w:val="2"/>
          </w:tcPr>
          <w:p>
            <w:pPr>
              <w:jc w:val="center"/>
              <w:ind w:right="412"/>
              <w:spacing w:after="0" w:line="111" w:lineRule="exact"/>
              <w:rPr>
                <w:sz w:val="20"/>
                <w:szCs w:val="20"/>
                <w:color w:val="auto"/>
              </w:rPr>
            </w:pPr>
            <w:r>
              <w:rPr>
                <w:rFonts w:ascii="Arial" w:cs="Arial" w:eastAsia="Arial" w:hAnsi="Arial"/>
                <w:sz w:val="11"/>
                <w:szCs w:val="11"/>
                <w:b w:val="1"/>
                <w:bCs w:val="1"/>
                <w:color w:val="auto"/>
                <w:w w:val="89"/>
              </w:rPr>
              <w:t>% Increase/</w:t>
            </w:r>
          </w:p>
        </w:tc>
        <w:tc>
          <w:tcPr>
            <w:tcW w:w="80" w:type="dxa"/>
            <w:vAlign w:val="bottom"/>
          </w:tcPr>
          <w:p>
            <w:pPr>
              <w:spacing w:after="0"/>
              <w:rPr>
                <w:sz w:val="9"/>
                <w:szCs w:val="9"/>
                <w:color w:val="auto"/>
              </w:rPr>
            </w:pPr>
          </w:p>
        </w:tc>
        <w:tc>
          <w:tcPr>
            <w:tcW w:w="300" w:type="dxa"/>
            <w:vAlign w:val="bottom"/>
            <w:vMerge w:val="restart"/>
          </w:tcPr>
          <w:p>
            <w:pPr>
              <w:jc w:val="right"/>
              <w:ind w:right="17"/>
              <w:spacing w:after="0"/>
              <w:rPr>
                <w:sz w:val="20"/>
                <w:szCs w:val="20"/>
                <w:color w:val="auto"/>
              </w:rPr>
            </w:pPr>
            <w:r>
              <w:rPr>
                <w:rFonts w:ascii="Arial" w:cs="Arial" w:eastAsia="Arial" w:hAnsi="Arial"/>
                <w:sz w:val="11"/>
                <w:szCs w:val="11"/>
                <w:b w:val="1"/>
                <w:bCs w:val="1"/>
                <w:color w:val="auto"/>
                <w:w w:val="81"/>
              </w:rPr>
              <w:t>2007</w:t>
            </w:r>
          </w:p>
        </w:tc>
        <w:tc>
          <w:tcPr>
            <w:tcW w:w="420" w:type="dxa"/>
            <w:vAlign w:val="bottom"/>
          </w:tcPr>
          <w:p>
            <w:pPr>
              <w:spacing w:after="0"/>
              <w:rPr>
                <w:sz w:val="9"/>
                <w:szCs w:val="9"/>
                <w:color w:val="auto"/>
              </w:rPr>
            </w:pPr>
          </w:p>
        </w:tc>
        <w:tc>
          <w:tcPr>
            <w:tcW w:w="900" w:type="dxa"/>
            <w:vAlign w:val="bottom"/>
            <w:gridSpan w:val="2"/>
          </w:tcPr>
          <w:p>
            <w:pPr>
              <w:jc w:val="center"/>
              <w:ind w:right="120"/>
              <w:spacing w:after="0" w:line="111" w:lineRule="exact"/>
              <w:rPr>
                <w:sz w:val="20"/>
                <w:szCs w:val="20"/>
                <w:color w:val="auto"/>
              </w:rPr>
            </w:pPr>
            <w:r>
              <w:rPr>
                <w:rFonts w:ascii="Arial" w:cs="Arial" w:eastAsia="Arial" w:hAnsi="Arial"/>
                <w:sz w:val="11"/>
                <w:szCs w:val="11"/>
                <w:b w:val="1"/>
                <w:bCs w:val="1"/>
                <w:color w:val="auto"/>
                <w:w w:val="89"/>
              </w:rPr>
              <w:t>% Increase/</w:t>
            </w:r>
          </w:p>
        </w:tc>
        <w:tc>
          <w:tcPr>
            <w:tcW w:w="0" w:type="dxa"/>
            <w:vAlign w:val="bottom"/>
          </w:tcPr>
          <w:p>
            <w:pPr>
              <w:spacing w:after="0"/>
              <w:rPr>
                <w:sz w:val="1"/>
                <w:szCs w:val="1"/>
                <w:color w:val="auto"/>
              </w:rPr>
            </w:pPr>
          </w:p>
        </w:tc>
      </w:tr>
      <w:tr>
        <w:trPr>
          <w:trHeight w:val="128"/>
        </w:trPr>
        <w:tc>
          <w:tcPr>
            <w:tcW w:w="524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jc w:val="center"/>
              <w:ind w:right="392"/>
              <w:spacing w:after="0"/>
              <w:rPr>
                <w:sz w:val="20"/>
                <w:szCs w:val="20"/>
                <w:color w:val="auto"/>
              </w:rPr>
            </w:pPr>
            <w:r>
              <w:rPr>
                <w:rFonts w:ascii="Arial" w:cs="Arial" w:eastAsia="Arial" w:hAnsi="Arial"/>
                <w:sz w:val="11"/>
                <w:szCs w:val="11"/>
                <w:b w:val="1"/>
                <w:bCs w:val="1"/>
                <w:color w:val="auto"/>
                <w:w w:val="85"/>
              </w:rPr>
              <w:t>(Decrease)</w:t>
            </w:r>
          </w:p>
        </w:tc>
        <w:tc>
          <w:tcPr>
            <w:tcW w:w="80" w:type="dxa"/>
            <w:vAlign w:val="bottom"/>
          </w:tcPr>
          <w:p>
            <w:pPr>
              <w:spacing w:after="0"/>
              <w:rPr>
                <w:sz w:val="11"/>
                <w:szCs w:val="11"/>
                <w:color w:val="auto"/>
              </w:rPr>
            </w:pPr>
          </w:p>
        </w:tc>
        <w:tc>
          <w:tcPr>
            <w:tcW w:w="30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8"/>
              </w:rPr>
              <w:t>(Decrease)</w:t>
            </w:r>
          </w:p>
        </w:tc>
        <w:tc>
          <w:tcPr>
            <w:tcW w:w="0" w:type="dxa"/>
            <w:vAlign w:val="bottom"/>
          </w:tcPr>
          <w:p>
            <w:pPr>
              <w:spacing w:after="0"/>
              <w:rPr>
                <w:sz w:val="1"/>
                <w:szCs w:val="1"/>
                <w:color w:val="auto"/>
              </w:rPr>
            </w:pPr>
          </w:p>
        </w:tc>
      </w:tr>
      <w:tr>
        <w:trPr>
          <w:trHeight w:val="130"/>
        </w:trPr>
        <w:tc>
          <w:tcPr>
            <w:tcW w:w="524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ind w:left="40"/>
              <w:spacing w:after="0" w:line="120" w:lineRule="exact"/>
              <w:rPr>
                <w:sz w:val="20"/>
                <w:szCs w:val="20"/>
                <w:color w:val="auto"/>
              </w:rPr>
            </w:pPr>
            <w:r>
              <w:rPr>
                <w:rFonts w:ascii="Arial" w:cs="Arial" w:eastAsia="Arial" w:hAnsi="Arial"/>
                <w:sz w:val="11"/>
                <w:szCs w:val="11"/>
                <w:b w:val="1"/>
                <w:bCs w:val="1"/>
                <w:color w:val="auto"/>
              </w:rPr>
              <w:t>(In</w:t>
            </w:r>
          </w:p>
        </w:tc>
        <w:tc>
          <w:tcPr>
            <w:tcW w:w="780" w:type="dxa"/>
            <w:vAlign w:val="bottom"/>
            <w:tcBorders>
              <w:top w:val="single" w:sz="8" w:color="auto"/>
            </w:tcBorders>
          </w:tcPr>
          <w:p>
            <w:pPr>
              <w:spacing w:after="0"/>
              <w:rPr>
                <w:sz w:val="20"/>
                <w:szCs w:val="20"/>
                <w:color w:val="auto"/>
              </w:rPr>
            </w:pPr>
            <w:r>
              <w:rPr>
                <w:rFonts w:ascii="Arial" w:cs="Arial" w:eastAsia="Arial" w:hAnsi="Arial"/>
                <w:sz w:val="11"/>
                <w:szCs w:val="11"/>
                <w:b w:val="1"/>
                <w:bCs w:val="1"/>
                <w:color w:val="auto"/>
                <w:w w:val="92"/>
              </w:rPr>
              <w:t>millions, except</w:t>
            </w:r>
          </w:p>
        </w:tc>
        <w:tc>
          <w:tcPr>
            <w:tcW w:w="460" w:type="dxa"/>
            <w:vAlign w:val="bottom"/>
          </w:tcPr>
          <w:p>
            <w:pPr>
              <w:jc w:val="right"/>
              <w:spacing w:after="0"/>
              <w:rPr>
                <w:sz w:val="20"/>
                <w:szCs w:val="20"/>
                <w:color w:val="auto"/>
              </w:rPr>
            </w:pPr>
            <w:r>
              <w:rPr>
                <w:rFonts w:ascii="Arial" w:cs="Arial" w:eastAsia="Arial" w:hAnsi="Arial"/>
                <w:sz w:val="10"/>
                <w:szCs w:val="10"/>
                <w:b w:val="1"/>
                <w:bCs w:val="1"/>
                <w:color w:val="auto"/>
                <w:w w:val="70"/>
              </w:rPr>
              <w:t>percentages)</w:t>
            </w:r>
          </w:p>
        </w:tc>
        <w:tc>
          <w:tcPr>
            <w:tcW w:w="8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5240" w:type="dxa"/>
            <w:vAlign w:val="bottom"/>
          </w:tcPr>
          <w:p>
            <w:pPr>
              <w:spacing w:after="0"/>
              <w:rPr>
                <w:sz w:val="20"/>
                <w:szCs w:val="20"/>
                <w:color w:val="auto"/>
              </w:rPr>
            </w:pPr>
            <w:r>
              <w:rPr>
                <w:rFonts w:ascii="Arial" w:cs="Arial" w:eastAsia="Arial" w:hAnsi="Arial"/>
                <w:sz w:val="13"/>
                <w:szCs w:val="13"/>
                <w:color w:val="auto"/>
              </w:rPr>
              <w:t>Selling and administrative expenses</w:t>
            </w: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  138.3</w:t>
            </w: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w w:val="97"/>
              </w:rPr>
              <w:t>$  141.4</w:t>
            </w:r>
          </w:p>
        </w:tc>
        <w:tc>
          <w:tcPr>
            <w:tcW w:w="1500" w:type="dxa"/>
            <w:vAlign w:val="bottom"/>
            <w:gridSpan w:val="3"/>
          </w:tcPr>
          <w:p>
            <w:pPr>
              <w:jc w:val="right"/>
              <w:ind w:right="252"/>
              <w:spacing w:after="0"/>
              <w:rPr>
                <w:sz w:val="20"/>
                <w:szCs w:val="20"/>
                <w:color w:val="auto"/>
              </w:rPr>
            </w:pPr>
            <w:r>
              <w:rPr>
                <w:rFonts w:ascii="Arial" w:cs="Arial" w:eastAsia="Arial" w:hAnsi="Arial"/>
                <w:sz w:val="13"/>
                <w:szCs w:val="13"/>
                <w:color w:val="auto"/>
              </w:rPr>
              <w:t>(2.2)%</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98.9</w:t>
            </w:r>
          </w:p>
        </w:tc>
        <w:tc>
          <w:tcPr>
            <w:tcW w:w="900" w:type="dxa"/>
            <w:vAlign w:val="bottom"/>
            <w:gridSpan w:val="2"/>
          </w:tcPr>
          <w:p>
            <w:pPr>
              <w:jc w:val="right"/>
              <w:spacing w:after="0"/>
              <w:rPr>
                <w:sz w:val="20"/>
                <w:szCs w:val="20"/>
                <w:color w:val="auto"/>
              </w:rPr>
            </w:pPr>
            <w:r>
              <w:rPr>
                <w:rFonts w:ascii="Arial" w:cs="Arial" w:eastAsia="Arial" w:hAnsi="Arial"/>
                <w:sz w:val="13"/>
                <w:szCs w:val="13"/>
                <w:color w:val="auto"/>
              </w:rPr>
              <w:t>43.0%</w:t>
            </w:r>
          </w:p>
        </w:tc>
        <w:tc>
          <w:tcPr>
            <w:tcW w:w="0" w:type="dxa"/>
            <w:vAlign w:val="bottom"/>
          </w:tcPr>
          <w:p>
            <w:pPr>
              <w:spacing w:after="0"/>
              <w:rPr>
                <w:sz w:val="1"/>
                <w:szCs w:val="1"/>
                <w:color w:val="auto"/>
              </w:rPr>
            </w:pPr>
          </w:p>
        </w:tc>
      </w:tr>
      <w:tr>
        <w:trPr>
          <w:trHeight w:val="172"/>
        </w:trPr>
        <w:tc>
          <w:tcPr>
            <w:tcW w:w="5240" w:type="dxa"/>
            <w:vAlign w:val="bottom"/>
          </w:tcPr>
          <w:p>
            <w:pPr>
              <w:spacing w:after="0"/>
              <w:rPr>
                <w:sz w:val="20"/>
                <w:szCs w:val="20"/>
                <w:color w:val="auto"/>
              </w:rPr>
            </w:pPr>
            <w:r>
              <w:rPr>
                <w:rFonts w:ascii="Arial" w:cs="Arial" w:eastAsia="Arial" w:hAnsi="Arial"/>
                <w:sz w:val="13"/>
                <w:szCs w:val="13"/>
                <w:color w:val="auto"/>
              </w:rPr>
              <w:t>% of revenue</w:t>
            </w:r>
          </w:p>
        </w:tc>
        <w:tc>
          <w:tcPr>
            <w:tcW w:w="900" w:type="dxa"/>
            <w:vAlign w:val="bottom"/>
            <w:gridSpan w:val="2"/>
          </w:tcPr>
          <w:p>
            <w:pPr>
              <w:jc w:val="right"/>
              <w:ind w:right="300"/>
              <w:spacing w:after="0"/>
              <w:rPr>
                <w:sz w:val="20"/>
                <w:szCs w:val="20"/>
                <w:color w:val="auto"/>
              </w:rPr>
            </w:pPr>
            <w:r>
              <w:rPr>
                <w:rFonts w:ascii="Arial" w:cs="Arial" w:eastAsia="Arial" w:hAnsi="Arial"/>
                <w:sz w:val="13"/>
                <w:szCs w:val="13"/>
                <w:color w:val="auto"/>
              </w:rPr>
              <w:t>20.3%</w:t>
            </w: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19.7%</w:t>
            </w:r>
          </w:p>
        </w:tc>
        <w:tc>
          <w:tcPr>
            <w:tcW w:w="260" w:type="dxa"/>
            <w:vAlign w:val="bottom"/>
          </w:tcPr>
          <w:p>
            <w:pPr>
              <w:spacing w:after="0"/>
              <w:rPr>
                <w:sz w:val="14"/>
                <w:szCs w:val="14"/>
                <w:color w:val="auto"/>
              </w:rPr>
            </w:pPr>
          </w:p>
        </w:tc>
        <w:tc>
          <w:tcPr>
            <w:tcW w:w="1240" w:type="dxa"/>
            <w:vAlign w:val="bottom"/>
            <w:gridSpan w:val="2"/>
          </w:tcPr>
          <w:p>
            <w:pPr>
              <w:jc w:val="right"/>
              <w:ind w:right="412"/>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19.5%</w:t>
            </w: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159"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Fiscal 2009 Compared with Fiscal 2008</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summarizes the significant increases and decreases to our selling and administrative expenses comparing fiscal 2009 with fiscal 2008:</w:t>
      </w:r>
    </w:p>
    <w:p>
      <w:pPr>
        <w:sectPr>
          <w:pgSz w:w="11900" w:h="16838" w:orient="portrait"/>
          <w:cols w:equalWidth="0" w:num="1">
            <w:col w:w="10660"/>
          </w:cols>
          <w:pgMar w:left="220" w:top="349" w:right="1019" w:bottom="1440" w:gutter="0" w:footer="0" w:header="0"/>
        </w:sectPr>
      </w:pPr>
    </w:p>
    <w:p>
      <w:pPr>
        <w:spacing w:after="0" w:line="38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Decrease in selling expenses and sales commissions due to lower order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-87630</wp:posOffset>
            </wp:positionV>
            <wp:extent cx="6334125" cy="1022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334125" cy="102235"/>
                    </a:xfrm>
                    <a:prstGeom prst="rect">
                      <a:avLst/>
                    </a:prstGeom>
                    <a:noFill/>
                  </pic:spPr>
                </pic:pic>
              </a:graphicData>
            </a:graphic>
          </wp:anchor>
        </w:drawing>
      </w:r>
    </w:p>
    <w:p>
      <w:pPr>
        <w:spacing w:after="0" w:line="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Decrease in integration costs related to acquisition of Stratex in fiscal 2007</w:t>
      </w:r>
    </w:p>
    <w:p>
      <w:pPr>
        <w:spacing w:after="0" w:line="12" w:lineRule="exact"/>
        <w:rPr>
          <w:sz w:val="20"/>
          <w:szCs w:val="20"/>
          <w:color w:val="auto"/>
        </w:rPr>
      </w:pPr>
    </w:p>
    <w:p>
      <w:pPr>
        <w:ind w:left="680" w:right="2032"/>
        <w:spacing w:after="0" w:line="258" w:lineRule="auto"/>
        <w:rPr>
          <w:sz w:val="20"/>
          <w:szCs w:val="20"/>
          <w:color w:val="auto"/>
        </w:rPr>
      </w:pPr>
      <w:r>
        <w:rPr>
          <w:rFonts w:ascii="Arial" w:cs="Arial" w:eastAsia="Arial" w:hAnsi="Arial"/>
          <w:sz w:val="13"/>
          <w:szCs w:val="13"/>
          <w:color w:val="auto"/>
        </w:rPr>
        <w:t>Decrease in amounts accrued under bonus plans and share-based compensation due to lower profitability Increase due to formation of chief operations officer group during fiscal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-203200</wp:posOffset>
            </wp:positionV>
            <wp:extent cx="6334125" cy="1022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334125" cy="102235"/>
                    </a:xfrm>
                    <a:prstGeom prst="rect">
                      <a:avLst/>
                    </a:prstGeom>
                    <a:noFill/>
                  </pic:spPr>
                </pic:pic>
              </a:graphicData>
            </a:graphic>
          </wp:anchor>
        </w:drawing>
      </w:r>
    </w:p>
    <w:p>
      <w:pPr>
        <w:ind w:left="680" w:right="2792"/>
        <w:spacing w:after="0" w:line="258" w:lineRule="auto"/>
        <w:rPr>
          <w:sz w:val="20"/>
          <w:szCs w:val="20"/>
          <w:color w:val="auto"/>
        </w:rPr>
      </w:pPr>
      <w:r>
        <w:rPr>
          <w:rFonts w:ascii="Arial" w:cs="Arial" w:eastAsia="Arial" w:hAnsi="Arial"/>
          <w:sz w:val="13"/>
          <w:szCs w:val="13"/>
          <w:color w:val="auto"/>
        </w:rPr>
        <w:t>Increase in administrative costs due to 4G and product unification and transition initiatives Increase in allowance for uncollectible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-203200</wp:posOffset>
            </wp:positionV>
            <wp:extent cx="6334125" cy="1022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334125" cy="102235"/>
                    </a:xfrm>
                    <a:prstGeom prst="rect">
                      <a:avLst/>
                    </a:prstGeom>
                    <a:noFill/>
                  </pic:spPr>
                </pic:pic>
              </a:graphicData>
            </a:graphic>
          </wp:anchor>
        </w:drawing>
      </w:r>
    </w:p>
    <w:p>
      <w:pPr>
        <w:ind w:left="680"/>
        <w:spacing w:after="0"/>
        <w:rPr>
          <w:sz w:val="20"/>
          <w:szCs w:val="20"/>
          <w:color w:val="auto"/>
        </w:rPr>
      </w:pPr>
      <w:r>
        <w:rPr>
          <w:rFonts w:ascii="Arial" w:cs="Arial" w:eastAsia="Arial" w:hAnsi="Arial"/>
          <w:sz w:val="13"/>
          <w:szCs w:val="13"/>
          <w:color w:val="auto"/>
        </w:rPr>
        <w:t>Increase in software costs, external audit, restatement and SOX consulting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-93980</wp:posOffset>
            </wp:positionV>
            <wp:extent cx="6334125" cy="1022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334125" cy="102235"/>
                    </a:xfrm>
                    <a:prstGeom prst="rect">
                      <a:avLst/>
                    </a:prstGeom>
                    <a:noFill/>
                  </pic:spPr>
                </pic:pic>
              </a:graphicData>
            </a:graphic>
          </wp:anchor>
        </w:drawing>
      </w:r>
    </w:p>
    <w:p>
      <w:pPr>
        <w:ind w:left="680"/>
        <w:spacing w:after="0"/>
        <w:rPr>
          <w:sz w:val="20"/>
          <w:szCs w:val="20"/>
          <w:color w:val="auto"/>
        </w:rPr>
      </w:pPr>
      <w:r>
        <w:rPr>
          <w:rFonts w:ascii="Arial" w:cs="Arial" w:eastAsia="Arial" w:hAnsi="Arial"/>
          <w:sz w:val="13"/>
          <w:szCs w:val="13"/>
          <w:color w:val="auto"/>
        </w:rPr>
        <w:t>Increase in marketing costs for channel marketing and tradeshows</w:t>
      </w:r>
    </w:p>
    <w:p>
      <w:pPr>
        <w:spacing w:after="0" w:line="1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Increase due to change in fair value of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-93980</wp:posOffset>
            </wp:positionV>
            <wp:extent cx="6334125" cy="1022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334125" cy="102235"/>
                    </a:xfrm>
                    <a:prstGeom prst="rect">
                      <a:avLst/>
                    </a:prstGeom>
                    <a:noFill/>
                  </pic:spPr>
                </pic:pic>
              </a:graphicData>
            </a:graphic>
          </wp:anchor>
        </w:drawing>
      </w:r>
    </w:p>
    <w:p>
      <w:pPr>
        <w:ind w:left="680"/>
        <w:spacing w:after="0"/>
        <w:rPr>
          <w:sz w:val="20"/>
          <w:szCs w:val="20"/>
          <w:color w:val="auto"/>
        </w:rPr>
      </w:pPr>
      <w:r>
        <w:rPr>
          <w:rFonts w:ascii="Arial" w:cs="Arial" w:eastAsia="Arial" w:hAnsi="Arial"/>
          <w:sz w:val="13"/>
          <w:szCs w:val="13"/>
          <w:color w:val="auto"/>
        </w:rPr>
        <w:t>Other,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20320</wp:posOffset>
            </wp:positionV>
            <wp:extent cx="6334125" cy="1022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334125" cy="1022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jc w:val="center"/>
        <w:ind w:right="72"/>
        <w:spacing w:after="0"/>
        <w:rPr>
          <w:sz w:val="20"/>
          <w:szCs w:val="20"/>
          <w:color w:val="auto"/>
        </w:rPr>
      </w:pPr>
      <w:r>
        <w:rPr>
          <w:rFonts w:ascii="Arial" w:cs="Arial" w:eastAsia="Arial" w:hAnsi="Arial"/>
          <w:sz w:val="11"/>
          <w:szCs w:val="11"/>
          <w:b w:val="1"/>
          <w:bCs w:val="1"/>
          <w:color w:val="auto"/>
        </w:rPr>
        <w:t>Increase/(Decrease)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wp:posOffset>
            </wp:positionV>
            <wp:extent cx="953135" cy="63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953135" cy="6350"/>
                    </a:xfrm>
                    <a:prstGeom prst="rect">
                      <a:avLst/>
                    </a:prstGeom>
                    <a:noFill/>
                  </pic:spPr>
                </pic:pic>
              </a:graphicData>
            </a:graphic>
          </wp:anchor>
        </w:drawing>
      </w:r>
    </w:p>
    <w:p>
      <w:pPr>
        <w:jc w:val="center"/>
        <w:ind w:right="72"/>
        <w:spacing w:after="0"/>
        <w:rPr>
          <w:sz w:val="20"/>
          <w:szCs w:val="20"/>
          <w:color w:val="auto"/>
        </w:rPr>
      </w:pPr>
      <w:r>
        <w:rPr>
          <w:rFonts w:ascii="Arial" w:cs="Arial" w:eastAsia="Arial" w:hAnsi="Arial"/>
          <w:sz w:val="11"/>
          <w:szCs w:val="11"/>
          <w:b w:val="1"/>
          <w:bCs w:val="1"/>
          <w:color w:val="auto"/>
        </w:rPr>
        <w:t>(In millions)</w:t>
      </w:r>
    </w:p>
    <w:p>
      <w:pPr>
        <w:spacing w:after="0" w:line="19" w:lineRule="exact"/>
        <w:rPr>
          <w:sz w:val="20"/>
          <w:szCs w:val="20"/>
          <w:color w:val="auto"/>
        </w:rPr>
      </w:pPr>
    </w:p>
    <w:p>
      <w:pPr>
        <w:ind w:left="1228" w:hanging="1228"/>
        <w:spacing w:after="0"/>
        <w:tabs>
          <w:tab w:leader="none" w:pos="1228" w:val="left"/>
        </w:tabs>
        <w:numPr>
          <w:ilvl w:val="0"/>
          <w:numId w:val="21"/>
        </w:numPr>
        <w:rPr>
          <w:rFonts w:ascii="Arial" w:cs="Arial" w:eastAsia="Arial" w:hAnsi="Arial"/>
          <w:sz w:val="12"/>
          <w:szCs w:val="12"/>
          <w:color w:val="auto"/>
        </w:rPr>
      </w:pPr>
      <w:r>
        <w:rPr>
          <w:rFonts w:ascii="Arial" w:cs="Arial" w:eastAsia="Arial" w:hAnsi="Arial"/>
          <w:sz w:val="12"/>
          <w:szCs w:val="12"/>
          <w:color w:val="auto"/>
        </w:rPr>
        <w:t>(13.0)</w:t>
      </w:r>
    </w:p>
    <w:p>
      <w:pPr>
        <w:spacing w:after="0" w:line="33" w:lineRule="exact"/>
        <w:rPr>
          <w:rFonts w:ascii="Arial" w:cs="Arial" w:eastAsia="Arial" w:hAnsi="Arial"/>
          <w:sz w:val="12"/>
          <w:szCs w:val="12"/>
          <w:color w:val="auto"/>
        </w:rPr>
      </w:pPr>
    </w:p>
    <w:p>
      <w:pPr>
        <w:ind w:left="1228"/>
        <w:spacing w:after="0"/>
        <w:rPr>
          <w:rFonts w:ascii="Arial" w:cs="Arial" w:eastAsia="Arial" w:hAnsi="Arial"/>
          <w:sz w:val="12"/>
          <w:szCs w:val="12"/>
          <w:color w:val="auto"/>
        </w:rPr>
      </w:pPr>
      <w:r>
        <w:rPr>
          <w:rFonts w:ascii="Arial" w:cs="Arial" w:eastAsia="Arial" w:hAnsi="Arial"/>
          <w:sz w:val="12"/>
          <w:szCs w:val="12"/>
          <w:color w:val="auto"/>
        </w:rPr>
        <w:t>(10.2)</w:t>
      </w:r>
    </w:p>
    <w:p>
      <w:pPr>
        <w:spacing w:after="0" w:line="23" w:lineRule="exact"/>
        <w:rPr>
          <w:rFonts w:ascii="Arial" w:cs="Arial" w:eastAsia="Arial" w:hAnsi="Arial"/>
          <w:sz w:val="12"/>
          <w:szCs w:val="12"/>
          <w:color w:val="auto"/>
        </w:rPr>
      </w:pPr>
    </w:p>
    <w:p>
      <w:pPr>
        <w:ind w:left="1288"/>
        <w:spacing w:after="0"/>
        <w:rPr>
          <w:rFonts w:ascii="Arial" w:cs="Arial" w:eastAsia="Arial" w:hAnsi="Arial"/>
          <w:sz w:val="12"/>
          <w:szCs w:val="12"/>
          <w:color w:val="auto"/>
        </w:rPr>
      </w:pPr>
      <w:r>
        <w:rPr>
          <w:rFonts w:ascii="Arial" w:cs="Arial" w:eastAsia="Arial" w:hAnsi="Arial"/>
          <w:sz w:val="12"/>
          <w:szCs w:val="12"/>
          <w:color w:val="auto"/>
        </w:rPr>
        <w:t>(5.1)</w:t>
      </w:r>
    </w:p>
    <w:p>
      <w:pPr>
        <w:spacing w:after="0" w:line="23" w:lineRule="exact"/>
        <w:rPr>
          <w:rFonts w:ascii="Arial" w:cs="Arial" w:eastAsia="Arial" w:hAnsi="Arial"/>
          <w:sz w:val="12"/>
          <w:szCs w:val="12"/>
          <w:color w:val="auto"/>
        </w:rPr>
      </w:pPr>
    </w:p>
    <w:p>
      <w:pPr>
        <w:ind w:left="1328"/>
        <w:spacing w:after="0"/>
        <w:rPr>
          <w:rFonts w:ascii="Arial" w:cs="Arial" w:eastAsia="Arial" w:hAnsi="Arial"/>
          <w:sz w:val="12"/>
          <w:szCs w:val="12"/>
          <w:color w:val="auto"/>
        </w:rPr>
      </w:pPr>
      <w:r>
        <w:rPr>
          <w:rFonts w:ascii="Arial" w:cs="Arial" w:eastAsia="Arial" w:hAnsi="Arial"/>
          <w:sz w:val="13"/>
          <w:szCs w:val="13"/>
          <w:color w:val="auto"/>
        </w:rPr>
        <w:t>6.3</w:t>
      </w:r>
    </w:p>
    <w:p>
      <w:pPr>
        <w:spacing w:after="0" w:line="11" w:lineRule="exact"/>
        <w:rPr>
          <w:rFonts w:ascii="Arial" w:cs="Arial" w:eastAsia="Arial" w:hAnsi="Arial"/>
          <w:sz w:val="12"/>
          <w:szCs w:val="12"/>
          <w:color w:val="auto"/>
        </w:rPr>
      </w:pPr>
    </w:p>
    <w:p>
      <w:pPr>
        <w:ind w:left="1328"/>
        <w:spacing w:after="0"/>
        <w:rPr>
          <w:rFonts w:ascii="Arial" w:cs="Arial" w:eastAsia="Arial" w:hAnsi="Arial"/>
          <w:sz w:val="12"/>
          <w:szCs w:val="12"/>
          <w:color w:val="auto"/>
        </w:rPr>
      </w:pPr>
      <w:r>
        <w:rPr>
          <w:rFonts w:ascii="Arial" w:cs="Arial" w:eastAsia="Arial" w:hAnsi="Arial"/>
          <w:sz w:val="13"/>
          <w:szCs w:val="13"/>
          <w:color w:val="auto"/>
        </w:rPr>
        <w:t>5.8</w:t>
      </w:r>
    </w:p>
    <w:p>
      <w:pPr>
        <w:spacing w:after="0" w:line="11" w:lineRule="exact"/>
        <w:rPr>
          <w:rFonts w:ascii="Arial" w:cs="Arial" w:eastAsia="Arial" w:hAnsi="Arial"/>
          <w:sz w:val="12"/>
          <w:szCs w:val="12"/>
          <w:color w:val="auto"/>
        </w:rPr>
      </w:pPr>
    </w:p>
    <w:p>
      <w:pPr>
        <w:ind w:left="1328"/>
        <w:spacing w:after="0"/>
        <w:rPr>
          <w:rFonts w:ascii="Arial" w:cs="Arial" w:eastAsia="Arial" w:hAnsi="Arial"/>
          <w:sz w:val="12"/>
          <w:szCs w:val="12"/>
          <w:color w:val="auto"/>
        </w:rPr>
      </w:pPr>
      <w:r>
        <w:rPr>
          <w:rFonts w:ascii="Arial" w:cs="Arial" w:eastAsia="Arial" w:hAnsi="Arial"/>
          <w:sz w:val="13"/>
          <w:szCs w:val="13"/>
          <w:color w:val="auto"/>
        </w:rPr>
        <w:t>5.5</w:t>
      </w:r>
    </w:p>
    <w:p>
      <w:pPr>
        <w:spacing w:after="0" w:line="11" w:lineRule="exact"/>
        <w:rPr>
          <w:rFonts w:ascii="Arial" w:cs="Arial" w:eastAsia="Arial" w:hAnsi="Arial"/>
          <w:sz w:val="12"/>
          <w:szCs w:val="12"/>
          <w:color w:val="auto"/>
        </w:rPr>
      </w:pPr>
    </w:p>
    <w:p>
      <w:pPr>
        <w:ind w:left="1328"/>
        <w:spacing w:after="0"/>
        <w:rPr>
          <w:rFonts w:ascii="Arial" w:cs="Arial" w:eastAsia="Arial" w:hAnsi="Arial"/>
          <w:sz w:val="12"/>
          <w:szCs w:val="12"/>
          <w:color w:val="auto"/>
        </w:rPr>
      </w:pPr>
      <w:r>
        <w:rPr>
          <w:rFonts w:ascii="Arial" w:cs="Arial" w:eastAsia="Arial" w:hAnsi="Arial"/>
          <w:sz w:val="13"/>
          <w:szCs w:val="13"/>
          <w:color w:val="auto"/>
        </w:rPr>
        <w:t>3.3</w:t>
      </w:r>
    </w:p>
    <w:p>
      <w:pPr>
        <w:spacing w:after="0" w:line="11" w:lineRule="exact"/>
        <w:rPr>
          <w:rFonts w:ascii="Arial" w:cs="Arial" w:eastAsia="Arial" w:hAnsi="Arial"/>
          <w:sz w:val="12"/>
          <w:szCs w:val="12"/>
          <w:color w:val="auto"/>
        </w:rPr>
      </w:pPr>
    </w:p>
    <w:p>
      <w:pPr>
        <w:ind w:left="1328"/>
        <w:spacing w:after="0"/>
        <w:rPr>
          <w:rFonts w:ascii="Arial" w:cs="Arial" w:eastAsia="Arial" w:hAnsi="Arial"/>
          <w:sz w:val="12"/>
          <w:szCs w:val="12"/>
          <w:color w:val="auto"/>
        </w:rPr>
      </w:pPr>
      <w:r>
        <w:rPr>
          <w:rFonts w:ascii="Arial" w:cs="Arial" w:eastAsia="Arial" w:hAnsi="Arial"/>
          <w:sz w:val="13"/>
          <w:szCs w:val="13"/>
          <w:color w:val="auto"/>
        </w:rPr>
        <w:t>1.7</w:t>
      </w:r>
    </w:p>
    <w:p>
      <w:pPr>
        <w:spacing w:after="0" w:line="11" w:lineRule="exact"/>
        <w:rPr>
          <w:rFonts w:ascii="Arial" w:cs="Arial" w:eastAsia="Arial" w:hAnsi="Arial"/>
          <w:sz w:val="12"/>
          <w:szCs w:val="12"/>
          <w:color w:val="auto"/>
        </w:rPr>
      </w:pPr>
    </w:p>
    <w:p>
      <w:pPr>
        <w:ind w:left="1288"/>
        <w:spacing w:after="0"/>
        <w:rPr>
          <w:rFonts w:ascii="Arial" w:cs="Arial" w:eastAsia="Arial" w:hAnsi="Arial"/>
          <w:sz w:val="12"/>
          <w:szCs w:val="12"/>
          <w:color w:val="auto"/>
        </w:rPr>
      </w:pPr>
      <w:r>
        <w:rPr>
          <w:rFonts w:ascii="Arial" w:cs="Arial" w:eastAsia="Arial" w:hAnsi="Arial"/>
          <w:sz w:val="12"/>
          <w:szCs w:val="12"/>
          <w:color w:val="auto"/>
        </w:rPr>
        <w:t>(0.6)</w:t>
      </w:r>
    </w:p>
    <w:p>
      <w:pPr>
        <w:spacing w:after="0" w:line="23" w:lineRule="exact"/>
        <w:rPr>
          <w:rFonts w:ascii="Arial" w:cs="Arial" w:eastAsia="Arial" w:hAnsi="Arial"/>
          <w:sz w:val="12"/>
          <w:szCs w:val="12"/>
          <w:color w:val="auto"/>
        </w:rPr>
      </w:pPr>
    </w:p>
    <w:p>
      <w:pPr>
        <w:ind w:left="1328"/>
        <w:spacing w:after="0"/>
        <w:rPr>
          <w:rFonts w:ascii="Arial" w:cs="Arial" w:eastAsia="Arial" w:hAnsi="Arial"/>
          <w:sz w:val="12"/>
          <w:szCs w:val="12"/>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953135" cy="63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953135" cy="6350"/>
                    </a:xfrm>
                    <a:prstGeom prst="rect">
                      <a:avLst/>
                    </a:prstGeom>
                    <a:noFill/>
                  </pic:spPr>
                </pic:pic>
              </a:graphicData>
            </a:graphic>
          </wp:anchor>
        </w:drawing>
      </w:r>
    </w:p>
    <w:p>
      <w:pPr>
        <w:spacing w:after="0" w:line="1" w:lineRule="exact"/>
        <w:rPr>
          <w:sz w:val="20"/>
          <w:szCs w:val="20"/>
          <w:color w:val="auto"/>
        </w:rPr>
      </w:pPr>
    </w:p>
    <w:p>
      <w:pPr>
        <w:ind w:left="1288" w:hanging="1288"/>
        <w:spacing w:after="0"/>
        <w:tabs>
          <w:tab w:leader="none" w:pos="1288" w:val="left"/>
        </w:tabs>
        <w:numPr>
          <w:ilvl w:val="0"/>
          <w:numId w:val="22"/>
        </w:numPr>
        <w:rPr>
          <w:rFonts w:ascii="Arial" w:cs="Arial" w:eastAsia="Arial" w:hAnsi="Arial"/>
          <w:sz w:val="12"/>
          <w:szCs w:val="12"/>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21590</wp:posOffset>
            </wp:positionV>
            <wp:extent cx="953135" cy="63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953135" cy="635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34290</wp:posOffset>
            </wp:positionV>
            <wp:extent cx="953135" cy="63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953135" cy="6350"/>
                    </a:xfrm>
                    <a:prstGeom prst="rect">
                      <a:avLst/>
                    </a:prstGeom>
                    <a:noFill/>
                  </pic:spPr>
                </pic:pic>
              </a:graphicData>
            </a:graphic>
          </wp:anchor>
        </w:drawing>
      </w:r>
    </w:p>
    <w:p>
      <w:pPr>
        <w:spacing w:after="0" w:line="154" w:lineRule="exact"/>
        <w:rPr>
          <w:sz w:val="20"/>
          <w:szCs w:val="20"/>
          <w:color w:val="auto"/>
        </w:rPr>
      </w:pPr>
    </w:p>
    <w:p>
      <w:pPr>
        <w:sectPr>
          <w:pgSz w:w="11900" w:h="16838" w:orient="portrait"/>
          <w:cols w:equalWidth="0" w:num="2">
            <w:col w:w="8352" w:space="720"/>
            <w:col w:w="1588"/>
          </w:cols>
          <w:pgMar w:left="220" w:top="349" w:right="1019" w:bottom="1440" w:gutter="0" w:footer="0" w:header="0"/>
          <w:type w:val="continuous"/>
        </w:sectPr>
      </w:pPr>
    </w:p>
    <w:p>
      <w:pPr>
        <w:ind w:left="680" w:right="180" w:firstLine="399"/>
        <w:spacing w:after="0" w:line="276" w:lineRule="auto"/>
        <w:rPr>
          <w:sz w:val="20"/>
          <w:szCs w:val="20"/>
          <w:color w:val="auto"/>
        </w:rPr>
      </w:pPr>
      <w:r>
        <w:rPr>
          <w:rFonts w:ascii="Arial" w:cs="Arial" w:eastAsia="Arial" w:hAnsi="Arial"/>
          <w:sz w:val="13"/>
          <w:szCs w:val="13"/>
          <w:color w:val="auto"/>
        </w:rPr>
        <w:t>The chief operations officer group was formed in fiscal 2009 to centrally manage activities that provide support to all functions of our company. These costs include the development of a program manager group that drives our internal project execution and the business process engineering team that enhances system integration and facilitates process improvements throughout the company.</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Fiscal 2008 Compared with Fiscal 2007</w:t>
      </w:r>
    </w:p>
    <w:p>
      <w:pPr>
        <w:spacing w:after="0" w:line="104" w:lineRule="exact"/>
        <w:rPr>
          <w:sz w:val="20"/>
          <w:szCs w:val="20"/>
          <w:color w:val="auto"/>
        </w:rPr>
      </w:pPr>
    </w:p>
    <w:p>
      <w:pPr>
        <w:ind w:left="680" w:right="120" w:firstLine="399"/>
        <w:spacing w:after="0" w:line="265" w:lineRule="auto"/>
        <w:rPr>
          <w:sz w:val="20"/>
          <w:szCs w:val="20"/>
          <w:color w:val="auto"/>
        </w:rPr>
      </w:pPr>
      <w:r>
        <w:rPr>
          <w:rFonts w:ascii="Arial" w:cs="Arial" w:eastAsia="Arial" w:hAnsi="Arial"/>
          <w:sz w:val="13"/>
          <w:szCs w:val="13"/>
          <w:color w:val="auto"/>
        </w:rPr>
        <w:t>Selling and administrative (“S&amp;A”) expenses in fiscal 2008 increased to $141.4 million from $98.9 million in fiscal 2007. As a percentage of revenue, these expenses increased from 19.5% of revenue in fiscal 2007 to 19.7% of revenue in fiscal 2008. This increase was partially offset by a $3.3 million gain on the change in fair value of warrants classified in S&amp;A expenses compared with a $0.6 million gain in fiscal 2007. S&amp;A expenses also increased as a result of the increase in revenue. The majority of the increase in spending in fiscal 2008 compared with fiscal 2007 was attributable to the S&amp;A expenses associated with the former Stratex business. The remainder of the increase was due to higher selling expenses associated with the increase in revenue, and increased costs incurred for compliance with Sarbanes-Oxley requirements for review and attestation of internal control over financial reporting.</w:t>
      </w:r>
    </w:p>
    <w:p>
      <w:pPr>
        <w:spacing w:after="0" w:line="279"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type w:val="continuous"/>
        </w:sectPr>
      </w:pPr>
    </w:p>
    <w:bookmarkStart w:id="41" w:name="page42"/>
    <w:bookmarkEnd w:id="4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Income Taxes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5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tcPr>
          <w:p>
            <w:pPr>
              <w:jc w:val="center"/>
              <w:ind w:left="246"/>
              <w:spacing w:after="0"/>
              <w:rPr>
                <w:sz w:val="20"/>
                <w:szCs w:val="20"/>
                <w:color w:val="auto"/>
              </w:rPr>
            </w:pPr>
            <w:r>
              <w:rPr>
                <w:rFonts w:ascii="Arial" w:cs="Arial" w:eastAsia="Arial" w:hAnsi="Arial"/>
                <w:sz w:val="11"/>
                <w:szCs w:val="11"/>
                <w:b w:val="1"/>
                <w:bCs w:val="1"/>
                <w:color w:val="auto"/>
                <w:w w:val="88"/>
              </w:rPr>
              <w:t>2009/2008</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80" w:type="dxa"/>
            <w:vAlign w:val="bottom"/>
          </w:tcPr>
          <w:p>
            <w:pPr>
              <w:jc w:val="center"/>
              <w:spacing w:after="0"/>
              <w:rPr>
                <w:sz w:val="20"/>
                <w:szCs w:val="20"/>
                <w:color w:val="auto"/>
              </w:rPr>
            </w:pPr>
            <w:r>
              <w:rPr>
                <w:rFonts w:ascii="Arial" w:cs="Arial" w:eastAsia="Arial" w:hAnsi="Arial"/>
                <w:sz w:val="11"/>
                <w:szCs w:val="11"/>
                <w:b w:val="1"/>
                <w:bCs w:val="1"/>
                <w:color w:val="auto"/>
                <w:w w:val="88"/>
              </w:rPr>
              <w:t>2008/2007</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5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vMerge w:val="restart"/>
          </w:tcPr>
          <w:p>
            <w:pPr>
              <w:jc w:val="right"/>
              <w:ind w:right="116"/>
              <w:spacing w:after="0"/>
              <w:rPr>
                <w:sz w:val="20"/>
                <w:szCs w:val="20"/>
                <w:color w:val="auto"/>
              </w:rPr>
            </w:pPr>
            <w:r>
              <w:rPr>
                <w:rFonts w:ascii="Arial" w:cs="Arial" w:eastAsia="Arial" w:hAnsi="Arial"/>
                <w:sz w:val="11"/>
                <w:szCs w:val="11"/>
                <w:b w:val="1"/>
                <w:bCs w:val="1"/>
                <w:color w:val="auto"/>
              </w:rPr>
              <w:t>2009</w:t>
            </w: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vMerge w:val="restart"/>
          </w:tcPr>
          <w:p>
            <w:pPr>
              <w:jc w:val="right"/>
              <w:ind w:right="76"/>
              <w:spacing w:after="0"/>
              <w:rPr>
                <w:sz w:val="20"/>
                <w:szCs w:val="20"/>
                <w:color w:val="auto"/>
              </w:rPr>
            </w:pPr>
            <w:r>
              <w:rPr>
                <w:rFonts w:ascii="Arial" w:cs="Arial" w:eastAsia="Arial" w:hAnsi="Arial"/>
                <w:sz w:val="11"/>
                <w:szCs w:val="11"/>
                <w:b w:val="1"/>
                <w:bCs w:val="1"/>
                <w:color w:val="auto"/>
                <w:w w:val="89"/>
              </w:rPr>
              <w:t>2008</w:t>
            </w: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80" w:type="dxa"/>
            <w:vAlign w:val="bottom"/>
            <w:gridSpan w:val="2"/>
          </w:tcPr>
          <w:p>
            <w:pPr>
              <w:jc w:val="center"/>
              <w:ind w:right="380"/>
              <w:spacing w:after="0" w:line="111" w:lineRule="exact"/>
              <w:rPr>
                <w:sz w:val="20"/>
                <w:szCs w:val="20"/>
                <w:color w:val="auto"/>
              </w:rPr>
            </w:pPr>
            <w:r>
              <w:rPr>
                <w:rFonts w:ascii="Arial" w:cs="Arial" w:eastAsia="Arial" w:hAnsi="Arial"/>
                <w:sz w:val="11"/>
                <w:szCs w:val="11"/>
                <w:b w:val="1"/>
                <w:bCs w:val="1"/>
                <w:color w:val="auto"/>
                <w:w w:val="92"/>
              </w:rPr>
              <w:t>% Increase/</w:t>
            </w:r>
          </w:p>
        </w:tc>
        <w:tc>
          <w:tcPr>
            <w:tcW w:w="100" w:type="dxa"/>
            <w:vAlign w:val="bottom"/>
          </w:tcPr>
          <w:p>
            <w:pPr>
              <w:spacing w:after="0"/>
              <w:rPr>
                <w:sz w:val="9"/>
                <w:szCs w:val="9"/>
                <w:color w:val="auto"/>
              </w:rPr>
            </w:pPr>
          </w:p>
        </w:tc>
        <w:tc>
          <w:tcPr>
            <w:tcW w:w="380" w:type="dxa"/>
            <w:vAlign w:val="bottom"/>
            <w:vMerge w:val="restart"/>
          </w:tcPr>
          <w:p>
            <w:pPr>
              <w:jc w:val="right"/>
              <w:ind w:right="76"/>
              <w:spacing w:after="0"/>
              <w:rPr>
                <w:sz w:val="20"/>
                <w:szCs w:val="20"/>
                <w:color w:val="auto"/>
              </w:rPr>
            </w:pPr>
            <w:r>
              <w:rPr>
                <w:rFonts w:ascii="Arial" w:cs="Arial" w:eastAsia="Arial" w:hAnsi="Arial"/>
                <w:sz w:val="11"/>
                <w:szCs w:val="11"/>
                <w:b w:val="1"/>
                <w:bCs w:val="1"/>
                <w:color w:val="auto"/>
                <w:w w:val="89"/>
              </w:rPr>
              <w:t>2007</w:t>
            </w:r>
          </w:p>
        </w:tc>
        <w:tc>
          <w:tcPr>
            <w:tcW w:w="420" w:type="dxa"/>
            <w:vAlign w:val="bottom"/>
          </w:tcPr>
          <w:p>
            <w:pPr>
              <w:spacing w:after="0"/>
              <w:rPr>
                <w:sz w:val="9"/>
                <w:szCs w:val="9"/>
                <w:color w:val="auto"/>
              </w:rPr>
            </w:pPr>
          </w:p>
        </w:tc>
        <w:tc>
          <w:tcPr>
            <w:tcW w:w="940" w:type="dxa"/>
            <w:vAlign w:val="bottom"/>
            <w:gridSpan w:val="2"/>
          </w:tcPr>
          <w:p>
            <w:pPr>
              <w:jc w:val="center"/>
              <w:ind w:right="160"/>
              <w:spacing w:after="0" w:line="111" w:lineRule="exact"/>
              <w:rPr>
                <w:sz w:val="20"/>
                <w:szCs w:val="20"/>
                <w:color w:val="auto"/>
              </w:rPr>
            </w:pPr>
            <w:r>
              <w:rPr>
                <w:rFonts w:ascii="Arial" w:cs="Arial" w:eastAsia="Arial" w:hAnsi="Arial"/>
                <w:sz w:val="11"/>
                <w:szCs w:val="11"/>
                <w:b w:val="1"/>
                <w:bCs w:val="1"/>
                <w:color w:val="auto"/>
                <w:w w:val="89"/>
              </w:rPr>
              <w:t>% Increase/</w:t>
            </w:r>
          </w:p>
        </w:tc>
        <w:tc>
          <w:tcPr>
            <w:tcW w:w="0" w:type="dxa"/>
            <w:vAlign w:val="bottom"/>
          </w:tcPr>
          <w:p>
            <w:pPr>
              <w:spacing w:after="0"/>
              <w:rPr>
                <w:sz w:val="1"/>
                <w:szCs w:val="1"/>
                <w:color w:val="auto"/>
              </w:rPr>
            </w:pPr>
          </w:p>
        </w:tc>
      </w:tr>
      <w:tr>
        <w:trPr>
          <w:trHeight w:val="128"/>
        </w:trPr>
        <w:tc>
          <w:tcPr>
            <w:tcW w:w="50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vMerge w:val="continue"/>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vMerge w:val="continue"/>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5"/>
              </w:rPr>
              <w:t>(Decrease)</w:t>
            </w: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vMerge w:val="continue"/>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8"/>
              </w:rPr>
              <w:t>(Decrease)</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5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60" w:type="dxa"/>
            <w:vAlign w:val="bottom"/>
            <w:gridSpan w:val="4"/>
          </w:tcPr>
          <w:p>
            <w:pPr>
              <w:jc w:val="right"/>
              <w:ind w:right="30"/>
              <w:spacing w:after="0"/>
              <w:rPr>
                <w:sz w:val="20"/>
                <w:szCs w:val="20"/>
                <w:color w:val="auto"/>
              </w:rPr>
            </w:pPr>
            <w:r>
              <w:rPr>
                <w:rFonts w:ascii="Arial" w:cs="Arial" w:eastAsia="Arial" w:hAnsi="Arial"/>
                <w:sz w:val="11"/>
                <w:szCs w:val="11"/>
                <w:b w:val="1"/>
                <w:bCs w:val="1"/>
                <w:color w:val="auto"/>
                <w:w w:val="85"/>
              </w:rPr>
              <w:t>(In millions, except percentages)</w:t>
            </w: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5040" w:type="dxa"/>
            <w:vAlign w:val="bottom"/>
            <w:shd w:val="clear" w:color="auto" w:fill="CCEEFF"/>
          </w:tcPr>
          <w:p>
            <w:pPr>
              <w:spacing w:after="0"/>
              <w:rPr>
                <w:sz w:val="20"/>
                <w:szCs w:val="20"/>
                <w:color w:val="auto"/>
              </w:rPr>
            </w:pPr>
            <w:r>
              <w:rPr>
                <w:rFonts w:ascii="Arial" w:cs="Arial" w:eastAsia="Arial" w:hAnsi="Arial"/>
                <w:sz w:val="13"/>
                <w:szCs w:val="13"/>
                <w:color w:val="auto"/>
              </w:rPr>
              <w:t>Loss before income taxes</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(337.2)</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(13.9)</w:t>
            </w:r>
          </w:p>
        </w:tc>
        <w:tc>
          <w:tcPr>
            <w:tcW w:w="2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N/M</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(27.9)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(50.2)%</w:t>
            </w:r>
          </w:p>
        </w:tc>
        <w:tc>
          <w:tcPr>
            <w:tcW w:w="0" w:type="dxa"/>
            <w:vAlign w:val="bottom"/>
          </w:tcPr>
          <w:p>
            <w:pPr>
              <w:spacing w:after="0"/>
              <w:rPr>
                <w:sz w:val="1"/>
                <w:szCs w:val="1"/>
                <w:color w:val="auto"/>
              </w:rPr>
            </w:pPr>
          </w:p>
        </w:tc>
      </w:tr>
      <w:tr>
        <w:trPr>
          <w:trHeight w:val="161"/>
        </w:trPr>
        <w:tc>
          <w:tcPr>
            <w:tcW w:w="5040" w:type="dxa"/>
            <w:vAlign w:val="bottom"/>
          </w:tcPr>
          <w:p>
            <w:pPr>
              <w:spacing w:after="0"/>
              <w:rPr>
                <w:sz w:val="20"/>
                <w:szCs w:val="20"/>
                <w:color w:val="auto"/>
              </w:rPr>
            </w:pPr>
            <w:r>
              <w:rPr>
                <w:rFonts w:ascii="Arial" w:cs="Arial" w:eastAsia="Arial" w:hAnsi="Arial"/>
                <w:sz w:val="13"/>
                <w:szCs w:val="13"/>
                <w:color w:val="auto"/>
              </w:rPr>
              <w:t>Income tax benefit (expense)</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420"/>
              <w:spacing w:after="0"/>
              <w:rPr>
                <w:sz w:val="20"/>
                <w:szCs w:val="20"/>
                <w:color w:val="auto"/>
              </w:rPr>
            </w:pPr>
            <w:r>
              <w:rPr>
                <w:rFonts w:ascii="Arial" w:cs="Arial" w:eastAsia="Arial" w:hAnsi="Arial"/>
                <w:sz w:val="13"/>
                <w:szCs w:val="13"/>
                <w:color w:val="auto"/>
              </w:rPr>
              <w:t>(17.8)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tcPr>
          <w:p>
            <w:pPr>
              <w:jc w:val="right"/>
              <w:ind w:right="120"/>
              <w:spacing w:after="0"/>
              <w:rPr>
                <w:sz w:val="20"/>
                <w:szCs w:val="20"/>
                <w:color w:val="auto"/>
              </w:rPr>
            </w:pPr>
            <w:r>
              <w:rPr>
                <w:rFonts w:ascii="Arial" w:cs="Arial" w:eastAsia="Arial" w:hAnsi="Arial"/>
                <w:sz w:val="13"/>
                <w:szCs w:val="13"/>
                <w:color w:val="auto"/>
              </w:rPr>
              <w:t>2.0</w:t>
            </w:r>
          </w:p>
        </w:tc>
        <w:tc>
          <w:tcPr>
            <w:tcW w:w="280" w:type="dxa"/>
            <w:vAlign w:val="bottom"/>
          </w:tcPr>
          <w:p>
            <w:pPr>
              <w:spacing w:after="0"/>
              <w:rPr>
                <w:sz w:val="14"/>
                <w:szCs w:val="14"/>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3"/>
                <w:szCs w:val="13"/>
                <w:color w:val="auto"/>
              </w:rPr>
              <w:t>N/M</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420"/>
              <w:spacing w:after="0"/>
              <w:rPr>
                <w:sz w:val="20"/>
                <w:szCs w:val="20"/>
                <w:color w:val="auto"/>
              </w:rPr>
            </w:pPr>
            <w:r>
              <w:rPr>
                <w:rFonts w:ascii="Arial" w:cs="Arial" w:eastAsia="Arial" w:hAnsi="Arial"/>
                <w:sz w:val="13"/>
                <w:szCs w:val="13"/>
                <w:color w:val="auto"/>
              </w:rPr>
              <w:t>6.1</w:t>
            </w: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N/M</w:t>
            </w:r>
          </w:p>
        </w:tc>
        <w:tc>
          <w:tcPr>
            <w:tcW w:w="0" w:type="dxa"/>
            <w:vAlign w:val="bottom"/>
          </w:tcPr>
          <w:p>
            <w:pPr>
              <w:spacing w:after="0"/>
              <w:rPr>
                <w:sz w:val="1"/>
                <w:szCs w:val="1"/>
                <w:color w:val="auto"/>
              </w:rPr>
            </w:pPr>
          </w:p>
        </w:tc>
      </w:tr>
      <w:tr>
        <w:trPr>
          <w:trHeight w:val="161"/>
        </w:trPr>
        <w:tc>
          <w:tcPr>
            <w:tcW w:w="5040" w:type="dxa"/>
            <w:vAlign w:val="bottom"/>
            <w:shd w:val="clear" w:color="auto" w:fill="CCEEFF"/>
          </w:tcPr>
          <w:p>
            <w:pPr>
              <w:spacing w:after="0"/>
              <w:rPr>
                <w:sz w:val="20"/>
                <w:szCs w:val="20"/>
                <w:color w:val="auto"/>
              </w:rPr>
            </w:pPr>
            <w:r>
              <w:rPr>
                <w:rFonts w:ascii="Arial" w:cs="Arial" w:eastAsia="Arial" w:hAnsi="Arial"/>
                <w:sz w:val="13"/>
                <w:szCs w:val="13"/>
                <w:color w:val="auto"/>
              </w:rPr>
              <w:t>% of loss before income taxes</w:t>
            </w: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(5.3)%</w:t>
            </w:r>
          </w:p>
        </w:tc>
        <w:tc>
          <w:tcPr>
            <w:tcW w:w="10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14.4%</w:t>
            </w:r>
          </w:p>
        </w:tc>
        <w:tc>
          <w:tcPr>
            <w:tcW w:w="2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21.9%</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680" w:right="40" w:firstLine="399"/>
        <w:spacing w:after="0" w:line="299" w:lineRule="auto"/>
        <w:rPr>
          <w:sz w:val="20"/>
          <w:szCs w:val="20"/>
          <w:color w:val="auto"/>
        </w:rPr>
      </w:pPr>
      <w:r>
        <w:rPr>
          <w:rFonts w:ascii="Arial" w:cs="Arial" w:eastAsia="Arial" w:hAnsi="Arial"/>
          <w:sz w:val="12"/>
          <w:szCs w:val="12"/>
          <w:color w:val="auto"/>
        </w:rPr>
        <w:t>The income tax expense for fiscal 2009 was $17.8 million. The variation between our income tax expense of $17.8 million and income tax benefit at the statutory rate of 35% on our pre-tax loss of $337.2 million was primarily due to our evaluation of the ability to realize certain deferred tax assets in future periods. We increased our valuation allowance on these certain deferred tax assets resulting from our assessment of positive and negative evidence. We concluded that additional valuation allowance was required, resulting in income tax expense of $25.1 million. The effective tax rate for fiscal 2009 otherwise reflects the benefits of lower taxed foreign earnings and losses.</w:t>
      </w:r>
    </w:p>
    <w:p>
      <w:pPr>
        <w:spacing w:after="0" w:line="48"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Our fiscal 2008 tax benefit was the result of a pre-tax loss primarily due to the consolidation of our foreign operations, which are subject to income taxes at lower statutory rates.</w:t>
      </w:r>
    </w:p>
    <w:p>
      <w:pPr>
        <w:spacing w:after="0" w:line="114" w:lineRule="exact"/>
        <w:rPr>
          <w:sz w:val="20"/>
          <w:szCs w:val="20"/>
          <w:color w:val="auto"/>
        </w:rPr>
      </w:pPr>
    </w:p>
    <w:p>
      <w:pPr>
        <w:ind w:left="680" w:right="400" w:firstLine="399"/>
        <w:spacing w:after="0" w:line="294" w:lineRule="auto"/>
        <w:rPr>
          <w:sz w:val="20"/>
          <w:szCs w:val="20"/>
          <w:color w:val="auto"/>
        </w:rPr>
      </w:pPr>
      <w:r>
        <w:rPr>
          <w:rFonts w:ascii="Arial" w:cs="Arial" w:eastAsia="Arial" w:hAnsi="Arial"/>
          <w:sz w:val="13"/>
          <w:szCs w:val="13"/>
          <w:color w:val="auto"/>
        </w:rPr>
        <w:t>Our fiscal 2007 tax benefit was the result of foreign tax credits earned as a result of our international operations offset somewhat by unfavorable carve-out tax adjustments attributable to MCD.</w:t>
      </w:r>
    </w:p>
    <w:p>
      <w:pPr>
        <w:spacing w:after="0" w:line="47" w:lineRule="exact"/>
        <w:rPr>
          <w:sz w:val="20"/>
          <w:szCs w:val="20"/>
          <w:color w:val="auto"/>
        </w:rPr>
      </w:pPr>
    </w:p>
    <w:p>
      <w:pPr>
        <w:ind w:left="680" w:right="40" w:firstLine="399"/>
        <w:spacing w:after="0" w:line="270" w:lineRule="auto"/>
        <w:rPr>
          <w:sz w:val="20"/>
          <w:szCs w:val="20"/>
          <w:color w:val="auto"/>
        </w:rPr>
      </w:pPr>
      <w:r>
        <w:rPr>
          <w:rFonts w:ascii="Arial" w:cs="Arial" w:eastAsia="Arial" w:hAnsi="Arial"/>
          <w:sz w:val="13"/>
          <w:szCs w:val="13"/>
          <w:color w:val="auto"/>
        </w:rPr>
        <w:t>For periods prior to January 26, 2007, income tax expense has been determined as if MCD had been a stand-alone entity, although the actual tax liabilities and tax consequences applied only to Harris. In those periods, our income tax expense for those periods related to income taxes paid or to be paid in foreign jurisdictions for which net operating loss carryforwards were not available and domestic taxable income is deemed offset by tax loss carryforwards for which an income tax valuation allowance had been previously provided for in the financial statements.</w:t>
      </w:r>
    </w:p>
    <w:p>
      <w:pPr>
        <w:spacing w:after="0" w:line="63" w:lineRule="exact"/>
        <w:rPr>
          <w:sz w:val="20"/>
          <w:szCs w:val="20"/>
          <w:color w:val="auto"/>
        </w:rPr>
      </w:pPr>
    </w:p>
    <w:p>
      <w:pPr>
        <w:ind w:left="680" w:right="180" w:firstLine="399"/>
        <w:spacing w:after="0" w:line="267" w:lineRule="auto"/>
        <w:rPr>
          <w:sz w:val="20"/>
          <w:szCs w:val="20"/>
          <w:color w:val="auto"/>
        </w:rPr>
      </w:pPr>
      <w:r>
        <w:rPr>
          <w:rFonts w:ascii="Arial" w:cs="Arial" w:eastAsia="Arial" w:hAnsi="Arial"/>
          <w:sz w:val="13"/>
          <w:szCs w:val="13"/>
          <w:color w:val="auto"/>
        </w:rPr>
        <w:t>As of July 3, 2009, we had $27.9 million of U.S. and foreign credit carryforward. We also had U.S. net operating loss carryforwards of approximately $201.2 million and U.S. capital loss carryforwards of $12.9 million. Tax loss and credit carryforwards as of July 3, 2009 have expiration dates ranging between one year and none in certain instances. Certain credits begin to expire in fiscal 2010 and U.S. net operating losses will begin to expire in fiscal 2022. On January 26, 2007 we recorded a full valuation allowance on the net operating loss carryforward in the opening balance sheet of Stratex under purchase accounting. During the current year, all goodwill was impaired. Any realization of the acquired net operating loss carryforwards in future periods will be recorded through the income statement.</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Discussion of Business Segments</w:t>
      </w:r>
    </w:p>
    <w:p>
      <w:pPr>
        <w:spacing w:after="0" w:line="10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North America Microwave Segment</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5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gridSpan w:val="2"/>
          </w:tcPr>
          <w:p>
            <w:pPr>
              <w:jc w:val="center"/>
              <w:ind w:left="202"/>
              <w:spacing w:after="0"/>
              <w:rPr>
                <w:sz w:val="20"/>
                <w:szCs w:val="20"/>
                <w:color w:val="auto"/>
              </w:rPr>
            </w:pPr>
            <w:r>
              <w:rPr>
                <w:rFonts w:ascii="Arial" w:cs="Arial" w:eastAsia="Arial" w:hAnsi="Arial"/>
                <w:sz w:val="11"/>
                <w:szCs w:val="11"/>
                <w:b w:val="1"/>
                <w:bCs w:val="1"/>
                <w:color w:val="auto"/>
                <w:w w:val="88"/>
              </w:rPr>
              <w:t>2009/2008</w:t>
            </w: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80" w:type="dxa"/>
            <w:vAlign w:val="bottom"/>
          </w:tcPr>
          <w:p>
            <w:pPr>
              <w:jc w:val="center"/>
              <w:spacing w:after="0"/>
              <w:rPr>
                <w:sz w:val="20"/>
                <w:szCs w:val="20"/>
                <w:color w:val="auto"/>
              </w:rPr>
            </w:pPr>
            <w:r>
              <w:rPr>
                <w:rFonts w:ascii="Arial" w:cs="Arial" w:eastAsia="Arial" w:hAnsi="Arial"/>
                <w:sz w:val="11"/>
                <w:szCs w:val="11"/>
                <w:b w:val="1"/>
                <w:bCs w:val="1"/>
                <w:color w:val="auto"/>
                <w:w w:val="88"/>
              </w:rPr>
              <w:t>2008/2007</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5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vMerge w:val="restart"/>
          </w:tcPr>
          <w:p>
            <w:pPr>
              <w:jc w:val="right"/>
              <w:ind w:right="56"/>
              <w:spacing w:after="0"/>
              <w:rPr>
                <w:sz w:val="20"/>
                <w:szCs w:val="20"/>
                <w:color w:val="auto"/>
              </w:rPr>
            </w:pPr>
            <w:r>
              <w:rPr>
                <w:rFonts w:ascii="Arial" w:cs="Arial" w:eastAsia="Arial" w:hAnsi="Arial"/>
                <w:sz w:val="11"/>
                <w:szCs w:val="11"/>
                <w:b w:val="1"/>
                <w:bCs w:val="1"/>
                <w:color w:val="auto"/>
                <w:w w:val="97"/>
              </w:rPr>
              <w:t>2009</w:t>
            </w: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vMerge w:val="restart"/>
          </w:tcPr>
          <w:p>
            <w:pPr>
              <w:jc w:val="right"/>
              <w:ind w:right="56"/>
              <w:spacing w:after="0"/>
              <w:rPr>
                <w:sz w:val="20"/>
                <w:szCs w:val="20"/>
                <w:color w:val="auto"/>
              </w:rPr>
            </w:pPr>
            <w:r>
              <w:rPr>
                <w:rFonts w:ascii="Arial" w:cs="Arial" w:eastAsia="Arial" w:hAnsi="Arial"/>
                <w:sz w:val="11"/>
                <w:szCs w:val="11"/>
                <w:b w:val="1"/>
                <w:bCs w:val="1"/>
                <w:color w:val="auto"/>
                <w:w w:val="97"/>
              </w:rPr>
              <w:t>2008</w:t>
            </w: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40" w:type="dxa"/>
            <w:vAlign w:val="bottom"/>
            <w:gridSpan w:val="2"/>
          </w:tcPr>
          <w:p>
            <w:pPr>
              <w:jc w:val="center"/>
              <w:ind w:right="412"/>
              <w:spacing w:after="0" w:line="111" w:lineRule="exact"/>
              <w:rPr>
                <w:sz w:val="20"/>
                <w:szCs w:val="20"/>
                <w:color w:val="auto"/>
              </w:rPr>
            </w:pPr>
            <w:r>
              <w:rPr>
                <w:rFonts w:ascii="Arial" w:cs="Arial" w:eastAsia="Arial" w:hAnsi="Arial"/>
                <w:sz w:val="11"/>
                <w:szCs w:val="11"/>
                <w:b w:val="1"/>
                <w:bCs w:val="1"/>
                <w:color w:val="auto"/>
                <w:w w:val="89"/>
              </w:rPr>
              <w:t>% Increase/</w:t>
            </w:r>
          </w:p>
        </w:tc>
        <w:tc>
          <w:tcPr>
            <w:tcW w:w="100" w:type="dxa"/>
            <w:vAlign w:val="bottom"/>
          </w:tcPr>
          <w:p>
            <w:pPr>
              <w:spacing w:after="0"/>
              <w:rPr>
                <w:sz w:val="9"/>
                <w:szCs w:val="9"/>
                <w:color w:val="auto"/>
              </w:rPr>
            </w:pPr>
          </w:p>
        </w:tc>
        <w:tc>
          <w:tcPr>
            <w:tcW w:w="380" w:type="dxa"/>
            <w:vAlign w:val="bottom"/>
            <w:vMerge w:val="restart"/>
          </w:tcPr>
          <w:p>
            <w:pPr>
              <w:jc w:val="right"/>
              <w:ind w:right="76"/>
              <w:spacing w:after="0"/>
              <w:rPr>
                <w:sz w:val="20"/>
                <w:szCs w:val="20"/>
                <w:color w:val="auto"/>
              </w:rPr>
            </w:pPr>
            <w:r>
              <w:rPr>
                <w:rFonts w:ascii="Arial" w:cs="Arial" w:eastAsia="Arial" w:hAnsi="Arial"/>
                <w:sz w:val="11"/>
                <w:szCs w:val="11"/>
                <w:b w:val="1"/>
                <w:bCs w:val="1"/>
                <w:color w:val="auto"/>
                <w:w w:val="89"/>
              </w:rPr>
              <w:t>2007</w:t>
            </w:r>
          </w:p>
        </w:tc>
        <w:tc>
          <w:tcPr>
            <w:tcW w:w="420" w:type="dxa"/>
            <w:vAlign w:val="bottom"/>
          </w:tcPr>
          <w:p>
            <w:pPr>
              <w:spacing w:after="0"/>
              <w:rPr>
                <w:sz w:val="9"/>
                <w:szCs w:val="9"/>
                <w:color w:val="auto"/>
              </w:rPr>
            </w:pPr>
          </w:p>
        </w:tc>
        <w:tc>
          <w:tcPr>
            <w:tcW w:w="900" w:type="dxa"/>
            <w:vAlign w:val="bottom"/>
            <w:gridSpan w:val="2"/>
          </w:tcPr>
          <w:p>
            <w:pPr>
              <w:jc w:val="center"/>
              <w:ind w:right="120"/>
              <w:spacing w:after="0" w:line="111" w:lineRule="exact"/>
              <w:rPr>
                <w:sz w:val="20"/>
                <w:szCs w:val="20"/>
                <w:color w:val="auto"/>
              </w:rPr>
            </w:pPr>
            <w:r>
              <w:rPr>
                <w:rFonts w:ascii="Arial" w:cs="Arial" w:eastAsia="Arial" w:hAnsi="Arial"/>
                <w:sz w:val="11"/>
                <w:szCs w:val="11"/>
                <w:b w:val="1"/>
                <w:bCs w:val="1"/>
                <w:color w:val="auto"/>
                <w:w w:val="89"/>
              </w:rPr>
              <w:t>% Increase/</w:t>
            </w:r>
          </w:p>
        </w:tc>
        <w:tc>
          <w:tcPr>
            <w:tcW w:w="0" w:type="dxa"/>
            <w:vAlign w:val="bottom"/>
          </w:tcPr>
          <w:p>
            <w:pPr>
              <w:spacing w:after="0"/>
              <w:rPr>
                <w:sz w:val="1"/>
                <w:szCs w:val="1"/>
                <w:color w:val="auto"/>
              </w:rPr>
            </w:pPr>
          </w:p>
        </w:tc>
      </w:tr>
      <w:tr>
        <w:trPr>
          <w:trHeight w:val="128"/>
        </w:trPr>
        <w:tc>
          <w:tcPr>
            <w:tcW w:w="5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vMerge w:val="continue"/>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jc w:val="center"/>
              <w:ind w:right="392"/>
              <w:spacing w:after="0"/>
              <w:rPr>
                <w:sz w:val="20"/>
                <w:szCs w:val="20"/>
                <w:color w:val="auto"/>
              </w:rPr>
            </w:pPr>
            <w:r>
              <w:rPr>
                <w:rFonts w:ascii="Arial" w:cs="Arial" w:eastAsia="Arial" w:hAnsi="Arial"/>
                <w:sz w:val="11"/>
                <w:szCs w:val="11"/>
                <w:b w:val="1"/>
                <w:bCs w:val="1"/>
                <w:color w:val="auto"/>
                <w:w w:val="85"/>
              </w:rPr>
              <w:t>(Decrease)</w:t>
            </w:r>
          </w:p>
        </w:tc>
        <w:tc>
          <w:tcPr>
            <w:tcW w:w="100" w:type="dxa"/>
            <w:vAlign w:val="bottom"/>
          </w:tcPr>
          <w:p>
            <w:pPr>
              <w:spacing w:after="0"/>
              <w:rPr>
                <w:sz w:val="11"/>
                <w:szCs w:val="11"/>
                <w:color w:val="auto"/>
              </w:rPr>
            </w:pPr>
          </w:p>
        </w:tc>
        <w:tc>
          <w:tcPr>
            <w:tcW w:w="38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8"/>
              </w:rPr>
              <w:t>(Decrease)</w:t>
            </w:r>
          </w:p>
        </w:tc>
        <w:tc>
          <w:tcPr>
            <w:tcW w:w="0" w:type="dxa"/>
            <w:vAlign w:val="bottom"/>
          </w:tcPr>
          <w:p>
            <w:pPr>
              <w:spacing w:after="0"/>
              <w:rPr>
                <w:sz w:val="1"/>
                <w:szCs w:val="1"/>
                <w:color w:val="auto"/>
              </w:rPr>
            </w:pPr>
          </w:p>
        </w:tc>
      </w:tr>
      <w:tr>
        <w:trPr>
          <w:trHeight w:val="135"/>
        </w:trPr>
        <w:tc>
          <w:tcPr>
            <w:tcW w:w="50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ind w:left="40"/>
              <w:spacing w:after="0" w:line="120" w:lineRule="exact"/>
              <w:rPr>
                <w:sz w:val="20"/>
                <w:szCs w:val="20"/>
                <w:color w:val="auto"/>
              </w:rPr>
            </w:pPr>
            <w:r>
              <w:rPr>
                <w:rFonts w:ascii="Arial" w:cs="Arial" w:eastAsia="Arial" w:hAnsi="Arial"/>
                <w:sz w:val="11"/>
                <w:szCs w:val="11"/>
                <w:b w:val="1"/>
                <w:bCs w:val="1"/>
                <w:color w:val="auto"/>
              </w:rPr>
              <w:t>(In</w:t>
            </w:r>
          </w:p>
        </w:tc>
        <w:tc>
          <w:tcPr>
            <w:tcW w:w="780" w:type="dxa"/>
            <w:vAlign w:val="bottom"/>
            <w:tcBorders>
              <w:top w:val="single" w:sz="8" w:color="auto"/>
            </w:tcBorders>
          </w:tcPr>
          <w:p>
            <w:pPr>
              <w:spacing w:after="0"/>
              <w:rPr>
                <w:sz w:val="20"/>
                <w:szCs w:val="20"/>
                <w:color w:val="auto"/>
              </w:rPr>
            </w:pPr>
            <w:r>
              <w:rPr>
                <w:rFonts w:ascii="Arial" w:cs="Arial" w:eastAsia="Arial" w:hAnsi="Arial"/>
                <w:sz w:val="11"/>
                <w:szCs w:val="11"/>
                <w:b w:val="1"/>
                <w:bCs w:val="1"/>
                <w:color w:val="auto"/>
                <w:w w:val="92"/>
              </w:rPr>
              <w:t>millions, except</w:t>
            </w:r>
          </w:p>
        </w:tc>
        <w:tc>
          <w:tcPr>
            <w:tcW w:w="460" w:type="dxa"/>
            <w:vAlign w:val="bottom"/>
          </w:tcPr>
          <w:p>
            <w:pPr>
              <w:jc w:val="right"/>
              <w:spacing w:after="0"/>
              <w:rPr>
                <w:sz w:val="20"/>
                <w:szCs w:val="20"/>
                <w:color w:val="auto"/>
              </w:rPr>
            </w:pPr>
            <w:r>
              <w:rPr>
                <w:rFonts w:ascii="Arial" w:cs="Arial" w:eastAsia="Arial" w:hAnsi="Arial"/>
                <w:sz w:val="10"/>
                <w:szCs w:val="10"/>
                <w:b w:val="1"/>
                <w:bCs w:val="1"/>
                <w:color w:val="auto"/>
                <w:w w:val="70"/>
              </w:rPr>
              <w:t>percentages)</w:t>
            </w:r>
          </w:p>
        </w:tc>
        <w:tc>
          <w:tcPr>
            <w:tcW w:w="10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5060" w:type="dxa"/>
            <w:vAlign w:val="bottom"/>
            <w:shd w:val="clear" w:color="auto" w:fill="CCEEFF"/>
          </w:tcPr>
          <w:p>
            <w:pPr>
              <w:spacing w:after="0"/>
              <w:rPr>
                <w:sz w:val="20"/>
                <w:szCs w:val="20"/>
                <w:color w:val="auto"/>
              </w:rPr>
            </w:pPr>
            <w:r>
              <w:rPr>
                <w:rFonts w:ascii="Arial" w:cs="Arial" w:eastAsia="Arial" w:hAnsi="Arial"/>
                <w:sz w:val="13"/>
                <w:szCs w:val="13"/>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227.0</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232.4</w:t>
            </w:r>
          </w:p>
        </w:tc>
        <w:tc>
          <w:tcPr>
            <w:tcW w:w="1500" w:type="dxa"/>
            <w:vAlign w:val="bottom"/>
            <w:gridSpan w:val="3"/>
            <w:shd w:val="clear" w:color="auto" w:fill="CCEEFF"/>
          </w:tcPr>
          <w:p>
            <w:pPr>
              <w:jc w:val="right"/>
              <w:ind w:right="252"/>
              <w:spacing w:after="0"/>
              <w:rPr>
                <w:sz w:val="20"/>
                <w:szCs w:val="20"/>
                <w:color w:val="auto"/>
              </w:rPr>
            </w:pPr>
            <w:r>
              <w:rPr>
                <w:rFonts w:ascii="Arial" w:cs="Arial" w:eastAsia="Arial" w:hAnsi="Arial"/>
                <w:sz w:val="13"/>
                <w:szCs w:val="13"/>
                <w:color w:val="auto"/>
              </w:rPr>
              <w:t>(2.3)%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216.3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7.4%</w:t>
            </w:r>
          </w:p>
        </w:tc>
        <w:tc>
          <w:tcPr>
            <w:tcW w:w="0" w:type="dxa"/>
            <w:vAlign w:val="bottom"/>
          </w:tcPr>
          <w:p>
            <w:pPr>
              <w:spacing w:after="0"/>
              <w:rPr>
                <w:sz w:val="1"/>
                <w:szCs w:val="1"/>
                <w:color w:val="auto"/>
              </w:rPr>
            </w:pPr>
          </w:p>
        </w:tc>
      </w:tr>
      <w:tr>
        <w:trPr>
          <w:trHeight w:val="161"/>
        </w:trPr>
        <w:tc>
          <w:tcPr>
            <w:tcW w:w="5060" w:type="dxa"/>
            <w:vAlign w:val="bottom"/>
          </w:tcPr>
          <w:p>
            <w:pPr>
              <w:spacing w:after="0"/>
              <w:rPr>
                <w:sz w:val="20"/>
                <w:szCs w:val="20"/>
                <w:color w:val="auto"/>
              </w:rPr>
            </w:pPr>
            <w:r>
              <w:rPr>
                <w:rFonts w:ascii="Arial" w:cs="Arial" w:eastAsia="Arial" w:hAnsi="Arial"/>
                <w:sz w:val="13"/>
                <w:szCs w:val="13"/>
                <w:color w:val="auto"/>
              </w:rPr>
              <w:t>Segment operating (loss) income</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(62.7)</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gridSpan w:val="2"/>
          </w:tcPr>
          <w:p>
            <w:pPr>
              <w:jc w:val="right"/>
              <w:ind w:right="140"/>
              <w:spacing w:after="0"/>
              <w:rPr>
                <w:sz w:val="20"/>
                <w:szCs w:val="20"/>
                <w:color w:val="auto"/>
              </w:rPr>
            </w:pPr>
            <w:r>
              <w:rPr>
                <w:rFonts w:ascii="Arial" w:cs="Arial" w:eastAsia="Arial" w:hAnsi="Arial"/>
                <w:sz w:val="13"/>
                <w:szCs w:val="13"/>
                <w:color w:val="auto"/>
              </w:rPr>
              <w:t>(9.4)</w:t>
            </w:r>
          </w:p>
        </w:tc>
        <w:tc>
          <w:tcPr>
            <w:tcW w:w="260" w:type="dxa"/>
            <w:vAlign w:val="bottom"/>
          </w:tcPr>
          <w:p>
            <w:pPr>
              <w:spacing w:after="0"/>
              <w:rPr>
                <w:sz w:val="14"/>
                <w:szCs w:val="14"/>
                <w:color w:val="auto"/>
              </w:rPr>
            </w:pPr>
          </w:p>
        </w:tc>
        <w:tc>
          <w:tcPr>
            <w:tcW w:w="1240" w:type="dxa"/>
            <w:vAlign w:val="bottom"/>
            <w:gridSpan w:val="2"/>
          </w:tcPr>
          <w:p>
            <w:pPr>
              <w:jc w:val="right"/>
              <w:ind w:right="412"/>
              <w:spacing w:after="0"/>
              <w:rPr>
                <w:sz w:val="20"/>
                <w:szCs w:val="20"/>
                <w:color w:val="auto"/>
              </w:rPr>
            </w:pPr>
            <w:r>
              <w:rPr>
                <w:rFonts w:ascii="Arial" w:cs="Arial" w:eastAsia="Arial" w:hAnsi="Arial"/>
                <w:sz w:val="13"/>
                <w:szCs w:val="13"/>
                <w:color w:val="auto"/>
              </w:rPr>
              <w:t>N/M</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420"/>
              <w:spacing w:after="0"/>
              <w:rPr>
                <w:sz w:val="20"/>
                <w:szCs w:val="20"/>
                <w:color w:val="auto"/>
              </w:rPr>
            </w:pPr>
            <w:r>
              <w:rPr>
                <w:rFonts w:ascii="Arial" w:cs="Arial" w:eastAsia="Arial" w:hAnsi="Arial"/>
                <w:sz w:val="13"/>
                <w:szCs w:val="13"/>
                <w:color w:val="auto"/>
              </w:rPr>
              <w:t>6.3</w:t>
            </w: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auto"/>
              </w:rPr>
              <w:t>N/M</w:t>
            </w:r>
          </w:p>
        </w:tc>
        <w:tc>
          <w:tcPr>
            <w:tcW w:w="0" w:type="dxa"/>
            <w:vAlign w:val="bottom"/>
          </w:tcPr>
          <w:p>
            <w:pPr>
              <w:spacing w:after="0"/>
              <w:rPr>
                <w:sz w:val="1"/>
                <w:szCs w:val="1"/>
                <w:color w:val="auto"/>
              </w:rPr>
            </w:pPr>
          </w:p>
        </w:tc>
      </w:tr>
      <w:tr>
        <w:trPr>
          <w:trHeight w:val="161"/>
        </w:trPr>
        <w:tc>
          <w:tcPr>
            <w:tcW w:w="5060" w:type="dxa"/>
            <w:vAlign w:val="bottom"/>
            <w:shd w:val="clear" w:color="auto" w:fill="CCEEFF"/>
          </w:tcPr>
          <w:p>
            <w:pPr>
              <w:spacing w:after="0"/>
              <w:rPr>
                <w:sz w:val="20"/>
                <w:szCs w:val="20"/>
                <w:color w:val="auto"/>
              </w:rPr>
            </w:pPr>
            <w:r>
              <w:rPr>
                <w:rFonts w:ascii="Arial" w:cs="Arial" w:eastAsia="Arial" w:hAnsi="Arial"/>
                <w:sz w:val="13"/>
                <w:szCs w:val="13"/>
                <w:color w:val="auto"/>
              </w:rPr>
              <w:t>% of revenue</w:t>
            </w: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(27.6)%</w:t>
            </w: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(4.0)%</w:t>
            </w:r>
          </w:p>
        </w:tc>
        <w:tc>
          <w:tcPr>
            <w:tcW w:w="26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412"/>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2.9%</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7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Fiscal 2009 Compared with Fiscal 2008</w:t>
      </w:r>
    </w:p>
    <w:p>
      <w:pPr>
        <w:spacing w:after="0" w:line="104" w:lineRule="exact"/>
        <w:rPr>
          <w:sz w:val="20"/>
          <w:szCs w:val="20"/>
          <w:color w:val="auto"/>
        </w:rPr>
      </w:pPr>
    </w:p>
    <w:p>
      <w:pPr>
        <w:ind w:left="680" w:right="120" w:firstLine="399"/>
        <w:spacing w:after="0" w:line="294" w:lineRule="auto"/>
        <w:rPr>
          <w:sz w:val="20"/>
          <w:szCs w:val="20"/>
          <w:color w:val="auto"/>
        </w:rPr>
      </w:pPr>
      <w:r>
        <w:rPr>
          <w:rFonts w:ascii="Arial" w:cs="Arial" w:eastAsia="Arial" w:hAnsi="Arial"/>
          <w:sz w:val="13"/>
          <w:szCs w:val="13"/>
          <w:color w:val="auto"/>
        </w:rPr>
        <w:t>North America Microwave segment revenue decreased by $5.4 million, or 2.3%, in fiscal 2009 compared with fiscal 2008. This decrease in revenue resulted primarily from the global economic recession and the continuing credit crisis adversely affecting our customers expansion.</w:t>
      </w:r>
    </w:p>
    <w:p>
      <w:pPr>
        <w:spacing w:after="0" w:line="47" w:lineRule="exact"/>
        <w:rPr>
          <w:sz w:val="20"/>
          <w:szCs w:val="20"/>
          <w:color w:val="auto"/>
        </w:rPr>
      </w:pPr>
    </w:p>
    <w:p>
      <w:pPr>
        <w:ind w:left="680" w:right="260" w:firstLine="399"/>
        <w:spacing w:after="0" w:line="338" w:lineRule="auto"/>
        <w:rPr>
          <w:sz w:val="20"/>
          <w:szCs w:val="20"/>
          <w:color w:val="auto"/>
        </w:rPr>
      </w:pPr>
      <w:r>
        <w:rPr>
          <w:rFonts w:ascii="Arial" w:cs="Arial" w:eastAsia="Arial" w:hAnsi="Arial"/>
          <w:sz w:val="12"/>
          <w:szCs w:val="12"/>
          <w:color w:val="auto"/>
        </w:rPr>
        <w:t>Our North America Microwave segment had an operating loss of $62.7 million in fiscal 2009 primarily due to goodwill impairment and charges for the accelerated transition towards a common IP-based platform. The charges for this accelerated product transition included provisions for legacy product excess and obsolete inventory, and</w:t>
      </w:r>
    </w:p>
    <w:p>
      <w:pPr>
        <w:spacing w:after="0" w:line="236"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42" w:name="page43"/>
    <w:bookmarkEnd w:id="4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980"/>
        <w:spacing w:after="0" w:line="338" w:lineRule="auto"/>
        <w:rPr>
          <w:sz w:val="20"/>
          <w:szCs w:val="20"/>
          <w:color w:val="auto"/>
        </w:rPr>
      </w:pPr>
      <w:r>
        <w:rPr>
          <w:rFonts w:ascii="Arial" w:cs="Arial" w:eastAsia="Arial" w:hAnsi="Arial"/>
          <w:sz w:val="12"/>
          <w:szCs w:val="12"/>
          <w:color w:val="auto"/>
        </w:rPr>
        <w:t>write-downs of property, plant, manufacturing and test equipment, and charges recorded for inventory purchase commitments. This compares with an operating loss of $9.4 million in fiscal 2008. The operating losses in fiscal 2009 and 2008 also included acquisition expenses, restructuring charges and share-based compensation expense.</w:t>
      </w:r>
    </w:p>
    <w:p>
      <w:pPr>
        <w:spacing w:after="0" w:line="2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summarizes these charges and expenses included in the North America Microwave segment operating results during fiscal 2009 and 2008:</w:t>
      </w:r>
    </w:p>
    <w:p>
      <w:pPr>
        <w:spacing w:after="0" w:line="106" w:lineRule="exact"/>
        <w:rPr>
          <w:sz w:val="20"/>
          <w:szCs w:val="20"/>
          <w:color w:val="auto"/>
        </w:rPr>
      </w:pPr>
    </w:p>
    <w:tbl>
      <w:tblPr>
        <w:tblLayout w:type="fixed"/>
        <w:tblInd w:w="680" w:type="dxa"/>
        <w:tblCellMar>
          <w:top w:w="0" w:type="dxa"/>
          <w:left w:w="0" w:type="dxa"/>
          <w:bottom w:w="0" w:type="dxa"/>
          <w:right w:w="0" w:type="dxa"/>
        </w:tblCellMar>
      </w:tblPr>
      <w:tr>
        <w:trPr>
          <w:trHeight w:val="128"/>
        </w:trPr>
        <w:tc>
          <w:tcPr>
            <w:tcW w:w="87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jc w:val="right"/>
              <w:ind w:right="35"/>
              <w:spacing w:after="0"/>
              <w:rPr>
                <w:sz w:val="20"/>
                <w:szCs w:val="20"/>
                <w:color w:val="auto"/>
              </w:rPr>
            </w:pPr>
            <w:r>
              <w:rPr>
                <w:rFonts w:ascii="Arial" w:cs="Arial" w:eastAsia="Arial" w:hAnsi="Arial"/>
                <w:sz w:val="11"/>
                <w:szCs w:val="11"/>
                <w:b w:val="1"/>
                <w:bCs w:val="1"/>
                <w:color w:val="auto"/>
                <w:w w:val="81"/>
              </w:rPr>
              <w:t>2009</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jc w:val="right"/>
              <w:ind w:right="34"/>
              <w:spacing w:after="0"/>
              <w:rPr>
                <w:sz w:val="20"/>
                <w:szCs w:val="20"/>
                <w:color w:val="auto"/>
              </w:rPr>
            </w:pPr>
            <w:r>
              <w:rPr>
                <w:rFonts w:ascii="Arial" w:cs="Arial" w:eastAsia="Arial" w:hAnsi="Arial"/>
                <w:sz w:val="11"/>
                <w:szCs w:val="11"/>
                <w:b w:val="1"/>
                <w:bCs w:val="1"/>
                <w:color w:val="auto"/>
                <w:w w:val="81"/>
              </w:rPr>
              <w:t>2008</w:t>
            </w:r>
          </w:p>
        </w:tc>
        <w:tc>
          <w:tcPr>
            <w:tcW w:w="80" w:type="dxa"/>
            <w:vAlign w:val="bottom"/>
          </w:tcPr>
          <w:p>
            <w:pPr>
              <w:spacing w:after="0"/>
              <w:rPr>
                <w:sz w:val="11"/>
                <w:szCs w:val="11"/>
                <w:color w:val="auto"/>
              </w:rPr>
            </w:pPr>
          </w:p>
        </w:tc>
      </w:tr>
      <w:tr>
        <w:trPr>
          <w:trHeight w:val="136"/>
        </w:trPr>
        <w:tc>
          <w:tcPr>
            <w:tcW w:w="8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4"/>
          </w:tcPr>
          <w:p>
            <w:pPr>
              <w:jc w:val="right"/>
              <w:spacing w:after="0"/>
              <w:rPr>
                <w:sz w:val="20"/>
                <w:szCs w:val="20"/>
                <w:color w:val="auto"/>
              </w:rPr>
            </w:pPr>
            <w:r>
              <w:rPr>
                <w:rFonts w:ascii="Arial" w:cs="Arial" w:eastAsia="Arial" w:hAnsi="Arial"/>
                <w:sz w:val="11"/>
                <w:szCs w:val="11"/>
                <w:b w:val="1"/>
                <w:bCs w:val="1"/>
                <w:color w:val="auto"/>
              </w:rPr>
              <w:t>(In millions)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7"/>
        </w:trPr>
        <w:tc>
          <w:tcPr>
            <w:tcW w:w="8700" w:type="dxa"/>
            <w:vAlign w:val="bottom"/>
            <w:shd w:val="clear" w:color="auto" w:fill="CCEEFF"/>
          </w:tcPr>
          <w:p>
            <w:pPr>
              <w:spacing w:after="0"/>
              <w:rPr>
                <w:sz w:val="20"/>
                <w:szCs w:val="20"/>
                <w:color w:val="auto"/>
              </w:rPr>
            </w:pPr>
            <w:r>
              <w:rPr>
                <w:rFonts w:ascii="Arial" w:cs="Arial" w:eastAsia="Arial" w:hAnsi="Arial"/>
                <w:sz w:val="13"/>
                <w:szCs w:val="13"/>
                <w:color w:val="auto"/>
              </w:rPr>
              <w:t>Goodwill impairment charges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31.8</w:t>
            </w: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r>
      <w:tr>
        <w:trPr>
          <w:trHeight w:val="161"/>
        </w:trPr>
        <w:tc>
          <w:tcPr>
            <w:tcW w:w="8700" w:type="dxa"/>
            <w:vAlign w:val="bottom"/>
          </w:tcPr>
          <w:p>
            <w:pPr>
              <w:spacing w:after="0"/>
              <w:rPr>
                <w:sz w:val="20"/>
                <w:szCs w:val="20"/>
                <w:color w:val="auto"/>
              </w:rPr>
            </w:pPr>
            <w:r>
              <w:rPr>
                <w:rFonts w:ascii="Arial" w:cs="Arial" w:eastAsia="Arial" w:hAnsi="Arial"/>
                <w:sz w:val="13"/>
                <w:szCs w:val="13"/>
                <w:color w:val="auto"/>
              </w:rPr>
              <w:t>Charges for product transition</w:t>
            </w:r>
          </w:p>
        </w:tc>
        <w:tc>
          <w:tcPr>
            <w:tcW w:w="80" w:type="dxa"/>
            <w:vAlign w:val="bottom"/>
          </w:tcPr>
          <w:p>
            <w:pPr>
              <w:spacing w:after="0"/>
              <w:rPr>
                <w:sz w:val="14"/>
                <w:szCs w:val="1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3"/>
                <w:szCs w:val="13"/>
                <w:color w:val="auto"/>
              </w:rPr>
              <w:t>25.3</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r>
      <w:tr>
        <w:trPr>
          <w:trHeight w:val="161"/>
        </w:trPr>
        <w:tc>
          <w:tcPr>
            <w:tcW w:w="8700" w:type="dxa"/>
            <w:vAlign w:val="bottom"/>
            <w:shd w:val="clear" w:color="auto" w:fill="CCEEFF"/>
          </w:tcPr>
          <w:p>
            <w:pPr>
              <w:spacing w:after="0"/>
              <w:rPr>
                <w:sz w:val="20"/>
                <w:szCs w:val="20"/>
                <w:color w:val="auto"/>
              </w:rPr>
            </w:pPr>
            <w:r>
              <w:rPr>
                <w:rFonts w:ascii="Arial" w:cs="Arial" w:eastAsia="Arial" w:hAnsi="Arial"/>
                <w:sz w:val="13"/>
                <w:szCs w:val="13"/>
                <w:color w:val="auto"/>
              </w:rPr>
              <w:t>Impairment charges for the trade name “Stratex”</w:t>
            </w:r>
          </w:p>
        </w:tc>
        <w:tc>
          <w:tcPr>
            <w:tcW w:w="8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10.7</w:t>
            </w: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r>
      <w:tr>
        <w:trPr>
          <w:trHeight w:val="161"/>
        </w:trPr>
        <w:tc>
          <w:tcPr>
            <w:tcW w:w="8700" w:type="dxa"/>
            <w:vAlign w:val="bottom"/>
          </w:tcPr>
          <w:p>
            <w:pPr>
              <w:spacing w:after="0"/>
              <w:rPr>
                <w:sz w:val="20"/>
                <w:szCs w:val="20"/>
                <w:color w:val="auto"/>
              </w:rPr>
            </w:pPr>
            <w:r>
              <w:rPr>
                <w:rFonts w:ascii="Arial" w:cs="Arial" w:eastAsia="Arial" w:hAnsi="Arial"/>
                <w:sz w:val="13"/>
                <w:szCs w:val="13"/>
                <w:color w:val="auto"/>
              </w:rPr>
              <w:t>Restructuring charges</w:t>
            </w:r>
          </w:p>
        </w:tc>
        <w:tc>
          <w:tcPr>
            <w:tcW w:w="80" w:type="dxa"/>
            <w:vAlign w:val="bottom"/>
          </w:tcPr>
          <w:p>
            <w:pPr>
              <w:spacing w:after="0"/>
              <w:rPr>
                <w:sz w:val="14"/>
                <w:szCs w:val="1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3"/>
                <w:szCs w:val="13"/>
                <w:color w:val="auto"/>
              </w:rPr>
              <w:t>5.1</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3"/>
                <w:szCs w:val="13"/>
                <w:color w:val="auto"/>
              </w:rPr>
              <w:t>4.9</w:t>
            </w:r>
          </w:p>
        </w:tc>
      </w:tr>
      <w:tr>
        <w:trPr>
          <w:trHeight w:val="161"/>
        </w:trPr>
        <w:tc>
          <w:tcPr>
            <w:tcW w:w="8700" w:type="dxa"/>
            <w:vAlign w:val="bottom"/>
            <w:shd w:val="clear" w:color="auto" w:fill="CCEEFF"/>
          </w:tcPr>
          <w:p>
            <w:pPr>
              <w:spacing w:after="0"/>
              <w:rPr>
                <w:sz w:val="20"/>
                <w:szCs w:val="20"/>
                <w:color w:val="auto"/>
              </w:rPr>
            </w:pPr>
            <w:r>
              <w:rPr>
                <w:rFonts w:ascii="Arial" w:cs="Arial" w:eastAsia="Arial" w:hAnsi="Arial"/>
                <w:sz w:val="13"/>
                <w:szCs w:val="13"/>
                <w:color w:val="auto"/>
              </w:rPr>
              <w:t>Software impairment charges</w:t>
            </w:r>
          </w:p>
        </w:tc>
        <w:tc>
          <w:tcPr>
            <w:tcW w:w="8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3.2</w:t>
            </w: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r>
      <w:tr>
        <w:trPr>
          <w:trHeight w:val="161"/>
        </w:trPr>
        <w:tc>
          <w:tcPr>
            <w:tcW w:w="8700" w:type="dxa"/>
            <w:vAlign w:val="bottom"/>
          </w:tcPr>
          <w:p>
            <w:pPr>
              <w:spacing w:after="0"/>
              <w:rPr>
                <w:sz w:val="20"/>
                <w:szCs w:val="20"/>
                <w:color w:val="auto"/>
              </w:rPr>
            </w:pPr>
            <w:r>
              <w:rPr>
                <w:rFonts w:ascii="Arial" w:cs="Arial" w:eastAsia="Arial" w:hAnsi="Arial"/>
                <w:sz w:val="13"/>
                <w:szCs w:val="13"/>
                <w:color w:val="auto"/>
              </w:rPr>
              <w:t>Amortization of developed technology, trade names, customer relationships and non-compete agreements</w:t>
            </w:r>
          </w:p>
        </w:tc>
        <w:tc>
          <w:tcPr>
            <w:tcW w:w="80" w:type="dxa"/>
            <w:vAlign w:val="bottom"/>
          </w:tcPr>
          <w:p>
            <w:pPr>
              <w:spacing w:after="0"/>
              <w:rPr>
                <w:sz w:val="14"/>
                <w:szCs w:val="1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3"/>
                <w:szCs w:val="13"/>
                <w:color w:val="auto"/>
              </w:rPr>
              <w:t>3.0</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3"/>
                <w:szCs w:val="13"/>
                <w:color w:val="auto"/>
              </w:rPr>
              <w:t>2.7</w:t>
            </w:r>
          </w:p>
        </w:tc>
      </w:tr>
      <w:tr>
        <w:trPr>
          <w:trHeight w:val="161"/>
        </w:trPr>
        <w:tc>
          <w:tcPr>
            <w:tcW w:w="8700" w:type="dxa"/>
            <w:vAlign w:val="bottom"/>
            <w:shd w:val="clear" w:color="auto" w:fill="CCEEFF"/>
          </w:tcPr>
          <w:p>
            <w:pPr>
              <w:spacing w:after="0"/>
              <w:rPr>
                <w:sz w:val="20"/>
                <w:szCs w:val="20"/>
                <w:color w:val="auto"/>
              </w:rPr>
            </w:pPr>
            <w:r>
              <w:rPr>
                <w:rFonts w:ascii="Arial" w:cs="Arial" w:eastAsia="Arial" w:hAnsi="Arial"/>
                <w:sz w:val="13"/>
                <w:szCs w:val="13"/>
                <w:color w:val="auto"/>
              </w:rPr>
              <w:t>Amortization of the fair value adjustments related to fixed assets</w:t>
            </w:r>
          </w:p>
        </w:tc>
        <w:tc>
          <w:tcPr>
            <w:tcW w:w="8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0.6</w:t>
            </w: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1.1</w:t>
            </w:r>
          </w:p>
        </w:tc>
      </w:tr>
      <w:tr>
        <w:trPr>
          <w:trHeight w:val="161"/>
        </w:trPr>
        <w:tc>
          <w:tcPr>
            <w:tcW w:w="8700" w:type="dxa"/>
            <w:vAlign w:val="bottom"/>
          </w:tcPr>
          <w:p>
            <w:pPr>
              <w:spacing w:after="0"/>
              <w:rPr>
                <w:sz w:val="20"/>
                <w:szCs w:val="20"/>
                <w:color w:val="auto"/>
              </w:rPr>
            </w:pPr>
            <w:r>
              <w:rPr>
                <w:rFonts w:ascii="Arial" w:cs="Arial" w:eastAsia="Arial" w:hAnsi="Arial"/>
                <w:sz w:val="13"/>
                <w:szCs w:val="13"/>
                <w:color w:val="auto"/>
              </w:rPr>
              <w:t>Cost of integration activities undertaken in connection with the merger</w:t>
            </w:r>
          </w:p>
        </w:tc>
        <w:tc>
          <w:tcPr>
            <w:tcW w:w="80" w:type="dxa"/>
            <w:vAlign w:val="bottom"/>
          </w:tcPr>
          <w:p>
            <w:pPr>
              <w:spacing w:after="0"/>
              <w:rPr>
                <w:sz w:val="14"/>
                <w:szCs w:val="14"/>
                <w:color w:val="auto"/>
              </w:rPr>
            </w:pPr>
          </w:p>
        </w:tc>
        <w:tc>
          <w:tcPr>
            <w:tcW w:w="720" w:type="dxa"/>
            <w:vAlign w:val="bottom"/>
            <w:gridSpan w:val="3"/>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3"/>
                <w:szCs w:val="13"/>
                <w:color w:val="auto"/>
              </w:rPr>
              <w:t>3.2</w:t>
            </w:r>
          </w:p>
        </w:tc>
      </w:tr>
      <w:tr>
        <w:trPr>
          <w:trHeight w:val="161"/>
        </w:trPr>
        <w:tc>
          <w:tcPr>
            <w:tcW w:w="8700" w:type="dxa"/>
            <w:vAlign w:val="bottom"/>
            <w:shd w:val="clear" w:color="auto" w:fill="CCEEFF"/>
          </w:tcPr>
          <w:p>
            <w:pPr>
              <w:spacing w:after="0"/>
              <w:rPr>
                <w:sz w:val="20"/>
                <w:szCs w:val="20"/>
                <w:color w:val="auto"/>
              </w:rPr>
            </w:pPr>
            <w:r>
              <w:rPr>
                <w:rFonts w:ascii="Arial" w:cs="Arial" w:eastAsia="Arial" w:hAnsi="Arial"/>
                <w:sz w:val="13"/>
                <w:szCs w:val="13"/>
                <w:color w:val="auto"/>
              </w:rPr>
              <w:t>Inventory mark-downs</w:t>
            </w:r>
          </w:p>
        </w:tc>
        <w:tc>
          <w:tcPr>
            <w:tcW w:w="80" w:type="dxa"/>
            <w:vAlign w:val="bottom"/>
            <w:shd w:val="clear" w:color="auto" w:fill="CCEEFF"/>
          </w:tcPr>
          <w:p>
            <w:pPr>
              <w:spacing w:after="0"/>
              <w:rPr>
                <w:sz w:val="14"/>
                <w:szCs w:val="14"/>
                <w:color w:val="auto"/>
              </w:rPr>
            </w:pPr>
          </w:p>
        </w:tc>
        <w:tc>
          <w:tcPr>
            <w:tcW w:w="72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12.9</w:t>
            </w:r>
          </w:p>
        </w:tc>
      </w:tr>
      <w:tr>
        <w:trPr>
          <w:trHeight w:val="161"/>
        </w:trPr>
        <w:tc>
          <w:tcPr>
            <w:tcW w:w="8700" w:type="dxa"/>
            <w:vAlign w:val="bottom"/>
          </w:tcPr>
          <w:p>
            <w:pPr>
              <w:spacing w:after="0"/>
              <w:rPr>
                <w:sz w:val="20"/>
                <w:szCs w:val="20"/>
                <w:color w:val="auto"/>
              </w:rPr>
            </w:pPr>
            <w:r>
              <w:rPr>
                <w:rFonts w:ascii="Arial" w:cs="Arial" w:eastAsia="Arial" w:hAnsi="Arial"/>
                <w:sz w:val="13"/>
                <w:szCs w:val="13"/>
                <w:color w:val="auto"/>
              </w:rPr>
              <w:t>Lease impairment</w:t>
            </w:r>
          </w:p>
        </w:tc>
        <w:tc>
          <w:tcPr>
            <w:tcW w:w="80" w:type="dxa"/>
            <w:vAlign w:val="bottom"/>
          </w:tcPr>
          <w:p>
            <w:pPr>
              <w:spacing w:after="0"/>
              <w:rPr>
                <w:sz w:val="14"/>
                <w:szCs w:val="14"/>
                <w:color w:val="auto"/>
              </w:rPr>
            </w:pPr>
          </w:p>
        </w:tc>
        <w:tc>
          <w:tcPr>
            <w:tcW w:w="720" w:type="dxa"/>
            <w:vAlign w:val="bottom"/>
            <w:gridSpan w:val="3"/>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3"/>
                <w:szCs w:val="13"/>
                <w:color w:val="auto"/>
              </w:rPr>
              <w:t>1.8</w:t>
            </w:r>
          </w:p>
        </w:tc>
      </w:tr>
      <w:tr>
        <w:trPr>
          <w:trHeight w:val="161"/>
        </w:trPr>
        <w:tc>
          <w:tcPr>
            <w:tcW w:w="8700" w:type="dxa"/>
            <w:vAlign w:val="bottom"/>
            <w:shd w:val="clear" w:color="auto" w:fill="CCEEFF"/>
          </w:tcPr>
          <w:p>
            <w:pPr>
              <w:spacing w:after="0"/>
              <w:rPr>
                <w:sz w:val="20"/>
                <w:szCs w:val="20"/>
                <w:color w:val="auto"/>
              </w:rPr>
            </w:pPr>
            <w:r>
              <w:rPr>
                <w:rFonts w:ascii="Arial" w:cs="Arial" w:eastAsia="Arial" w:hAnsi="Arial"/>
                <w:sz w:val="13"/>
                <w:szCs w:val="13"/>
                <w:color w:val="auto"/>
              </w:rPr>
              <w:t>Share-based compensation expense</w:t>
            </w:r>
          </w:p>
        </w:tc>
        <w:tc>
          <w:tcPr>
            <w:tcW w:w="8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1.8</w:t>
            </w: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7.4</w:t>
            </w:r>
          </w:p>
        </w:tc>
      </w:tr>
      <w:tr>
        <w:trPr>
          <w:trHeight w:val="161"/>
        </w:trPr>
        <w:tc>
          <w:tcPr>
            <w:tcW w:w="87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81.5</w:t>
            </w:r>
          </w:p>
        </w:tc>
        <w:tc>
          <w:tcPr>
            <w:tcW w:w="2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34.0</w:t>
            </w:r>
          </w:p>
        </w:tc>
        <w:tc>
          <w:tcPr>
            <w:tcW w:w="80" w:type="dxa"/>
            <w:vAlign w:val="bottom"/>
          </w:tcPr>
          <w:p>
            <w:pPr>
              <w:spacing w:after="0"/>
              <w:rPr>
                <w:sz w:val="14"/>
                <w:szCs w:val="14"/>
                <w:color w:val="auto"/>
              </w:rPr>
            </w:pPr>
          </w:p>
        </w:tc>
      </w:tr>
      <w:tr>
        <w:trPr>
          <w:trHeight w:val="20"/>
        </w:trPr>
        <w:tc>
          <w:tcPr>
            <w:tcW w:w="87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9"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Fiscal 2008 Compared with Fiscal 2007</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North America Microwave segment revenue increased by $16.1 million, or 7.4%, in fiscal 2008 compared with fiscal 2007. Revenue in fiscal 2008 and fiscal 2007 included</w:t>
      </w:r>
    </w:p>
    <w:p>
      <w:pPr>
        <w:spacing w:after="0" w:line="2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$25.5 million and $7.7 million from sales of former Stratex products and services. Revenue drivers in the North America Microwave segment included customer demand for increased</w:t>
      </w:r>
    </w:p>
    <w:p>
      <w:pPr>
        <w:spacing w:after="0" w:line="1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bandwidth, footprint expansion and the relocation of advanced wireless services to the 2 gigahertz spectrum by mobile operators.</w:t>
      </w:r>
    </w:p>
    <w:p>
      <w:pPr>
        <w:spacing w:after="0" w:line="92" w:lineRule="exact"/>
        <w:rPr>
          <w:sz w:val="20"/>
          <w:szCs w:val="20"/>
          <w:color w:val="auto"/>
        </w:rPr>
      </w:pPr>
    </w:p>
    <w:p>
      <w:pPr>
        <w:ind w:left="680" w:right="900" w:firstLine="399"/>
        <w:spacing w:after="0" w:line="294" w:lineRule="auto"/>
        <w:rPr>
          <w:sz w:val="20"/>
          <w:szCs w:val="20"/>
          <w:color w:val="auto"/>
        </w:rPr>
      </w:pPr>
      <w:r>
        <w:rPr>
          <w:rFonts w:ascii="Arial" w:cs="Arial" w:eastAsia="Arial" w:hAnsi="Arial"/>
          <w:sz w:val="13"/>
          <w:szCs w:val="13"/>
          <w:color w:val="auto"/>
        </w:rPr>
        <w:t>Our North America Microwave segment had an operating loss of $9.4 million in fiscal 2008 compared with operating income of $6.3 million in fiscal 2007 due to the following charges and expenses included in fiscal 2008 compared with similar types of charges in fiscal 2007:</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680" w:type="dxa"/>
            <w:vAlign w:val="bottom"/>
          </w:tcPr>
          <w:p>
            <w:pPr>
              <w:spacing w:after="0"/>
              <w:rPr>
                <w:sz w:val="11"/>
                <w:szCs w:val="11"/>
                <w:color w:val="auto"/>
              </w:rPr>
            </w:pPr>
          </w:p>
        </w:tc>
        <w:tc>
          <w:tcPr>
            <w:tcW w:w="87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jc w:val="right"/>
              <w:ind w:right="36"/>
              <w:spacing w:after="0"/>
              <w:rPr>
                <w:sz w:val="20"/>
                <w:szCs w:val="20"/>
                <w:color w:val="auto"/>
              </w:rPr>
            </w:pPr>
            <w:r>
              <w:rPr>
                <w:rFonts w:ascii="Arial" w:cs="Arial" w:eastAsia="Arial" w:hAnsi="Arial"/>
                <w:sz w:val="11"/>
                <w:szCs w:val="11"/>
                <w:b w:val="1"/>
                <w:bCs w:val="1"/>
                <w:color w:val="auto"/>
                <w:w w:val="81"/>
              </w:rPr>
              <w:t>2008</w:t>
            </w:r>
          </w:p>
        </w:tc>
        <w:tc>
          <w:tcPr>
            <w:tcW w:w="4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jc w:val="right"/>
              <w:ind w:right="34"/>
              <w:spacing w:after="0"/>
              <w:rPr>
                <w:sz w:val="20"/>
                <w:szCs w:val="20"/>
                <w:color w:val="auto"/>
              </w:rPr>
            </w:pPr>
            <w:r>
              <w:rPr>
                <w:rFonts w:ascii="Arial" w:cs="Arial" w:eastAsia="Arial" w:hAnsi="Arial"/>
                <w:sz w:val="11"/>
                <w:szCs w:val="11"/>
                <w:b w:val="1"/>
                <w:bCs w:val="1"/>
                <w:color w:val="auto"/>
                <w:w w:val="81"/>
              </w:rPr>
              <w:t>2007</w:t>
            </w: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680" w:type="dxa"/>
            <w:vAlign w:val="bottom"/>
          </w:tcPr>
          <w:p>
            <w:pPr>
              <w:spacing w:after="0"/>
              <w:rPr>
                <w:sz w:val="11"/>
                <w:szCs w:val="11"/>
                <w:color w:val="auto"/>
              </w:rPr>
            </w:pPr>
          </w:p>
        </w:tc>
        <w:tc>
          <w:tcPr>
            <w:tcW w:w="8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3"/>
          </w:tcPr>
          <w:p>
            <w:pPr>
              <w:jc w:val="right"/>
              <w:spacing w:after="0"/>
              <w:rPr>
                <w:sz w:val="20"/>
                <w:szCs w:val="20"/>
                <w:color w:val="auto"/>
              </w:rPr>
            </w:pPr>
            <w:r>
              <w:rPr>
                <w:rFonts w:ascii="Arial" w:cs="Arial" w:eastAsia="Arial" w:hAnsi="Arial"/>
                <w:sz w:val="11"/>
                <w:szCs w:val="11"/>
                <w:b w:val="1"/>
                <w:bCs w:val="1"/>
                <w:color w:val="auto"/>
              </w:rPr>
              <w:t>(In millions)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3"/>
                <w:szCs w:val="13"/>
                <w:color w:val="auto"/>
              </w:rPr>
              <w:t>Inventory mark-downs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8700" w:type="dxa"/>
            <w:vAlign w:val="bottom"/>
          </w:tcPr>
          <w:p>
            <w:pPr>
              <w:spacing w:after="0"/>
              <w:rPr>
                <w:sz w:val="20"/>
                <w:szCs w:val="20"/>
                <w:color w:val="auto"/>
              </w:rPr>
            </w:pPr>
            <w:r>
              <w:rPr>
                <w:rFonts w:ascii="Arial" w:cs="Arial" w:eastAsia="Arial" w:hAnsi="Arial"/>
                <w:sz w:val="13"/>
                <w:szCs w:val="13"/>
                <w:color w:val="auto"/>
              </w:rPr>
              <w:t>Restructuring charges</w:t>
            </w:r>
          </w:p>
        </w:tc>
        <w:tc>
          <w:tcPr>
            <w:tcW w:w="80" w:type="dxa"/>
            <w:vAlign w:val="bottom"/>
          </w:tcPr>
          <w:p>
            <w:pPr>
              <w:spacing w:after="0"/>
              <w:rPr>
                <w:sz w:val="14"/>
                <w:szCs w:val="14"/>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4.9</w:t>
            </w:r>
          </w:p>
        </w:tc>
        <w:tc>
          <w:tcPr>
            <w:tcW w:w="80" w:type="dxa"/>
            <w:vAlign w:val="bottom"/>
          </w:tcPr>
          <w:p>
            <w:pPr>
              <w:spacing w:after="0"/>
              <w:rPr>
                <w:sz w:val="14"/>
                <w:szCs w:val="14"/>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3"/>
                <w:szCs w:val="13"/>
                <w:color w:val="auto"/>
              </w:rPr>
              <w:t>5.1</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3"/>
                <w:szCs w:val="13"/>
                <w:color w:val="auto"/>
              </w:rPr>
              <w:t>Cost of integration activities undertaken in connection with the merger</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3.2</w:t>
            </w:r>
          </w:p>
        </w:tc>
        <w:tc>
          <w:tcPr>
            <w:tcW w:w="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2.7</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8700" w:type="dxa"/>
            <w:vAlign w:val="bottom"/>
          </w:tcPr>
          <w:p>
            <w:pPr>
              <w:spacing w:after="0"/>
              <w:rPr>
                <w:sz w:val="20"/>
                <w:szCs w:val="20"/>
                <w:color w:val="auto"/>
              </w:rPr>
            </w:pPr>
            <w:r>
              <w:rPr>
                <w:rFonts w:ascii="Arial" w:cs="Arial" w:eastAsia="Arial" w:hAnsi="Arial"/>
                <w:sz w:val="13"/>
                <w:szCs w:val="13"/>
                <w:color w:val="auto"/>
              </w:rPr>
              <w:t>Amortization of developed technology, trade names, customer relationships and non-compete agreements</w:t>
            </w:r>
          </w:p>
        </w:tc>
        <w:tc>
          <w:tcPr>
            <w:tcW w:w="80" w:type="dxa"/>
            <w:vAlign w:val="bottom"/>
          </w:tcPr>
          <w:p>
            <w:pPr>
              <w:spacing w:after="0"/>
              <w:rPr>
                <w:sz w:val="14"/>
                <w:szCs w:val="14"/>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2.7</w:t>
            </w:r>
          </w:p>
        </w:tc>
        <w:tc>
          <w:tcPr>
            <w:tcW w:w="80" w:type="dxa"/>
            <w:vAlign w:val="bottom"/>
          </w:tcPr>
          <w:p>
            <w:pPr>
              <w:spacing w:after="0"/>
              <w:rPr>
                <w:sz w:val="14"/>
                <w:szCs w:val="14"/>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3"/>
                <w:szCs w:val="13"/>
                <w:color w:val="auto"/>
              </w:rPr>
              <w:t>1.4</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3"/>
                <w:szCs w:val="13"/>
                <w:color w:val="auto"/>
              </w:rPr>
              <w:t>Lease impairment</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w:t>
            </w:r>
          </w:p>
        </w:tc>
        <w:tc>
          <w:tcPr>
            <w:tcW w:w="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8700" w:type="dxa"/>
            <w:vAlign w:val="bottom"/>
          </w:tcPr>
          <w:p>
            <w:pPr>
              <w:spacing w:after="0"/>
              <w:rPr>
                <w:sz w:val="20"/>
                <w:szCs w:val="20"/>
                <w:color w:val="auto"/>
              </w:rPr>
            </w:pPr>
            <w:r>
              <w:rPr>
                <w:rFonts w:ascii="Arial" w:cs="Arial" w:eastAsia="Arial" w:hAnsi="Arial"/>
                <w:sz w:val="13"/>
                <w:szCs w:val="13"/>
                <w:color w:val="auto"/>
              </w:rPr>
              <w:t>Amortization of the fair value adjustments related to fixed assets</w:t>
            </w:r>
          </w:p>
        </w:tc>
        <w:tc>
          <w:tcPr>
            <w:tcW w:w="80" w:type="dxa"/>
            <w:vAlign w:val="bottom"/>
          </w:tcPr>
          <w:p>
            <w:pPr>
              <w:spacing w:after="0"/>
              <w:rPr>
                <w:sz w:val="14"/>
                <w:szCs w:val="14"/>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1.1</w:t>
            </w:r>
          </w:p>
        </w:tc>
        <w:tc>
          <w:tcPr>
            <w:tcW w:w="80" w:type="dxa"/>
            <w:vAlign w:val="bottom"/>
          </w:tcPr>
          <w:p>
            <w:pPr>
              <w:spacing w:after="0"/>
              <w:rPr>
                <w:sz w:val="14"/>
                <w:szCs w:val="14"/>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3"/>
                <w:szCs w:val="13"/>
                <w:color w:val="auto"/>
              </w:rPr>
              <w:t>0.4</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3"/>
                <w:szCs w:val="13"/>
                <w:color w:val="auto"/>
              </w:rPr>
              <w:t>Share-based compensation expense</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7.4</w:t>
            </w:r>
          </w:p>
        </w:tc>
        <w:tc>
          <w:tcPr>
            <w:tcW w:w="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5.7</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87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34.0</w:t>
            </w:r>
          </w:p>
        </w:tc>
        <w:tc>
          <w:tcPr>
            <w:tcW w:w="4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15.3</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8700" w:type="dxa"/>
            <w:vAlign w:val="bottom"/>
            <w:vMerge w:val="restart"/>
          </w:tcPr>
          <w:p>
            <w:pPr>
              <w:ind w:left="4920"/>
              <w:spacing w:after="0"/>
              <w:rPr>
                <w:sz w:val="20"/>
                <w:szCs w:val="20"/>
                <w:color w:val="auto"/>
              </w:rPr>
            </w:pPr>
            <w:r>
              <w:rPr>
                <w:rFonts w:ascii="Arial" w:cs="Arial" w:eastAsia="Arial" w:hAnsi="Arial"/>
                <w:sz w:val="13"/>
                <w:szCs w:val="13"/>
                <w:color w:val="auto"/>
              </w:rPr>
              <w:t>42</w:t>
            </w: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680" w:type="dxa"/>
            <w:vAlign w:val="bottom"/>
          </w:tcPr>
          <w:p>
            <w:pPr>
              <w:spacing w:after="0"/>
              <w:rPr>
                <w:sz w:val="24"/>
                <w:szCs w:val="24"/>
                <w:color w:val="auto"/>
              </w:rPr>
            </w:pPr>
          </w:p>
        </w:tc>
        <w:tc>
          <w:tcPr>
            <w:tcW w:w="87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680" w:type="dxa"/>
            <w:vAlign w:val="bottom"/>
            <w:tcBorders>
              <w:bottom w:val="single" w:sz="8" w:color="808080"/>
            </w:tcBorders>
          </w:tcPr>
          <w:p>
            <w:pPr>
              <w:spacing w:after="0"/>
              <w:rPr>
                <w:sz w:val="14"/>
                <w:szCs w:val="14"/>
                <w:color w:val="auto"/>
              </w:rPr>
            </w:pPr>
          </w:p>
        </w:tc>
        <w:tc>
          <w:tcPr>
            <w:tcW w:w="87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12700" cy="63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9" w:right="219" w:bottom="1440" w:gutter="0" w:footer="0" w:header="0"/>
        </w:sectPr>
      </w:pPr>
    </w:p>
    <w:bookmarkStart w:id="43" w:name="page44"/>
    <w:bookmarkEnd w:id="4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International Microwave Segment</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4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gridSpan w:val="2"/>
          </w:tcPr>
          <w:p>
            <w:pPr>
              <w:jc w:val="right"/>
              <w:ind w:right="101"/>
              <w:spacing w:after="0"/>
              <w:rPr>
                <w:sz w:val="20"/>
                <w:szCs w:val="20"/>
                <w:color w:val="auto"/>
              </w:rPr>
            </w:pPr>
            <w:r>
              <w:rPr>
                <w:rFonts w:ascii="Arial" w:cs="Arial" w:eastAsia="Arial" w:hAnsi="Arial"/>
                <w:sz w:val="11"/>
                <w:szCs w:val="11"/>
                <w:b w:val="1"/>
                <w:bCs w:val="1"/>
                <w:color w:val="auto"/>
              </w:rPr>
              <w:t>2009/2008</w:t>
            </w: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80" w:type="dxa"/>
            <w:vAlign w:val="bottom"/>
          </w:tcPr>
          <w:p>
            <w:pPr>
              <w:jc w:val="center"/>
              <w:spacing w:after="0"/>
              <w:rPr>
                <w:sz w:val="20"/>
                <w:szCs w:val="20"/>
                <w:color w:val="auto"/>
              </w:rPr>
            </w:pPr>
            <w:r>
              <w:rPr>
                <w:rFonts w:ascii="Arial" w:cs="Arial" w:eastAsia="Arial" w:hAnsi="Arial"/>
                <w:sz w:val="11"/>
                <w:szCs w:val="11"/>
                <w:b w:val="1"/>
                <w:bCs w:val="1"/>
                <w:color w:val="auto"/>
                <w:w w:val="88"/>
              </w:rPr>
              <w:t>2008/2007</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49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vMerge w:val="restart"/>
          </w:tcPr>
          <w:p>
            <w:pPr>
              <w:jc w:val="right"/>
              <w:ind w:right="116"/>
              <w:spacing w:after="0"/>
              <w:rPr>
                <w:sz w:val="20"/>
                <w:szCs w:val="20"/>
                <w:color w:val="auto"/>
              </w:rPr>
            </w:pPr>
            <w:r>
              <w:rPr>
                <w:rFonts w:ascii="Arial" w:cs="Arial" w:eastAsia="Arial" w:hAnsi="Arial"/>
                <w:sz w:val="11"/>
                <w:szCs w:val="11"/>
                <w:b w:val="1"/>
                <w:bCs w:val="1"/>
                <w:color w:val="auto"/>
                <w:w w:val="97"/>
              </w:rPr>
              <w:t>2009</w:t>
            </w: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vMerge w:val="restart"/>
          </w:tcPr>
          <w:p>
            <w:pPr>
              <w:jc w:val="right"/>
              <w:ind w:right="56"/>
              <w:spacing w:after="0"/>
              <w:rPr>
                <w:sz w:val="20"/>
                <w:szCs w:val="20"/>
                <w:color w:val="auto"/>
              </w:rPr>
            </w:pPr>
            <w:r>
              <w:rPr>
                <w:rFonts w:ascii="Arial" w:cs="Arial" w:eastAsia="Arial" w:hAnsi="Arial"/>
                <w:sz w:val="11"/>
                <w:szCs w:val="11"/>
                <w:b w:val="1"/>
                <w:bCs w:val="1"/>
                <w:color w:val="auto"/>
                <w:w w:val="97"/>
              </w:rPr>
              <w:t>2008</w:t>
            </w: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40" w:type="dxa"/>
            <w:vAlign w:val="bottom"/>
            <w:gridSpan w:val="2"/>
          </w:tcPr>
          <w:p>
            <w:pPr>
              <w:jc w:val="right"/>
              <w:ind w:right="532"/>
              <w:spacing w:after="0" w:line="111" w:lineRule="exact"/>
              <w:rPr>
                <w:sz w:val="20"/>
                <w:szCs w:val="20"/>
                <w:color w:val="auto"/>
              </w:rPr>
            </w:pPr>
            <w:r>
              <w:rPr>
                <w:rFonts w:ascii="Arial" w:cs="Arial" w:eastAsia="Arial" w:hAnsi="Arial"/>
                <w:sz w:val="11"/>
                <w:szCs w:val="11"/>
                <w:b w:val="1"/>
                <w:bCs w:val="1"/>
                <w:color w:val="auto"/>
              </w:rPr>
              <w:t>% Increase/</w:t>
            </w:r>
          </w:p>
        </w:tc>
        <w:tc>
          <w:tcPr>
            <w:tcW w:w="100" w:type="dxa"/>
            <w:vAlign w:val="bottom"/>
          </w:tcPr>
          <w:p>
            <w:pPr>
              <w:spacing w:after="0"/>
              <w:rPr>
                <w:sz w:val="9"/>
                <w:szCs w:val="9"/>
                <w:color w:val="auto"/>
              </w:rPr>
            </w:pPr>
          </w:p>
        </w:tc>
        <w:tc>
          <w:tcPr>
            <w:tcW w:w="380" w:type="dxa"/>
            <w:vAlign w:val="bottom"/>
            <w:vMerge w:val="restart"/>
          </w:tcPr>
          <w:p>
            <w:pPr>
              <w:jc w:val="right"/>
              <w:ind w:right="76"/>
              <w:spacing w:after="0"/>
              <w:rPr>
                <w:sz w:val="20"/>
                <w:szCs w:val="20"/>
                <w:color w:val="auto"/>
              </w:rPr>
            </w:pPr>
            <w:r>
              <w:rPr>
                <w:rFonts w:ascii="Arial" w:cs="Arial" w:eastAsia="Arial" w:hAnsi="Arial"/>
                <w:sz w:val="11"/>
                <w:szCs w:val="11"/>
                <w:b w:val="1"/>
                <w:bCs w:val="1"/>
                <w:color w:val="auto"/>
                <w:w w:val="89"/>
              </w:rPr>
              <w:t>2007</w:t>
            </w:r>
          </w:p>
        </w:tc>
        <w:tc>
          <w:tcPr>
            <w:tcW w:w="460" w:type="dxa"/>
            <w:vAlign w:val="bottom"/>
          </w:tcPr>
          <w:p>
            <w:pPr>
              <w:spacing w:after="0"/>
              <w:rPr>
                <w:sz w:val="9"/>
                <w:szCs w:val="9"/>
                <w:color w:val="auto"/>
              </w:rPr>
            </w:pPr>
          </w:p>
        </w:tc>
        <w:tc>
          <w:tcPr>
            <w:tcW w:w="900" w:type="dxa"/>
            <w:vAlign w:val="bottom"/>
            <w:gridSpan w:val="2"/>
          </w:tcPr>
          <w:p>
            <w:pPr>
              <w:jc w:val="center"/>
              <w:ind w:right="120"/>
              <w:spacing w:after="0" w:line="111" w:lineRule="exact"/>
              <w:rPr>
                <w:sz w:val="20"/>
                <w:szCs w:val="20"/>
                <w:color w:val="auto"/>
              </w:rPr>
            </w:pPr>
            <w:r>
              <w:rPr>
                <w:rFonts w:ascii="Arial" w:cs="Arial" w:eastAsia="Arial" w:hAnsi="Arial"/>
                <w:sz w:val="11"/>
                <w:szCs w:val="11"/>
                <w:b w:val="1"/>
                <w:bCs w:val="1"/>
                <w:color w:val="auto"/>
                <w:w w:val="89"/>
              </w:rPr>
              <w:t>% Increase/</w:t>
            </w:r>
          </w:p>
        </w:tc>
        <w:tc>
          <w:tcPr>
            <w:tcW w:w="0" w:type="dxa"/>
            <w:vAlign w:val="bottom"/>
          </w:tcPr>
          <w:p>
            <w:pPr>
              <w:spacing w:after="0"/>
              <w:rPr>
                <w:sz w:val="1"/>
                <w:szCs w:val="1"/>
                <w:color w:val="auto"/>
              </w:rPr>
            </w:pPr>
          </w:p>
        </w:tc>
      </w:tr>
      <w:tr>
        <w:trPr>
          <w:trHeight w:val="128"/>
        </w:trPr>
        <w:tc>
          <w:tcPr>
            <w:tcW w:w="4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jc w:val="right"/>
              <w:ind w:right="552"/>
              <w:spacing w:after="0"/>
              <w:rPr>
                <w:sz w:val="20"/>
                <w:szCs w:val="20"/>
                <w:color w:val="auto"/>
              </w:rPr>
            </w:pPr>
            <w:r>
              <w:rPr>
                <w:rFonts w:ascii="Arial" w:cs="Arial" w:eastAsia="Arial" w:hAnsi="Arial"/>
                <w:sz w:val="11"/>
                <w:szCs w:val="11"/>
                <w:b w:val="1"/>
                <w:bCs w:val="1"/>
                <w:color w:val="auto"/>
              </w:rPr>
              <w:t>(Decrease)</w:t>
            </w:r>
          </w:p>
        </w:tc>
        <w:tc>
          <w:tcPr>
            <w:tcW w:w="100" w:type="dxa"/>
            <w:vAlign w:val="bottom"/>
          </w:tcPr>
          <w:p>
            <w:pPr>
              <w:spacing w:after="0"/>
              <w:rPr>
                <w:sz w:val="11"/>
                <w:szCs w:val="11"/>
                <w:color w:val="auto"/>
              </w:rPr>
            </w:pPr>
          </w:p>
        </w:tc>
        <w:tc>
          <w:tcPr>
            <w:tcW w:w="380" w:type="dxa"/>
            <w:vAlign w:val="bottom"/>
            <w:vMerge w:val="continue"/>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8"/>
              </w:rPr>
              <w:t>(Decrease)</w:t>
            </w:r>
          </w:p>
        </w:tc>
        <w:tc>
          <w:tcPr>
            <w:tcW w:w="0" w:type="dxa"/>
            <w:vAlign w:val="bottom"/>
          </w:tcPr>
          <w:p>
            <w:pPr>
              <w:spacing w:after="0"/>
              <w:rPr>
                <w:sz w:val="1"/>
                <w:szCs w:val="1"/>
                <w:color w:val="auto"/>
              </w:rPr>
            </w:pPr>
          </w:p>
        </w:tc>
      </w:tr>
      <w:tr>
        <w:trPr>
          <w:trHeight w:val="135"/>
        </w:trPr>
        <w:tc>
          <w:tcPr>
            <w:tcW w:w="49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ind w:left="20"/>
              <w:spacing w:after="0" w:line="120" w:lineRule="exact"/>
              <w:rPr>
                <w:sz w:val="20"/>
                <w:szCs w:val="20"/>
                <w:color w:val="auto"/>
              </w:rPr>
            </w:pPr>
            <w:r>
              <w:rPr>
                <w:rFonts w:ascii="Arial" w:cs="Arial" w:eastAsia="Arial" w:hAnsi="Arial"/>
                <w:sz w:val="11"/>
                <w:szCs w:val="11"/>
                <w:b w:val="1"/>
                <w:bCs w:val="1"/>
                <w:color w:val="auto"/>
              </w:rPr>
              <w:t>(In</w:t>
            </w:r>
          </w:p>
        </w:tc>
        <w:tc>
          <w:tcPr>
            <w:tcW w:w="780" w:type="dxa"/>
            <w:vAlign w:val="bottom"/>
            <w:tcBorders>
              <w:top w:val="single" w:sz="8" w:color="auto"/>
            </w:tcBorders>
          </w:tcPr>
          <w:p>
            <w:pPr>
              <w:jc w:val="right"/>
              <w:ind w:right="101"/>
              <w:spacing w:after="0"/>
              <w:rPr>
                <w:sz w:val="20"/>
                <w:szCs w:val="20"/>
                <w:color w:val="auto"/>
              </w:rPr>
            </w:pPr>
            <w:r>
              <w:rPr>
                <w:rFonts w:ascii="Arial" w:cs="Arial" w:eastAsia="Arial" w:hAnsi="Arial"/>
                <w:sz w:val="11"/>
                <w:szCs w:val="11"/>
                <w:b w:val="1"/>
                <w:bCs w:val="1"/>
                <w:color w:val="auto"/>
                <w:w w:val="72"/>
              </w:rPr>
              <w:t>millions, except</w:t>
            </w:r>
          </w:p>
        </w:tc>
        <w:tc>
          <w:tcPr>
            <w:tcW w:w="460" w:type="dxa"/>
            <w:vAlign w:val="bottom"/>
          </w:tcPr>
          <w:p>
            <w:pPr>
              <w:jc w:val="right"/>
              <w:spacing w:after="0"/>
              <w:rPr>
                <w:sz w:val="20"/>
                <w:szCs w:val="20"/>
                <w:color w:val="auto"/>
              </w:rPr>
            </w:pPr>
            <w:r>
              <w:rPr>
                <w:rFonts w:ascii="Arial" w:cs="Arial" w:eastAsia="Arial" w:hAnsi="Arial"/>
                <w:sz w:val="10"/>
                <w:szCs w:val="10"/>
                <w:b w:val="1"/>
                <w:bCs w:val="1"/>
                <w:color w:val="auto"/>
                <w:w w:val="70"/>
              </w:rPr>
              <w:t>percentages)</w:t>
            </w:r>
          </w:p>
        </w:tc>
        <w:tc>
          <w:tcPr>
            <w:tcW w:w="10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920" w:type="dxa"/>
            <w:vAlign w:val="bottom"/>
            <w:shd w:val="clear" w:color="auto" w:fill="CCEEFF"/>
          </w:tcPr>
          <w:p>
            <w:pPr>
              <w:spacing w:after="0"/>
              <w:rPr>
                <w:sz w:val="20"/>
                <w:szCs w:val="20"/>
                <w:color w:val="auto"/>
              </w:rPr>
            </w:pPr>
            <w:r>
              <w:rPr>
                <w:rFonts w:ascii="Arial" w:cs="Arial" w:eastAsia="Arial" w:hAnsi="Arial"/>
                <w:sz w:val="13"/>
                <w:szCs w:val="13"/>
                <w:color w:val="auto"/>
              </w:rPr>
              <w:t>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438.3</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461.7</w:t>
            </w:r>
          </w:p>
        </w:tc>
        <w:tc>
          <w:tcPr>
            <w:tcW w:w="1500" w:type="dxa"/>
            <w:vAlign w:val="bottom"/>
            <w:gridSpan w:val="3"/>
            <w:shd w:val="clear" w:color="auto" w:fill="CCEEFF"/>
          </w:tcPr>
          <w:p>
            <w:pPr>
              <w:jc w:val="right"/>
              <w:ind w:right="252"/>
              <w:spacing w:after="0"/>
              <w:rPr>
                <w:sz w:val="20"/>
                <w:szCs w:val="20"/>
                <w:color w:val="auto"/>
              </w:rPr>
            </w:pPr>
            <w:r>
              <w:rPr>
                <w:rFonts w:ascii="Arial" w:cs="Arial" w:eastAsia="Arial" w:hAnsi="Arial"/>
                <w:sz w:val="13"/>
                <w:szCs w:val="13"/>
                <w:color w:val="auto"/>
              </w:rPr>
              <w:t>(5.1)%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272.2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69.6%</w:t>
            </w:r>
          </w:p>
        </w:tc>
        <w:tc>
          <w:tcPr>
            <w:tcW w:w="0" w:type="dxa"/>
            <w:vAlign w:val="bottom"/>
          </w:tcPr>
          <w:p>
            <w:pPr>
              <w:spacing w:after="0"/>
              <w:rPr>
                <w:sz w:val="1"/>
                <w:szCs w:val="1"/>
                <w:color w:val="auto"/>
              </w:rPr>
            </w:pPr>
          </w:p>
        </w:tc>
      </w:tr>
      <w:tr>
        <w:trPr>
          <w:trHeight w:val="161"/>
        </w:trPr>
        <w:tc>
          <w:tcPr>
            <w:tcW w:w="4920" w:type="dxa"/>
            <w:vAlign w:val="bottom"/>
          </w:tcPr>
          <w:p>
            <w:pPr>
              <w:spacing w:after="0"/>
              <w:rPr>
                <w:sz w:val="20"/>
                <w:szCs w:val="20"/>
                <w:color w:val="auto"/>
              </w:rPr>
            </w:pPr>
            <w:r>
              <w:rPr>
                <w:rFonts w:ascii="Arial" w:cs="Arial" w:eastAsia="Arial" w:hAnsi="Arial"/>
                <w:sz w:val="13"/>
                <w:szCs w:val="13"/>
                <w:color w:val="auto"/>
              </w:rPr>
              <w:t>Segment operating loss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(270.8)</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gridSpan w:val="2"/>
          </w:tcPr>
          <w:p>
            <w:pPr>
              <w:jc w:val="right"/>
              <w:ind w:right="140"/>
              <w:spacing w:after="0"/>
              <w:rPr>
                <w:sz w:val="20"/>
                <w:szCs w:val="20"/>
                <w:color w:val="auto"/>
              </w:rPr>
            </w:pPr>
            <w:r>
              <w:rPr>
                <w:rFonts w:ascii="Arial" w:cs="Arial" w:eastAsia="Arial" w:hAnsi="Arial"/>
                <w:sz w:val="13"/>
                <w:szCs w:val="13"/>
                <w:color w:val="auto"/>
              </w:rPr>
              <w:t>(5.7)</w:t>
            </w:r>
          </w:p>
        </w:tc>
        <w:tc>
          <w:tcPr>
            <w:tcW w:w="260" w:type="dxa"/>
            <w:vAlign w:val="bottom"/>
          </w:tcPr>
          <w:p>
            <w:pPr>
              <w:spacing w:after="0"/>
              <w:rPr>
                <w:sz w:val="14"/>
                <w:szCs w:val="14"/>
                <w:color w:val="auto"/>
              </w:rPr>
            </w:pPr>
          </w:p>
        </w:tc>
        <w:tc>
          <w:tcPr>
            <w:tcW w:w="1240" w:type="dxa"/>
            <w:vAlign w:val="bottom"/>
            <w:gridSpan w:val="2"/>
          </w:tcPr>
          <w:p>
            <w:pPr>
              <w:jc w:val="right"/>
              <w:ind w:right="412"/>
              <w:spacing w:after="0"/>
              <w:rPr>
                <w:sz w:val="20"/>
                <w:szCs w:val="20"/>
                <w:color w:val="auto"/>
              </w:rPr>
            </w:pPr>
            <w:r>
              <w:rPr>
                <w:rFonts w:ascii="Arial" w:cs="Arial" w:eastAsia="Arial" w:hAnsi="Arial"/>
                <w:sz w:val="13"/>
                <w:szCs w:val="13"/>
                <w:color w:val="auto"/>
              </w:rPr>
              <w:t>N/M</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420"/>
              <w:spacing w:after="0"/>
              <w:rPr>
                <w:sz w:val="20"/>
                <w:szCs w:val="20"/>
                <w:color w:val="auto"/>
              </w:rPr>
            </w:pPr>
            <w:r>
              <w:rPr>
                <w:rFonts w:ascii="Arial" w:cs="Arial" w:eastAsia="Arial" w:hAnsi="Arial"/>
                <w:sz w:val="13"/>
                <w:szCs w:val="13"/>
                <w:color w:val="auto"/>
              </w:rPr>
              <w:t>(31.3)</w:t>
            </w: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auto"/>
              </w:rPr>
              <w:t>N/M</w:t>
            </w:r>
          </w:p>
        </w:tc>
        <w:tc>
          <w:tcPr>
            <w:tcW w:w="0" w:type="dxa"/>
            <w:vAlign w:val="bottom"/>
          </w:tcPr>
          <w:p>
            <w:pPr>
              <w:spacing w:after="0"/>
              <w:rPr>
                <w:sz w:val="1"/>
                <w:szCs w:val="1"/>
                <w:color w:val="auto"/>
              </w:rPr>
            </w:pPr>
          </w:p>
        </w:tc>
      </w:tr>
      <w:tr>
        <w:trPr>
          <w:trHeight w:val="161"/>
        </w:trPr>
        <w:tc>
          <w:tcPr>
            <w:tcW w:w="4920" w:type="dxa"/>
            <w:vAlign w:val="bottom"/>
            <w:shd w:val="clear" w:color="auto" w:fill="CCEEFF"/>
          </w:tcPr>
          <w:p>
            <w:pPr>
              <w:spacing w:after="0"/>
              <w:rPr>
                <w:sz w:val="20"/>
                <w:szCs w:val="20"/>
                <w:color w:val="auto"/>
              </w:rPr>
            </w:pPr>
            <w:r>
              <w:rPr>
                <w:rFonts w:ascii="Arial" w:cs="Arial" w:eastAsia="Arial" w:hAnsi="Arial"/>
                <w:sz w:val="13"/>
                <w:szCs w:val="13"/>
                <w:color w:val="auto"/>
              </w:rPr>
              <w:t>% of revenue</w:t>
            </w: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(61.8)%</w:t>
            </w: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w:t>
            </w:r>
          </w:p>
        </w:tc>
        <w:tc>
          <w:tcPr>
            <w:tcW w:w="26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412"/>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(11.5)%</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159"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Fiscal 2009 Compared with Fiscal 2008</w:t>
      </w:r>
    </w:p>
    <w:p>
      <w:pPr>
        <w:spacing w:after="0" w:line="104" w:lineRule="exact"/>
        <w:rPr>
          <w:sz w:val="20"/>
          <w:szCs w:val="20"/>
          <w:color w:val="auto"/>
        </w:rPr>
      </w:pPr>
    </w:p>
    <w:p>
      <w:pPr>
        <w:ind w:left="680" w:right="40" w:firstLine="399"/>
        <w:spacing w:after="0" w:line="299" w:lineRule="auto"/>
        <w:rPr>
          <w:sz w:val="20"/>
          <w:szCs w:val="20"/>
          <w:color w:val="auto"/>
        </w:rPr>
      </w:pPr>
      <w:r>
        <w:rPr>
          <w:rFonts w:ascii="Arial" w:cs="Arial" w:eastAsia="Arial" w:hAnsi="Arial"/>
          <w:sz w:val="12"/>
          <w:szCs w:val="12"/>
          <w:color w:val="auto"/>
        </w:rPr>
        <w:t>International Microwave segment revenue decreased by $23.4 million or 5.1% in fiscal 2009 compared with fiscal 2008. This decrease in revenue resulted from declines in all regions (except Africa) primarily due to the global economic recession and the continuing credit crisis adversely affecting our customers expansion. Compared with fiscal 2008, revenue in fiscal 2009 in Europe, Middle East and Russia declined by $23.4 million and Latin America and Asia-Pacific declined $15.1 million. These decreases were partially offset by growth in Africa ($15.1 million increase) as customers in this region continued to expand their network infrastructures prior to the slowdown in the third quarter of fiscal 2009.</w:t>
      </w:r>
    </w:p>
    <w:p>
      <w:pPr>
        <w:spacing w:after="0" w:line="48"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Our International Microwave segment had an operating loss of $270.8 million in fiscal 2009 primarily due to charges for goodwill and trade name impairments. This compares with an operating loss of $5.7 million in fiscal 2008. The operating losses in fiscal 2009 and 2008 also included acquisition expenses, restructuring charges and share-based compensation expense.</w:t>
      </w:r>
    </w:p>
    <w:p>
      <w:pPr>
        <w:spacing w:after="0" w:line="59" w:lineRule="exact"/>
        <w:rPr>
          <w:sz w:val="20"/>
          <w:szCs w:val="20"/>
          <w:color w:val="auto"/>
        </w:rPr>
      </w:pPr>
    </w:p>
    <w:p>
      <w:pPr>
        <w:jc w:val="center"/>
        <w:ind w:right="80"/>
        <w:spacing w:after="0"/>
        <w:rPr>
          <w:sz w:val="20"/>
          <w:szCs w:val="20"/>
          <w:color w:val="auto"/>
        </w:rPr>
      </w:pPr>
      <w:r>
        <w:rPr>
          <w:rFonts w:ascii="Arial" w:cs="Arial" w:eastAsia="Arial" w:hAnsi="Arial"/>
          <w:sz w:val="13"/>
          <w:szCs w:val="13"/>
          <w:color w:val="auto"/>
        </w:rPr>
        <w:t>The following table summarizes these charges and expenses included in the International Microwave segment operating results during fiscal 2009 and 2008:</w:t>
      </w:r>
    </w:p>
    <w:p>
      <w:pPr>
        <w:spacing w:after="0" w:line="106" w:lineRule="exact"/>
        <w:rPr>
          <w:sz w:val="20"/>
          <w:szCs w:val="20"/>
          <w:color w:val="auto"/>
        </w:rPr>
      </w:pPr>
    </w:p>
    <w:tbl>
      <w:tblPr>
        <w:tblLayout w:type="fixed"/>
        <w:tblInd w:w="680" w:type="dxa"/>
        <w:tblCellMar>
          <w:top w:w="0" w:type="dxa"/>
          <w:left w:w="0" w:type="dxa"/>
          <w:bottom w:w="0" w:type="dxa"/>
          <w:right w:w="0" w:type="dxa"/>
        </w:tblCellMar>
      </w:tblPr>
      <w:tr>
        <w:trPr>
          <w:trHeight w:val="128"/>
        </w:trPr>
        <w:tc>
          <w:tcPr>
            <w:tcW w:w="86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75"/>
              <w:spacing w:after="0"/>
              <w:rPr>
                <w:sz w:val="20"/>
                <w:szCs w:val="20"/>
                <w:color w:val="auto"/>
              </w:rPr>
            </w:pPr>
            <w:r>
              <w:rPr>
                <w:rFonts w:ascii="Arial" w:cs="Arial" w:eastAsia="Arial" w:hAnsi="Arial"/>
                <w:sz w:val="11"/>
                <w:szCs w:val="11"/>
                <w:b w:val="1"/>
                <w:bCs w:val="1"/>
                <w:color w:val="auto"/>
                <w:w w:val="97"/>
              </w:rPr>
              <w:t>2009</w:t>
            </w:r>
          </w:p>
        </w:tc>
        <w:tc>
          <w:tcPr>
            <w:tcW w:w="400" w:type="dxa"/>
            <w:vAlign w:val="bottom"/>
            <w:vMerge w:val="restart"/>
          </w:tcPr>
          <w:p>
            <w:pPr>
              <w:ind w:left="20"/>
              <w:spacing w:after="0"/>
              <w:rPr>
                <w:sz w:val="20"/>
                <w:szCs w:val="20"/>
                <w:color w:val="auto"/>
              </w:rPr>
            </w:pPr>
            <w:r>
              <w:rPr>
                <w:rFonts w:ascii="Arial" w:cs="Arial" w:eastAsia="Arial" w:hAnsi="Arial"/>
                <w:sz w:val="11"/>
                <w:szCs w:val="11"/>
                <w:b w:val="1"/>
                <w:bCs w:val="1"/>
                <w:color w:val="auto"/>
                <w:w w:val="79"/>
              </w:rPr>
              <w:t>millions)</w:t>
            </w: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jc w:val="right"/>
              <w:ind w:right="34"/>
              <w:spacing w:after="0"/>
              <w:rPr>
                <w:sz w:val="20"/>
                <w:szCs w:val="20"/>
                <w:color w:val="auto"/>
              </w:rPr>
            </w:pPr>
            <w:r>
              <w:rPr>
                <w:rFonts w:ascii="Arial" w:cs="Arial" w:eastAsia="Arial" w:hAnsi="Arial"/>
                <w:sz w:val="11"/>
                <w:szCs w:val="11"/>
                <w:b w:val="1"/>
                <w:bCs w:val="1"/>
                <w:color w:val="auto"/>
                <w:w w:val="81"/>
              </w:rPr>
              <w:t>2008</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1"/>
                <w:szCs w:val="11"/>
                <w:b w:val="1"/>
                <w:bCs w:val="1"/>
                <w:color w:val="auto"/>
              </w:rPr>
              <w:t>(In</w:t>
            </w:r>
          </w:p>
        </w:tc>
        <w:tc>
          <w:tcPr>
            <w:tcW w:w="4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8600" w:type="dxa"/>
            <w:vAlign w:val="bottom"/>
            <w:shd w:val="clear" w:color="auto" w:fill="CCEEFF"/>
          </w:tcPr>
          <w:p>
            <w:pPr>
              <w:spacing w:after="0"/>
              <w:rPr>
                <w:sz w:val="20"/>
                <w:szCs w:val="20"/>
                <w:color w:val="auto"/>
              </w:rPr>
            </w:pPr>
            <w:r>
              <w:rPr>
                <w:rFonts w:ascii="Arial" w:cs="Arial" w:eastAsia="Arial" w:hAnsi="Arial"/>
                <w:sz w:val="13"/>
                <w:szCs w:val="13"/>
                <w:color w:val="auto"/>
              </w:rPr>
              <w:t>Goodwill impairment charges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346"/>
              <w:spacing w:after="0"/>
              <w:rPr>
                <w:sz w:val="20"/>
                <w:szCs w:val="20"/>
                <w:color w:val="auto"/>
              </w:rPr>
            </w:pPr>
            <w:r>
              <w:rPr>
                <w:rFonts w:ascii="Arial" w:cs="Arial" w:eastAsia="Arial" w:hAnsi="Arial"/>
                <w:sz w:val="13"/>
                <w:szCs w:val="13"/>
                <w:color w:val="auto"/>
              </w:rPr>
              <w:t>247.2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8600" w:type="dxa"/>
            <w:vAlign w:val="bottom"/>
          </w:tcPr>
          <w:p>
            <w:pPr>
              <w:spacing w:after="0"/>
              <w:rPr>
                <w:sz w:val="20"/>
                <w:szCs w:val="20"/>
                <w:color w:val="auto"/>
              </w:rPr>
            </w:pPr>
            <w:r>
              <w:rPr>
                <w:rFonts w:ascii="Arial" w:cs="Arial" w:eastAsia="Arial" w:hAnsi="Arial"/>
                <w:sz w:val="13"/>
                <w:szCs w:val="13"/>
                <w:color w:val="auto"/>
              </w:rPr>
              <w:t>Impairment charges for the trade name “Stratex”</w:t>
            </w:r>
          </w:p>
        </w:tc>
        <w:tc>
          <w:tcPr>
            <w:tcW w:w="100" w:type="dxa"/>
            <w:vAlign w:val="bottom"/>
          </w:tcPr>
          <w:p>
            <w:pPr>
              <w:spacing w:after="0"/>
              <w:rPr>
                <w:sz w:val="14"/>
                <w:szCs w:val="14"/>
                <w:color w:val="auto"/>
              </w:rPr>
            </w:pPr>
          </w:p>
        </w:tc>
        <w:tc>
          <w:tcPr>
            <w:tcW w:w="800" w:type="dxa"/>
            <w:vAlign w:val="bottom"/>
            <w:gridSpan w:val="2"/>
          </w:tcPr>
          <w:p>
            <w:pPr>
              <w:jc w:val="right"/>
              <w:ind w:right="346"/>
              <w:spacing w:after="0"/>
              <w:rPr>
                <w:sz w:val="20"/>
                <w:szCs w:val="20"/>
                <w:color w:val="auto"/>
              </w:rPr>
            </w:pPr>
            <w:r>
              <w:rPr>
                <w:rFonts w:ascii="Arial" w:cs="Arial" w:eastAsia="Arial" w:hAnsi="Arial"/>
                <w:sz w:val="13"/>
                <w:szCs w:val="13"/>
                <w:color w:val="auto"/>
              </w:rPr>
              <w:t>21.9</w:t>
            </w:r>
          </w:p>
        </w:tc>
        <w:tc>
          <w:tcPr>
            <w:tcW w:w="80" w:type="dxa"/>
            <w:vAlign w:val="bottom"/>
          </w:tcPr>
          <w:p>
            <w:pPr>
              <w:spacing w:after="0"/>
              <w:rPr>
                <w:sz w:val="14"/>
                <w:szCs w:val="14"/>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8600" w:type="dxa"/>
            <w:vAlign w:val="bottom"/>
            <w:shd w:val="clear" w:color="auto" w:fill="CCEEFF"/>
          </w:tcPr>
          <w:p>
            <w:pPr>
              <w:spacing w:after="0"/>
              <w:rPr>
                <w:sz w:val="20"/>
                <w:szCs w:val="20"/>
                <w:color w:val="auto"/>
              </w:rPr>
            </w:pPr>
            <w:r>
              <w:rPr>
                <w:rFonts w:ascii="Arial" w:cs="Arial" w:eastAsia="Arial" w:hAnsi="Arial"/>
                <w:sz w:val="13"/>
                <w:szCs w:val="13"/>
                <w:color w:val="auto"/>
              </w:rPr>
              <w:t>Amortization of developed technology, trade names, customer relationships and non-compete agreements</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346"/>
              <w:spacing w:after="0"/>
              <w:rPr>
                <w:sz w:val="20"/>
                <w:szCs w:val="20"/>
                <w:color w:val="auto"/>
              </w:rPr>
            </w:pPr>
            <w:r>
              <w:rPr>
                <w:rFonts w:ascii="Arial" w:cs="Arial" w:eastAsia="Arial" w:hAnsi="Arial"/>
                <w:sz w:val="13"/>
                <w:szCs w:val="13"/>
                <w:color w:val="auto"/>
              </w:rPr>
              <w:t>10.2</w:t>
            </w:r>
          </w:p>
        </w:tc>
        <w:tc>
          <w:tcPr>
            <w:tcW w:w="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11.9</w:t>
            </w:r>
          </w:p>
        </w:tc>
        <w:tc>
          <w:tcPr>
            <w:tcW w:w="0" w:type="dxa"/>
            <w:vAlign w:val="bottom"/>
          </w:tcPr>
          <w:p>
            <w:pPr>
              <w:spacing w:after="0"/>
              <w:rPr>
                <w:sz w:val="1"/>
                <w:szCs w:val="1"/>
                <w:color w:val="auto"/>
              </w:rPr>
            </w:pPr>
          </w:p>
        </w:tc>
      </w:tr>
      <w:tr>
        <w:trPr>
          <w:trHeight w:val="161"/>
        </w:trPr>
        <w:tc>
          <w:tcPr>
            <w:tcW w:w="8600" w:type="dxa"/>
            <w:vAlign w:val="bottom"/>
          </w:tcPr>
          <w:p>
            <w:pPr>
              <w:spacing w:after="0"/>
              <w:rPr>
                <w:sz w:val="20"/>
                <w:szCs w:val="20"/>
                <w:color w:val="auto"/>
              </w:rPr>
            </w:pPr>
            <w:r>
              <w:rPr>
                <w:rFonts w:ascii="Arial" w:cs="Arial" w:eastAsia="Arial" w:hAnsi="Arial"/>
                <w:sz w:val="13"/>
                <w:szCs w:val="13"/>
                <w:color w:val="auto"/>
              </w:rPr>
              <w:t>Charges for product transition</w:t>
            </w:r>
          </w:p>
        </w:tc>
        <w:tc>
          <w:tcPr>
            <w:tcW w:w="100" w:type="dxa"/>
            <w:vAlign w:val="bottom"/>
          </w:tcPr>
          <w:p>
            <w:pPr>
              <w:spacing w:after="0"/>
              <w:rPr>
                <w:sz w:val="14"/>
                <w:szCs w:val="14"/>
                <w:color w:val="auto"/>
              </w:rPr>
            </w:pPr>
          </w:p>
        </w:tc>
        <w:tc>
          <w:tcPr>
            <w:tcW w:w="800" w:type="dxa"/>
            <w:vAlign w:val="bottom"/>
            <w:gridSpan w:val="2"/>
          </w:tcPr>
          <w:p>
            <w:pPr>
              <w:jc w:val="right"/>
              <w:ind w:right="346"/>
              <w:spacing w:after="0"/>
              <w:rPr>
                <w:sz w:val="20"/>
                <w:szCs w:val="20"/>
                <w:color w:val="auto"/>
              </w:rPr>
            </w:pPr>
            <w:r>
              <w:rPr>
                <w:rFonts w:ascii="Arial" w:cs="Arial" w:eastAsia="Arial" w:hAnsi="Arial"/>
                <w:sz w:val="13"/>
                <w:szCs w:val="13"/>
                <w:color w:val="auto"/>
              </w:rPr>
              <w:t>4.5</w:t>
            </w:r>
          </w:p>
        </w:tc>
        <w:tc>
          <w:tcPr>
            <w:tcW w:w="80" w:type="dxa"/>
            <w:vAlign w:val="bottom"/>
          </w:tcPr>
          <w:p>
            <w:pPr>
              <w:spacing w:after="0"/>
              <w:rPr>
                <w:sz w:val="14"/>
                <w:szCs w:val="14"/>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8600" w:type="dxa"/>
            <w:vAlign w:val="bottom"/>
            <w:shd w:val="clear" w:color="auto" w:fill="CCEEFF"/>
          </w:tcPr>
          <w:p>
            <w:pPr>
              <w:spacing w:after="0"/>
              <w:rPr>
                <w:sz w:val="20"/>
                <w:szCs w:val="20"/>
                <w:color w:val="auto"/>
              </w:rPr>
            </w:pPr>
            <w:r>
              <w:rPr>
                <w:rFonts w:ascii="Arial" w:cs="Arial" w:eastAsia="Arial" w:hAnsi="Arial"/>
                <w:sz w:val="13"/>
                <w:szCs w:val="13"/>
                <w:color w:val="auto"/>
              </w:rPr>
              <w:t>Restructuring charges</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346"/>
              <w:spacing w:after="0"/>
              <w:rPr>
                <w:sz w:val="20"/>
                <w:szCs w:val="20"/>
                <w:color w:val="auto"/>
              </w:rPr>
            </w:pPr>
            <w:r>
              <w:rPr>
                <w:rFonts w:ascii="Arial" w:cs="Arial" w:eastAsia="Arial" w:hAnsi="Arial"/>
                <w:sz w:val="13"/>
                <w:szCs w:val="13"/>
                <w:color w:val="auto"/>
              </w:rPr>
              <w:t>3.1</w:t>
            </w:r>
          </w:p>
        </w:tc>
        <w:tc>
          <w:tcPr>
            <w:tcW w:w="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2.6</w:t>
            </w:r>
          </w:p>
        </w:tc>
        <w:tc>
          <w:tcPr>
            <w:tcW w:w="0" w:type="dxa"/>
            <w:vAlign w:val="bottom"/>
          </w:tcPr>
          <w:p>
            <w:pPr>
              <w:spacing w:after="0"/>
              <w:rPr>
                <w:sz w:val="1"/>
                <w:szCs w:val="1"/>
                <w:color w:val="auto"/>
              </w:rPr>
            </w:pPr>
          </w:p>
        </w:tc>
      </w:tr>
      <w:tr>
        <w:trPr>
          <w:trHeight w:val="161"/>
        </w:trPr>
        <w:tc>
          <w:tcPr>
            <w:tcW w:w="8600" w:type="dxa"/>
            <w:vAlign w:val="bottom"/>
          </w:tcPr>
          <w:p>
            <w:pPr>
              <w:spacing w:after="0"/>
              <w:rPr>
                <w:sz w:val="20"/>
                <w:szCs w:val="20"/>
                <w:color w:val="auto"/>
              </w:rPr>
            </w:pPr>
            <w:r>
              <w:rPr>
                <w:rFonts w:ascii="Arial" w:cs="Arial" w:eastAsia="Arial" w:hAnsi="Arial"/>
                <w:sz w:val="13"/>
                <w:szCs w:val="13"/>
                <w:color w:val="auto"/>
              </w:rPr>
              <w:t>Acquired in-process research and development</w:t>
            </w:r>
          </w:p>
        </w:tc>
        <w:tc>
          <w:tcPr>
            <w:tcW w:w="100" w:type="dxa"/>
            <w:vAlign w:val="bottom"/>
          </w:tcPr>
          <w:p>
            <w:pPr>
              <w:spacing w:after="0"/>
              <w:rPr>
                <w:sz w:val="14"/>
                <w:szCs w:val="14"/>
                <w:color w:val="auto"/>
              </w:rPr>
            </w:pPr>
          </w:p>
        </w:tc>
        <w:tc>
          <w:tcPr>
            <w:tcW w:w="800" w:type="dxa"/>
            <w:vAlign w:val="bottom"/>
            <w:gridSpan w:val="2"/>
          </w:tcPr>
          <w:p>
            <w:pPr>
              <w:jc w:val="right"/>
              <w:ind w:right="346"/>
              <w:spacing w:after="0"/>
              <w:rPr>
                <w:sz w:val="20"/>
                <w:szCs w:val="20"/>
                <w:color w:val="auto"/>
              </w:rPr>
            </w:pPr>
            <w:r>
              <w:rPr>
                <w:rFonts w:ascii="Arial" w:cs="Arial" w:eastAsia="Arial" w:hAnsi="Arial"/>
                <w:sz w:val="13"/>
                <w:szCs w:val="13"/>
                <w:color w:val="auto"/>
              </w:rPr>
              <w:t>2.4</w:t>
            </w:r>
          </w:p>
        </w:tc>
        <w:tc>
          <w:tcPr>
            <w:tcW w:w="80" w:type="dxa"/>
            <w:vAlign w:val="bottom"/>
          </w:tcPr>
          <w:p>
            <w:pPr>
              <w:spacing w:after="0"/>
              <w:rPr>
                <w:sz w:val="14"/>
                <w:szCs w:val="14"/>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8600" w:type="dxa"/>
            <w:vAlign w:val="bottom"/>
            <w:shd w:val="clear" w:color="auto" w:fill="CCEEFF"/>
          </w:tcPr>
          <w:p>
            <w:pPr>
              <w:spacing w:after="0"/>
              <w:rPr>
                <w:sz w:val="20"/>
                <w:szCs w:val="20"/>
                <w:color w:val="auto"/>
              </w:rPr>
            </w:pPr>
            <w:r>
              <w:rPr>
                <w:rFonts w:ascii="Arial" w:cs="Arial" w:eastAsia="Arial" w:hAnsi="Arial"/>
                <w:sz w:val="13"/>
                <w:szCs w:val="13"/>
                <w:color w:val="auto"/>
              </w:rPr>
              <w:t>Amortization of the fair value adjustments related to fixed assets</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346"/>
              <w:spacing w:after="0"/>
              <w:rPr>
                <w:sz w:val="20"/>
                <w:szCs w:val="20"/>
                <w:color w:val="auto"/>
              </w:rPr>
            </w:pPr>
            <w:r>
              <w:rPr>
                <w:rFonts w:ascii="Arial" w:cs="Arial" w:eastAsia="Arial" w:hAnsi="Arial"/>
                <w:sz w:val="13"/>
                <w:szCs w:val="13"/>
                <w:color w:val="auto"/>
              </w:rPr>
              <w:t>1.1</w:t>
            </w:r>
          </w:p>
        </w:tc>
        <w:tc>
          <w:tcPr>
            <w:tcW w:w="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61"/>
        </w:trPr>
        <w:tc>
          <w:tcPr>
            <w:tcW w:w="8600" w:type="dxa"/>
            <w:vAlign w:val="bottom"/>
          </w:tcPr>
          <w:p>
            <w:pPr>
              <w:spacing w:after="0"/>
              <w:rPr>
                <w:sz w:val="20"/>
                <w:szCs w:val="20"/>
                <w:color w:val="auto"/>
              </w:rPr>
            </w:pPr>
            <w:r>
              <w:rPr>
                <w:rFonts w:ascii="Arial" w:cs="Arial" w:eastAsia="Arial" w:hAnsi="Arial"/>
                <w:sz w:val="13"/>
                <w:szCs w:val="13"/>
                <w:color w:val="auto"/>
              </w:rPr>
              <w:t>Cost of integration activities undertaken in connection with the merger</w:t>
            </w:r>
          </w:p>
        </w:tc>
        <w:tc>
          <w:tcPr>
            <w:tcW w:w="100" w:type="dxa"/>
            <w:vAlign w:val="bottom"/>
          </w:tcPr>
          <w:p>
            <w:pPr>
              <w:spacing w:after="0"/>
              <w:rPr>
                <w:sz w:val="14"/>
                <w:szCs w:val="14"/>
                <w:color w:val="auto"/>
              </w:rPr>
            </w:pPr>
          </w:p>
        </w:tc>
        <w:tc>
          <w:tcPr>
            <w:tcW w:w="800" w:type="dxa"/>
            <w:vAlign w:val="bottom"/>
            <w:gridSpan w:val="2"/>
          </w:tcPr>
          <w:p>
            <w:pPr>
              <w:jc w:val="right"/>
              <w:ind w:right="346"/>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3"/>
                <w:szCs w:val="13"/>
                <w:color w:val="auto"/>
              </w:rPr>
              <w:t>6.1</w:t>
            </w:r>
          </w:p>
        </w:tc>
        <w:tc>
          <w:tcPr>
            <w:tcW w:w="0" w:type="dxa"/>
            <w:vAlign w:val="bottom"/>
          </w:tcPr>
          <w:p>
            <w:pPr>
              <w:spacing w:after="0"/>
              <w:rPr>
                <w:sz w:val="1"/>
                <w:szCs w:val="1"/>
                <w:color w:val="auto"/>
              </w:rPr>
            </w:pPr>
          </w:p>
        </w:tc>
      </w:tr>
      <w:tr>
        <w:trPr>
          <w:trHeight w:val="161"/>
        </w:trPr>
        <w:tc>
          <w:tcPr>
            <w:tcW w:w="8600" w:type="dxa"/>
            <w:vAlign w:val="bottom"/>
            <w:shd w:val="clear" w:color="auto" w:fill="CCEEFF"/>
          </w:tcPr>
          <w:p>
            <w:pPr>
              <w:spacing w:after="0"/>
              <w:rPr>
                <w:sz w:val="20"/>
                <w:szCs w:val="20"/>
                <w:color w:val="auto"/>
              </w:rPr>
            </w:pPr>
            <w:r>
              <w:rPr>
                <w:rFonts w:ascii="Arial" w:cs="Arial" w:eastAsia="Arial" w:hAnsi="Arial"/>
                <w:sz w:val="13"/>
                <w:szCs w:val="13"/>
                <w:color w:val="auto"/>
              </w:rPr>
              <w:t>Inventory mark-downs</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346"/>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61"/>
        </w:trPr>
        <w:tc>
          <w:tcPr>
            <w:tcW w:w="8600" w:type="dxa"/>
            <w:vAlign w:val="bottom"/>
          </w:tcPr>
          <w:p>
            <w:pPr>
              <w:spacing w:after="0"/>
              <w:rPr>
                <w:sz w:val="20"/>
                <w:szCs w:val="20"/>
                <w:color w:val="auto"/>
              </w:rPr>
            </w:pPr>
            <w:r>
              <w:rPr>
                <w:rFonts w:ascii="Arial" w:cs="Arial" w:eastAsia="Arial" w:hAnsi="Arial"/>
                <w:sz w:val="13"/>
                <w:szCs w:val="13"/>
                <w:color w:val="auto"/>
              </w:rPr>
              <w:t>Share-based compensation expense</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w:t>
            </w:r>
          </w:p>
        </w:tc>
        <w:tc>
          <w:tcPr>
            <w:tcW w:w="4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6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346"/>
              <w:spacing w:after="0"/>
              <w:rPr>
                <w:sz w:val="20"/>
                <w:szCs w:val="20"/>
                <w:color w:val="auto"/>
              </w:rPr>
            </w:pPr>
            <w:r>
              <w:rPr>
                <w:rFonts w:ascii="Arial" w:cs="Arial" w:eastAsia="Arial" w:hAnsi="Arial"/>
                <w:sz w:val="13"/>
                <w:szCs w:val="13"/>
                <w:color w:val="auto"/>
              </w:rPr>
              <w:t>291.5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24.5</w:t>
            </w:r>
          </w:p>
        </w:tc>
        <w:tc>
          <w:tcPr>
            <w:tcW w:w="0" w:type="dxa"/>
            <w:vAlign w:val="bottom"/>
          </w:tcPr>
          <w:p>
            <w:pPr>
              <w:spacing w:after="0"/>
              <w:rPr>
                <w:sz w:val="1"/>
                <w:szCs w:val="1"/>
                <w:color w:val="auto"/>
              </w:rPr>
            </w:pPr>
          </w:p>
        </w:tc>
      </w:tr>
      <w:tr>
        <w:trPr>
          <w:trHeight w:val="20"/>
        </w:trPr>
        <w:tc>
          <w:tcPr>
            <w:tcW w:w="8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Fiscal 2008 Compared with Fiscal 2007</w:t>
      </w:r>
    </w:p>
    <w:p>
      <w:pPr>
        <w:spacing w:after="0" w:line="104" w:lineRule="exact"/>
        <w:rPr>
          <w:sz w:val="20"/>
          <w:szCs w:val="20"/>
          <w:color w:val="auto"/>
        </w:rPr>
      </w:pPr>
    </w:p>
    <w:p>
      <w:pPr>
        <w:ind w:left="680" w:right="360" w:firstLine="399"/>
        <w:spacing w:after="0" w:line="276" w:lineRule="auto"/>
        <w:rPr>
          <w:sz w:val="20"/>
          <w:szCs w:val="20"/>
          <w:color w:val="auto"/>
        </w:rPr>
      </w:pPr>
      <w:r>
        <w:rPr>
          <w:rFonts w:ascii="Arial" w:cs="Arial" w:eastAsia="Arial" w:hAnsi="Arial"/>
          <w:sz w:val="13"/>
          <w:szCs w:val="13"/>
          <w:color w:val="auto"/>
        </w:rPr>
        <w:t>International Microwave segment revenue increased by $189.5 million or 69.6% in fiscal 2008 compared with fiscal 2007. Revenue in fiscal 2008 and fiscal 2007 included $328.4 million and $116.0 million from sales of former Stratex products and services. Excluding the impact of the revenue from Stratex products and services, our International Microwave segment revenue decreased by $22.9 million because of our transition to selling the former Stratex products.</w:t>
      </w:r>
    </w:p>
    <w:p>
      <w:pPr>
        <w:spacing w:after="0" w:line="270"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44" w:name="page45"/>
    <w:bookmarkEnd w:id="4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80" w:firstLine="399"/>
        <w:spacing w:after="0" w:line="294" w:lineRule="auto"/>
        <w:rPr>
          <w:sz w:val="20"/>
          <w:szCs w:val="20"/>
          <w:color w:val="auto"/>
        </w:rPr>
      </w:pPr>
      <w:r>
        <w:rPr>
          <w:rFonts w:ascii="Arial" w:cs="Arial" w:eastAsia="Arial" w:hAnsi="Arial"/>
          <w:sz w:val="13"/>
          <w:szCs w:val="13"/>
          <w:color w:val="auto"/>
        </w:rPr>
        <w:t>Our International Microwave segment had an operating loss of $5.7 million in fiscal 2008 compared with $31.3 million in fiscal 2007 due to the following charges and expenses included in fiscal 2008 compared with similar types of charges in fiscal 2007:</w:t>
      </w:r>
    </w:p>
    <w:p>
      <w:pPr>
        <w:spacing w:after="0" w:line="51" w:lineRule="exact"/>
        <w:rPr>
          <w:sz w:val="20"/>
          <w:szCs w:val="20"/>
          <w:color w:val="auto"/>
        </w:rPr>
      </w:pPr>
    </w:p>
    <w:tbl>
      <w:tblPr>
        <w:tblLayout w:type="fixed"/>
        <w:tblInd w:w="680" w:type="dxa"/>
        <w:tblCellMar>
          <w:top w:w="0" w:type="dxa"/>
          <w:left w:w="0" w:type="dxa"/>
          <w:bottom w:w="0" w:type="dxa"/>
          <w:right w:w="0" w:type="dxa"/>
        </w:tblCellMar>
      </w:tblPr>
      <w:tr>
        <w:trPr>
          <w:trHeight w:val="128"/>
        </w:trPr>
        <w:tc>
          <w:tcPr>
            <w:tcW w:w="87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jc w:val="right"/>
              <w:ind w:right="36"/>
              <w:spacing w:after="0"/>
              <w:rPr>
                <w:sz w:val="20"/>
                <w:szCs w:val="20"/>
                <w:color w:val="auto"/>
              </w:rPr>
            </w:pPr>
            <w:r>
              <w:rPr>
                <w:rFonts w:ascii="Arial" w:cs="Arial" w:eastAsia="Arial" w:hAnsi="Arial"/>
                <w:sz w:val="11"/>
                <w:szCs w:val="11"/>
                <w:b w:val="1"/>
                <w:bCs w:val="1"/>
                <w:color w:val="auto"/>
                <w:w w:val="81"/>
              </w:rPr>
              <w:t>2008</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jc w:val="right"/>
              <w:ind w:right="34"/>
              <w:spacing w:after="0"/>
              <w:rPr>
                <w:sz w:val="20"/>
                <w:szCs w:val="20"/>
                <w:color w:val="auto"/>
              </w:rPr>
            </w:pPr>
            <w:r>
              <w:rPr>
                <w:rFonts w:ascii="Arial" w:cs="Arial" w:eastAsia="Arial" w:hAnsi="Arial"/>
                <w:sz w:val="11"/>
                <w:szCs w:val="11"/>
                <w:b w:val="1"/>
                <w:bCs w:val="1"/>
                <w:color w:val="auto"/>
                <w:w w:val="81"/>
              </w:rPr>
              <w:t>2007</w:t>
            </w:r>
          </w:p>
        </w:tc>
        <w:tc>
          <w:tcPr>
            <w:tcW w:w="80" w:type="dxa"/>
            <w:vAlign w:val="bottom"/>
          </w:tcPr>
          <w:p>
            <w:pPr>
              <w:spacing w:after="0"/>
              <w:rPr>
                <w:sz w:val="11"/>
                <w:szCs w:val="11"/>
                <w:color w:val="auto"/>
              </w:rPr>
            </w:pPr>
          </w:p>
        </w:tc>
      </w:tr>
      <w:tr>
        <w:trPr>
          <w:trHeight w:val="135"/>
        </w:trPr>
        <w:tc>
          <w:tcPr>
            <w:tcW w:w="8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4"/>
          </w:tcPr>
          <w:p>
            <w:pPr>
              <w:jc w:val="right"/>
              <w:spacing w:after="0"/>
              <w:rPr>
                <w:sz w:val="20"/>
                <w:szCs w:val="20"/>
                <w:color w:val="auto"/>
              </w:rPr>
            </w:pPr>
            <w:r>
              <w:rPr>
                <w:rFonts w:ascii="Arial" w:cs="Arial" w:eastAsia="Arial" w:hAnsi="Arial"/>
                <w:sz w:val="11"/>
                <w:szCs w:val="11"/>
                <w:b w:val="1"/>
                <w:bCs w:val="1"/>
                <w:color w:val="auto"/>
              </w:rPr>
              <w:t>(In millions)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7"/>
        </w:trPr>
        <w:tc>
          <w:tcPr>
            <w:tcW w:w="8700" w:type="dxa"/>
            <w:vAlign w:val="bottom"/>
            <w:shd w:val="clear" w:color="auto" w:fill="CCEEFF"/>
          </w:tcPr>
          <w:p>
            <w:pPr>
              <w:spacing w:after="0"/>
              <w:rPr>
                <w:sz w:val="20"/>
                <w:szCs w:val="20"/>
                <w:color w:val="auto"/>
              </w:rPr>
            </w:pPr>
            <w:r>
              <w:rPr>
                <w:rFonts w:ascii="Arial" w:cs="Arial" w:eastAsia="Arial" w:hAnsi="Arial"/>
                <w:sz w:val="13"/>
                <w:szCs w:val="13"/>
                <w:color w:val="auto"/>
              </w:rPr>
              <w:t>Amortization of developed technology, trade names, customer relationships and non-compete agreements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11.9</w:t>
            </w: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9.1</w:t>
            </w:r>
          </w:p>
        </w:tc>
      </w:tr>
      <w:tr>
        <w:trPr>
          <w:trHeight w:val="161"/>
        </w:trPr>
        <w:tc>
          <w:tcPr>
            <w:tcW w:w="8700" w:type="dxa"/>
            <w:vAlign w:val="bottom"/>
          </w:tcPr>
          <w:p>
            <w:pPr>
              <w:spacing w:after="0"/>
              <w:rPr>
                <w:sz w:val="20"/>
                <w:szCs w:val="20"/>
                <w:color w:val="auto"/>
              </w:rPr>
            </w:pPr>
            <w:r>
              <w:rPr>
                <w:rFonts w:ascii="Arial" w:cs="Arial" w:eastAsia="Arial" w:hAnsi="Arial"/>
                <w:sz w:val="13"/>
                <w:szCs w:val="13"/>
                <w:color w:val="auto"/>
              </w:rPr>
              <w:t>Cost of integration activities undertaken in connection with the merger</w:t>
            </w:r>
          </w:p>
        </w:tc>
        <w:tc>
          <w:tcPr>
            <w:tcW w:w="80" w:type="dxa"/>
            <w:vAlign w:val="bottom"/>
          </w:tcPr>
          <w:p>
            <w:pPr>
              <w:spacing w:after="0"/>
              <w:rPr>
                <w:sz w:val="14"/>
                <w:szCs w:val="1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3"/>
                <w:szCs w:val="13"/>
                <w:color w:val="auto"/>
              </w:rPr>
              <w:t>6.1</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3"/>
                <w:szCs w:val="13"/>
                <w:color w:val="auto"/>
              </w:rPr>
              <w:t>3.6</w:t>
            </w:r>
          </w:p>
        </w:tc>
      </w:tr>
      <w:tr>
        <w:trPr>
          <w:trHeight w:val="161"/>
        </w:trPr>
        <w:tc>
          <w:tcPr>
            <w:tcW w:w="8700" w:type="dxa"/>
            <w:vAlign w:val="bottom"/>
            <w:shd w:val="clear" w:color="auto" w:fill="CCEEFF"/>
          </w:tcPr>
          <w:p>
            <w:pPr>
              <w:spacing w:after="0"/>
              <w:rPr>
                <w:sz w:val="20"/>
                <w:szCs w:val="20"/>
                <w:color w:val="auto"/>
              </w:rPr>
            </w:pPr>
            <w:r>
              <w:rPr>
                <w:rFonts w:ascii="Arial" w:cs="Arial" w:eastAsia="Arial" w:hAnsi="Arial"/>
                <w:sz w:val="13"/>
                <w:szCs w:val="13"/>
                <w:color w:val="auto"/>
              </w:rPr>
              <w:t>Restructuring charges</w:t>
            </w:r>
          </w:p>
        </w:tc>
        <w:tc>
          <w:tcPr>
            <w:tcW w:w="8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2.6</w:t>
            </w: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4.2</w:t>
            </w:r>
          </w:p>
        </w:tc>
      </w:tr>
      <w:tr>
        <w:trPr>
          <w:trHeight w:val="161"/>
        </w:trPr>
        <w:tc>
          <w:tcPr>
            <w:tcW w:w="8700" w:type="dxa"/>
            <w:vAlign w:val="bottom"/>
          </w:tcPr>
          <w:p>
            <w:pPr>
              <w:spacing w:after="0"/>
              <w:rPr>
                <w:sz w:val="20"/>
                <w:szCs w:val="20"/>
                <w:color w:val="auto"/>
              </w:rPr>
            </w:pPr>
            <w:r>
              <w:rPr>
                <w:rFonts w:ascii="Arial" w:cs="Arial" w:eastAsia="Arial" w:hAnsi="Arial"/>
                <w:sz w:val="13"/>
                <w:szCs w:val="13"/>
                <w:color w:val="auto"/>
              </w:rPr>
              <w:t>Inventory mark-downs</w:t>
            </w:r>
          </w:p>
        </w:tc>
        <w:tc>
          <w:tcPr>
            <w:tcW w:w="80" w:type="dxa"/>
            <w:vAlign w:val="bottom"/>
          </w:tcPr>
          <w:p>
            <w:pPr>
              <w:spacing w:after="0"/>
              <w:rPr>
                <w:sz w:val="14"/>
                <w:szCs w:val="1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3"/>
                <w:szCs w:val="13"/>
                <w:color w:val="auto"/>
              </w:rPr>
              <w:t>1.8</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r>
      <w:tr>
        <w:trPr>
          <w:trHeight w:val="161"/>
        </w:trPr>
        <w:tc>
          <w:tcPr>
            <w:tcW w:w="8700" w:type="dxa"/>
            <w:vAlign w:val="bottom"/>
            <w:shd w:val="clear" w:color="auto" w:fill="CCEEFF"/>
          </w:tcPr>
          <w:p>
            <w:pPr>
              <w:spacing w:after="0"/>
              <w:rPr>
                <w:sz w:val="20"/>
                <w:szCs w:val="20"/>
                <w:color w:val="auto"/>
              </w:rPr>
            </w:pPr>
            <w:r>
              <w:rPr>
                <w:rFonts w:ascii="Arial" w:cs="Arial" w:eastAsia="Arial" w:hAnsi="Arial"/>
                <w:sz w:val="13"/>
                <w:szCs w:val="13"/>
                <w:color w:val="auto"/>
              </w:rPr>
              <w:t>Amortization of the fair value adjustments related to fixed assets</w:t>
            </w:r>
          </w:p>
        </w:tc>
        <w:tc>
          <w:tcPr>
            <w:tcW w:w="8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1.7</w:t>
            </w: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8.6</w:t>
            </w:r>
          </w:p>
        </w:tc>
      </w:tr>
      <w:tr>
        <w:trPr>
          <w:trHeight w:val="161"/>
        </w:trPr>
        <w:tc>
          <w:tcPr>
            <w:tcW w:w="8700" w:type="dxa"/>
            <w:vAlign w:val="bottom"/>
          </w:tcPr>
          <w:p>
            <w:pPr>
              <w:spacing w:after="0"/>
              <w:rPr>
                <w:sz w:val="20"/>
                <w:szCs w:val="20"/>
                <w:color w:val="auto"/>
              </w:rPr>
            </w:pPr>
            <w:r>
              <w:rPr>
                <w:rFonts w:ascii="Arial" w:cs="Arial" w:eastAsia="Arial" w:hAnsi="Arial"/>
                <w:sz w:val="13"/>
                <w:szCs w:val="13"/>
                <w:color w:val="auto"/>
              </w:rPr>
              <w:t>Acquired in-process research and development</w:t>
            </w:r>
          </w:p>
        </w:tc>
        <w:tc>
          <w:tcPr>
            <w:tcW w:w="80" w:type="dxa"/>
            <w:vAlign w:val="bottom"/>
          </w:tcPr>
          <w:p>
            <w:pPr>
              <w:spacing w:after="0"/>
              <w:rPr>
                <w:sz w:val="14"/>
                <w:szCs w:val="14"/>
                <w:color w:val="auto"/>
              </w:rPr>
            </w:pPr>
          </w:p>
        </w:tc>
        <w:tc>
          <w:tcPr>
            <w:tcW w:w="720" w:type="dxa"/>
            <w:vAlign w:val="bottom"/>
            <w:gridSpan w:val="3"/>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3"/>
                <w:szCs w:val="13"/>
                <w:color w:val="auto"/>
              </w:rPr>
              <w:t>15.3</w:t>
            </w:r>
          </w:p>
        </w:tc>
      </w:tr>
      <w:tr>
        <w:trPr>
          <w:trHeight w:val="161"/>
        </w:trPr>
        <w:tc>
          <w:tcPr>
            <w:tcW w:w="8700" w:type="dxa"/>
            <w:vAlign w:val="bottom"/>
            <w:shd w:val="clear" w:color="auto" w:fill="CCEEFF"/>
          </w:tcPr>
          <w:p>
            <w:pPr>
              <w:spacing w:after="0"/>
              <w:rPr>
                <w:sz w:val="20"/>
                <w:szCs w:val="20"/>
                <w:color w:val="auto"/>
              </w:rPr>
            </w:pPr>
            <w:r>
              <w:rPr>
                <w:rFonts w:ascii="Arial" w:cs="Arial" w:eastAsia="Arial" w:hAnsi="Arial"/>
                <w:sz w:val="13"/>
                <w:szCs w:val="13"/>
                <w:color w:val="auto"/>
              </w:rPr>
              <w:t>Share-based compensation expense</w:t>
            </w:r>
          </w:p>
        </w:tc>
        <w:tc>
          <w:tcPr>
            <w:tcW w:w="8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0.4</w:t>
            </w: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r>
      <w:tr>
        <w:trPr>
          <w:trHeight w:val="161"/>
        </w:trPr>
        <w:tc>
          <w:tcPr>
            <w:tcW w:w="87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24.5</w:t>
            </w:r>
          </w:p>
        </w:tc>
        <w:tc>
          <w:tcPr>
            <w:tcW w:w="2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40.8</w:t>
            </w:r>
          </w:p>
        </w:tc>
        <w:tc>
          <w:tcPr>
            <w:tcW w:w="80" w:type="dxa"/>
            <w:vAlign w:val="bottom"/>
          </w:tcPr>
          <w:p>
            <w:pPr>
              <w:spacing w:after="0"/>
              <w:rPr>
                <w:sz w:val="14"/>
                <w:szCs w:val="14"/>
                <w:color w:val="auto"/>
              </w:rPr>
            </w:pPr>
          </w:p>
        </w:tc>
      </w:tr>
      <w:tr>
        <w:trPr>
          <w:trHeight w:val="20"/>
        </w:trPr>
        <w:tc>
          <w:tcPr>
            <w:tcW w:w="87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Network Operations Segment</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5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gridSpan w:val="2"/>
          </w:tcPr>
          <w:p>
            <w:pPr>
              <w:jc w:val="center"/>
              <w:ind w:left="182"/>
              <w:spacing w:after="0"/>
              <w:rPr>
                <w:sz w:val="20"/>
                <w:szCs w:val="20"/>
                <w:color w:val="auto"/>
              </w:rPr>
            </w:pPr>
            <w:r>
              <w:rPr>
                <w:rFonts w:ascii="Arial" w:cs="Arial" w:eastAsia="Arial" w:hAnsi="Arial"/>
                <w:sz w:val="11"/>
                <w:szCs w:val="11"/>
                <w:b w:val="1"/>
                <w:bCs w:val="1"/>
                <w:color w:val="auto"/>
                <w:w w:val="88"/>
              </w:rPr>
              <w:t>2009/2008</w:t>
            </w: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80" w:type="dxa"/>
            <w:vAlign w:val="bottom"/>
          </w:tcPr>
          <w:p>
            <w:pPr>
              <w:jc w:val="center"/>
              <w:spacing w:after="0"/>
              <w:rPr>
                <w:sz w:val="20"/>
                <w:szCs w:val="20"/>
                <w:color w:val="auto"/>
              </w:rPr>
            </w:pPr>
            <w:r>
              <w:rPr>
                <w:rFonts w:ascii="Arial" w:cs="Arial" w:eastAsia="Arial" w:hAnsi="Arial"/>
                <w:sz w:val="11"/>
                <w:szCs w:val="11"/>
                <w:b w:val="1"/>
                <w:bCs w:val="1"/>
                <w:color w:val="auto"/>
                <w:w w:val="88"/>
              </w:rPr>
              <w:t>2008/2007</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5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vMerge w:val="restart"/>
          </w:tcPr>
          <w:p>
            <w:pPr>
              <w:jc w:val="right"/>
              <w:ind w:right="56"/>
              <w:spacing w:after="0"/>
              <w:rPr>
                <w:sz w:val="20"/>
                <w:szCs w:val="20"/>
                <w:color w:val="auto"/>
              </w:rPr>
            </w:pPr>
            <w:r>
              <w:rPr>
                <w:rFonts w:ascii="Arial" w:cs="Arial" w:eastAsia="Arial" w:hAnsi="Arial"/>
                <w:sz w:val="11"/>
                <w:szCs w:val="11"/>
                <w:b w:val="1"/>
                <w:bCs w:val="1"/>
                <w:color w:val="auto"/>
                <w:w w:val="97"/>
              </w:rPr>
              <w:t>2009</w:t>
            </w: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vMerge w:val="restart"/>
          </w:tcPr>
          <w:p>
            <w:pPr>
              <w:jc w:val="right"/>
              <w:ind w:right="16"/>
              <w:spacing w:after="0"/>
              <w:rPr>
                <w:sz w:val="20"/>
                <w:szCs w:val="20"/>
                <w:color w:val="auto"/>
              </w:rPr>
            </w:pPr>
            <w:r>
              <w:rPr>
                <w:rFonts w:ascii="Arial" w:cs="Arial" w:eastAsia="Arial" w:hAnsi="Arial"/>
                <w:sz w:val="11"/>
                <w:szCs w:val="11"/>
                <w:b w:val="1"/>
                <w:bCs w:val="1"/>
                <w:color w:val="auto"/>
                <w:w w:val="81"/>
              </w:rPr>
              <w:t>2008</w:t>
            </w: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gridSpan w:val="2"/>
          </w:tcPr>
          <w:p>
            <w:pPr>
              <w:jc w:val="center"/>
              <w:ind w:right="412"/>
              <w:spacing w:after="0" w:line="111" w:lineRule="exact"/>
              <w:rPr>
                <w:sz w:val="20"/>
                <w:szCs w:val="20"/>
                <w:color w:val="auto"/>
              </w:rPr>
            </w:pPr>
            <w:r>
              <w:rPr>
                <w:rFonts w:ascii="Arial" w:cs="Arial" w:eastAsia="Arial" w:hAnsi="Arial"/>
                <w:sz w:val="11"/>
                <w:szCs w:val="11"/>
                <w:b w:val="1"/>
                <w:bCs w:val="1"/>
                <w:color w:val="auto"/>
                <w:w w:val="89"/>
              </w:rPr>
              <w:t>% Increase/</w:t>
            </w:r>
          </w:p>
        </w:tc>
        <w:tc>
          <w:tcPr>
            <w:tcW w:w="80" w:type="dxa"/>
            <w:vAlign w:val="bottom"/>
          </w:tcPr>
          <w:p>
            <w:pPr>
              <w:spacing w:after="0"/>
              <w:rPr>
                <w:sz w:val="9"/>
                <w:szCs w:val="9"/>
                <w:color w:val="auto"/>
              </w:rPr>
            </w:pPr>
          </w:p>
        </w:tc>
        <w:tc>
          <w:tcPr>
            <w:tcW w:w="300" w:type="dxa"/>
            <w:vAlign w:val="bottom"/>
            <w:vMerge w:val="restart"/>
          </w:tcPr>
          <w:p>
            <w:pPr>
              <w:jc w:val="right"/>
              <w:ind w:right="16"/>
              <w:spacing w:after="0"/>
              <w:rPr>
                <w:sz w:val="20"/>
                <w:szCs w:val="20"/>
                <w:color w:val="auto"/>
              </w:rPr>
            </w:pPr>
            <w:r>
              <w:rPr>
                <w:rFonts w:ascii="Arial" w:cs="Arial" w:eastAsia="Arial" w:hAnsi="Arial"/>
                <w:sz w:val="11"/>
                <w:szCs w:val="11"/>
                <w:b w:val="1"/>
                <w:bCs w:val="1"/>
                <w:color w:val="auto"/>
                <w:w w:val="81"/>
              </w:rPr>
              <w:t>2007</w:t>
            </w:r>
          </w:p>
        </w:tc>
        <w:tc>
          <w:tcPr>
            <w:tcW w:w="420" w:type="dxa"/>
            <w:vAlign w:val="bottom"/>
          </w:tcPr>
          <w:p>
            <w:pPr>
              <w:spacing w:after="0"/>
              <w:rPr>
                <w:sz w:val="9"/>
                <w:szCs w:val="9"/>
                <w:color w:val="auto"/>
              </w:rPr>
            </w:pPr>
          </w:p>
        </w:tc>
        <w:tc>
          <w:tcPr>
            <w:tcW w:w="900" w:type="dxa"/>
            <w:vAlign w:val="bottom"/>
            <w:gridSpan w:val="2"/>
          </w:tcPr>
          <w:p>
            <w:pPr>
              <w:jc w:val="center"/>
              <w:ind w:right="120"/>
              <w:spacing w:after="0" w:line="111" w:lineRule="exact"/>
              <w:rPr>
                <w:sz w:val="20"/>
                <w:szCs w:val="20"/>
                <w:color w:val="auto"/>
              </w:rPr>
            </w:pPr>
            <w:r>
              <w:rPr>
                <w:rFonts w:ascii="Arial" w:cs="Arial" w:eastAsia="Arial" w:hAnsi="Arial"/>
                <w:sz w:val="11"/>
                <w:szCs w:val="11"/>
                <w:b w:val="1"/>
                <w:bCs w:val="1"/>
                <w:color w:val="auto"/>
                <w:w w:val="89"/>
              </w:rPr>
              <w:t>% Increase/</w:t>
            </w:r>
          </w:p>
        </w:tc>
        <w:tc>
          <w:tcPr>
            <w:tcW w:w="0" w:type="dxa"/>
            <w:vAlign w:val="bottom"/>
          </w:tcPr>
          <w:p>
            <w:pPr>
              <w:spacing w:after="0"/>
              <w:rPr>
                <w:sz w:val="1"/>
                <w:szCs w:val="1"/>
                <w:color w:val="auto"/>
              </w:rPr>
            </w:pPr>
          </w:p>
        </w:tc>
      </w:tr>
      <w:tr>
        <w:trPr>
          <w:trHeight w:val="128"/>
        </w:trPr>
        <w:tc>
          <w:tcPr>
            <w:tcW w:w="5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vMerge w:val="continue"/>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jc w:val="center"/>
              <w:ind w:right="392"/>
              <w:spacing w:after="0"/>
              <w:rPr>
                <w:sz w:val="20"/>
                <w:szCs w:val="20"/>
                <w:color w:val="auto"/>
              </w:rPr>
            </w:pPr>
            <w:r>
              <w:rPr>
                <w:rFonts w:ascii="Arial" w:cs="Arial" w:eastAsia="Arial" w:hAnsi="Arial"/>
                <w:sz w:val="11"/>
                <w:szCs w:val="11"/>
                <w:b w:val="1"/>
                <w:bCs w:val="1"/>
                <w:color w:val="auto"/>
                <w:w w:val="85"/>
              </w:rPr>
              <w:t>(Decrease)</w:t>
            </w:r>
          </w:p>
        </w:tc>
        <w:tc>
          <w:tcPr>
            <w:tcW w:w="80" w:type="dxa"/>
            <w:vAlign w:val="bottom"/>
          </w:tcPr>
          <w:p>
            <w:pPr>
              <w:spacing w:after="0"/>
              <w:rPr>
                <w:sz w:val="11"/>
                <w:szCs w:val="11"/>
                <w:color w:val="auto"/>
              </w:rPr>
            </w:pPr>
          </w:p>
        </w:tc>
        <w:tc>
          <w:tcPr>
            <w:tcW w:w="30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8"/>
              </w:rPr>
              <w:t>(Decrease)</w:t>
            </w:r>
          </w:p>
        </w:tc>
        <w:tc>
          <w:tcPr>
            <w:tcW w:w="0" w:type="dxa"/>
            <w:vAlign w:val="bottom"/>
          </w:tcPr>
          <w:p>
            <w:pPr>
              <w:spacing w:after="0"/>
              <w:rPr>
                <w:sz w:val="1"/>
                <w:szCs w:val="1"/>
                <w:color w:val="auto"/>
              </w:rPr>
            </w:pPr>
          </w:p>
        </w:tc>
      </w:tr>
      <w:tr>
        <w:trPr>
          <w:trHeight w:val="136"/>
        </w:trPr>
        <w:tc>
          <w:tcPr>
            <w:tcW w:w="53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ind w:left="40"/>
              <w:spacing w:after="0" w:line="120" w:lineRule="exact"/>
              <w:rPr>
                <w:sz w:val="20"/>
                <w:szCs w:val="20"/>
                <w:color w:val="auto"/>
              </w:rPr>
            </w:pPr>
            <w:r>
              <w:rPr>
                <w:rFonts w:ascii="Arial" w:cs="Arial" w:eastAsia="Arial" w:hAnsi="Arial"/>
                <w:sz w:val="11"/>
                <w:szCs w:val="11"/>
                <w:b w:val="1"/>
                <w:bCs w:val="1"/>
                <w:color w:val="auto"/>
              </w:rPr>
              <w:t>(In</w:t>
            </w:r>
          </w:p>
        </w:tc>
        <w:tc>
          <w:tcPr>
            <w:tcW w:w="780" w:type="dxa"/>
            <w:vAlign w:val="bottom"/>
            <w:tcBorders>
              <w:top w:val="single" w:sz="8" w:color="auto"/>
            </w:tcBorders>
          </w:tcPr>
          <w:p>
            <w:pPr>
              <w:spacing w:after="0"/>
              <w:rPr>
                <w:sz w:val="20"/>
                <w:szCs w:val="20"/>
                <w:color w:val="auto"/>
              </w:rPr>
            </w:pPr>
            <w:r>
              <w:rPr>
                <w:rFonts w:ascii="Arial" w:cs="Arial" w:eastAsia="Arial" w:hAnsi="Arial"/>
                <w:sz w:val="11"/>
                <w:szCs w:val="11"/>
                <w:b w:val="1"/>
                <w:bCs w:val="1"/>
                <w:color w:val="auto"/>
                <w:w w:val="92"/>
              </w:rPr>
              <w:t>millions, except</w:t>
            </w:r>
          </w:p>
        </w:tc>
        <w:tc>
          <w:tcPr>
            <w:tcW w:w="460" w:type="dxa"/>
            <w:vAlign w:val="bottom"/>
          </w:tcPr>
          <w:p>
            <w:pPr>
              <w:jc w:val="right"/>
              <w:spacing w:after="0"/>
              <w:rPr>
                <w:sz w:val="20"/>
                <w:szCs w:val="20"/>
                <w:color w:val="auto"/>
              </w:rPr>
            </w:pPr>
            <w:r>
              <w:rPr>
                <w:rFonts w:ascii="Arial" w:cs="Arial" w:eastAsia="Arial" w:hAnsi="Arial"/>
                <w:sz w:val="10"/>
                <w:szCs w:val="10"/>
                <w:b w:val="1"/>
                <w:bCs w:val="1"/>
                <w:color w:val="auto"/>
                <w:w w:val="70"/>
              </w:rPr>
              <w:t>percentages)</w:t>
            </w:r>
          </w:p>
        </w:tc>
        <w:tc>
          <w:tcPr>
            <w:tcW w:w="8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5300" w:type="dxa"/>
            <w:vAlign w:val="bottom"/>
            <w:shd w:val="clear" w:color="auto" w:fill="CCEEFF"/>
          </w:tcPr>
          <w:p>
            <w:pPr>
              <w:spacing w:after="0"/>
              <w:rPr>
                <w:sz w:val="20"/>
                <w:szCs w:val="20"/>
                <w:color w:val="auto"/>
              </w:rPr>
            </w:pPr>
            <w:r>
              <w:rPr>
                <w:rFonts w:ascii="Arial" w:cs="Arial" w:eastAsia="Arial" w:hAnsi="Arial"/>
                <w:sz w:val="13"/>
                <w:szCs w:val="13"/>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14.6</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24.3</w:t>
            </w:r>
          </w:p>
        </w:tc>
        <w:tc>
          <w:tcPr>
            <w:tcW w:w="1480" w:type="dxa"/>
            <w:vAlign w:val="bottom"/>
            <w:gridSpan w:val="3"/>
            <w:shd w:val="clear" w:color="auto" w:fill="CCEEFF"/>
          </w:tcPr>
          <w:p>
            <w:pPr>
              <w:jc w:val="right"/>
              <w:ind w:right="252"/>
              <w:spacing w:after="0"/>
              <w:rPr>
                <w:sz w:val="20"/>
                <w:szCs w:val="20"/>
                <w:color w:val="auto"/>
              </w:rPr>
            </w:pPr>
            <w:r>
              <w:rPr>
                <w:rFonts w:ascii="Arial" w:cs="Arial" w:eastAsia="Arial" w:hAnsi="Arial"/>
                <w:sz w:val="13"/>
                <w:szCs w:val="13"/>
                <w:color w:val="auto"/>
              </w:rPr>
              <w:t>(39.9)%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19.4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25.2%</w:t>
            </w:r>
          </w:p>
        </w:tc>
        <w:tc>
          <w:tcPr>
            <w:tcW w:w="0" w:type="dxa"/>
            <w:vAlign w:val="bottom"/>
          </w:tcPr>
          <w:p>
            <w:pPr>
              <w:spacing w:after="0"/>
              <w:rPr>
                <w:sz w:val="1"/>
                <w:szCs w:val="1"/>
                <w:color w:val="auto"/>
              </w:rPr>
            </w:pPr>
          </w:p>
        </w:tc>
      </w:tr>
      <w:tr>
        <w:trPr>
          <w:trHeight w:val="161"/>
        </w:trPr>
        <w:tc>
          <w:tcPr>
            <w:tcW w:w="5300" w:type="dxa"/>
            <w:vAlign w:val="bottom"/>
          </w:tcPr>
          <w:p>
            <w:pPr>
              <w:spacing w:after="0"/>
              <w:rPr>
                <w:sz w:val="20"/>
                <w:szCs w:val="20"/>
                <w:color w:val="auto"/>
              </w:rPr>
            </w:pPr>
            <w:r>
              <w:rPr>
                <w:rFonts w:ascii="Arial" w:cs="Arial" w:eastAsia="Arial" w:hAnsi="Arial"/>
                <w:sz w:val="13"/>
                <w:szCs w:val="13"/>
                <w:color w:val="auto"/>
              </w:rPr>
              <w:t>Segment operating income</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(1.8)</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gridSpan w:val="2"/>
          </w:tcPr>
          <w:p>
            <w:pPr>
              <w:jc w:val="right"/>
              <w:ind w:right="180"/>
              <w:spacing w:after="0"/>
              <w:rPr>
                <w:sz w:val="20"/>
                <w:szCs w:val="20"/>
                <w:color w:val="auto"/>
              </w:rPr>
            </w:pPr>
            <w:r>
              <w:rPr>
                <w:rFonts w:ascii="Arial" w:cs="Arial" w:eastAsia="Arial" w:hAnsi="Arial"/>
                <w:sz w:val="13"/>
                <w:szCs w:val="13"/>
                <w:color w:val="auto"/>
              </w:rPr>
              <w:t>1.4</w:t>
            </w:r>
          </w:p>
        </w:tc>
        <w:tc>
          <w:tcPr>
            <w:tcW w:w="240" w:type="dxa"/>
            <w:vAlign w:val="bottom"/>
          </w:tcPr>
          <w:p>
            <w:pPr>
              <w:spacing w:after="0"/>
              <w:rPr>
                <w:sz w:val="14"/>
                <w:szCs w:val="14"/>
                <w:color w:val="auto"/>
              </w:rPr>
            </w:pPr>
          </w:p>
        </w:tc>
        <w:tc>
          <w:tcPr>
            <w:tcW w:w="1240" w:type="dxa"/>
            <w:vAlign w:val="bottom"/>
            <w:gridSpan w:val="2"/>
          </w:tcPr>
          <w:p>
            <w:pPr>
              <w:jc w:val="right"/>
              <w:ind w:right="412"/>
              <w:spacing w:after="0"/>
              <w:rPr>
                <w:sz w:val="20"/>
                <w:szCs w:val="20"/>
                <w:color w:val="auto"/>
              </w:rPr>
            </w:pPr>
            <w:r>
              <w:rPr>
                <w:rFonts w:ascii="Arial" w:cs="Arial" w:eastAsia="Arial" w:hAnsi="Arial"/>
                <w:sz w:val="13"/>
                <w:szCs w:val="13"/>
                <w:color w:val="auto"/>
              </w:rPr>
              <w:t>N/M</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420"/>
              <w:spacing w:after="0"/>
              <w:rPr>
                <w:sz w:val="20"/>
                <w:szCs w:val="20"/>
                <w:color w:val="auto"/>
              </w:rPr>
            </w:pPr>
            <w:r>
              <w:rPr>
                <w:rFonts w:ascii="Arial" w:cs="Arial" w:eastAsia="Arial" w:hAnsi="Arial"/>
                <w:sz w:val="13"/>
                <w:szCs w:val="13"/>
                <w:color w:val="auto"/>
              </w:rPr>
              <w:t>1.3</w:t>
            </w:r>
          </w:p>
        </w:tc>
        <w:tc>
          <w:tcPr>
            <w:tcW w:w="900" w:type="dxa"/>
            <w:vAlign w:val="bottom"/>
            <w:gridSpan w:val="2"/>
          </w:tcPr>
          <w:p>
            <w:pPr>
              <w:jc w:val="right"/>
              <w:spacing w:after="0"/>
              <w:rPr>
                <w:sz w:val="20"/>
                <w:szCs w:val="20"/>
                <w:color w:val="auto"/>
              </w:rPr>
            </w:pPr>
            <w:r>
              <w:rPr>
                <w:rFonts w:ascii="Arial" w:cs="Arial" w:eastAsia="Arial" w:hAnsi="Arial"/>
                <w:sz w:val="13"/>
                <w:szCs w:val="13"/>
                <w:color w:val="auto"/>
              </w:rPr>
              <w:t>7.7%</w:t>
            </w:r>
          </w:p>
        </w:tc>
        <w:tc>
          <w:tcPr>
            <w:tcW w:w="0" w:type="dxa"/>
            <w:vAlign w:val="bottom"/>
          </w:tcPr>
          <w:p>
            <w:pPr>
              <w:spacing w:after="0"/>
              <w:rPr>
                <w:sz w:val="1"/>
                <w:szCs w:val="1"/>
                <w:color w:val="auto"/>
              </w:rPr>
            </w:pPr>
          </w:p>
        </w:tc>
      </w:tr>
      <w:tr>
        <w:trPr>
          <w:trHeight w:val="161"/>
        </w:trPr>
        <w:tc>
          <w:tcPr>
            <w:tcW w:w="5300" w:type="dxa"/>
            <w:vAlign w:val="bottom"/>
            <w:shd w:val="clear" w:color="auto" w:fill="CCEEFF"/>
          </w:tcPr>
          <w:p>
            <w:pPr>
              <w:spacing w:after="0"/>
              <w:rPr>
                <w:sz w:val="20"/>
                <w:szCs w:val="20"/>
                <w:color w:val="auto"/>
              </w:rPr>
            </w:pPr>
            <w:r>
              <w:rPr>
                <w:rFonts w:ascii="Arial" w:cs="Arial" w:eastAsia="Arial" w:hAnsi="Arial"/>
                <w:sz w:val="13"/>
                <w:szCs w:val="13"/>
                <w:color w:val="auto"/>
              </w:rPr>
              <w:t>% of revenue</w:t>
            </w: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(12.3)%</w:t>
            </w:r>
          </w:p>
        </w:tc>
        <w:tc>
          <w:tcPr>
            <w:tcW w:w="8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5.8%</w:t>
            </w:r>
          </w:p>
        </w:tc>
        <w:tc>
          <w:tcPr>
            <w:tcW w:w="2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412"/>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6.7%</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159"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Fiscal 2009 Compared with Fiscal 2008</w:t>
      </w:r>
    </w:p>
    <w:p>
      <w:pPr>
        <w:spacing w:after="0" w:line="104"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Network Operations segment revenue decreased by 39.9% in fiscal 2009 compared with fiscal 2008 primarily due to the global economic recession and the continuing credit crisis adversely affecting our customers expansion. This segment reported an operating loss of $1.8 million in fiscal 2009 compared with operating income of $1.4 million in fiscal 2008. The operating loss in fiscal 2009 compared with an operating income in fiscal 2008 resulted primarily from the significant decline in revenue.</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Fiscal 2008 Compared with Fiscal 2007</w:t>
      </w:r>
    </w:p>
    <w:p>
      <w:pPr>
        <w:spacing w:after="0" w:line="104" w:lineRule="exact"/>
        <w:rPr>
          <w:sz w:val="20"/>
          <w:szCs w:val="20"/>
          <w:color w:val="auto"/>
        </w:rPr>
      </w:pPr>
    </w:p>
    <w:p>
      <w:pPr>
        <w:ind w:left="680" w:right="80" w:firstLine="399"/>
        <w:spacing w:after="0" w:line="267" w:lineRule="auto"/>
        <w:rPr>
          <w:sz w:val="20"/>
          <w:szCs w:val="20"/>
          <w:color w:val="auto"/>
        </w:rPr>
      </w:pPr>
      <w:r>
        <w:rPr>
          <w:rFonts w:ascii="Arial" w:cs="Arial" w:eastAsia="Arial" w:hAnsi="Arial"/>
          <w:sz w:val="13"/>
          <w:szCs w:val="13"/>
          <w:color w:val="auto"/>
        </w:rPr>
        <w:t>Network Operations segment revenue increased by 25.2% in fiscal 2008 compared with fiscal 2007. This segment had operating income of $1.4 million in fiscal 2008 compared with operating income of $1.3 million in fiscal 2007. Operating income as a percentage of sales decreased to 5.8% in fiscal 2008 compared with 6.7% in fiscal 2007 however. The increase in revenue resulted primarily from an increase in software and license revenue in fiscal 2008 because of increased demand for our service assurance solution with next generation network customers as a result of new features and functionality in our product offerings. The increase in operating income during fiscal 2008 was driven by product mix including an increase in higher margin software and license revenue and a decrease in S&amp;A expenses as a percentage of revenue.</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Related Party Transactions</w:t>
      </w:r>
    </w:p>
    <w:p>
      <w:pPr>
        <w:spacing w:after="0" w:line="102" w:lineRule="exact"/>
        <w:rPr>
          <w:sz w:val="20"/>
          <w:szCs w:val="20"/>
          <w:color w:val="auto"/>
        </w:rPr>
      </w:pPr>
    </w:p>
    <w:p>
      <w:pPr>
        <w:ind w:left="680" w:right="40" w:firstLine="399"/>
        <w:spacing w:after="0" w:line="295" w:lineRule="auto"/>
        <w:rPr>
          <w:sz w:val="20"/>
          <w:szCs w:val="20"/>
          <w:color w:val="auto"/>
        </w:rPr>
      </w:pPr>
      <w:r>
        <w:rPr>
          <w:rFonts w:ascii="Arial" w:cs="Arial" w:eastAsia="Arial" w:hAnsi="Arial"/>
          <w:sz w:val="12"/>
          <w:szCs w:val="12"/>
          <w:color w:val="auto"/>
        </w:rPr>
        <w:t>Prior to the Stratex acquisition, Harris provided information services, human resources, financial shared services, facilities, legal support and supply chain management services to us. The charges for those services were billed to us primarily based on actual usage. On January 26, 2007, we entered into a Transition Services Agreement with Harris to provide for certain services during the periods subsequent to the Stratex acquisition. These services also are charged to us based primarily on actual usage and include database management, supply chain operating systems, eBusiness services, sales and service, financial systems, back office material resource planning support, HR systems, internal and information systems shared services support, network management and help desk support and server administration and support. During fiscal 2009, 2008 and 2007, Harris charged us $5.5 million,</w:t>
      </w:r>
    </w:p>
    <w:p>
      <w:pPr>
        <w:spacing w:after="0" w:line="260"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45" w:name="page46"/>
    <w:bookmarkEnd w:id="4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spacing w:after="0" w:line="276" w:lineRule="auto"/>
        <w:rPr>
          <w:sz w:val="20"/>
          <w:szCs w:val="20"/>
          <w:color w:val="auto"/>
        </w:rPr>
      </w:pPr>
      <w:r>
        <w:rPr>
          <w:rFonts w:ascii="Arial" w:cs="Arial" w:eastAsia="Arial" w:hAnsi="Arial"/>
          <w:sz w:val="13"/>
          <w:szCs w:val="13"/>
          <w:color w:val="auto"/>
        </w:rPr>
        <w:t>$7.0 million and $6.8 million for these services. We intend to continue utilizing select services from Harris and have extended the terms of the Transition Services Agreement. However, as a result of Harris’s spin-off of its share of our stock to its stockholders in May 2009, Harris will no longer be considered a related party with respect to transactions under that arrangement.</w:t>
      </w:r>
    </w:p>
    <w:p>
      <w:pPr>
        <w:spacing w:after="0" w:line="59" w:lineRule="exact"/>
        <w:rPr>
          <w:sz w:val="20"/>
          <w:szCs w:val="20"/>
          <w:color w:val="auto"/>
        </w:rPr>
      </w:pPr>
    </w:p>
    <w:p>
      <w:pPr>
        <w:jc w:val="both"/>
        <w:ind w:left="680" w:right="20" w:firstLine="399"/>
        <w:spacing w:after="0" w:line="299" w:lineRule="auto"/>
        <w:rPr>
          <w:sz w:val="20"/>
          <w:szCs w:val="20"/>
          <w:color w:val="auto"/>
        </w:rPr>
      </w:pPr>
      <w:r>
        <w:rPr>
          <w:rFonts w:ascii="Arial" w:cs="Arial" w:eastAsia="Arial" w:hAnsi="Arial"/>
          <w:sz w:val="12"/>
          <w:szCs w:val="12"/>
          <w:color w:val="auto"/>
        </w:rPr>
        <w:t>We have sales to, and purchases from, other Harris entities from time to time. Prior to January 26, 2007, the entity initiating the transaction sold to the other Harris entity at cost or transfer price, depending on jurisdiction. The entity making the sale to the end customer recorded the profit on the transaction above cost or transfer price, depending on jurisdiction. Subsequent to January 26, 2007, these purchases and sales are recorded at market price. Our sales to other Harris entities were $6.0 million, $3.5 million and $1.9 million in fiscal 2009, 2008 and 2007. We also recognized costs associated with related party purchases from Harris of $3.3 million, $6.1 million and $6.7 million for fiscal 2009, 2008 and 2007.</w:t>
      </w:r>
    </w:p>
    <w:p>
      <w:pPr>
        <w:spacing w:after="0" w:line="48" w:lineRule="exact"/>
        <w:rPr>
          <w:sz w:val="20"/>
          <w:szCs w:val="20"/>
          <w:color w:val="auto"/>
        </w:rPr>
      </w:pPr>
    </w:p>
    <w:p>
      <w:pPr>
        <w:ind w:left="680" w:right="200" w:firstLine="399"/>
        <w:spacing w:after="0" w:line="294" w:lineRule="auto"/>
        <w:rPr>
          <w:sz w:val="20"/>
          <w:szCs w:val="20"/>
          <w:color w:val="auto"/>
        </w:rPr>
      </w:pPr>
      <w:r>
        <w:rPr>
          <w:rFonts w:ascii="Arial" w:cs="Arial" w:eastAsia="Arial" w:hAnsi="Arial"/>
          <w:sz w:val="13"/>
          <w:szCs w:val="13"/>
          <w:color w:val="auto"/>
        </w:rPr>
        <w:t>Harris was the primary source of our financing and equity activities through January 26, 2007, the date of the Stratex acquisition. During the seven months ended January 26, 2007, Harris’ net investment in us was increased by $24.1 million.</w:t>
      </w:r>
    </w:p>
    <w:p>
      <w:pPr>
        <w:spacing w:after="0" w:line="47" w:lineRule="exact"/>
        <w:rPr>
          <w:sz w:val="20"/>
          <w:szCs w:val="20"/>
          <w:color w:val="auto"/>
        </w:rPr>
      </w:pPr>
    </w:p>
    <w:p>
      <w:pPr>
        <w:ind w:left="680" w:right="320" w:firstLine="399"/>
        <w:spacing w:after="0" w:line="338" w:lineRule="auto"/>
        <w:rPr>
          <w:sz w:val="20"/>
          <w:szCs w:val="20"/>
          <w:color w:val="auto"/>
        </w:rPr>
      </w:pPr>
      <w:r>
        <w:rPr>
          <w:rFonts w:ascii="Arial" w:cs="Arial" w:eastAsia="Arial" w:hAnsi="Arial"/>
          <w:sz w:val="12"/>
          <w:szCs w:val="12"/>
          <w:color w:val="auto"/>
        </w:rPr>
        <w:t>Additionally, through the date of the Stratex acquisition, Harris loaned cash to us to fund our international entities, and we distributed excess cash back to Harris. This arrangement ended on January 26, 2007. We recognized interest income and expense on these loans. The amount of interest income and expense in fiscal 2007 was not significant.</w:t>
      </w:r>
    </w:p>
    <w:p>
      <w:pPr>
        <w:spacing w:after="0" w:line="24" w:lineRule="exact"/>
        <w:rPr>
          <w:sz w:val="20"/>
          <w:szCs w:val="20"/>
          <w:color w:val="auto"/>
        </w:rPr>
      </w:pPr>
    </w:p>
    <w:p>
      <w:pPr>
        <w:ind w:left="680" w:right="60" w:firstLine="399"/>
        <w:spacing w:after="0" w:line="309" w:lineRule="auto"/>
        <w:rPr>
          <w:sz w:val="20"/>
          <w:szCs w:val="20"/>
          <w:color w:val="auto"/>
        </w:rPr>
      </w:pPr>
      <w:r>
        <w:rPr>
          <w:rFonts w:ascii="Arial" w:cs="Arial" w:eastAsia="Arial" w:hAnsi="Arial"/>
          <w:sz w:val="12"/>
          <w:szCs w:val="12"/>
          <w:color w:val="auto"/>
        </w:rPr>
        <w:t>The unpaid amounts billed from Harris are included within “Due to Harris Corporation” on our Consolidated Balance Sheets. Additionally, we have other receivables and payables in the normal course of business with Harris. These amounts are netted within “Due to Harris Corporation” on our Consolidated Balance Sheets. Total receivables from Harris were $6.3 million and $4.0 million as of July 3, 2009 and June 27, 2008. Total payables to Harris were $3.3 million and $20.8 million as of July 3, 2009 and June 27, 2008.</w:t>
      </w:r>
    </w:p>
    <w:p>
      <w:pPr>
        <w:spacing w:after="0" w:line="41" w:lineRule="exact"/>
        <w:rPr>
          <w:sz w:val="20"/>
          <w:szCs w:val="20"/>
          <w:color w:val="auto"/>
        </w:rPr>
      </w:pPr>
    </w:p>
    <w:p>
      <w:pPr>
        <w:ind w:left="680" w:right="100" w:firstLine="399"/>
        <w:spacing w:after="0" w:line="267" w:lineRule="auto"/>
        <w:rPr>
          <w:sz w:val="20"/>
          <w:szCs w:val="20"/>
          <w:color w:val="auto"/>
        </w:rPr>
      </w:pPr>
      <w:r>
        <w:rPr>
          <w:rFonts w:ascii="Arial" w:cs="Arial" w:eastAsia="Arial" w:hAnsi="Arial"/>
          <w:sz w:val="13"/>
          <w:szCs w:val="13"/>
          <w:color w:val="auto"/>
        </w:rPr>
        <w:t>Prior to January 26, 2007, MCD used certain assets in Canada owned by Harris that were not contributed to us as part of the Combination Agreement. We continue to use these assets in our business and we entered into a 5-year lease agreement to accommodate this use. This agreement is a capital lease under generally accepted accounting principles. As of July 3, 2009, our lease obligation to Harris was $1.4 million of which $0.5 million is a current liability and the related asset amount, net of accumulated amortization of $1.4 million is included in property, plant and equipment. Quarterly lease payments are due to Harris based on the amount of 103% of Harris’ annual depreciation calculated in accordance with U.S. generally accepted accounting principles.</w:t>
      </w:r>
    </w:p>
    <w:p>
      <w:pPr>
        <w:spacing w:after="0" w:line="65"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During the first quarter of fiscal 2008, we recognized an impairment charge of $1.3 million on a portion of these assets which is included in our restructuring charges. We also</w:t>
      </w:r>
    </w:p>
    <w:p>
      <w:pPr>
        <w:spacing w:after="0" w:line="34" w:lineRule="exact"/>
        <w:rPr>
          <w:sz w:val="20"/>
          <w:szCs w:val="20"/>
          <w:color w:val="auto"/>
        </w:rPr>
      </w:pPr>
    </w:p>
    <w:p>
      <w:pPr>
        <w:ind w:left="680"/>
        <w:spacing w:after="0"/>
        <w:rPr>
          <w:sz w:val="20"/>
          <w:szCs w:val="20"/>
          <w:color w:val="auto"/>
        </w:rPr>
      </w:pPr>
      <w:r>
        <w:rPr>
          <w:rFonts w:ascii="Arial" w:cs="Arial" w:eastAsia="Arial" w:hAnsi="Arial"/>
          <w:sz w:val="12"/>
          <w:szCs w:val="12"/>
          <w:color w:val="auto"/>
        </w:rPr>
        <w:t>recognized an increase of $0.4 million to the lease obligation balance during fiscal 2008 from a recapitalization under the lease terms, primarily because of the impairment charge</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2"/>
          <w:szCs w:val="12"/>
          <w:color w:val="auto"/>
        </w:rPr>
        <w:t>discussed above and a rescheduling of the lease payments. During fiscal 2009 we paid Harris $1.4 million under this capital lease obligation. During fiscal 2008, we paid Harris</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2"/>
          <w:szCs w:val="12"/>
          <w:color w:val="auto"/>
        </w:rPr>
        <w:t>$3.8 million under this capital lease obligation resulting from the $1.3 million impairment discussed above and the lease payments. Our amortization expense on this capital lease was</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$1.1 million, $1.8 million and $0.8 million in fiscal 2009, 2008 and 2007. As of July 3, 2009, the future minimum payments for this lease are $0.8 million for fiscal 2010, $0.5 million</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for fiscal 2011 and $0.2 million for fiscal 2012.</w:t>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LIQUIDITY, CAPITAL RESOURCES AND FINANCIAL STRATEGIES</w:t>
      </w:r>
    </w:p>
    <w:p>
      <w:pPr>
        <w:spacing w:after="0" w:line="10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Sources of Cash</w:t>
      </w:r>
    </w:p>
    <w:p>
      <w:pPr>
        <w:spacing w:after="0" w:line="102" w:lineRule="exact"/>
        <w:rPr>
          <w:sz w:val="20"/>
          <w:szCs w:val="20"/>
          <w:color w:val="auto"/>
        </w:rPr>
      </w:pPr>
    </w:p>
    <w:p>
      <w:pPr>
        <w:ind w:left="680" w:firstLine="399"/>
        <w:spacing w:after="0" w:line="294" w:lineRule="auto"/>
        <w:rPr>
          <w:sz w:val="20"/>
          <w:szCs w:val="20"/>
          <w:color w:val="auto"/>
        </w:rPr>
      </w:pPr>
      <w:r>
        <w:rPr>
          <w:rFonts w:ascii="Arial" w:cs="Arial" w:eastAsia="Arial" w:hAnsi="Arial"/>
          <w:sz w:val="13"/>
          <w:szCs w:val="13"/>
          <w:color w:val="auto"/>
        </w:rPr>
        <w:t>As of July 3, 2009, our principal sources of liquidity consisted of $137.1 million in cash, cash equivalents and short-term investments plus $47.5 million of available credit under our current $70 million credit facility.</w:t>
      </w:r>
    </w:p>
    <w:p>
      <w:pPr>
        <w:spacing w:after="0" w:line="12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Available Credit Facility and Repayment of Debt</w:t>
      </w:r>
    </w:p>
    <w:p>
      <w:pPr>
        <w:spacing w:after="0" w:line="102" w:lineRule="exact"/>
        <w:rPr>
          <w:sz w:val="20"/>
          <w:szCs w:val="20"/>
          <w:color w:val="auto"/>
        </w:rPr>
      </w:pPr>
    </w:p>
    <w:p>
      <w:pPr>
        <w:jc w:val="both"/>
        <w:ind w:left="680" w:right="80" w:firstLine="399"/>
        <w:spacing w:after="0" w:line="276" w:lineRule="auto"/>
        <w:rPr>
          <w:sz w:val="20"/>
          <w:szCs w:val="20"/>
          <w:color w:val="auto"/>
        </w:rPr>
      </w:pPr>
      <w:r>
        <w:rPr>
          <w:rFonts w:ascii="Arial" w:cs="Arial" w:eastAsia="Arial" w:hAnsi="Arial"/>
          <w:sz w:val="13"/>
          <w:szCs w:val="13"/>
          <w:color w:val="auto"/>
        </w:rPr>
        <w:t>As of July 3, 2009, we had $47.5 million of credit available under our $70 million revolving credit facility with two commercial banks as mentioned above. The total amount of revolving credit available was $70 million less $10 million in outstanding short term loans which mature by December 2010, and $12.5 million in outstanding standby letters of credit. The current credit facility for an initial committed amount of $70 million replaced our</w:t>
      </w:r>
    </w:p>
    <w:p>
      <w:pPr>
        <w:spacing w:after="0" w:line="270"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20"/>
          </w:cols>
          <w:pgMar w:left="220" w:top="349" w:right="1059" w:bottom="1440" w:gutter="0" w:footer="0" w:header="0"/>
        </w:sectPr>
      </w:pPr>
    </w:p>
    <w:bookmarkStart w:id="46" w:name="page47"/>
    <w:bookmarkEnd w:id="4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40"/>
        <w:spacing w:after="0" w:line="309" w:lineRule="auto"/>
        <w:rPr>
          <w:sz w:val="20"/>
          <w:szCs w:val="20"/>
          <w:color w:val="auto"/>
        </w:rPr>
      </w:pPr>
      <w:r>
        <w:rPr>
          <w:rFonts w:ascii="Arial" w:cs="Arial" w:eastAsia="Arial" w:hAnsi="Arial"/>
          <w:sz w:val="12"/>
          <w:szCs w:val="12"/>
          <w:color w:val="auto"/>
        </w:rPr>
        <w:t>previous credit facility with one commercial bank in the amount of $50 million as of June 30, 2008. As of that date we had outstanding a long-term loan of $8.8 million and $8.6 million in standby letters of credit defined as usage under the previous facility. The $8.8 million in long-term debt was repaid at that time with the proceeds of a $10 million short-term borrowing under the current facility. The standby letters of credit outstanding at that time remained as an obligation to the bank and are not included as usage under the current facility.</w:t>
      </w:r>
    </w:p>
    <w:p>
      <w:pPr>
        <w:spacing w:after="0" w:line="41" w:lineRule="exact"/>
        <w:rPr>
          <w:sz w:val="20"/>
          <w:szCs w:val="20"/>
          <w:color w:val="auto"/>
        </w:rPr>
      </w:pPr>
    </w:p>
    <w:p>
      <w:pPr>
        <w:ind w:left="680" w:right="20" w:firstLine="399"/>
        <w:spacing w:after="0" w:line="289" w:lineRule="auto"/>
        <w:rPr>
          <w:sz w:val="20"/>
          <w:szCs w:val="20"/>
          <w:color w:val="auto"/>
        </w:rPr>
      </w:pPr>
      <w:r>
        <w:rPr>
          <w:rFonts w:ascii="Arial" w:cs="Arial" w:eastAsia="Arial" w:hAnsi="Arial"/>
          <w:sz w:val="12"/>
          <w:szCs w:val="12"/>
          <w:color w:val="auto"/>
        </w:rPr>
        <w:t>The initial commitment of $70 million under the current facility is currently divided equally between Bank of America and Silicon Valley Bank, with each providing $35 million. The initial term of the facility expires in June 2011 and provides for (1) demand borrowings at the greater of Bank of America’s prime rate and the Federal Funds rate plus 0.5%,</w:t>
      </w:r>
    </w:p>
    <w:p>
      <w:pPr>
        <w:spacing w:after="0" w:line="1" w:lineRule="exact"/>
        <w:rPr>
          <w:sz w:val="20"/>
          <w:szCs w:val="20"/>
          <w:color w:val="auto"/>
        </w:rPr>
      </w:pPr>
    </w:p>
    <w:p>
      <w:pPr>
        <w:ind w:left="880" w:hanging="192"/>
        <w:spacing w:after="0"/>
        <w:tabs>
          <w:tab w:leader="none" w:pos="880" w:val="left"/>
        </w:tabs>
        <w:numPr>
          <w:ilvl w:val="0"/>
          <w:numId w:val="23"/>
        </w:numPr>
        <w:rPr>
          <w:rFonts w:ascii="Arial" w:cs="Arial" w:eastAsia="Arial" w:hAnsi="Arial"/>
          <w:sz w:val="12"/>
          <w:szCs w:val="12"/>
          <w:color w:val="auto"/>
        </w:rPr>
      </w:pPr>
      <w:r>
        <w:rPr>
          <w:rFonts w:ascii="Arial" w:cs="Arial" w:eastAsia="Arial" w:hAnsi="Arial"/>
          <w:sz w:val="12"/>
          <w:szCs w:val="12"/>
          <w:color w:val="auto"/>
        </w:rPr>
        <w:t>fixed term Eurodollar loans for six months or more as agreed with the banks at LIBOR plus a spread of between 1.25% to 2.00% based on the company’s current leverage ratio and</w:t>
      </w:r>
    </w:p>
    <w:p>
      <w:pPr>
        <w:spacing w:after="0" w:line="23" w:lineRule="exact"/>
        <w:rPr>
          <w:rFonts w:ascii="Arial" w:cs="Arial" w:eastAsia="Arial" w:hAnsi="Arial"/>
          <w:sz w:val="12"/>
          <w:szCs w:val="12"/>
          <w:color w:val="auto"/>
        </w:rPr>
      </w:pPr>
    </w:p>
    <w:p>
      <w:pPr>
        <w:ind w:left="880" w:hanging="192"/>
        <w:spacing w:after="0"/>
        <w:tabs>
          <w:tab w:leader="none" w:pos="8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issuance of standby or commercial letters of credit. The facility contains a minimum liquidity ratio covenant and a maximum leverage ratio covenant and is unsecured.</w:t>
      </w:r>
    </w:p>
    <w:p>
      <w:pPr>
        <w:spacing w:after="0" w:line="9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debt consisted of the following as of July 3, 2009 and June 27, 2008:</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8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right"/>
              <w:ind w:right="500"/>
              <w:spacing w:after="0"/>
              <w:rPr>
                <w:sz w:val="20"/>
                <w:szCs w:val="20"/>
                <w:color w:val="auto"/>
              </w:rPr>
            </w:pPr>
            <w:r>
              <w:rPr>
                <w:rFonts w:ascii="Arial" w:cs="Arial" w:eastAsia="Arial" w:hAnsi="Arial"/>
                <w:sz w:val="11"/>
                <w:szCs w:val="11"/>
                <w:b w:val="1"/>
                <w:bCs w:val="1"/>
                <w:color w:val="auto"/>
                <w:w w:val="87"/>
              </w:rPr>
              <w:t>July 3,</w:t>
            </w:r>
          </w:p>
        </w:tc>
        <w:tc>
          <w:tcPr>
            <w:tcW w:w="580" w:type="dxa"/>
            <w:vAlign w:val="bottom"/>
            <w:gridSpan w:val="3"/>
          </w:tcPr>
          <w:p>
            <w:pPr>
              <w:jc w:val="right"/>
              <w:ind w:right="140"/>
              <w:spacing w:after="0"/>
              <w:rPr>
                <w:sz w:val="20"/>
                <w:szCs w:val="20"/>
                <w:color w:val="auto"/>
              </w:rPr>
            </w:pPr>
            <w:r>
              <w:rPr>
                <w:rFonts w:ascii="Arial" w:cs="Arial" w:eastAsia="Arial" w:hAnsi="Arial"/>
                <w:sz w:val="11"/>
                <w:szCs w:val="11"/>
                <w:b w:val="1"/>
                <w:bCs w:val="1"/>
                <w:color w:val="auto"/>
                <w:w w:val="95"/>
              </w:rPr>
              <w:t>June 27,</w:t>
            </w:r>
          </w:p>
        </w:tc>
      </w:tr>
      <w:tr>
        <w:trPr>
          <w:trHeight w:val="128"/>
        </w:trPr>
        <w:tc>
          <w:tcPr>
            <w:tcW w:w="85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ind w:right="78"/>
              <w:spacing w:after="0"/>
              <w:rPr>
                <w:sz w:val="20"/>
                <w:szCs w:val="20"/>
                <w:color w:val="auto"/>
              </w:rPr>
            </w:pPr>
            <w:r>
              <w:rPr>
                <w:rFonts w:ascii="Arial" w:cs="Arial" w:eastAsia="Arial" w:hAnsi="Arial"/>
                <w:sz w:val="11"/>
                <w:szCs w:val="11"/>
                <w:b w:val="1"/>
                <w:bCs w:val="1"/>
                <w:color w:val="auto"/>
              </w:rPr>
              <w:t>2009</w:t>
            </w: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75"/>
              <w:spacing w:after="0"/>
              <w:rPr>
                <w:sz w:val="20"/>
                <w:szCs w:val="20"/>
                <w:color w:val="auto"/>
              </w:rPr>
            </w:pPr>
            <w:r>
              <w:rPr>
                <w:rFonts w:ascii="Arial" w:cs="Arial" w:eastAsia="Arial" w:hAnsi="Arial"/>
                <w:sz w:val="11"/>
                <w:szCs w:val="11"/>
                <w:b w:val="1"/>
                <w:bCs w:val="1"/>
                <w:color w:val="auto"/>
                <w:w w:val="97"/>
              </w:rPr>
              <w:t>2008</w:t>
            </w:r>
          </w:p>
        </w:tc>
        <w:tc>
          <w:tcPr>
            <w:tcW w:w="80" w:type="dxa"/>
            <w:vAlign w:val="bottom"/>
          </w:tcPr>
          <w:p>
            <w:pPr>
              <w:spacing w:after="0"/>
              <w:rPr>
                <w:sz w:val="11"/>
                <w:szCs w:val="11"/>
                <w:color w:val="auto"/>
              </w:rPr>
            </w:pPr>
          </w:p>
        </w:tc>
      </w:tr>
      <w:tr>
        <w:trPr>
          <w:trHeight w:val="135"/>
        </w:trPr>
        <w:tc>
          <w:tcPr>
            <w:tcW w:w="8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3"/>
          </w:tcPr>
          <w:p>
            <w:pPr>
              <w:jc w:val="right"/>
              <w:spacing w:after="0"/>
              <w:rPr>
                <w:sz w:val="20"/>
                <w:szCs w:val="20"/>
                <w:color w:val="auto"/>
              </w:rPr>
            </w:pPr>
            <w:r>
              <w:rPr>
                <w:rFonts w:ascii="Arial" w:cs="Arial" w:eastAsia="Arial" w:hAnsi="Arial"/>
                <w:sz w:val="11"/>
                <w:szCs w:val="11"/>
                <w:b w:val="1"/>
                <w:bCs w:val="1"/>
                <w:color w:val="auto"/>
              </w:rPr>
              <w:t>(In millions)</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7"/>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Long-term borrowings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8.8</w:t>
            </w:r>
          </w:p>
        </w:tc>
      </w:tr>
      <w:tr>
        <w:trPr>
          <w:trHeight w:val="161"/>
        </w:trPr>
        <w:tc>
          <w:tcPr>
            <w:tcW w:w="8500" w:type="dxa"/>
            <w:vAlign w:val="bottom"/>
          </w:tcPr>
          <w:p>
            <w:pPr>
              <w:spacing w:after="0"/>
              <w:rPr>
                <w:sz w:val="20"/>
                <w:szCs w:val="20"/>
                <w:color w:val="auto"/>
              </w:rPr>
            </w:pPr>
            <w:r>
              <w:rPr>
                <w:rFonts w:ascii="Arial" w:cs="Arial" w:eastAsia="Arial" w:hAnsi="Arial"/>
                <w:sz w:val="13"/>
                <w:szCs w:val="13"/>
                <w:color w:val="auto"/>
              </w:rPr>
              <w:t>Short-term borrowings</w:t>
            </w: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w:t>
            </w: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r>
      <w:tr>
        <w:trPr>
          <w:trHeight w:val="161"/>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Total</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10.0</w:t>
            </w:r>
          </w:p>
        </w:tc>
        <w:tc>
          <w:tcPr>
            <w:tcW w:w="10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8.8</w:t>
            </w:r>
          </w:p>
        </w:tc>
      </w:tr>
      <w:tr>
        <w:trPr>
          <w:trHeight w:val="161"/>
        </w:trPr>
        <w:tc>
          <w:tcPr>
            <w:tcW w:w="8500" w:type="dxa"/>
            <w:vAlign w:val="bottom"/>
          </w:tcPr>
          <w:p>
            <w:pPr>
              <w:spacing w:after="0"/>
              <w:rPr>
                <w:sz w:val="20"/>
                <w:szCs w:val="20"/>
                <w:color w:val="auto"/>
              </w:rPr>
            </w:pPr>
            <w:r>
              <w:rPr>
                <w:rFonts w:ascii="Arial" w:cs="Arial" w:eastAsia="Arial" w:hAnsi="Arial"/>
                <w:sz w:val="13"/>
                <w:szCs w:val="13"/>
                <w:color w:val="auto"/>
              </w:rPr>
              <w:t>Less short-term borrowings and current portion of long-term debt</w:t>
            </w:r>
          </w:p>
        </w:tc>
        <w:tc>
          <w:tcPr>
            <w:tcW w:w="80" w:type="dxa"/>
            <w:vAlign w:val="bottom"/>
          </w:tcPr>
          <w:p>
            <w:pPr>
              <w:spacing w:after="0"/>
              <w:rPr>
                <w:sz w:val="14"/>
                <w:szCs w:val="14"/>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3"/>
                <w:szCs w:val="13"/>
                <w:color w:val="auto"/>
              </w:rPr>
              <w:t>(10.0)</w:t>
            </w:r>
          </w:p>
        </w:tc>
        <w:tc>
          <w:tcPr>
            <w:tcW w:w="100" w:type="dxa"/>
            <w:vAlign w:val="bottom"/>
          </w:tcPr>
          <w:p>
            <w:pPr>
              <w:spacing w:after="0"/>
              <w:rPr>
                <w:sz w:val="14"/>
                <w:szCs w:val="14"/>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(5.0)</w:t>
            </w:r>
          </w:p>
        </w:tc>
      </w:tr>
      <w:tr>
        <w:trPr>
          <w:trHeight w:val="161"/>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Long-term debt outstanding</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w:t>
            </w:r>
          </w:p>
        </w:tc>
        <w:tc>
          <w:tcPr>
            <w:tcW w:w="80" w:type="dxa"/>
            <w:vAlign w:val="bottom"/>
            <w:shd w:val="clear" w:color="auto" w:fill="CCEEFF"/>
          </w:tcPr>
          <w:p>
            <w:pPr>
              <w:spacing w:after="0"/>
              <w:rPr>
                <w:sz w:val="14"/>
                <w:szCs w:val="14"/>
                <w:color w:val="auto"/>
              </w:rPr>
            </w:pPr>
          </w:p>
        </w:tc>
      </w:tr>
      <w:tr>
        <w:trPr>
          <w:trHeight w:val="20"/>
        </w:trPr>
        <w:tc>
          <w:tcPr>
            <w:tcW w:w="8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20" w:firstLine="399"/>
        <w:spacing w:after="0" w:line="267" w:lineRule="auto"/>
        <w:rPr>
          <w:sz w:val="20"/>
          <w:szCs w:val="20"/>
          <w:color w:val="auto"/>
        </w:rPr>
      </w:pPr>
      <w:r>
        <w:rPr>
          <w:rFonts w:ascii="Arial" w:cs="Arial" w:eastAsia="Arial" w:hAnsi="Arial"/>
          <w:sz w:val="13"/>
          <w:szCs w:val="13"/>
          <w:color w:val="auto"/>
        </w:rPr>
        <w:t>Based on covenants included as part of the credit facility as of June 30, 2008, we must maintain, as measured at the last day of each fiscal quarter, (1) no more than a maximum consolidated leverage ratio of 3.00 to 1 (defined as the ratio of total consolidated funded indebtedness to consolidated EBITDA for the four fiscal quarters most recently ended) and (2) a minimum liquidity coverage ratio of 1.75 to 1 (defined as the ratio of total unrestricted cash and equivalents, short-term investments and marketable securities plus 50% of total monetary receivables to the total amount of outstanding loans and letter of credit obligations under the facility). As of July 3, 2009, we were in compliance with these financial covenants.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Restructuring and Payments</w:t>
      </w:r>
    </w:p>
    <w:p>
      <w:pPr>
        <w:spacing w:after="0" w:line="102" w:lineRule="exact"/>
        <w:rPr>
          <w:sz w:val="20"/>
          <w:szCs w:val="20"/>
          <w:color w:val="auto"/>
        </w:rPr>
      </w:pPr>
    </w:p>
    <w:p>
      <w:pPr>
        <w:ind w:left="680" w:right="100" w:firstLine="399"/>
        <w:spacing w:after="0" w:line="294" w:lineRule="auto"/>
        <w:rPr>
          <w:sz w:val="20"/>
          <w:szCs w:val="20"/>
          <w:color w:val="auto"/>
        </w:rPr>
      </w:pPr>
      <w:r>
        <w:rPr>
          <w:rFonts w:ascii="Arial" w:cs="Arial" w:eastAsia="Arial" w:hAnsi="Arial"/>
          <w:sz w:val="13"/>
          <w:szCs w:val="13"/>
          <w:color w:val="auto"/>
        </w:rPr>
        <w:t>We have a liability for restructuring activities totaling $7.8 million as of July 3, 2009, of which $5.3 million is classified as a current liability and expected to be paid out in cash over the next year. We expect to fund these future payments with available and cash flow provided by operations.</w:t>
      </w:r>
    </w:p>
    <w:p>
      <w:pPr>
        <w:spacing w:after="0" w:line="25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47" w:name="page48"/>
    <w:bookmarkEnd w:id="4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Contractual Obligations</w:t>
      </w:r>
    </w:p>
    <w:p>
      <w:pPr>
        <w:spacing w:after="0" w:line="102" w:lineRule="exact"/>
        <w:rPr>
          <w:sz w:val="20"/>
          <w:szCs w:val="20"/>
          <w:color w:val="auto"/>
        </w:rPr>
      </w:pPr>
    </w:p>
    <w:p>
      <w:pPr>
        <w:ind w:left="680" w:right="20" w:firstLine="399"/>
        <w:spacing w:after="0" w:line="270" w:lineRule="auto"/>
        <w:rPr>
          <w:sz w:val="20"/>
          <w:szCs w:val="20"/>
          <w:color w:val="auto"/>
        </w:rPr>
      </w:pPr>
      <w:r>
        <w:rPr>
          <w:rFonts w:ascii="Arial" w:cs="Arial" w:eastAsia="Arial" w:hAnsi="Arial"/>
          <w:sz w:val="13"/>
          <w:szCs w:val="13"/>
          <w:color w:val="auto"/>
        </w:rPr>
        <w:t>As of July 3, 2009, we had contractual cash obligations for repayment of short-term debt and related interest, purchase obligations to acquire goods and services, payments for operating lease commitments, a capital lease obligation to Harris, payments on our restructuring and severance liabilities, redemption of our preference shares and payment of the related required dividend payments and other current liabilities on our balance sheet in the normal course of business. Cash payments due under these contractual obligations are estimated as follows:</w:t>
      </w:r>
    </w:p>
    <w:p>
      <w:pPr>
        <w:spacing w:after="0" w:line="67" w:lineRule="exact"/>
        <w:rPr>
          <w:sz w:val="20"/>
          <w:szCs w:val="20"/>
          <w:color w:val="auto"/>
        </w:rPr>
      </w:pPr>
    </w:p>
    <w:tbl>
      <w:tblPr>
        <w:tblLayout w:type="fixed"/>
        <w:tblInd w:w="680" w:type="dxa"/>
        <w:tblCellMar>
          <w:top w:w="0" w:type="dxa"/>
          <w:left w:w="0" w:type="dxa"/>
          <w:bottom w:w="0" w:type="dxa"/>
          <w:right w:w="0" w:type="dxa"/>
        </w:tblCellMar>
      </w:tblPr>
      <w:tr>
        <w:trPr>
          <w:trHeight w:val="128"/>
        </w:trPr>
        <w:tc>
          <w:tcPr>
            <w:tcW w:w="1300" w:type="dxa"/>
            <w:vAlign w:val="bottom"/>
          </w:tcPr>
          <w:p>
            <w:pPr>
              <w:spacing w:after="0"/>
              <w:rPr>
                <w:sz w:val="11"/>
                <w:szCs w:val="11"/>
                <w:color w:val="auto"/>
              </w:rPr>
            </w:pPr>
          </w:p>
        </w:tc>
        <w:tc>
          <w:tcPr>
            <w:tcW w:w="4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320" w:type="dxa"/>
            <w:vAlign w:val="bottom"/>
            <w:tcBorders>
              <w:bottom w:val="single" w:sz="8" w:color="auto"/>
            </w:tcBorders>
            <w:gridSpan w:val="7"/>
          </w:tcPr>
          <w:p>
            <w:pPr>
              <w:jc w:val="center"/>
              <w:ind w:right="780"/>
              <w:spacing w:after="0"/>
              <w:rPr>
                <w:sz w:val="20"/>
                <w:szCs w:val="20"/>
                <w:color w:val="auto"/>
              </w:rPr>
            </w:pPr>
            <w:r>
              <w:rPr>
                <w:rFonts w:ascii="Arial" w:cs="Arial" w:eastAsia="Arial" w:hAnsi="Arial"/>
                <w:sz w:val="11"/>
                <w:szCs w:val="11"/>
                <w:b w:val="1"/>
                <w:bCs w:val="1"/>
                <w:color w:val="auto"/>
                <w:w w:val="87"/>
              </w:rPr>
              <w:t>Obligations Due by Fiscal Year</w:t>
            </w: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1300" w:type="dxa"/>
            <w:vAlign w:val="bottom"/>
          </w:tcPr>
          <w:p>
            <w:pPr>
              <w:spacing w:after="0"/>
              <w:rPr>
                <w:sz w:val="7"/>
                <w:szCs w:val="7"/>
                <w:color w:val="auto"/>
              </w:rPr>
            </w:pPr>
          </w:p>
        </w:tc>
        <w:tc>
          <w:tcPr>
            <w:tcW w:w="4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vMerge w:val="restart"/>
          </w:tcPr>
          <w:p>
            <w:pPr>
              <w:jc w:val="right"/>
              <w:ind w:right="74"/>
              <w:spacing w:after="0"/>
              <w:rPr>
                <w:sz w:val="20"/>
                <w:szCs w:val="20"/>
                <w:color w:val="auto"/>
              </w:rPr>
            </w:pPr>
            <w:r>
              <w:rPr>
                <w:rFonts w:ascii="Arial" w:cs="Arial" w:eastAsia="Arial" w:hAnsi="Arial"/>
                <w:sz w:val="11"/>
                <w:szCs w:val="11"/>
                <w:b w:val="1"/>
                <w:bCs w:val="1"/>
                <w:color w:val="auto"/>
                <w:w w:val="91"/>
              </w:rPr>
              <w:t>Total</w:t>
            </w:r>
          </w:p>
        </w:tc>
        <w:tc>
          <w:tcPr>
            <w:tcW w:w="400" w:type="dxa"/>
            <w:vAlign w:val="bottom"/>
            <w:gridSpan w:val="2"/>
            <w:vMerge w:val="restart"/>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vMerge w:val="restart"/>
          </w:tcPr>
          <w:p>
            <w:pPr>
              <w:jc w:val="right"/>
              <w:ind w:right="74"/>
              <w:spacing w:after="0"/>
              <w:rPr>
                <w:sz w:val="20"/>
                <w:szCs w:val="20"/>
                <w:color w:val="auto"/>
              </w:rPr>
            </w:pPr>
            <w:r>
              <w:rPr>
                <w:rFonts w:ascii="Arial" w:cs="Arial" w:eastAsia="Arial" w:hAnsi="Arial"/>
                <w:sz w:val="11"/>
                <w:szCs w:val="11"/>
                <w:b w:val="1"/>
                <w:bCs w:val="1"/>
                <w:color w:val="auto"/>
                <w:w w:val="89"/>
              </w:rPr>
              <w:t>2010</w:t>
            </w: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jc w:val="right"/>
              <w:ind w:right="137"/>
              <w:spacing w:after="0" w:line="84" w:lineRule="exact"/>
              <w:rPr>
                <w:sz w:val="20"/>
                <w:szCs w:val="20"/>
                <w:color w:val="auto"/>
              </w:rPr>
            </w:pPr>
            <w:r>
              <w:rPr>
                <w:rFonts w:ascii="Arial" w:cs="Arial" w:eastAsia="Arial" w:hAnsi="Arial"/>
                <w:sz w:val="9"/>
                <w:szCs w:val="9"/>
                <w:b w:val="1"/>
                <w:bCs w:val="1"/>
                <w:color w:val="auto"/>
              </w:rPr>
              <w:t>2011</w:t>
            </w: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jc w:val="right"/>
              <w:ind w:right="116"/>
              <w:spacing w:after="0" w:line="84" w:lineRule="exact"/>
              <w:rPr>
                <w:sz w:val="20"/>
                <w:szCs w:val="20"/>
                <w:color w:val="auto"/>
              </w:rPr>
            </w:pPr>
            <w:r>
              <w:rPr>
                <w:rFonts w:ascii="Arial" w:cs="Arial" w:eastAsia="Arial" w:hAnsi="Arial"/>
                <w:sz w:val="9"/>
                <w:szCs w:val="9"/>
                <w:b w:val="1"/>
                <w:bCs w:val="1"/>
                <w:color w:val="auto"/>
              </w:rPr>
              <w:t>2013</w:t>
            </w: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vMerge w:val="restart"/>
          </w:tcPr>
          <w:p>
            <w:pPr>
              <w:jc w:val="right"/>
              <w:ind w:right="34"/>
              <w:spacing w:after="0"/>
              <w:rPr>
                <w:sz w:val="20"/>
                <w:szCs w:val="20"/>
                <w:color w:val="auto"/>
              </w:rPr>
            </w:pPr>
            <w:r>
              <w:rPr>
                <w:rFonts w:ascii="Arial" w:cs="Arial" w:eastAsia="Arial" w:hAnsi="Arial"/>
                <w:sz w:val="11"/>
                <w:szCs w:val="11"/>
                <w:b w:val="1"/>
                <w:bCs w:val="1"/>
                <w:color w:val="auto"/>
                <w:w w:val="90"/>
              </w:rPr>
              <w:t>After 2014</w:t>
            </w:r>
          </w:p>
        </w:tc>
        <w:tc>
          <w:tcPr>
            <w:tcW w:w="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1300" w:type="dxa"/>
            <w:vAlign w:val="bottom"/>
          </w:tcPr>
          <w:p>
            <w:pPr>
              <w:spacing w:after="0"/>
              <w:rPr>
                <w:sz w:val="11"/>
                <w:szCs w:val="11"/>
                <w:color w:val="auto"/>
              </w:rPr>
            </w:pPr>
          </w:p>
        </w:tc>
        <w:tc>
          <w:tcPr>
            <w:tcW w:w="4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vMerge w:val="continue"/>
          </w:tcPr>
          <w:p>
            <w:pPr>
              <w:spacing w:after="0"/>
              <w:rPr>
                <w:sz w:val="11"/>
                <w:szCs w:val="11"/>
                <w:color w:val="auto"/>
              </w:rPr>
            </w:pPr>
          </w:p>
        </w:tc>
        <w:tc>
          <w:tcPr>
            <w:tcW w:w="400" w:type="dxa"/>
            <w:vAlign w:val="bottom"/>
            <w:gridSpan w:val="2"/>
            <w:vMerge w:val="continue"/>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37"/>
              <w:spacing w:after="0"/>
              <w:rPr>
                <w:sz w:val="20"/>
                <w:szCs w:val="20"/>
                <w:color w:val="auto"/>
              </w:rPr>
            </w:pPr>
            <w:r>
              <w:rPr>
                <w:rFonts w:ascii="Arial" w:cs="Arial" w:eastAsia="Arial" w:hAnsi="Arial"/>
                <w:sz w:val="11"/>
                <w:szCs w:val="11"/>
                <w:b w:val="1"/>
                <w:bCs w:val="1"/>
                <w:color w:val="auto"/>
                <w:w w:val="84"/>
              </w:rPr>
              <w:t>and 2012</w:t>
            </w:r>
          </w:p>
        </w:tc>
        <w:tc>
          <w:tcPr>
            <w:tcW w:w="4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6"/>
              <w:spacing w:after="0"/>
              <w:rPr>
                <w:sz w:val="20"/>
                <w:szCs w:val="20"/>
                <w:color w:val="auto"/>
              </w:rPr>
            </w:pPr>
            <w:r>
              <w:rPr>
                <w:rFonts w:ascii="Arial" w:cs="Arial" w:eastAsia="Arial" w:hAnsi="Arial"/>
                <w:sz w:val="11"/>
                <w:szCs w:val="11"/>
                <w:b w:val="1"/>
                <w:bCs w:val="1"/>
                <w:color w:val="auto"/>
                <w:w w:val="89"/>
              </w:rPr>
              <w:t>and 2014</w:t>
            </w: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300" w:type="dxa"/>
            <w:vAlign w:val="bottom"/>
          </w:tcPr>
          <w:p>
            <w:pPr>
              <w:spacing w:after="0"/>
              <w:rPr>
                <w:sz w:val="11"/>
                <w:szCs w:val="11"/>
                <w:color w:val="auto"/>
              </w:rPr>
            </w:pPr>
          </w:p>
        </w:tc>
        <w:tc>
          <w:tcPr>
            <w:tcW w:w="4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0"/>
              </w:rPr>
              <w:t>(In millions)</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5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Short-term debt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10.0</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10.0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5400" w:type="dxa"/>
            <w:vAlign w:val="bottom"/>
            <w:gridSpan w:val="2"/>
          </w:tcPr>
          <w:p>
            <w:pPr>
              <w:spacing w:after="0"/>
              <w:rPr>
                <w:sz w:val="20"/>
                <w:szCs w:val="20"/>
                <w:color w:val="auto"/>
              </w:rPr>
            </w:pPr>
            <w:r>
              <w:rPr>
                <w:rFonts w:ascii="Arial" w:cs="Arial" w:eastAsia="Arial" w:hAnsi="Arial"/>
                <w:sz w:val="13"/>
                <w:szCs w:val="13"/>
                <w:color w:val="auto"/>
              </w:rPr>
              <w:t>Interest on short-term debt</w:t>
            </w:r>
          </w:p>
        </w:tc>
        <w:tc>
          <w:tcPr>
            <w:tcW w:w="100" w:type="dxa"/>
            <w:vAlign w:val="bottom"/>
          </w:tcPr>
          <w:p>
            <w:pPr>
              <w:spacing w:after="0"/>
              <w:rPr>
                <w:sz w:val="14"/>
                <w:szCs w:val="1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3"/>
                <w:szCs w:val="13"/>
                <w:color w:val="auto"/>
              </w:rPr>
              <w:t>0.4</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3"/>
                <w:szCs w:val="13"/>
                <w:color w:val="auto"/>
              </w:rPr>
              <w:t>0.4</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5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Purchase obligations(1)</w:t>
            </w:r>
          </w:p>
        </w:tc>
        <w:tc>
          <w:tcPr>
            <w:tcW w:w="100" w:type="dxa"/>
            <w:vAlign w:val="bottom"/>
            <w:shd w:val="clear" w:color="auto" w:fill="CCEEFF"/>
          </w:tcPr>
          <w:p>
            <w:pPr>
              <w:spacing w:after="0"/>
              <w:rPr>
                <w:sz w:val="14"/>
                <w:szCs w:val="14"/>
                <w:color w:val="auto"/>
              </w:rPr>
            </w:pPr>
          </w:p>
        </w:tc>
        <w:tc>
          <w:tcPr>
            <w:tcW w:w="80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46.1</w:t>
            </w:r>
          </w:p>
        </w:tc>
        <w:tc>
          <w:tcPr>
            <w:tcW w:w="12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46.1</w:t>
            </w: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5400" w:type="dxa"/>
            <w:vAlign w:val="bottom"/>
            <w:gridSpan w:val="2"/>
          </w:tcPr>
          <w:p>
            <w:pPr>
              <w:spacing w:after="0"/>
              <w:rPr>
                <w:sz w:val="20"/>
                <w:szCs w:val="20"/>
                <w:color w:val="auto"/>
              </w:rPr>
            </w:pPr>
            <w:r>
              <w:rPr>
                <w:rFonts w:ascii="Arial" w:cs="Arial" w:eastAsia="Arial" w:hAnsi="Arial"/>
                <w:sz w:val="13"/>
                <w:szCs w:val="13"/>
                <w:color w:val="auto"/>
              </w:rPr>
              <w:t>Operating lease commitments</w:t>
            </w:r>
          </w:p>
        </w:tc>
        <w:tc>
          <w:tcPr>
            <w:tcW w:w="100" w:type="dxa"/>
            <w:vAlign w:val="bottom"/>
          </w:tcPr>
          <w:p>
            <w:pPr>
              <w:spacing w:after="0"/>
              <w:rPr>
                <w:sz w:val="14"/>
                <w:szCs w:val="14"/>
                <w:color w:val="auto"/>
              </w:rPr>
            </w:pPr>
          </w:p>
        </w:tc>
        <w:tc>
          <w:tcPr>
            <w:tcW w:w="800" w:type="dxa"/>
            <w:vAlign w:val="bottom"/>
            <w:gridSpan w:val="3"/>
          </w:tcPr>
          <w:p>
            <w:pPr>
              <w:jc w:val="right"/>
              <w:ind w:right="400"/>
              <w:spacing w:after="0"/>
              <w:rPr>
                <w:sz w:val="20"/>
                <w:szCs w:val="20"/>
                <w:color w:val="auto"/>
              </w:rPr>
            </w:pPr>
            <w:r>
              <w:rPr>
                <w:rFonts w:ascii="Arial" w:cs="Arial" w:eastAsia="Arial" w:hAnsi="Arial"/>
                <w:sz w:val="13"/>
                <w:szCs w:val="13"/>
                <w:color w:val="auto"/>
              </w:rPr>
              <w:t>28.9</w:t>
            </w:r>
          </w:p>
        </w:tc>
        <w:tc>
          <w:tcPr>
            <w:tcW w:w="120" w:type="dxa"/>
            <w:vAlign w:val="bottom"/>
          </w:tcPr>
          <w:p>
            <w:pPr>
              <w:spacing w:after="0"/>
              <w:rPr>
                <w:sz w:val="14"/>
                <w:szCs w:val="14"/>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3"/>
                <w:szCs w:val="13"/>
                <w:color w:val="auto"/>
              </w:rPr>
              <w:t>12.0</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12.4</w:t>
            </w:r>
          </w:p>
        </w:tc>
        <w:tc>
          <w:tcPr>
            <w:tcW w:w="80" w:type="dxa"/>
            <w:vAlign w:val="bottom"/>
          </w:tcPr>
          <w:p>
            <w:pPr>
              <w:spacing w:after="0"/>
              <w:rPr>
                <w:sz w:val="14"/>
                <w:szCs w:val="14"/>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3.2</w:t>
            </w:r>
          </w:p>
        </w:tc>
        <w:tc>
          <w:tcPr>
            <w:tcW w:w="10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61"/>
        </w:trPr>
        <w:tc>
          <w:tcPr>
            <w:tcW w:w="5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Capital lease obligation to Harris Corporation and others</w:t>
            </w:r>
          </w:p>
        </w:tc>
        <w:tc>
          <w:tcPr>
            <w:tcW w:w="10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1.8</w:t>
            </w: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0.7</w:t>
            </w: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w:t>
            </w: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5400" w:type="dxa"/>
            <w:vAlign w:val="bottom"/>
            <w:gridSpan w:val="2"/>
          </w:tcPr>
          <w:p>
            <w:pPr>
              <w:spacing w:after="0"/>
              <w:rPr>
                <w:sz w:val="20"/>
                <w:szCs w:val="20"/>
                <w:color w:val="auto"/>
              </w:rPr>
            </w:pPr>
            <w:r>
              <w:rPr>
                <w:rFonts w:ascii="Arial" w:cs="Arial" w:eastAsia="Arial" w:hAnsi="Arial"/>
                <w:sz w:val="13"/>
                <w:szCs w:val="13"/>
                <w:color w:val="auto"/>
              </w:rPr>
              <w:t>Restructuring and severance liabilities</w:t>
            </w:r>
          </w:p>
        </w:tc>
        <w:tc>
          <w:tcPr>
            <w:tcW w:w="100" w:type="dxa"/>
            <w:vAlign w:val="bottom"/>
          </w:tcPr>
          <w:p>
            <w:pPr>
              <w:spacing w:after="0"/>
              <w:rPr>
                <w:sz w:val="14"/>
                <w:szCs w:val="1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3"/>
                <w:szCs w:val="13"/>
                <w:color w:val="auto"/>
              </w:rPr>
              <w:t>8.5</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3"/>
                <w:szCs w:val="13"/>
                <w:color w:val="auto"/>
              </w:rPr>
              <w:t>5.3</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3.2</w:t>
            </w:r>
          </w:p>
        </w:tc>
        <w:tc>
          <w:tcPr>
            <w:tcW w:w="80" w:type="dxa"/>
            <w:vAlign w:val="bottom"/>
          </w:tcPr>
          <w:p>
            <w:pPr>
              <w:spacing w:after="0"/>
              <w:rPr>
                <w:sz w:val="14"/>
                <w:szCs w:val="14"/>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5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Redeemable preference shares(2)</w:t>
            </w:r>
          </w:p>
        </w:tc>
        <w:tc>
          <w:tcPr>
            <w:tcW w:w="10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8.3</w:t>
            </w: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8.3</w:t>
            </w:r>
          </w:p>
        </w:tc>
        <w:tc>
          <w:tcPr>
            <w:tcW w:w="0" w:type="dxa"/>
            <w:vAlign w:val="bottom"/>
          </w:tcPr>
          <w:p>
            <w:pPr>
              <w:spacing w:after="0"/>
              <w:rPr>
                <w:sz w:val="1"/>
                <w:szCs w:val="1"/>
                <w:color w:val="auto"/>
              </w:rPr>
            </w:pPr>
          </w:p>
        </w:tc>
      </w:tr>
      <w:tr>
        <w:trPr>
          <w:trHeight w:val="161"/>
        </w:trPr>
        <w:tc>
          <w:tcPr>
            <w:tcW w:w="5400" w:type="dxa"/>
            <w:vAlign w:val="bottom"/>
            <w:gridSpan w:val="2"/>
          </w:tcPr>
          <w:p>
            <w:pPr>
              <w:spacing w:after="0"/>
              <w:rPr>
                <w:sz w:val="20"/>
                <w:szCs w:val="20"/>
                <w:color w:val="auto"/>
              </w:rPr>
            </w:pPr>
            <w:r>
              <w:rPr>
                <w:rFonts w:ascii="Arial" w:cs="Arial" w:eastAsia="Arial" w:hAnsi="Arial"/>
                <w:sz w:val="13"/>
                <w:szCs w:val="13"/>
                <w:color w:val="auto"/>
              </w:rPr>
              <w:t>Dividend requirements on redeemable preference shares(3)</w:t>
            </w:r>
          </w:p>
        </w:tc>
        <w:tc>
          <w:tcPr>
            <w:tcW w:w="100" w:type="dxa"/>
            <w:vAlign w:val="bottom"/>
          </w:tcPr>
          <w:p>
            <w:pPr>
              <w:spacing w:after="0"/>
              <w:rPr>
                <w:sz w:val="14"/>
                <w:szCs w:val="1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3"/>
                <w:szCs w:val="13"/>
                <w:color w:val="auto"/>
              </w:rPr>
              <w:t>7.6</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3"/>
                <w:szCs w:val="13"/>
                <w:color w:val="auto"/>
              </w:rPr>
              <w:t>1.0</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2.0</w:t>
            </w:r>
          </w:p>
        </w:tc>
        <w:tc>
          <w:tcPr>
            <w:tcW w:w="80" w:type="dxa"/>
            <w:vAlign w:val="bottom"/>
          </w:tcPr>
          <w:p>
            <w:pPr>
              <w:spacing w:after="0"/>
              <w:rPr>
                <w:sz w:val="14"/>
                <w:szCs w:val="14"/>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2.0</w:t>
            </w:r>
          </w:p>
        </w:tc>
        <w:tc>
          <w:tcPr>
            <w:tcW w:w="10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2.6</w:t>
            </w:r>
          </w:p>
        </w:tc>
        <w:tc>
          <w:tcPr>
            <w:tcW w:w="0" w:type="dxa"/>
            <w:vAlign w:val="bottom"/>
          </w:tcPr>
          <w:p>
            <w:pPr>
              <w:spacing w:after="0"/>
              <w:rPr>
                <w:sz w:val="1"/>
                <w:szCs w:val="1"/>
                <w:color w:val="auto"/>
              </w:rPr>
            </w:pPr>
          </w:p>
        </w:tc>
      </w:tr>
      <w:tr>
        <w:trPr>
          <w:trHeight w:val="161"/>
        </w:trPr>
        <w:tc>
          <w:tcPr>
            <w:tcW w:w="5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Current liabilities on the balance sheet</w:t>
            </w:r>
          </w:p>
        </w:tc>
        <w:tc>
          <w:tcPr>
            <w:tcW w:w="10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194.4</w:t>
            </w: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194.4</w:t>
            </w: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5400" w:type="dxa"/>
            <w:vAlign w:val="bottom"/>
            <w:gridSpan w:val="2"/>
          </w:tcPr>
          <w:p>
            <w:pPr>
              <w:spacing w:after="0"/>
              <w:rPr>
                <w:sz w:val="20"/>
                <w:szCs w:val="20"/>
                <w:color w:val="auto"/>
              </w:rPr>
            </w:pPr>
            <w:r>
              <w:rPr>
                <w:rFonts w:ascii="Arial" w:cs="Arial" w:eastAsia="Arial" w:hAnsi="Arial"/>
                <w:sz w:val="13"/>
                <w:szCs w:val="13"/>
                <w:color w:val="auto"/>
              </w:rPr>
              <w:t>Total contractual cash obligations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306.0</w:t>
            </w:r>
          </w:p>
        </w:tc>
        <w:tc>
          <w:tcPr>
            <w:tcW w:w="2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269.9</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18.7</w:t>
            </w:r>
          </w:p>
        </w:tc>
        <w:tc>
          <w:tcPr>
            <w:tcW w:w="4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5.2</w:t>
            </w:r>
          </w:p>
        </w:tc>
        <w:tc>
          <w:tcPr>
            <w:tcW w:w="3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
        </w:trPr>
        <w:tc>
          <w:tcPr>
            <w:tcW w:w="1300" w:type="dxa"/>
            <w:vAlign w:val="bottom"/>
            <w:tcBorders>
              <w:bottom w:val="single" w:sz="8" w:color="auto"/>
            </w:tcBorders>
          </w:tcPr>
          <w:p>
            <w:pPr>
              <w:spacing w:after="0"/>
              <w:rPr>
                <w:sz w:val="7"/>
                <w:szCs w:val="7"/>
                <w:color w:val="auto"/>
              </w:rPr>
            </w:pPr>
          </w:p>
        </w:tc>
        <w:tc>
          <w:tcPr>
            <w:tcW w:w="4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00" w:right="120" w:hanging="266"/>
        <w:spacing w:after="0" w:line="267" w:lineRule="auto"/>
        <w:tabs>
          <w:tab w:leader="none" w:pos="10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From time to time in the normal course of business we may enter into purchasing agreements with our suppliers that require us to accept delivery of, and remit full payment for, finished products that we have ordered, finished products that we requested be held as safety stock, and work in process started on our behalf in the event we cancel or terminate the purchasing agreement. It is not our intent, nor is it reasonably likely, that we would cancel a purchase order that we have executed. Because these agreements do not specify fixed or minimum quantities, do not specify minimum or variable price provisions, and do not specify the approximate timing of the transaction, we have no basis to estimate any future liability under these agreements.</w:t>
      </w:r>
    </w:p>
    <w:p>
      <w:pPr>
        <w:spacing w:after="0" w:line="14" w:lineRule="exact"/>
        <w:rPr>
          <w:rFonts w:ascii="Arial" w:cs="Arial" w:eastAsia="Arial" w:hAnsi="Arial"/>
          <w:sz w:val="13"/>
          <w:szCs w:val="13"/>
          <w:color w:val="auto"/>
        </w:rPr>
      </w:pPr>
    </w:p>
    <w:p>
      <w:pPr>
        <w:ind w:left="1000" w:hanging="266"/>
        <w:spacing w:after="0"/>
        <w:tabs>
          <w:tab w:leader="none" w:pos="10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Assumes the mandatory redemption will occur more than five years from July 3, 2009.</w:t>
      </w:r>
    </w:p>
    <w:p>
      <w:pPr>
        <w:spacing w:after="0" w:line="52" w:lineRule="exact"/>
        <w:rPr>
          <w:rFonts w:ascii="Arial" w:cs="Arial" w:eastAsia="Arial" w:hAnsi="Arial"/>
          <w:sz w:val="13"/>
          <w:szCs w:val="13"/>
          <w:color w:val="auto"/>
        </w:rPr>
      </w:pPr>
    </w:p>
    <w:p>
      <w:pPr>
        <w:ind w:left="1000" w:hanging="266"/>
        <w:spacing w:after="0"/>
        <w:tabs>
          <w:tab w:leader="none" w:pos="10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The dividend rate is 12% and assumes no redemptions for five years from July 3, 2009.</w:t>
      </w:r>
    </w:p>
    <w:p>
      <w:pPr>
        <w:spacing w:after="0" w:line="30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48" w:name="page49"/>
    <w:bookmarkEnd w:id="4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Commercial Commitments</w:t>
      </w:r>
    </w:p>
    <w:p>
      <w:pPr>
        <w:spacing w:after="0" w:line="102"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We have entered into commercial commitments in the normal course of business including surety bonds, standby letters of credit and other arrangements with financial institutions and insurers primarily relating to the guarantee of future performance on certain tenders and contracts to provide products and services to customers. As of July 3, 2009, we had commercial commitments on outstanding surety bonds, standby letters of credit, guarantees and other arrangements, as follows:</w:t>
      </w:r>
    </w:p>
    <w:p>
      <w:pPr>
        <w:spacing w:after="0" w:line="62" w:lineRule="exact"/>
        <w:rPr>
          <w:sz w:val="20"/>
          <w:szCs w:val="20"/>
          <w:color w:val="auto"/>
        </w:rPr>
      </w:pPr>
    </w:p>
    <w:tbl>
      <w:tblPr>
        <w:tblLayout w:type="fixed"/>
        <w:tblInd w:w="680" w:type="dxa"/>
        <w:tblCellMar>
          <w:top w:w="0" w:type="dxa"/>
          <w:left w:w="0" w:type="dxa"/>
          <w:bottom w:w="0" w:type="dxa"/>
          <w:right w:w="0" w:type="dxa"/>
        </w:tblCellMar>
      </w:tblPr>
      <w:tr>
        <w:trPr>
          <w:trHeight w:val="128"/>
        </w:trPr>
        <w:tc>
          <w:tcPr>
            <w:tcW w:w="65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540" w:type="dxa"/>
            <w:vAlign w:val="bottom"/>
            <w:tcBorders>
              <w:bottom w:val="single" w:sz="8" w:color="auto"/>
            </w:tcBorders>
            <w:gridSpan w:val="11"/>
          </w:tcPr>
          <w:p>
            <w:pPr>
              <w:jc w:val="right"/>
              <w:ind w:right="420"/>
              <w:spacing w:after="0"/>
              <w:rPr>
                <w:sz w:val="20"/>
                <w:szCs w:val="20"/>
                <w:color w:val="auto"/>
              </w:rPr>
            </w:pPr>
            <w:r>
              <w:rPr>
                <w:rFonts w:ascii="Arial" w:cs="Arial" w:eastAsia="Arial" w:hAnsi="Arial"/>
                <w:sz w:val="11"/>
                <w:szCs w:val="11"/>
                <w:b w:val="1"/>
                <w:bCs w:val="1"/>
                <w:color w:val="auto"/>
                <w:w w:val="95"/>
              </w:rPr>
              <w:t>Expiration of Commitments by Fiscal Year</w:t>
            </w:r>
          </w:p>
        </w:tc>
        <w:tc>
          <w:tcPr>
            <w:tcW w:w="1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650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gridSpan w:val="2"/>
            <w:vMerge w:val="restart"/>
          </w:tcPr>
          <w:p>
            <w:pPr>
              <w:jc w:val="right"/>
              <w:ind w:right="240"/>
              <w:spacing w:after="0"/>
              <w:rPr>
                <w:sz w:val="20"/>
                <w:szCs w:val="20"/>
                <w:color w:val="auto"/>
              </w:rPr>
            </w:pPr>
            <w:r>
              <w:rPr>
                <w:rFonts w:ascii="Arial" w:cs="Arial" w:eastAsia="Arial" w:hAnsi="Arial"/>
                <w:sz w:val="11"/>
                <w:szCs w:val="11"/>
                <w:b w:val="1"/>
                <w:bCs w:val="1"/>
                <w:color w:val="auto"/>
                <w:w w:val="83"/>
              </w:rPr>
              <w:t>Total</w:t>
            </w: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vMerge w:val="restart"/>
          </w:tcPr>
          <w:p>
            <w:pPr>
              <w:jc w:val="right"/>
              <w:ind w:right="14"/>
              <w:spacing w:after="0"/>
              <w:rPr>
                <w:sz w:val="20"/>
                <w:szCs w:val="20"/>
                <w:color w:val="auto"/>
              </w:rPr>
            </w:pPr>
            <w:r>
              <w:rPr>
                <w:rFonts w:ascii="Arial" w:cs="Arial" w:eastAsia="Arial" w:hAnsi="Arial"/>
                <w:sz w:val="11"/>
                <w:szCs w:val="11"/>
                <w:b w:val="1"/>
                <w:bCs w:val="1"/>
                <w:color w:val="auto"/>
                <w:w w:val="89"/>
              </w:rPr>
              <w:t>2010</w:t>
            </w: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vMerge w:val="restart"/>
          </w:tcPr>
          <w:p>
            <w:pPr>
              <w:jc w:val="right"/>
              <w:ind w:right="34"/>
              <w:spacing w:after="0"/>
              <w:rPr>
                <w:sz w:val="20"/>
                <w:szCs w:val="20"/>
                <w:color w:val="auto"/>
              </w:rPr>
            </w:pPr>
            <w:r>
              <w:rPr>
                <w:rFonts w:ascii="Arial" w:cs="Arial" w:eastAsia="Arial" w:hAnsi="Arial"/>
                <w:sz w:val="11"/>
                <w:szCs w:val="11"/>
                <w:b w:val="1"/>
                <w:bCs w:val="1"/>
                <w:color w:val="auto"/>
                <w:w w:val="81"/>
              </w:rPr>
              <w:t>2011</w:t>
            </w:r>
          </w:p>
        </w:tc>
        <w:tc>
          <w:tcPr>
            <w:tcW w:w="400" w:type="dxa"/>
            <w:vAlign w:val="bottom"/>
          </w:tcPr>
          <w:p>
            <w:pPr>
              <w:spacing w:after="0"/>
              <w:rPr>
                <w:sz w:val="7"/>
                <w:szCs w:val="7"/>
                <w:color w:val="auto"/>
              </w:rPr>
            </w:pPr>
          </w:p>
        </w:tc>
        <w:tc>
          <w:tcPr>
            <w:tcW w:w="300" w:type="dxa"/>
            <w:vAlign w:val="bottom"/>
            <w:gridSpan w:val="2"/>
            <w:vMerge w:val="restart"/>
          </w:tcPr>
          <w:p>
            <w:pPr>
              <w:jc w:val="right"/>
              <w:spacing w:after="0"/>
              <w:rPr>
                <w:sz w:val="20"/>
                <w:szCs w:val="20"/>
                <w:color w:val="auto"/>
              </w:rPr>
            </w:pPr>
            <w:r>
              <w:rPr>
                <w:rFonts w:ascii="Arial" w:cs="Arial" w:eastAsia="Arial" w:hAnsi="Arial"/>
                <w:sz w:val="11"/>
                <w:szCs w:val="11"/>
                <w:b w:val="1"/>
                <w:bCs w:val="1"/>
                <w:color w:val="auto"/>
                <w:w w:val="97"/>
              </w:rPr>
              <w:t>2012</w:t>
            </w:r>
          </w:p>
        </w:tc>
        <w:tc>
          <w:tcPr>
            <w:tcW w:w="380" w:type="dxa"/>
            <w:vAlign w:val="bottom"/>
          </w:tcPr>
          <w:p>
            <w:pPr>
              <w:spacing w:after="0"/>
              <w:rPr>
                <w:sz w:val="7"/>
                <w:szCs w:val="7"/>
                <w:color w:val="auto"/>
              </w:rPr>
            </w:pPr>
          </w:p>
        </w:tc>
        <w:tc>
          <w:tcPr>
            <w:tcW w:w="300" w:type="dxa"/>
            <w:vAlign w:val="bottom"/>
            <w:gridSpan w:val="2"/>
          </w:tcPr>
          <w:p>
            <w:pPr>
              <w:jc w:val="right"/>
              <w:spacing w:after="0" w:line="84" w:lineRule="exact"/>
              <w:rPr>
                <w:sz w:val="20"/>
                <w:szCs w:val="20"/>
                <w:color w:val="auto"/>
              </w:rPr>
            </w:pPr>
            <w:r>
              <w:rPr>
                <w:rFonts w:ascii="Arial" w:cs="Arial" w:eastAsia="Arial" w:hAnsi="Arial"/>
                <w:sz w:val="9"/>
                <w:szCs w:val="9"/>
                <w:b w:val="1"/>
                <w:bCs w:val="1"/>
                <w:color w:val="auto"/>
              </w:rPr>
              <w:t>After</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6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w:t>
            </w:r>
          </w:p>
        </w:tc>
        <w:tc>
          <w:tcPr>
            <w:tcW w:w="100" w:type="dxa"/>
            <w:vAlign w:val="bottom"/>
          </w:tcPr>
          <w:p>
            <w:pPr>
              <w:spacing w:after="0"/>
              <w:rPr>
                <w:sz w:val="11"/>
                <w:szCs w:val="11"/>
                <w:color w:val="auto"/>
              </w:rPr>
            </w:pPr>
          </w:p>
        </w:tc>
        <w:tc>
          <w:tcPr>
            <w:tcW w:w="320" w:type="dxa"/>
            <w:vAlign w:val="bottom"/>
            <w:vMerge w:val="continue"/>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gridSpan w:val="2"/>
            <w:vMerge w:val="continue"/>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gridSpan w:val="2"/>
          </w:tcPr>
          <w:p>
            <w:pPr>
              <w:jc w:val="right"/>
              <w:spacing w:after="0"/>
              <w:rPr>
                <w:sz w:val="20"/>
                <w:szCs w:val="20"/>
                <w:color w:val="auto"/>
              </w:rPr>
            </w:pPr>
            <w:r>
              <w:rPr>
                <w:rFonts w:ascii="Arial" w:cs="Arial" w:eastAsia="Arial" w:hAnsi="Arial"/>
                <w:sz w:val="11"/>
                <w:szCs w:val="11"/>
                <w:b w:val="1"/>
                <w:bCs w:val="1"/>
                <w:color w:val="auto"/>
                <w:w w:val="97"/>
              </w:rPr>
              <w:t>2012</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65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vMerge w:val="continue"/>
          </w:tcPr>
          <w:p>
            <w:pPr>
              <w:spacing w:after="0"/>
              <w:rPr>
                <w:sz w:val="11"/>
                <w:szCs w:val="11"/>
                <w:color w:val="auto"/>
              </w:rPr>
            </w:pPr>
          </w:p>
        </w:tc>
        <w:tc>
          <w:tcPr>
            <w:tcW w:w="420" w:type="dxa"/>
            <w:vAlign w:val="bottom"/>
            <w:tcBorders>
              <w:top w:val="single" w:sz="8" w:color="auto"/>
            </w:tcBorders>
            <w:gridSpan w:val="2"/>
          </w:tcPr>
          <w:p>
            <w:pPr>
              <w:spacing w:after="0"/>
              <w:rPr>
                <w:sz w:val="20"/>
                <w:szCs w:val="20"/>
                <w:color w:val="auto"/>
              </w:rPr>
            </w:pPr>
            <w:r>
              <w:rPr>
                <w:rFonts w:ascii="Arial" w:cs="Arial" w:eastAsia="Arial" w:hAnsi="Arial"/>
                <w:sz w:val="11"/>
                <w:szCs w:val="11"/>
                <w:b w:val="1"/>
                <w:bCs w:val="1"/>
                <w:color w:val="auto"/>
                <w:w w:val="88"/>
              </w:rPr>
              <w:t>millions)</w:t>
            </w:r>
          </w:p>
        </w:tc>
        <w:tc>
          <w:tcPr>
            <w:tcW w:w="4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6500" w:type="dxa"/>
            <w:vAlign w:val="bottom"/>
            <w:shd w:val="clear" w:color="auto" w:fill="CCEEFF"/>
          </w:tcPr>
          <w:p>
            <w:pPr>
              <w:spacing w:after="0"/>
              <w:rPr>
                <w:sz w:val="20"/>
                <w:szCs w:val="20"/>
                <w:color w:val="auto"/>
              </w:rPr>
            </w:pPr>
            <w:r>
              <w:rPr>
                <w:rFonts w:ascii="Arial" w:cs="Arial" w:eastAsia="Arial" w:hAnsi="Arial"/>
                <w:sz w:val="13"/>
                <w:szCs w:val="13"/>
                <w:color w:val="auto"/>
              </w:rPr>
              <w:t>Standby letters of credit used for:</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500" w:type="dxa"/>
            <w:vAlign w:val="bottom"/>
          </w:tcPr>
          <w:p>
            <w:pPr>
              <w:spacing w:after="0"/>
              <w:rPr>
                <w:sz w:val="20"/>
                <w:szCs w:val="20"/>
                <w:color w:val="auto"/>
              </w:rPr>
            </w:pPr>
            <w:r>
              <w:rPr>
                <w:rFonts w:ascii="Arial" w:cs="Arial" w:eastAsia="Arial" w:hAnsi="Arial"/>
                <w:sz w:val="13"/>
                <w:szCs w:val="13"/>
                <w:color w:val="auto"/>
              </w:rPr>
              <w:t>Bids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60"/>
              <w:spacing w:after="0"/>
              <w:rPr>
                <w:sz w:val="20"/>
                <w:szCs w:val="20"/>
                <w:color w:val="auto"/>
              </w:rPr>
            </w:pPr>
            <w:r>
              <w:rPr>
                <w:rFonts w:ascii="Arial" w:cs="Arial" w:eastAsia="Arial" w:hAnsi="Arial"/>
                <w:sz w:val="13"/>
                <w:szCs w:val="13"/>
                <w:color w:val="auto"/>
              </w:rPr>
              <w:t>2.5</w:t>
            </w:r>
          </w:p>
        </w:tc>
        <w:tc>
          <w:tcPr>
            <w:tcW w:w="3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40" w:type="dxa"/>
            <w:vAlign w:val="bottom"/>
            <w:gridSpan w:val="2"/>
          </w:tcPr>
          <w:p>
            <w:pPr>
              <w:jc w:val="right"/>
              <w:ind w:right="120"/>
              <w:spacing w:after="0"/>
              <w:rPr>
                <w:sz w:val="20"/>
                <w:szCs w:val="20"/>
                <w:color w:val="auto"/>
              </w:rPr>
            </w:pPr>
            <w:r>
              <w:rPr>
                <w:rFonts w:ascii="Arial" w:cs="Arial" w:eastAsia="Arial" w:hAnsi="Arial"/>
                <w:sz w:val="13"/>
                <w:szCs w:val="13"/>
                <w:color w:val="auto"/>
              </w:rPr>
              <w:t>2.5</w:t>
            </w:r>
          </w:p>
        </w:tc>
        <w:tc>
          <w:tcPr>
            <w:tcW w:w="380" w:type="dxa"/>
            <w:vAlign w:val="bottom"/>
            <w:gridSpan w:val="2"/>
          </w:tcPr>
          <w:p>
            <w:pPr>
              <w:ind w:left="300"/>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2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6500" w:type="dxa"/>
            <w:vAlign w:val="bottom"/>
            <w:shd w:val="clear" w:color="auto" w:fill="CCEEFF"/>
          </w:tcPr>
          <w:p>
            <w:pPr>
              <w:spacing w:after="0"/>
              <w:rPr>
                <w:sz w:val="20"/>
                <w:szCs w:val="20"/>
                <w:color w:val="auto"/>
              </w:rPr>
            </w:pPr>
            <w:r>
              <w:rPr>
                <w:rFonts w:ascii="Arial" w:cs="Arial" w:eastAsia="Arial" w:hAnsi="Arial"/>
                <w:sz w:val="13"/>
                <w:szCs w:val="13"/>
                <w:color w:val="auto"/>
              </w:rPr>
              <w:t>Down payments</w:t>
            </w:r>
          </w:p>
        </w:tc>
        <w:tc>
          <w:tcPr>
            <w:tcW w:w="8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5.1</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5.1</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6500" w:type="dxa"/>
            <w:vAlign w:val="bottom"/>
          </w:tcPr>
          <w:p>
            <w:pPr>
              <w:spacing w:after="0"/>
              <w:rPr>
                <w:sz w:val="20"/>
                <w:szCs w:val="20"/>
                <w:color w:val="auto"/>
              </w:rPr>
            </w:pPr>
            <w:r>
              <w:rPr>
                <w:rFonts w:ascii="Arial" w:cs="Arial" w:eastAsia="Arial" w:hAnsi="Arial"/>
                <w:sz w:val="13"/>
                <w:szCs w:val="13"/>
                <w:color w:val="auto"/>
              </w:rPr>
              <w:t>Performance</w:t>
            </w:r>
          </w:p>
        </w:tc>
        <w:tc>
          <w:tcPr>
            <w:tcW w:w="80" w:type="dxa"/>
            <w:vAlign w:val="bottom"/>
          </w:tcPr>
          <w:p>
            <w:pPr>
              <w:spacing w:after="0"/>
              <w:rPr>
                <w:sz w:val="14"/>
                <w:szCs w:val="14"/>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3"/>
                <w:szCs w:val="13"/>
                <w:color w:val="auto"/>
              </w:rPr>
              <w:t>11.1</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3"/>
                <w:szCs w:val="13"/>
                <w:color w:val="auto"/>
              </w:rPr>
              <w:t>9.5</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rPr>
                <w:sz w:val="14"/>
                <w:szCs w:val="14"/>
                <w:color w:val="auto"/>
              </w:rPr>
            </w:pPr>
          </w:p>
        </w:tc>
        <w:tc>
          <w:tcPr>
            <w:tcW w:w="580" w:type="dxa"/>
            <w:vAlign w:val="bottom"/>
            <w:gridSpan w:val="2"/>
          </w:tcPr>
          <w:p>
            <w:pPr>
              <w:jc w:val="right"/>
              <w:ind w:right="380"/>
              <w:spacing w:after="0"/>
              <w:rPr>
                <w:sz w:val="20"/>
                <w:szCs w:val="20"/>
                <w:color w:val="auto"/>
              </w:rPr>
            </w:pPr>
            <w:r>
              <w:rPr>
                <w:rFonts w:ascii="Arial" w:cs="Arial" w:eastAsia="Arial" w:hAnsi="Arial"/>
                <w:sz w:val="13"/>
                <w:szCs w:val="13"/>
                <w:color w:val="auto"/>
                <w:w w:val="99"/>
              </w:rPr>
              <w:t>0.1</w:t>
            </w:r>
          </w:p>
        </w:tc>
        <w:tc>
          <w:tcPr>
            <w:tcW w:w="100" w:type="dxa"/>
            <w:vAlign w:val="bottom"/>
          </w:tcPr>
          <w:p>
            <w:pPr>
              <w:spacing w:after="0"/>
              <w:rPr>
                <w:sz w:val="14"/>
                <w:szCs w:val="14"/>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3"/>
                <w:szCs w:val="13"/>
                <w:color w:val="auto"/>
                <w:w w:val="99"/>
              </w:rPr>
              <w:t>0.4</w:t>
            </w:r>
          </w:p>
        </w:tc>
        <w:tc>
          <w:tcPr>
            <w:tcW w:w="0" w:type="dxa"/>
            <w:vAlign w:val="bottom"/>
          </w:tcPr>
          <w:p>
            <w:pPr>
              <w:spacing w:after="0"/>
              <w:rPr>
                <w:sz w:val="1"/>
                <w:szCs w:val="1"/>
                <w:color w:val="auto"/>
              </w:rPr>
            </w:pPr>
          </w:p>
        </w:tc>
      </w:tr>
      <w:tr>
        <w:trPr>
          <w:trHeight w:val="161"/>
        </w:trPr>
        <w:tc>
          <w:tcPr>
            <w:tcW w:w="6500" w:type="dxa"/>
            <w:vAlign w:val="bottom"/>
            <w:shd w:val="clear" w:color="auto" w:fill="CCEEFF"/>
          </w:tcPr>
          <w:p>
            <w:pPr>
              <w:spacing w:after="0"/>
              <w:rPr>
                <w:sz w:val="20"/>
                <w:szCs w:val="20"/>
                <w:color w:val="auto"/>
              </w:rPr>
            </w:pPr>
            <w:r>
              <w:rPr>
                <w:rFonts w:ascii="Arial" w:cs="Arial" w:eastAsia="Arial" w:hAnsi="Arial"/>
                <w:sz w:val="13"/>
                <w:szCs w:val="13"/>
                <w:color w:val="auto"/>
              </w:rPr>
              <w:t>Warranty</w:t>
            </w:r>
          </w:p>
        </w:tc>
        <w:tc>
          <w:tcPr>
            <w:tcW w:w="8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0.1</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0.1</w:t>
            </w: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65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18.8</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17.1</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1.2</w:t>
            </w:r>
          </w:p>
        </w:tc>
        <w:tc>
          <w:tcPr>
            <w:tcW w:w="4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99"/>
              </w:rPr>
              <w:t>0.1</w:t>
            </w:r>
          </w:p>
        </w:tc>
        <w:tc>
          <w:tcPr>
            <w:tcW w:w="3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99"/>
              </w:rPr>
              <w:t>0.4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500" w:type="dxa"/>
            <w:vAlign w:val="bottom"/>
            <w:shd w:val="clear" w:color="auto" w:fill="CCEEFF"/>
          </w:tcPr>
          <w:p>
            <w:pPr>
              <w:spacing w:after="0"/>
              <w:rPr>
                <w:sz w:val="20"/>
                <w:szCs w:val="20"/>
                <w:color w:val="auto"/>
              </w:rPr>
            </w:pPr>
            <w:r>
              <w:rPr>
                <w:rFonts w:ascii="Arial" w:cs="Arial" w:eastAsia="Arial" w:hAnsi="Arial"/>
                <w:sz w:val="13"/>
                <w:szCs w:val="13"/>
                <w:color w:val="auto"/>
              </w:rPr>
              <w:t>Surety bonds used for:</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500" w:type="dxa"/>
            <w:vAlign w:val="bottom"/>
          </w:tcPr>
          <w:p>
            <w:pPr>
              <w:spacing w:after="0"/>
              <w:rPr>
                <w:sz w:val="20"/>
                <w:szCs w:val="20"/>
                <w:color w:val="auto"/>
              </w:rPr>
            </w:pPr>
            <w:r>
              <w:rPr>
                <w:rFonts w:ascii="Arial" w:cs="Arial" w:eastAsia="Arial" w:hAnsi="Arial"/>
                <w:sz w:val="13"/>
                <w:szCs w:val="13"/>
                <w:color w:val="auto"/>
              </w:rPr>
              <w:t>Bids</w:t>
            </w:r>
          </w:p>
        </w:tc>
        <w:tc>
          <w:tcPr>
            <w:tcW w:w="80" w:type="dxa"/>
            <w:vAlign w:val="bottom"/>
          </w:tcPr>
          <w:p>
            <w:pPr>
              <w:spacing w:after="0"/>
              <w:rPr>
                <w:sz w:val="14"/>
                <w:szCs w:val="14"/>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3"/>
                <w:szCs w:val="13"/>
                <w:color w:val="auto"/>
              </w:rPr>
              <w:t>7.4</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3"/>
                <w:szCs w:val="13"/>
                <w:color w:val="auto"/>
              </w:rPr>
              <w:t>7.4</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6500" w:type="dxa"/>
            <w:vAlign w:val="bottom"/>
            <w:shd w:val="clear" w:color="auto" w:fill="CCEEFF"/>
          </w:tcPr>
          <w:p>
            <w:pPr>
              <w:spacing w:after="0"/>
              <w:rPr>
                <w:sz w:val="20"/>
                <w:szCs w:val="20"/>
                <w:color w:val="auto"/>
              </w:rPr>
            </w:pPr>
            <w:r>
              <w:rPr>
                <w:rFonts w:ascii="Arial" w:cs="Arial" w:eastAsia="Arial" w:hAnsi="Arial"/>
                <w:sz w:val="13"/>
                <w:szCs w:val="13"/>
                <w:color w:val="auto"/>
              </w:rPr>
              <w:t>Warranty</w:t>
            </w:r>
          </w:p>
        </w:tc>
        <w:tc>
          <w:tcPr>
            <w:tcW w:w="8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2.0</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1.7</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0.2</w:t>
            </w: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w w:val="99"/>
              </w:rPr>
              <w:t>0.1</w:t>
            </w:r>
          </w:p>
        </w:tc>
        <w:tc>
          <w:tcPr>
            <w:tcW w:w="10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6500" w:type="dxa"/>
            <w:vAlign w:val="bottom"/>
          </w:tcPr>
          <w:p>
            <w:pPr>
              <w:spacing w:after="0"/>
              <w:rPr>
                <w:sz w:val="20"/>
                <w:szCs w:val="20"/>
                <w:color w:val="auto"/>
              </w:rPr>
            </w:pPr>
            <w:r>
              <w:rPr>
                <w:rFonts w:ascii="Arial" w:cs="Arial" w:eastAsia="Arial" w:hAnsi="Arial"/>
                <w:sz w:val="13"/>
                <w:szCs w:val="13"/>
                <w:color w:val="auto"/>
              </w:rPr>
              <w:t>Payment guarantees</w:t>
            </w:r>
          </w:p>
        </w:tc>
        <w:tc>
          <w:tcPr>
            <w:tcW w:w="80" w:type="dxa"/>
            <w:vAlign w:val="bottom"/>
          </w:tcPr>
          <w:p>
            <w:pPr>
              <w:spacing w:after="0"/>
              <w:rPr>
                <w:sz w:val="14"/>
                <w:szCs w:val="14"/>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3"/>
                <w:szCs w:val="13"/>
                <w:color w:val="auto"/>
              </w:rPr>
              <w:t>0.3</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3"/>
                <w:szCs w:val="13"/>
                <w:color w:val="auto"/>
              </w:rPr>
              <w:t>0.3</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6500" w:type="dxa"/>
            <w:vAlign w:val="bottom"/>
            <w:shd w:val="clear" w:color="auto" w:fill="CCEEFF"/>
          </w:tcPr>
          <w:p>
            <w:pPr>
              <w:spacing w:after="0"/>
              <w:rPr>
                <w:sz w:val="20"/>
                <w:szCs w:val="20"/>
                <w:color w:val="auto"/>
              </w:rPr>
            </w:pPr>
            <w:r>
              <w:rPr>
                <w:rFonts w:ascii="Arial" w:cs="Arial" w:eastAsia="Arial" w:hAnsi="Arial"/>
                <w:sz w:val="13"/>
                <w:szCs w:val="13"/>
                <w:color w:val="auto"/>
              </w:rPr>
              <w:t>Performance</w:t>
            </w:r>
          </w:p>
        </w:tc>
        <w:tc>
          <w:tcPr>
            <w:tcW w:w="8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71.3</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53.3</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18.0</w:t>
            </w: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65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81.0</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62.7</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18.2</w:t>
            </w:r>
          </w:p>
        </w:tc>
        <w:tc>
          <w:tcPr>
            <w:tcW w:w="40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9"/>
              </w:rPr>
              <w:t>0.1</w:t>
            </w:r>
          </w:p>
        </w:tc>
        <w:tc>
          <w:tcPr>
            <w:tcW w:w="38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500" w:type="dxa"/>
            <w:vAlign w:val="bottom"/>
            <w:shd w:val="clear" w:color="auto" w:fill="CCEEFF"/>
          </w:tcPr>
          <w:p>
            <w:pPr>
              <w:spacing w:after="0"/>
              <w:rPr>
                <w:sz w:val="20"/>
                <w:szCs w:val="20"/>
                <w:color w:val="auto"/>
              </w:rPr>
            </w:pPr>
            <w:r>
              <w:rPr>
                <w:rFonts w:ascii="Arial" w:cs="Arial" w:eastAsia="Arial" w:hAnsi="Arial"/>
                <w:sz w:val="13"/>
                <w:szCs w:val="13"/>
                <w:color w:val="auto"/>
              </w:rPr>
              <w:t>Total commitments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99.8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79.8</w:t>
            </w:r>
          </w:p>
        </w:tc>
        <w:tc>
          <w:tcPr>
            <w:tcW w:w="380" w:type="dxa"/>
            <w:vAlign w:val="bottom"/>
            <w:gridSpan w:val="2"/>
            <w:shd w:val="clear" w:color="auto" w:fill="CCEEFF"/>
          </w:tcPr>
          <w:p>
            <w:pPr>
              <w:ind w:left="300"/>
              <w:spacing w:after="0"/>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19.4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w w:val="99"/>
              </w:rPr>
              <w:t>0.2</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9"/>
              </w:rPr>
              <w:t>0.4</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left="680" w:firstLine="399"/>
        <w:spacing w:after="0" w:line="294" w:lineRule="auto"/>
        <w:rPr>
          <w:sz w:val="20"/>
          <w:szCs w:val="20"/>
          <w:color w:val="auto"/>
        </w:rPr>
      </w:pPr>
      <w:r>
        <w:rPr>
          <w:rFonts w:ascii="Arial" w:cs="Arial" w:eastAsia="Arial" w:hAnsi="Arial"/>
          <w:sz w:val="13"/>
          <w:szCs w:val="13"/>
          <w:color w:val="auto"/>
        </w:rPr>
        <w:t>We currently believe that existing cash, cash equivalents, short-term investments, funds generated from operations and access to our credit facility will be sufficient to provide for our anticipated requirements for working capital and capital expenditures for the next 12 months and the foreseeable future.</w:t>
      </w:r>
    </w:p>
    <w:p>
      <w:pPr>
        <w:spacing w:after="0" w:line="47" w:lineRule="exact"/>
        <w:rPr>
          <w:sz w:val="20"/>
          <w:szCs w:val="20"/>
          <w:color w:val="auto"/>
        </w:rPr>
      </w:pPr>
    </w:p>
    <w:p>
      <w:pPr>
        <w:ind w:left="680" w:right="140" w:firstLine="399"/>
        <w:spacing w:after="0" w:line="295" w:lineRule="auto"/>
        <w:rPr>
          <w:sz w:val="20"/>
          <w:szCs w:val="20"/>
          <w:color w:val="auto"/>
        </w:rPr>
      </w:pPr>
      <w:r>
        <w:rPr>
          <w:rFonts w:ascii="Arial" w:cs="Arial" w:eastAsia="Arial" w:hAnsi="Arial"/>
          <w:sz w:val="12"/>
          <w:szCs w:val="12"/>
          <w:color w:val="auto"/>
        </w:rPr>
        <w:t>There can be no assurance, however, that our business will generate cash flow, or that anticipated operational improvements will be achieved. If we are unable to maintain cash balances or generate sufficient cash flow from operations to service our obligations, we may be required to sell assets, reduce capital expenditures, or obtain financing. If we need to obtain additional financing, we cannot be assured that it will be available on favorable terms, or at all. Our ability to make scheduled principal payments or pay interest on or refinance any future indebtedness depends on our future performance and financial results, which, to a certain extent, are subject to general conditions in or affecting the microwave communications market and to general economic, political, financial, competitive, legislative and regulatory factors beyond our control.</w:t>
      </w:r>
    </w:p>
    <w:p>
      <w:pPr>
        <w:spacing w:after="0" w:line="12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Off-Balance Sheet Arrangements</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 accordance with the definition under SEC rules (Item 303(a) (4) (ii) of Regulation S-K), any of the following qualify as off-balance sheet arrangements:</w:t>
      </w:r>
    </w:p>
    <w:p>
      <w:pPr>
        <w:spacing w:after="0" w:line="102" w:lineRule="exact"/>
        <w:rPr>
          <w:sz w:val="20"/>
          <w:szCs w:val="20"/>
          <w:color w:val="auto"/>
        </w:rPr>
      </w:pPr>
    </w:p>
    <w:p>
      <w:pPr>
        <w:ind w:left="1300" w:hanging="208"/>
        <w:spacing w:after="0"/>
        <w:tabs>
          <w:tab w:leader="none" w:pos="13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Any obligation under certain guarantee contracts;</w:t>
      </w:r>
    </w:p>
    <w:p>
      <w:pPr>
        <w:spacing w:after="0" w:line="92" w:lineRule="exact"/>
        <w:rPr>
          <w:rFonts w:ascii="Arial" w:cs="Arial" w:eastAsia="Arial" w:hAnsi="Arial"/>
          <w:sz w:val="13"/>
          <w:szCs w:val="13"/>
          <w:color w:val="auto"/>
        </w:rPr>
      </w:pPr>
    </w:p>
    <w:p>
      <w:pPr>
        <w:ind w:left="1300" w:right="60" w:hanging="208"/>
        <w:spacing w:after="0" w:line="294" w:lineRule="auto"/>
        <w:tabs>
          <w:tab w:leader="none" w:pos="13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A retained or contingent interest in assets transferred to an unconsolidated entity or similar entity or similar arrangement that serves as credit, liquidity or market risk support to that entity for such assets;</w:t>
      </w:r>
    </w:p>
    <w:p>
      <w:pPr>
        <w:spacing w:after="0" w:line="36" w:lineRule="exact"/>
        <w:rPr>
          <w:rFonts w:ascii="Arial" w:cs="Arial" w:eastAsia="Arial" w:hAnsi="Arial"/>
          <w:sz w:val="13"/>
          <w:szCs w:val="13"/>
          <w:color w:val="auto"/>
        </w:rPr>
      </w:pPr>
    </w:p>
    <w:p>
      <w:pPr>
        <w:ind w:left="1300" w:hanging="208"/>
        <w:spacing w:after="0"/>
        <w:tabs>
          <w:tab w:leader="none" w:pos="13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Any obligation, including a contingent obligation, under certain derivative instruments; and</w:t>
      </w:r>
    </w:p>
    <w:p>
      <w:pPr>
        <w:spacing w:after="0" w:line="92" w:lineRule="exact"/>
        <w:rPr>
          <w:rFonts w:ascii="Arial" w:cs="Arial" w:eastAsia="Arial" w:hAnsi="Arial"/>
          <w:sz w:val="13"/>
          <w:szCs w:val="13"/>
          <w:color w:val="auto"/>
        </w:rPr>
      </w:pPr>
    </w:p>
    <w:p>
      <w:pPr>
        <w:ind w:left="1300" w:hanging="208"/>
        <w:spacing w:after="0" w:line="294" w:lineRule="auto"/>
        <w:tabs>
          <w:tab w:leader="none" w:pos="13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Any obligation, including a contingent obligation, under a material variable interest held by the registrant in an unconsolidated entity that provides financing, liquidity, market risk or credit risk support to the registrant, or engages in leasing, hedging or research and development services with the registrant.</w:t>
      </w:r>
    </w:p>
    <w:p>
      <w:pPr>
        <w:spacing w:after="0" w:line="25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49" w:name="page50"/>
    <w:bookmarkEnd w:id="4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5" w:lineRule="exact"/>
        <w:rPr>
          <w:sz w:val="20"/>
          <w:szCs w:val="20"/>
          <w:color w:val="auto"/>
        </w:rPr>
      </w:pPr>
    </w:p>
    <w:p>
      <w:pPr>
        <w:jc w:val="both"/>
        <w:ind w:left="680" w:right="80" w:firstLine="399"/>
        <w:spacing w:after="0" w:line="270" w:lineRule="auto"/>
        <w:rPr>
          <w:sz w:val="20"/>
          <w:szCs w:val="20"/>
          <w:color w:val="auto"/>
        </w:rPr>
      </w:pPr>
      <w:r>
        <w:rPr>
          <w:rFonts w:ascii="Arial" w:cs="Arial" w:eastAsia="Arial" w:hAnsi="Arial"/>
          <w:sz w:val="13"/>
          <w:szCs w:val="13"/>
          <w:color w:val="auto"/>
        </w:rPr>
        <w:t>Currently we are not participating in transactions that generate relationships with unconsolidated entities or financial partnerships, including variable interest entities, and we do not have any material retained or contingent interest in assets as defined above. As of July 3, 2009, we did not have material financial guarantees or other contractual commitments that are reasonably likely to adversely affect liquidity. In addition, we are not currently a party to any related party transactions that materially affect our results of operations, cash flows or financial condition.</w:t>
      </w:r>
    </w:p>
    <w:p>
      <w:pPr>
        <w:spacing w:after="0" w:line="63" w:lineRule="exact"/>
        <w:rPr>
          <w:sz w:val="20"/>
          <w:szCs w:val="20"/>
          <w:color w:val="auto"/>
        </w:rPr>
      </w:pPr>
    </w:p>
    <w:p>
      <w:pPr>
        <w:ind w:left="680" w:right="300" w:firstLine="399"/>
        <w:spacing w:after="0" w:line="276" w:lineRule="auto"/>
        <w:rPr>
          <w:sz w:val="20"/>
          <w:szCs w:val="20"/>
          <w:color w:val="auto"/>
        </w:rPr>
      </w:pPr>
      <w:r>
        <w:rPr>
          <w:rFonts w:ascii="Arial" w:cs="Arial" w:eastAsia="Arial" w:hAnsi="Arial"/>
          <w:sz w:val="13"/>
          <w:szCs w:val="13"/>
          <w:color w:val="auto"/>
        </w:rPr>
        <w:t>Due to our downsizing of certain operations pursuant to acquisitions, restructuring plans or otherwise, certain properties leased by us have been sublet to third parties. In the event any of these third parties vacate any of these premises, we would be legally obligated under master lease arrangements. We believe that the financial risk of default by such sublessors is individually and in the aggregate not material to our financial position, results of operations or cash flows.</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Financial Risk Management</w:t>
      </w:r>
    </w:p>
    <w:p>
      <w:pPr>
        <w:spacing w:after="0" w:line="102" w:lineRule="exact"/>
        <w:rPr>
          <w:sz w:val="20"/>
          <w:szCs w:val="20"/>
          <w:color w:val="auto"/>
        </w:rPr>
      </w:pPr>
    </w:p>
    <w:p>
      <w:pPr>
        <w:ind w:left="680" w:right="40" w:firstLine="399"/>
        <w:spacing w:after="0" w:line="294" w:lineRule="auto"/>
        <w:rPr>
          <w:sz w:val="20"/>
          <w:szCs w:val="20"/>
          <w:color w:val="auto"/>
        </w:rPr>
      </w:pPr>
      <w:r>
        <w:rPr>
          <w:rFonts w:ascii="Arial" w:cs="Arial" w:eastAsia="Arial" w:hAnsi="Arial"/>
          <w:sz w:val="13"/>
          <w:szCs w:val="13"/>
          <w:color w:val="auto"/>
        </w:rPr>
        <w:t>In the normal course of doing business, we are exposed to the risks associated with foreign currency exchange rates and changes in interest rates. We employ established policies and procedures governing the use of financial instruments to manage our exposure to such risks.</w:t>
      </w:r>
    </w:p>
    <w:p>
      <w:pPr>
        <w:spacing w:after="0" w:line="12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Exchange Rate Risk</w:t>
      </w:r>
    </w:p>
    <w:p>
      <w:pPr>
        <w:spacing w:after="0" w:line="102" w:lineRule="exact"/>
        <w:rPr>
          <w:sz w:val="20"/>
          <w:szCs w:val="20"/>
          <w:color w:val="auto"/>
        </w:rPr>
      </w:pPr>
    </w:p>
    <w:p>
      <w:pPr>
        <w:ind w:left="680" w:right="240" w:firstLine="399"/>
        <w:spacing w:after="0" w:line="294" w:lineRule="auto"/>
        <w:rPr>
          <w:sz w:val="20"/>
          <w:szCs w:val="20"/>
          <w:color w:val="auto"/>
        </w:rPr>
      </w:pPr>
      <w:r>
        <w:rPr>
          <w:rFonts w:ascii="Arial" w:cs="Arial" w:eastAsia="Arial" w:hAnsi="Arial"/>
          <w:sz w:val="13"/>
          <w:szCs w:val="13"/>
          <w:color w:val="auto"/>
        </w:rPr>
        <w:t>We are exposed to global market risks, including the effect of changes in foreign currency exchange rates, and use derivatives to manage financial exposures that occur in the normal course of business. We do not hold nor issue derivatives for trading purposes.</w:t>
      </w:r>
    </w:p>
    <w:p>
      <w:pPr>
        <w:spacing w:after="0" w:line="47" w:lineRule="exact"/>
        <w:rPr>
          <w:sz w:val="20"/>
          <w:szCs w:val="20"/>
          <w:color w:val="auto"/>
        </w:rPr>
      </w:pPr>
    </w:p>
    <w:p>
      <w:pPr>
        <w:ind w:left="680" w:right="100" w:firstLine="399"/>
        <w:spacing w:after="0" w:line="267" w:lineRule="auto"/>
        <w:rPr>
          <w:sz w:val="20"/>
          <w:szCs w:val="20"/>
          <w:color w:val="auto"/>
        </w:rPr>
      </w:pPr>
      <w:r>
        <w:rPr>
          <w:rFonts w:ascii="Arial" w:cs="Arial" w:eastAsia="Arial" w:hAnsi="Arial"/>
          <w:sz w:val="13"/>
          <w:szCs w:val="13"/>
          <w:color w:val="auto"/>
        </w:rPr>
        <w:t>We formally document all relationships between hedging instruments and hedged items, as well as the risk-management objective and strategy for undertaking hedge transactions. This process includes linking all derivatives to either specific firm commitments or forecasted transactions. We also enter into foreign exchange forward contracts to mitigate the change in fair value of specific assets and liabilities on the balance sheet; these are not designated as hedging instruments. Accordingly, changes in the fair value of hedges of recorded balance sheet positions are recognized immediately in cost of external product sales on the consolidated statements of operations together with the transaction gain or loss from the hedged balance sheet position.</w:t>
      </w:r>
    </w:p>
    <w:p>
      <w:pPr>
        <w:spacing w:after="0" w:line="65" w:lineRule="exact"/>
        <w:rPr>
          <w:sz w:val="20"/>
          <w:szCs w:val="20"/>
          <w:color w:val="auto"/>
        </w:rPr>
      </w:pPr>
    </w:p>
    <w:p>
      <w:pPr>
        <w:jc w:val="both"/>
        <w:ind w:left="680" w:right="120" w:firstLine="399"/>
        <w:spacing w:after="0" w:line="276" w:lineRule="auto"/>
        <w:rPr>
          <w:sz w:val="20"/>
          <w:szCs w:val="20"/>
          <w:color w:val="auto"/>
        </w:rPr>
      </w:pPr>
      <w:r>
        <w:rPr>
          <w:rFonts w:ascii="Arial" w:cs="Arial" w:eastAsia="Arial" w:hAnsi="Arial"/>
          <w:sz w:val="13"/>
          <w:szCs w:val="13"/>
          <w:color w:val="auto"/>
        </w:rPr>
        <w:t>Substantially all derivatives outstanding as of July 3, 2009 are designated as cash flow hedges or non-designated hedges of recorded balance sheet positions. All derivatives are recognized on the balance sheet at their fair value. The total notional amount of outstanding derivatives as of July 3, 2009 was $74.9 million, of which $9.7 million were designated as cash flow hedges and $65.2 million were not designated as cash flow hedging instruments.</w:t>
      </w:r>
    </w:p>
    <w:p>
      <w:pPr>
        <w:spacing w:after="0" w:line="59" w:lineRule="exact"/>
        <w:rPr>
          <w:sz w:val="20"/>
          <w:szCs w:val="20"/>
          <w:color w:val="auto"/>
        </w:rPr>
      </w:pPr>
    </w:p>
    <w:p>
      <w:pPr>
        <w:jc w:val="both"/>
        <w:ind w:left="680" w:right="140" w:firstLine="399"/>
        <w:spacing w:after="0" w:line="276" w:lineRule="auto"/>
        <w:rPr>
          <w:sz w:val="20"/>
          <w:szCs w:val="20"/>
          <w:color w:val="auto"/>
        </w:rPr>
      </w:pPr>
      <w:r>
        <w:rPr>
          <w:rFonts w:ascii="Arial" w:cs="Arial" w:eastAsia="Arial" w:hAnsi="Arial"/>
          <w:sz w:val="13"/>
          <w:szCs w:val="13"/>
          <w:color w:val="auto"/>
        </w:rPr>
        <w:t>A 10% adverse change in currency exchange rates for our foreign currency derivatives held as of July 3, 2009 would have an impact of approximately $4.6 million on the fair value of such instruments. This quantification of exposure to the market risk associated with foreign exchange financial instruments does not take into account the offsetting impact of changes in the fair value of our foreign denominated assets, liabilities and firm commitments.</w:t>
      </w:r>
    </w:p>
    <w:p>
      <w:pPr>
        <w:spacing w:after="0" w:line="59" w:lineRule="exact"/>
        <w:rPr>
          <w:sz w:val="20"/>
          <w:szCs w:val="20"/>
          <w:color w:val="auto"/>
        </w:rPr>
      </w:pPr>
    </w:p>
    <w:p>
      <w:pPr>
        <w:ind w:left="680" w:firstLine="399"/>
        <w:spacing w:after="0" w:line="294" w:lineRule="auto"/>
        <w:rPr>
          <w:sz w:val="20"/>
          <w:szCs w:val="20"/>
          <w:color w:val="auto"/>
        </w:rPr>
      </w:pPr>
      <w:r>
        <w:rPr>
          <w:rFonts w:ascii="Arial" w:cs="Arial" w:eastAsia="Arial" w:hAnsi="Arial"/>
          <w:sz w:val="13"/>
          <w:szCs w:val="13"/>
          <w:color w:val="auto"/>
        </w:rPr>
        <w:t>As of July 3, 2009, we had 40 foreign currency forward contracts outstanding with a total net notional amount of $29.2 million consisting of 14 different currencies, primarily the Australian dollar, Canadian dollar, Euro and</w:t>
      </w:r>
    </w:p>
    <w:p>
      <w:pPr>
        <w:spacing w:after="0" w:line="25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9" w:right="1039" w:bottom="1440" w:gutter="0" w:footer="0" w:header="0"/>
        </w:sectPr>
      </w:pPr>
    </w:p>
    <w:bookmarkStart w:id="50" w:name="page51"/>
    <w:bookmarkEnd w:id="5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Polish zloty. Following is a summary by currency of the contract net notional amounts grouped by the underlying foreign currency:</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7780" w:type="dxa"/>
            <w:vAlign w:val="bottom"/>
          </w:tcPr>
          <w:p>
            <w:pPr>
              <w:spacing w:after="0"/>
              <w:rPr>
                <w:sz w:val="10"/>
                <w:szCs w:val="10"/>
                <w:color w:val="auto"/>
              </w:rPr>
            </w:pPr>
          </w:p>
        </w:tc>
        <w:tc>
          <w:tcPr>
            <w:tcW w:w="1520" w:type="dxa"/>
            <w:vAlign w:val="bottom"/>
            <w:gridSpan w:val="3"/>
            <w:vMerge w:val="restart"/>
          </w:tcPr>
          <w:p>
            <w:pPr>
              <w:ind w:left="160"/>
              <w:spacing w:after="0"/>
              <w:rPr>
                <w:sz w:val="20"/>
                <w:szCs w:val="20"/>
                <w:color w:val="auto"/>
              </w:rPr>
            </w:pPr>
            <w:r>
              <w:rPr>
                <w:rFonts w:ascii="Arial" w:cs="Arial" w:eastAsia="Arial" w:hAnsi="Arial"/>
                <w:sz w:val="11"/>
                <w:szCs w:val="11"/>
                <w:b w:val="1"/>
                <w:bCs w:val="1"/>
                <w:color w:val="auto"/>
              </w:rPr>
              <w:t>Contract Amount</w:t>
            </w:r>
          </w:p>
        </w:tc>
        <w:tc>
          <w:tcPr>
            <w:tcW w:w="80" w:type="dxa"/>
            <w:vAlign w:val="bottom"/>
          </w:tcPr>
          <w:p>
            <w:pPr>
              <w:spacing w:after="0"/>
              <w:rPr>
                <w:sz w:val="10"/>
                <w:szCs w:val="10"/>
                <w:color w:val="auto"/>
              </w:rPr>
            </w:pPr>
          </w:p>
        </w:tc>
        <w:tc>
          <w:tcPr>
            <w:tcW w:w="60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8"/>
              </w:rPr>
              <w:t>Contract</w:t>
            </w:r>
          </w:p>
        </w:tc>
        <w:tc>
          <w:tcPr>
            <w:tcW w:w="0" w:type="dxa"/>
            <w:vAlign w:val="bottom"/>
          </w:tcPr>
          <w:p>
            <w:pPr>
              <w:spacing w:after="0"/>
              <w:rPr>
                <w:sz w:val="1"/>
                <w:szCs w:val="1"/>
                <w:color w:val="auto"/>
              </w:rPr>
            </w:pPr>
          </w:p>
        </w:tc>
      </w:tr>
      <w:tr>
        <w:trPr>
          <w:trHeight w:val="111"/>
        </w:trPr>
        <w:tc>
          <w:tcPr>
            <w:tcW w:w="7780" w:type="dxa"/>
            <w:vAlign w:val="bottom"/>
          </w:tcPr>
          <w:p>
            <w:pPr>
              <w:spacing w:after="0"/>
              <w:rPr>
                <w:sz w:val="9"/>
                <w:szCs w:val="9"/>
                <w:color w:val="auto"/>
              </w:rPr>
            </w:pPr>
          </w:p>
        </w:tc>
        <w:tc>
          <w:tcPr>
            <w:tcW w:w="152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2"/>
          </w:tcPr>
          <w:p>
            <w:pPr>
              <w:jc w:val="center"/>
              <w:ind w:right="160"/>
              <w:spacing w:after="0" w:line="111" w:lineRule="exact"/>
              <w:rPr>
                <w:sz w:val="20"/>
                <w:szCs w:val="20"/>
                <w:color w:val="auto"/>
              </w:rPr>
            </w:pPr>
            <w:r>
              <w:rPr>
                <w:rFonts w:ascii="Arial" w:cs="Arial" w:eastAsia="Arial" w:hAnsi="Arial"/>
                <w:sz w:val="11"/>
                <w:szCs w:val="11"/>
                <w:b w:val="1"/>
                <w:bCs w:val="1"/>
                <w:color w:val="auto"/>
                <w:w w:val="86"/>
              </w:rPr>
              <w:t>Amount</w:t>
            </w:r>
          </w:p>
        </w:tc>
        <w:tc>
          <w:tcPr>
            <w:tcW w:w="0" w:type="dxa"/>
            <w:vAlign w:val="bottom"/>
          </w:tcPr>
          <w:p>
            <w:pPr>
              <w:spacing w:after="0"/>
              <w:rPr>
                <w:sz w:val="1"/>
                <w:szCs w:val="1"/>
                <w:color w:val="auto"/>
              </w:rPr>
            </w:pPr>
          </w:p>
        </w:tc>
      </w:tr>
      <w:tr>
        <w:trPr>
          <w:trHeight w:val="128"/>
        </w:trPr>
        <w:tc>
          <w:tcPr>
            <w:tcW w:w="7780" w:type="dxa"/>
            <w:vAlign w:val="bottom"/>
          </w:tcPr>
          <w:p>
            <w:pPr>
              <w:spacing w:after="0"/>
              <w:rPr>
                <w:sz w:val="11"/>
                <w:szCs w:val="11"/>
                <w:color w:val="auto"/>
              </w:rPr>
            </w:pPr>
          </w:p>
        </w:tc>
        <w:tc>
          <w:tcPr>
            <w:tcW w:w="1140" w:type="dxa"/>
            <w:vAlign w:val="bottom"/>
            <w:tcBorders>
              <w:bottom w:val="single" w:sz="8" w:color="auto"/>
            </w:tcBorders>
            <w:gridSpan w:val="2"/>
          </w:tcPr>
          <w:p>
            <w:pPr>
              <w:ind w:left="180"/>
              <w:spacing w:after="0"/>
              <w:rPr>
                <w:sz w:val="20"/>
                <w:szCs w:val="20"/>
                <w:color w:val="auto"/>
              </w:rPr>
            </w:pPr>
            <w:r>
              <w:rPr>
                <w:rFonts w:ascii="Arial" w:cs="Arial" w:eastAsia="Arial" w:hAnsi="Arial"/>
                <w:sz w:val="11"/>
                <w:szCs w:val="11"/>
                <w:b w:val="1"/>
                <w:bCs w:val="1"/>
                <w:color w:val="auto"/>
              </w:rPr>
              <w:t>(Local Currency)</w:t>
            </w:r>
          </w:p>
        </w:tc>
        <w:tc>
          <w:tcPr>
            <w:tcW w:w="3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center"/>
              <w:ind w:right="17"/>
              <w:spacing w:after="0"/>
              <w:rPr>
                <w:sz w:val="20"/>
                <w:szCs w:val="20"/>
                <w:color w:val="auto"/>
              </w:rPr>
            </w:pPr>
            <w:r>
              <w:rPr>
                <w:rFonts w:ascii="Arial" w:cs="Arial" w:eastAsia="Arial" w:hAnsi="Arial"/>
                <w:sz w:val="11"/>
                <w:szCs w:val="11"/>
                <w:b w:val="1"/>
                <w:bCs w:val="1"/>
                <w:color w:val="auto"/>
                <w:w w:val="91"/>
              </w:rPr>
              <w:t>(USD)</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7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1"/>
                <w:szCs w:val="11"/>
                <w:b w:val="1"/>
                <w:bCs w:val="1"/>
                <w:color w:val="auto"/>
              </w:rPr>
              <w:t>(In millions)</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7780" w:type="dxa"/>
            <w:vAlign w:val="bottom"/>
            <w:shd w:val="clear" w:color="auto" w:fill="CCEEFF"/>
          </w:tcPr>
          <w:p>
            <w:pPr>
              <w:spacing w:after="0"/>
              <w:rPr>
                <w:sz w:val="20"/>
                <w:szCs w:val="20"/>
                <w:color w:val="auto"/>
              </w:rPr>
            </w:pPr>
            <w:r>
              <w:rPr>
                <w:rFonts w:ascii="Arial" w:cs="Arial" w:eastAsia="Arial" w:hAnsi="Arial"/>
                <w:sz w:val="13"/>
                <w:szCs w:val="13"/>
                <w:color w:val="auto"/>
              </w:rPr>
              <w:t>Australian dollar (“AUD”) net contracts to receive (pay) USD</w:t>
            </w:r>
          </w:p>
        </w:tc>
        <w:tc>
          <w:tcPr>
            <w:tcW w:w="6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(AUD)</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10.8</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8.6</w:t>
            </w:r>
          </w:p>
        </w:tc>
        <w:tc>
          <w:tcPr>
            <w:tcW w:w="0" w:type="dxa"/>
            <w:vAlign w:val="bottom"/>
          </w:tcPr>
          <w:p>
            <w:pPr>
              <w:spacing w:after="0"/>
              <w:rPr>
                <w:sz w:val="1"/>
                <w:szCs w:val="1"/>
                <w:color w:val="auto"/>
              </w:rPr>
            </w:pPr>
          </w:p>
        </w:tc>
      </w:tr>
      <w:tr>
        <w:trPr>
          <w:trHeight w:val="161"/>
        </w:trPr>
        <w:tc>
          <w:tcPr>
            <w:tcW w:w="7780" w:type="dxa"/>
            <w:vAlign w:val="bottom"/>
          </w:tcPr>
          <w:p>
            <w:pPr>
              <w:spacing w:after="0"/>
              <w:rPr>
                <w:sz w:val="20"/>
                <w:szCs w:val="20"/>
                <w:color w:val="auto"/>
              </w:rPr>
            </w:pPr>
            <w:r>
              <w:rPr>
                <w:rFonts w:ascii="Arial" w:cs="Arial" w:eastAsia="Arial" w:hAnsi="Arial"/>
                <w:sz w:val="13"/>
                <w:szCs w:val="13"/>
                <w:color w:val="auto"/>
              </w:rPr>
              <w:t>Canadian dollar (“CAD”) net contracts to receive (pay) USD</w:t>
            </w:r>
          </w:p>
        </w:tc>
        <w:tc>
          <w:tcPr>
            <w:tcW w:w="620" w:type="dxa"/>
            <w:vAlign w:val="bottom"/>
          </w:tcPr>
          <w:p>
            <w:pPr>
              <w:jc w:val="right"/>
              <w:ind w:right="77"/>
              <w:spacing w:after="0"/>
              <w:rPr>
                <w:sz w:val="20"/>
                <w:szCs w:val="20"/>
                <w:color w:val="auto"/>
              </w:rPr>
            </w:pPr>
            <w:r>
              <w:rPr>
                <w:rFonts w:ascii="Arial" w:cs="Arial" w:eastAsia="Arial" w:hAnsi="Arial"/>
                <w:sz w:val="13"/>
                <w:szCs w:val="13"/>
                <w:color w:val="auto"/>
              </w:rPr>
              <w:t>(CAD)</w:t>
            </w:r>
          </w:p>
        </w:tc>
        <w:tc>
          <w:tcPr>
            <w:tcW w:w="900" w:type="dxa"/>
            <w:vAlign w:val="bottom"/>
            <w:gridSpan w:val="2"/>
          </w:tcPr>
          <w:p>
            <w:pPr>
              <w:jc w:val="right"/>
              <w:ind w:right="320"/>
              <w:spacing w:after="0"/>
              <w:rPr>
                <w:sz w:val="20"/>
                <w:szCs w:val="20"/>
                <w:color w:val="auto"/>
              </w:rPr>
            </w:pPr>
            <w:r>
              <w:rPr>
                <w:rFonts w:ascii="Arial" w:cs="Arial" w:eastAsia="Arial" w:hAnsi="Arial"/>
                <w:sz w:val="13"/>
                <w:szCs w:val="13"/>
                <w:color w:val="auto"/>
              </w:rPr>
              <w:t>(5.7)</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(5.0)</w:t>
            </w:r>
          </w:p>
        </w:tc>
        <w:tc>
          <w:tcPr>
            <w:tcW w:w="0" w:type="dxa"/>
            <w:vAlign w:val="bottom"/>
          </w:tcPr>
          <w:p>
            <w:pPr>
              <w:spacing w:after="0"/>
              <w:rPr>
                <w:sz w:val="1"/>
                <w:szCs w:val="1"/>
                <w:color w:val="auto"/>
              </w:rPr>
            </w:pPr>
          </w:p>
        </w:tc>
      </w:tr>
      <w:tr>
        <w:trPr>
          <w:trHeight w:val="161"/>
        </w:trPr>
        <w:tc>
          <w:tcPr>
            <w:tcW w:w="7780" w:type="dxa"/>
            <w:vAlign w:val="bottom"/>
            <w:shd w:val="clear" w:color="auto" w:fill="CCEEFF"/>
          </w:tcPr>
          <w:p>
            <w:pPr>
              <w:spacing w:after="0"/>
              <w:rPr>
                <w:sz w:val="20"/>
                <w:szCs w:val="20"/>
                <w:color w:val="auto"/>
              </w:rPr>
            </w:pPr>
            <w:r>
              <w:rPr>
                <w:rFonts w:ascii="Arial" w:cs="Arial" w:eastAsia="Arial" w:hAnsi="Arial"/>
                <w:sz w:val="13"/>
                <w:szCs w:val="13"/>
                <w:color w:val="auto"/>
              </w:rPr>
              <w:t>Euro (“EUR”) net contracts to receive (pay) USD</w:t>
            </w:r>
          </w:p>
        </w:tc>
        <w:tc>
          <w:tcPr>
            <w:tcW w:w="6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(EUR)</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10.4</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14.6</w:t>
            </w:r>
          </w:p>
        </w:tc>
        <w:tc>
          <w:tcPr>
            <w:tcW w:w="0" w:type="dxa"/>
            <w:vAlign w:val="bottom"/>
          </w:tcPr>
          <w:p>
            <w:pPr>
              <w:spacing w:after="0"/>
              <w:rPr>
                <w:sz w:val="1"/>
                <w:szCs w:val="1"/>
                <w:color w:val="auto"/>
              </w:rPr>
            </w:pPr>
          </w:p>
        </w:tc>
      </w:tr>
      <w:tr>
        <w:trPr>
          <w:trHeight w:val="161"/>
        </w:trPr>
        <w:tc>
          <w:tcPr>
            <w:tcW w:w="7780" w:type="dxa"/>
            <w:vAlign w:val="bottom"/>
          </w:tcPr>
          <w:p>
            <w:pPr>
              <w:spacing w:after="0"/>
              <w:rPr>
                <w:sz w:val="20"/>
                <w:szCs w:val="20"/>
                <w:color w:val="auto"/>
              </w:rPr>
            </w:pPr>
            <w:r>
              <w:rPr>
                <w:rFonts w:ascii="Arial" w:cs="Arial" w:eastAsia="Arial" w:hAnsi="Arial"/>
                <w:sz w:val="13"/>
                <w:szCs w:val="13"/>
                <w:color w:val="auto"/>
              </w:rPr>
              <w:t>Polish zloty (“PLN”) net contracts to receive (pay) USD</w:t>
            </w:r>
          </w:p>
        </w:tc>
        <w:tc>
          <w:tcPr>
            <w:tcW w:w="620" w:type="dxa"/>
            <w:vAlign w:val="bottom"/>
          </w:tcPr>
          <w:p>
            <w:pPr>
              <w:jc w:val="right"/>
              <w:ind w:right="77"/>
              <w:spacing w:after="0"/>
              <w:rPr>
                <w:sz w:val="20"/>
                <w:szCs w:val="20"/>
                <w:color w:val="auto"/>
              </w:rPr>
            </w:pPr>
            <w:r>
              <w:rPr>
                <w:rFonts w:ascii="Arial" w:cs="Arial" w:eastAsia="Arial" w:hAnsi="Arial"/>
                <w:sz w:val="13"/>
                <w:szCs w:val="13"/>
                <w:color w:val="auto"/>
              </w:rPr>
              <w:t>(PLN)</w:t>
            </w: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31.2</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9.6</w:t>
            </w:r>
          </w:p>
        </w:tc>
        <w:tc>
          <w:tcPr>
            <w:tcW w:w="0" w:type="dxa"/>
            <w:vAlign w:val="bottom"/>
          </w:tcPr>
          <w:p>
            <w:pPr>
              <w:spacing w:after="0"/>
              <w:rPr>
                <w:sz w:val="1"/>
                <w:szCs w:val="1"/>
                <w:color w:val="auto"/>
              </w:rPr>
            </w:pPr>
          </w:p>
        </w:tc>
      </w:tr>
      <w:tr>
        <w:trPr>
          <w:trHeight w:val="161"/>
        </w:trPr>
        <w:tc>
          <w:tcPr>
            <w:tcW w:w="7780" w:type="dxa"/>
            <w:vAlign w:val="bottom"/>
            <w:shd w:val="clear" w:color="auto" w:fill="CCEEFF"/>
          </w:tcPr>
          <w:p>
            <w:pPr>
              <w:spacing w:after="0"/>
              <w:rPr>
                <w:sz w:val="20"/>
                <w:szCs w:val="20"/>
                <w:color w:val="auto"/>
              </w:rPr>
            </w:pPr>
            <w:r>
              <w:rPr>
                <w:rFonts w:ascii="Arial" w:cs="Arial" w:eastAsia="Arial" w:hAnsi="Arial"/>
                <w:sz w:val="13"/>
                <w:szCs w:val="13"/>
                <w:color w:val="auto"/>
              </w:rPr>
              <w:t>All other currencies net contracts to</w:t>
            </w:r>
          </w:p>
        </w:tc>
        <w:tc>
          <w:tcPr>
            <w:tcW w:w="6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780" w:type="dxa"/>
            <w:vAlign w:val="bottom"/>
          </w:tcPr>
          <w:p>
            <w:pPr>
              <w:spacing w:after="0"/>
              <w:rPr>
                <w:sz w:val="20"/>
                <w:szCs w:val="20"/>
                <w:color w:val="auto"/>
              </w:rPr>
            </w:pPr>
            <w:r>
              <w:rPr>
                <w:rFonts w:ascii="Arial" w:cs="Arial" w:eastAsia="Arial" w:hAnsi="Arial"/>
                <w:sz w:val="13"/>
                <w:szCs w:val="13"/>
                <w:color w:val="auto"/>
              </w:rPr>
              <w:t>receive (pay) USD</w:t>
            </w: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780" w:type="dxa"/>
            <w:vAlign w:val="bottom"/>
            <w:shd w:val="clear" w:color="auto" w:fill="CCEEFF"/>
          </w:tcPr>
          <w:p>
            <w:pPr>
              <w:spacing w:after="0"/>
              <w:rPr>
                <w:sz w:val="20"/>
                <w:szCs w:val="20"/>
                <w:color w:val="auto"/>
              </w:rPr>
            </w:pPr>
            <w:r>
              <w:rPr>
                <w:rFonts w:ascii="Arial" w:cs="Arial" w:eastAsia="Arial" w:hAnsi="Arial"/>
                <w:sz w:val="13"/>
                <w:szCs w:val="13"/>
                <w:color w:val="auto"/>
              </w:rPr>
              <w:t>Total of all currencies</w:t>
            </w:r>
          </w:p>
        </w:tc>
        <w:tc>
          <w:tcPr>
            <w:tcW w:w="6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29.2</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Cash Flow Hedges</w:t>
      </w:r>
    </w:p>
    <w:p>
      <w:pPr>
        <w:spacing w:after="0" w:line="104" w:lineRule="exact"/>
        <w:rPr>
          <w:sz w:val="20"/>
          <w:szCs w:val="20"/>
          <w:color w:val="auto"/>
        </w:rPr>
      </w:pPr>
    </w:p>
    <w:p>
      <w:pPr>
        <w:ind w:left="680" w:right="120" w:firstLine="399"/>
        <w:spacing w:after="0" w:line="295" w:lineRule="auto"/>
        <w:rPr>
          <w:sz w:val="20"/>
          <w:szCs w:val="20"/>
          <w:color w:val="auto"/>
        </w:rPr>
      </w:pPr>
      <w:r>
        <w:rPr>
          <w:rFonts w:ascii="Arial" w:cs="Arial" w:eastAsia="Arial" w:hAnsi="Arial"/>
          <w:sz w:val="12"/>
          <w:szCs w:val="12"/>
          <w:color w:val="auto"/>
        </w:rPr>
        <w:t>The purpose of our foreign currency hedging activities is to protect us from the risk that the eventual cash flows resulting from transactions in foreign currencies, including revenue, product costs, selling and administrative expenses and intercompany transactions will be adversely affected by changes in exchange rates. It is our policy to utilize derivatives to reduce foreign exchange risks where internal netting strategies cannot be effectively employed. As of July 3, 2009, hedged transactions included our customer and intercompany backlog and outstanding purchase commitments denominated in Euros. We hedge up to 100% of anticipated exposures typically one to three months in advance, but have hedged as much as five months in advance. We generally review our exposures twice each month and adjust the amount of derivatives outstanding as needed.</w:t>
      </w:r>
    </w:p>
    <w:p>
      <w:pPr>
        <w:spacing w:after="0" w:line="49" w:lineRule="exact"/>
        <w:rPr>
          <w:sz w:val="20"/>
          <w:szCs w:val="20"/>
          <w:color w:val="auto"/>
        </w:rPr>
      </w:pPr>
    </w:p>
    <w:p>
      <w:pPr>
        <w:ind w:left="680" w:right="80" w:firstLine="399"/>
        <w:spacing w:after="0" w:line="299" w:lineRule="auto"/>
        <w:rPr>
          <w:sz w:val="20"/>
          <w:szCs w:val="20"/>
          <w:color w:val="auto"/>
        </w:rPr>
      </w:pPr>
      <w:r>
        <w:rPr>
          <w:rFonts w:ascii="Arial" w:cs="Arial" w:eastAsia="Arial" w:hAnsi="Arial"/>
          <w:sz w:val="12"/>
          <w:szCs w:val="12"/>
          <w:color w:val="auto"/>
        </w:rPr>
        <w:t>We formally assess both at inception and on an ongoing basis, whether the derivatives that are used in the hedging transaction have been highly effective in offsetting changes in the value or cash flows of hedged items and whether those derivatives may be expected to remain highly effective in future periods. We discontinue hedge accounting when the derivative expires or is sold, terminated, or exercised or it is no longer probable that the forecasted transaction will occur. When it is determined that a derivative is not, or has ceased to be, highly effective as a hedge, we discontinue hedge accounting and redesignate the hedge as a non-Statement 133 hedge, if it is still outstanding at the time the determination is made.</w:t>
      </w:r>
    </w:p>
    <w:p>
      <w:pPr>
        <w:spacing w:after="0" w:line="12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Non-Designated Hedges</w:t>
      </w:r>
    </w:p>
    <w:p>
      <w:pPr>
        <w:spacing w:after="0" w:line="104" w:lineRule="exact"/>
        <w:rPr>
          <w:sz w:val="20"/>
          <w:szCs w:val="20"/>
          <w:color w:val="auto"/>
        </w:rPr>
      </w:pPr>
    </w:p>
    <w:p>
      <w:pPr>
        <w:ind w:left="680" w:right="20" w:firstLine="399"/>
        <w:spacing w:after="0" w:line="265" w:lineRule="auto"/>
        <w:rPr>
          <w:sz w:val="20"/>
          <w:szCs w:val="20"/>
          <w:color w:val="auto"/>
        </w:rPr>
      </w:pPr>
      <w:r>
        <w:rPr>
          <w:rFonts w:ascii="Arial" w:cs="Arial" w:eastAsia="Arial" w:hAnsi="Arial"/>
          <w:sz w:val="13"/>
          <w:szCs w:val="13"/>
          <w:color w:val="auto"/>
        </w:rPr>
        <w:t>As mentioned above, the total notional amount of outstanding derivatives as of July 3, 2009 not designated as cash flow hedging instruments was $65.2 million. The purpose of these hedges is to offset realized and unrealized foreign exchange gains and losses recorded on non-functional currency monetary assets and liabilities, including primarily cash balances and accounts receivable and accounts payable from third party and intercompany transactions recorded on the balance sheet. Since these gains and losses are considered by us to be operational in nature, we record both the gains and losses from the revaluation of the balance sheet transactions and the gains and losses on the derivatives in cost of products sold. For derivatives not designated as hedging instruments, we recorded in cost of products sold on our Statement of Operations in the fourth quarter of fiscal 2009 and the fiscal year 2009, losses of $1.7 million and gains of $5.4 million.</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Credit Risk</w:t>
      </w:r>
    </w:p>
    <w:p>
      <w:pPr>
        <w:spacing w:after="0" w:line="104" w:lineRule="exact"/>
        <w:rPr>
          <w:sz w:val="20"/>
          <w:szCs w:val="20"/>
          <w:color w:val="auto"/>
        </w:rPr>
      </w:pPr>
    </w:p>
    <w:p>
      <w:pPr>
        <w:ind w:left="680" w:right="80" w:firstLine="399"/>
        <w:spacing w:after="0" w:line="270" w:lineRule="auto"/>
        <w:rPr>
          <w:sz w:val="20"/>
          <w:szCs w:val="20"/>
          <w:color w:val="auto"/>
        </w:rPr>
      </w:pPr>
      <w:r>
        <w:rPr>
          <w:rFonts w:ascii="Arial" w:cs="Arial" w:eastAsia="Arial" w:hAnsi="Arial"/>
          <w:sz w:val="13"/>
          <w:szCs w:val="13"/>
          <w:color w:val="auto"/>
        </w:rPr>
        <w:t>We are exposed to credit-related losses in the event of non-performance by counterparties to hedging instruments. The counterparties to all derivative transactions are major financial institutions with investment grade credit ratings. However, this does not eliminate our exposure to credit risk with these institutions. Should any of these counterparties fail to perform as contracted, we could incur interest charges and unanticipated gains or losses on the settlement of the derivatives in addition to the recorded fair value of the derivative due to non-delivery of the currency. To manage this risk, we have established strict counterparty credit guidelines and maintain credit</w:t>
      </w:r>
    </w:p>
    <w:p>
      <w:pPr>
        <w:spacing w:after="0" w:line="27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51" w:name="page52"/>
    <w:bookmarkEnd w:id="5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160"/>
        <w:spacing w:after="0" w:line="294" w:lineRule="auto"/>
        <w:rPr>
          <w:sz w:val="20"/>
          <w:szCs w:val="20"/>
          <w:color w:val="auto"/>
        </w:rPr>
      </w:pPr>
      <w:r>
        <w:rPr>
          <w:rFonts w:ascii="Arial" w:cs="Arial" w:eastAsia="Arial" w:hAnsi="Arial"/>
          <w:sz w:val="13"/>
          <w:szCs w:val="13"/>
          <w:color w:val="auto"/>
        </w:rPr>
        <w:t>relationships with several financial institutions providing foreign currency exchange services in accordance with corporate policy. As a result of the above considerations, we consider the risk of counterparty default to be immaterial.</w:t>
      </w:r>
    </w:p>
    <w:p>
      <w:pPr>
        <w:spacing w:after="0" w:line="47" w:lineRule="exact"/>
        <w:rPr>
          <w:sz w:val="20"/>
          <w:szCs w:val="20"/>
          <w:color w:val="auto"/>
        </w:rPr>
      </w:pPr>
    </w:p>
    <w:p>
      <w:pPr>
        <w:ind w:left="680" w:right="100" w:firstLine="399"/>
        <w:spacing w:after="0" w:line="265" w:lineRule="auto"/>
        <w:rPr>
          <w:sz w:val="20"/>
          <w:szCs w:val="20"/>
          <w:color w:val="auto"/>
        </w:rPr>
      </w:pPr>
      <w:r>
        <w:rPr>
          <w:rFonts w:ascii="Arial" w:cs="Arial" w:eastAsia="Arial" w:hAnsi="Arial"/>
          <w:sz w:val="13"/>
          <w:szCs w:val="13"/>
          <w:color w:val="auto"/>
        </w:rPr>
        <w:t>We have informal credit facilities with several commercial banks under which we transact foreign exchange transactions. These facilities are generally restricted to a total notional amount outstanding, a maximum settlement amount in any one day and a maximum term. There are no written agreements supporting these facilities with the exception of one bank which provided us with their general terms and conditions for trading that we acknowledged. None of the facilities are collateralized and none require compliance with financial covenants or contain cross default or other provisions which could affect other credit arrangements we have with the same or other banks. If we fail to deliver currencies as required upon settlement of a trade, the bank may require early settlement on a net basis of all derivatives outstanding and if any amounts are still owing to the bank, they may charge any cash account we have with the bank for that amount.</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Interest Rate Risk</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exposure to market risk for changes in interest rates relates primarily to our cash equivalents, short-term investments and bank debt.</w:t>
      </w:r>
    </w:p>
    <w:p>
      <w:pPr>
        <w:spacing w:after="0" w:line="18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Exposure on Cash Equivalents and Short-term Investments</w:t>
      </w:r>
    </w:p>
    <w:p>
      <w:pPr>
        <w:spacing w:after="0" w:line="104" w:lineRule="exact"/>
        <w:rPr>
          <w:sz w:val="20"/>
          <w:szCs w:val="20"/>
          <w:color w:val="auto"/>
        </w:rPr>
      </w:pPr>
    </w:p>
    <w:p>
      <w:pPr>
        <w:ind w:left="680" w:firstLine="399"/>
        <w:spacing w:after="0" w:line="270" w:lineRule="auto"/>
        <w:rPr>
          <w:sz w:val="20"/>
          <w:szCs w:val="20"/>
          <w:color w:val="auto"/>
        </w:rPr>
      </w:pPr>
      <w:r>
        <w:rPr>
          <w:rFonts w:ascii="Arial" w:cs="Arial" w:eastAsia="Arial" w:hAnsi="Arial"/>
          <w:sz w:val="13"/>
          <w:szCs w:val="13"/>
          <w:color w:val="auto"/>
        </w:rPr>
        <w:t>We do not use derivative financial instruments in our short-term investment portfolio. We invest in high-credit quality issues and, by policy, limit the amount of credit exposure to any one issuer and country. The portfolio includes only marketable securities with active secondary or resale markets to ensure portfolio liquidity. The portfolio is also diversified by maturity to ensure that funds are readily available as needed to meet our liquidity needs. This policy reduces the potential need to sell securities in order to meet liquidity needs and therefore the potential effect of changing market rates on the value of securities sold.</w:t>
      </w:r>
    </w:p>
    <w:p>
      <w:pPr>
        <w:spacing w:after="0" w:line="63" w:lineRule="exact"/>
        <w:rPr>
          <w:sz w:val="20"/>
          <w:szCs w:val="20"/>
          <w:color w:val="auto"/>
        </w:rPr>
      </w:pPr>
    </w:p>
    <w:p>
      <w:pPr>
        <w:ind w:left="680" w:right="20" w:firstLine="399"/>
        <w:spacing w:after="0" w:line="294" w:lineRule="auto"/>
        <w:rPr>
          <w:sz w:val="20"/>
          <w:szCs w:val="20"/>
          <w:color w:val="auto"/>
        </w:rPr>
      </w:pPr>
      <w:r>
        <w:rPr>
          <w:rFonts w:ascii="Arial" w:cs="Arial" w:eastAsia="Arial" w:hAnsi="Arial"/>
          <w:sz w:val="13"/>
          <w:szCs w:val="13"/>
          <w:color w:val="auto"/>
        </w:rPr>
        <w:t>We had $137.1 million in cash, cash equivalents and short-term investments as of July 3, 2009. Short-term investments totaled $0.3 million as of July 3, 2009 and had contractual maturities of less than one month.</w:t>
      </w:r>
    </w:p>
    <w:p>
      <w:pPr>
        <w:spacing w:after="0" w:line="47" w:lineRule="exact"/>
        <w:rPr>
          <w:sz w:val="20"/>
          <w:szCs w:val="20"/>
          <w:color w:val="auto"/>
        </w:rPr>
      </w:pPr>
    </w:p>
    <w:p>
      <w:pPr>
        <w:ind w:left="680" w:right="120" w:firstLine="399"/>
        <w:spacing w:after="0" w:line="270" w:lineRule="auto"/>
        <w:rPr>
          <w:sz w:val="20"/>
          <w:szCs w:val="20"/>
          <w:color w:val="auto"/>
        </w:rPr>
      </w:pPr>
      <w:r>
        <w:rPr>
          <w:rFonts w:ascii="Arial" w:cs="Arial" w:eastAsia="Arial" w:hAnsi="Arial"/>
          <w:sz w:val="13"/>
          <w:szCs w:val="13"/>
          <w:color w:val="auto"/>
        </w:rPr>
        <w:t>The primary objective of our short-term investment activities is to preserve principal while maximizing yields, without significantly increasing risk. Our cash equivalents and short-term investments earn interest at fixed rates; therefore, changes in interest rates will not generate a gain or loss on these investments unless they are sold prior to maturity. Actual gains and losses due to the sale of our investments prior to maturity have been immaterial. The weighted average days to maturity for cash equivalents and short-term investments held as of July 3, 2009 was less than two days, and these investments had an average yield of 0.4% per annum.</w:t>
      </w:r>
    </w:p>
    <w:p>
      <w:pPr>
        <w:spacing w:after="0" w:line="63" w:lineRule="exact"/>
        <w:rPr>
          <w:sz w:val="20"/>
          <w:szCs w:val="20"/>
          <w:color w:val="auto"/>
        </w:rPr>
      </w:pPr>
    </w:p>
    <w:p>
      <w:pPr>
        <w:ind w:left="680" w:right="340" w:firstLine="399"/>
        <w:spacing w:after="0" w:line="294" w:lineRule="auto"/>
        <w:rPr>
          <w:sz w:val="20"/>
          <w:szCs w:val="20"/>
          <w:color w:val="auto"/>
        </w:rPr>
      </w:pPr>
      <w:r>
        <w:rPr>
          <w:rFonts w:ascii="Arial" w:cs="Arial" w:eastAsia="Arial" w:hAnsi="Arial"/>
          <w:sz w:val="13"/>
          <w:szCs w:val="13"/>
          <w:color w:val="auto"/>
        </w:rPr>
        <w:t>As of July 3, 2009, unrealized losses on our short-term investments were insignificant. Cash equivalents and short-term investments have been recorded at fair value on our balance sheet.</w:t>
      </w:r>
    </w:p>
    <w:p>
      <w:pPr>
        <w:spacing w:after="0" w:line="12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Exposure on Borrowings</w:t>
      </w:r>
    </w:p>
    <w:p>
      <w:pPr>
        <w:spacing w:after="0" w:line="104" w:lineRule="exact"/>
        <w:rPr>
          <w:sz w:val="20"/>
          <w:szCs w:val="20"/>
          <w:color w:val="auto"/>
        </w:rPr>
      </w:pPr>
    </w:p>
    <w:p>
      <w:pPr>
        <w:ind w:left="680" w:right="20" w:firstLine="399"/>
        <w:spacing w:after="0" w:line="270" w:lineRule="auto"/>
        <w:rPr>
          <w:sz w:val="20"/>
          <w:szCs w:val="20"/>
          <w:color w:val="auto"/>
        </w:rPr>
      </w:pPr>
      <w:r>
        <w:rPr>
          <w:rFonts w:ascii="Arial" w:cs="Arial" w:eastAsia="Arial" w:hAnsi="Arial"/>
          <w:sz w:val="13"/>
          <w:szCs w:val="13"/>
          <w:color w:val="auto"/>
        </w:rPr>
        <w:t>Borrowings under our $70 million revolving credit facility effective as of June 30, 2008 were at an interest rate of either (1) the bank’s prime rate or (2) the London Interbank Offered Rate (“LIBOR”) plus 1.25%. During the fiscal year ended July 3, 2009, we had $10 million of short-term borrowings outstanding under the credit facility and recorded total interest expense of $0.4 million on these borrowings. A 10% change in interest rates on the current borrowings or on future borrowings are not expected to have a material impact on our financial position, results of operations or cash flows since interest on our short-term debt is not material to our overall financial position.</w:t>
      </w:r>
    </w:p>
    <w:p>
      <w:pPr>
        <w:spacing w:after="0" w:line="14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Impact of Foreign Exchange</w:t>
      </w:r>
    </w:p>
    <w:p>
      <w:pPr>
        <w:spacing w:after="0" w:line="102" w:lineRule="exact"/>
        <w:rPr>
          <w:sz w:val="20"/>
          <w:szCs w:val="20"/>
          <w:color w:val="auto"/>
        </w:rPr>
      </w:pPr>
    </w:p>
    <w:p>
      <w:pPr>
        <w:ind w:left="680" w:right="240" w:firstLine="399"/>
        <w:spacing w:after="0" w:line="276" w:lineRule="auto"/>
        <w:rPr>
          <w:sz w:val="20"/>
          <w:szCs w:val="20"/>
          <w:color w:val="auto"/>
        </w:rPr>
      </w:pPr>
      <w:r>
        <w:rPr>
          <w:rFonts w:ascii="Arial" w:cs="Arial" w:eastAsia="Arial" w:hAnsi="Arial"/>
          <w:sz w:val="13"/>
          <w:szCs w:val="13"/>
          <w:color w:val="auto"/>
        </w:rPr>
        <w:t>Approximately 31% of our international business was transacted in non U.S. dollar currency environments in fiscal 2009 compared with 22% in fiscal 2008. The impact of translating the assets and liabilities of foreign operations to U.S. dollars is included as a component of shareholders’ equity. As of July 3, 2009, the cumulative translation adjustment decreased shareholders’ equity by $4.4 million compared with an increase of $4.1 million as</w:t>
      </w:r>
    </w:p>
    <w:p>
      <w:pPr>
        <w:spacing w:after="0" w:line="270"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52" w:name="page53"/>
    <w:bookmarkEnd w:id="5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440"/>
        <w:spacing w:after="0" w:line="294" w:lineRule="auto"/>
        <w:rPr>
          <w:sz w:val="20"/>
          <w:szCs w:val="20"/>
          <w:color w:val="auto"/>
        </w:rPr>
      </w:pPr>
      <w:r>
        <w:rPr>
          <w:rFonts w:ascii="Arial" w:cs="Arial" w:eastAsia="Arial" w:hAnsi="Arial"/>
          <w:sz w:val="13"/>
          <w:szCs w:val="13"/>
          <w:color w:val="auto"/>
        </w:rPr>
        <w:t>of June 27, 2008, an adverse effect totaling $8.5 million during fiscal 2009. As discussed above, we utilize foreign currency hedging instruments to minimize the currency risk of international transactions.</w:t>
      </w:r>
    </w:p>
    <w:p>
      <w:pPr>
        <w:spacing w:after="0" w:line="12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Seasonality</w:t>
      </w:r>
    </w:p>
    <w:p>
      <w:pPr>
        <w:spacing w:after="0" w:line="102" w:lineRule="exact"/>
        <w:rPr>
          <w:sz w:val="20"/>
          <w:szCs w:val="20"/>
          <w:color w:val="auto"/>
        </w:rPr>
      </w:pPr>
    </w:p>
    <w:p>
      <w:pPr>
        <w:ind w:left="680" w:right="60" w:firstLine="399"/>
        <w:spacing w:after="0" w:line="299" w:lineRule="auto"/>
        <w:rPr>
          <w:sz w:val="20"/>
          <w:szCs w:val="20"/>
          <w:color w:val="auto"/>
        </w:rPr>
      </w:pPr>
      <w:r>
        <w:rPr>
          <w:rFonts w:ascii="Arial" w:cs="Arial" w:eastAsia="Arial" w:hAnsi="Arial"/>
          <w:sz w:val="12"/>
          <w:szCs w:val="12"/>
          <w:color w:val="auto"/>
        </w:rPr>
        <w:t>Our fiscal third quarter revenue and orders have historically been lower than the revenue and orders in the immediately preceding second quarter because many of our customers utilize a significant portion of their capital budgets at the end of their fiscal year, the majority of our customers begin a new fiscal year on January 1, and capital expenditures tend to be lower in an organization’s first quarter than in its fourth quarter. We anticipate that this seasonality will continue. The seasonality between the second quarter and third quarter may be affected by a variety of factors, including changes in the global economy and other factors. Please refer to the section entitled “Risk Factors” in Item 1A.</w:t>
      </w:r>
    </w:p>
    <w:p>
      <w:pPr>
        <w:spacing w:after="0" w:line="12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Critical Accounting Estimates</w:t>
      </w:r>
    </w:p>
    <w:p>
      <w:pPr>
        <w:spacing w:after="0" w:line="104" w:lineRule="exact"/>
        <w:rPr>
          <w:sz w:val="20"/>
          <w:szCs w:val="20"/>
          <w:color w:val="auto"/>
        </w:rPr>
      </w:pPr>
    </w:p>
    <w:p>
      <w:pPr>
        <w:ind w:left="680" w:right="40" w:firstLine="399"/>
        <w:spacing w:after="0" w:line="292" w:lineRule="auto"/>
        <w:rPr>
          <w:sz w:val="20"/>
          <w:szCs w:val="20"/>
          <w:color w:val="auto"/>
        </w:rPr>
      </w:pPr>
      <w:r>
        <w:rPr>
          <w:rFonts w:ascii="Arial" w:cs="Arial" w:eastAsia="Arial" w:hAnsi="Arial"/>
          <w:sz w:val="12"/>
          <w:szCs w:val="12"/>
          <w:color w:val="auto"/>
        </w:rPr>
        <w:t>Our consolidated financial statements are prepared in accordance with U.S. generally accepted accounting principles (“GAAP”). These accounting principles require us to make certain estimates, judgments and assumptions. We believe that the estimates, judgments and assumptions upon which we rely are reasonable based upon information available to us at the time that these estimates, judgments and assumptions are made. These estimates, judgments and assumptions can affect the reported amounts of assets and liabilities as of the date of the consolidated financial statements as well as the reported amounts of revenues and expenses during the periods presented. To the extent there are material differences between these estimates, judgments or assumptions and actual results, our financial statements will be affected. The accounting policies that reflect our more significant estimates, judgments and assumptions and which we believe are the most critical to aid in fully understanding and evaluating our reported financial results include the following:</w:t>
      </w:r>
    </w:p>
    <w:p>
      <w:pPr>
        <w:spacing w:after="0" w:line="51" w:lineRule="exact"/>
        <w:rPr>
          <w:sz w:val="20"/>
          <w:szCs w:val="20"/>
          <w:color w:val="auto"/>
        </w:rPr>
      </w:pPr>
    </w:p>
    <w:p>
      <w:pPr>
        <w:ind w:left="1300" w:hanging="208"/>
        <w:spacing w:after="0"/>
        <w:tabs>
          <w:tab w:leader="none" w:pos="13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Revenue Recognition</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Provision for Excess and Obsolete Inventory Losses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Goodwill and Intangible Assets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Income Taxes and Tax Valuation Allowances</w:t>
      </w:r>
    </w:p>
    <w:p>
      <w:pPr>
        <w:spacing w:after="0" w:line="102"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In many cases, the accounting treatment of a particular transaction is specifically dictated by U.S. GAAP and does not require management’s judgment in its application. There are also areas in which management’s judgment in selecting among available alternatives would not produce a materially different result. Our senior management has reviewed these critical accounting policies and related disclosures with the Audit Committee of the Board of Directors.</w:t>
      </w:r>
    </w:p>
    <w:p>
      <w:pPr>
        <w:spacing w:after="0" w:line="59" w:lineRule="exact"/>
        <w:rPr>
          <w:sz w:val="20"/>
          <w:szCs w:val="20"/>
          <w:color w:val="auto"/>
        </w:rPr>
      </w:pPr>
    </w:p>
    <w:p>
      <w:pPr>
        <w:ind w:left="680" w:firstLine="399"/>
        <w:spacing w:after="0" w:line="295" w:lineRule="auto"/>
        <w:rPr>
          <w:sz w:val="20"/>
          <w:szCs w:val="20"/>
          <w:color w:val="auto"/>
        </w:rPr>
      </w:pPr>
      <w:r>
        <w:rPr>
          <w:rFonts w:ascii="Arial" w:cs="Arial" w:eastAsia="Arial" w:hAnsi="Arial"/>
          <w:sz w:val="12"/>
          <w:szCs w:val="12"/>
          <w:color w:val="auto"/>
        </w:rPr>
        <w:t>On an ongoing basis, we evaluate our estimates, including those related to revenue recognition, provision for doubtful accounts and sales returns, provision for inventory obsolescence, fair value of investments, fair value of acquired intangible assets and goodwill, useful lives of intangible assets and property and equipment, income taxes, restructuring obligations, product warranty obligations, and contingencies and litigation, among others. We base our estimates on historical experience, our assessment of current factors impacting the estimates and on various other assumptions that are believed to be reasonable under the circumstances, the results of which form the basis for making judgments about the carrying values of assets and liabilities that are not readily apparent from other sources. We refer to accounting estimates of this type as “critical accounting estimates.”</w:t>
      </w:r>
    </w:p>
    <w:p>
      <w:pPr>
        <w:spacing w:after="0" w:line="49" w:lineRule="exact"/>
        <w:rPr>
          <w:sz w:val="20"/>
          <w:szCs w:val="20"/>
          <w:color w:val="auto"/>
        </w:rPr>
      </w:pPr>
    </w:p>
    <w:p>
      <w:pPr>
        <w:ind w:left="680" w:right="20" w:firstLine="399"/>
        <w:spacing w:after="0" w:line="295" w:lineRule="auto"/>
        <w:rPr>
          <w:sz w:val="20"/>
          <w:szCs w:val="20"/>
          <w:color w:val="auto"/>
        </w:rPr>
      </w:pPr>
      <w:r>
        <w:rPr>
          <w:rFonts w:ascii="Arial" w:cs="Arial" w:eastAsia="Arial" w:hAnsi="Arial"/>
          <w:sz w:val="12"/>
          <w:szCs w:val="12"/>
          <w:color w:val="auto"/>
        </w:rPr>
        <w:t>The following is not intended to be a comprehensive list of all of our accounting policies or estimates. Our significant accounting policies are more fully described in Note B — Significant Accounting Policies in the Notes to Consolidated Financial Statements. In preparing our financial statements and accounting for the underlying transactions and balances, we apply our accounting policies and estimates as disclosed in the Notes. We consider the estimates discussed below as critical to an understanding of our financial statements because their application places the most significant demands on our judgment, with financial reporting results relying on estimates about the effect of matters that are inherently uncertain. Specific risks for these critical accounting estimates are described in the following paragraphs. The impact and any associated risks related to these estimates on our business operations</w:t>
      </w:r>
    </w:p>
    <w:p>
      <w:pPr>
        <w:spacing w:after="0" w:line="260"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53" w:name="page54"/>
    <w:bookmarkEnd w:id="5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60"/>
        <w:spacing w:after="0" w:line="299" w:lineRule="auto"/>
        <w:rPr>
          <w:sz w:val="20"/>
          <w:szCs w:val="20"/>
          <w:color w:val="auto"/>
        </w:rPr>
      </w:pPr>
      <w:r>
        <w:rPr>
          <w:rFonts w:ascii="Arial" w:cs="Arial" w:eastAsia="Arial" w:hAnsi="Arial"/>
          <w:sz w:val="12"/>
          <w:szCs w:val="12"/>
          <w:color w:val="auto"/>
        </w:rPr>
        <w:t>are discussed throughout this MD&amp;A where such estimates affect our reported and expected financial results. Senior management has discussed the development and selection of the critical accounting policies and estimates and the related disclosure included herein with the Audit Committee of our Board of Directors. Preparation of this Annual Report on Form 10-K requires us to make estimates and assumptions that affect the reported amount of assets and liabilities, disclosure of contingent assets and liabilities at the date of our financial statements and the reported amounts of revenue and expenses during the reporting period. Actual results may differ from those estimates.</w:t>
      </w:r>
    </w:p>
    <w:p>
      <w:pPr>
        <w:spacing w:after="0" w:line="48" w:lineRule="exact"/>
        <w:rPr>
          <w:sz w:val="20"/>
          <w:szCs w:val="20"/>
          <w:color w:val="auto"/>
        </w:rPr>
      </w:pPr>
    </w:p>
    <w:p>
      <w:pPr>
        <w:ind w:left="680" w:firstLine="399"/>
        <w:spacing w:after="0" w:line="270" w:lineRule="auto"/>
        <w:rPr>
          <w:sz w:val="20"/>
          <w:szCs w:val="20"/>
          <w:color w:val="auto"/>
        </w:rPr>
      </w:pPr>
      <w:r>
        <w:rPr>
          <w:rFonts w:ascii="Arial" w:cs="Arial" w:eastAsia="Arial" w:hAnsi="Arial"/>
          <w:sz w:val="13"/>
          <w:szCs w:val="13"/>
          <w:color w:val="auto"/>
        </w:rPr>
        <w:t>Besides estimates that meet the “critical” accounting estimate criteria, we make many other accounting estimates in preparing our financial statements and related disclosures. All estimates, whether or not deemed critical, affect reported amounts of assets, liabilities, revenue and expenses as well as disclosures of contingent assets and liabilities. Estimates are based on experience and other information available prior to the issuance of the financial statements. Materially different results can occur as circumstances change and additional information becomes known, including for estimates that we do not deem “critical.”</w:t>
      </w:r>
    </w:p>
    <w:p>
      <w:pPr>
        <w:spacing w:after="0" w:line="14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Revenue Recognition</w:t>
      </w:r>
    </w:p>
    <w:p>
      <w:pPr>
        <w:spacing w:after="0" w:line="104" w:lineRule="exact"/>
        <w:rPr>
          <w:sz w:val="20"/>
          <w:szCs w:val="20"/>
          <w:color w:val="auto"/>
        </w:rPr>
      </w:pPr>
    </w:p>
    <w:p>
      <w:pPr>
        <w:ind w:left="680" w:firstLine="399"/>
        <w:spacing w:after="0" w:line="267" w:lineRule="auto"/>
        <w:rPr>
          <w:sz w:val="20"/>
          <w:szCs w:val="20"/>
          <w:color w:val="auto"/>
        </w:rPr>
      </w:pPr>
      <w:r>
        <w:rPr>
          <w:rFonts w:ascii="Arial" w:cs="Arial" w:eastAsia="Arial" w:hAnsi="Arial"/>
          <w:sz w:val="13"/>
          <w:szCs w:val="13"/>
          <w:color w:val="auto"/>
        </w:rPr>
        <w:t>We generate substantially all of our revenue from the sales or licensing of our: (i) microwave radio systems, (ii) network management software, (iii) professional services including installation and commissioning and training, and (iv) warranty-related support (i.e. telephone support and repair and return for defective products). Principal customers for our products and services include domestic and international wireless/mobile service providers, original equipment manufacturers, distributors, system integrators, as well as private network users such as public safety agencies, government institutions, and utility, pipeline, railroad and other industrial enterprises that operate broadband wireless networks. Our customers generally purchase a combination of our products and services as part of a multiple element arrangement.</w:t>
      </w:r>
    </w:p>
    <w:p>
      <w:pPr>
        <w:spacing w:after="0" w:line="65" w:lineRule="exact"/>
        <w:rPr>
          <w:sz w:val="20"/>
          <w:szCs w:val="20"/>
          <w:color w:val="auto"/>
        </w:rPr>
      </w:pPr>
    </w:p>
    <w:p>
      <w:pPr>
        <w:ind w:left="680" w:right="20" w:firstLine="399"/>
        <w:spacing w:after="0" w:line="270" w:lineRule="auto"/>
        <w:rPr>
          <w:sz w:val="20"/>
          <w:szCs w:val="20"/>
          <w:color w:val="auto"/>
        </w:rPr>
      </w:pPr>
      <w:r>
        <w:rPr>
          <w:rFonts w:ascii="Arial" w:cs="Arial" w:eastAsia="Arial" w:hAnsi="Arial"/>
          <w:sz w:val="13"/>
          <w:szCs w:val="13"/>
          <w:color w:val="auto"/>
        </w:rPr>
        <w:t>We often enter into multiple contractual agreements with the same customer. Such agreements are reviewed to determine whether they should be evaluated as one arrangement. If an arrangement, other than a long-term contract, requires the delivery or performance of multiple deliverables or elements, we determine whether the individual elements represent “separate units of accounting.” We recognize the revenue associated with each element separately. Such revenue, including products with installation services, is recognized as the revenue when each unit of accounting is earned based on the relative fair value of each unit of accounting.</w:t>
      </w:r>
    </w:p>
    <w:p>
      <w:pPr>
        <w:spacing w:after="0" w:line="63" w:lineRule="exact"/>
        <w:rPr>
          <w:sz w:val="20"/>
          <w:szCs w:val="20"/>
          <w:color w:val="auto"/>
        </w:rPr>
      </w:pPr>
    </w:p>
    <w:p>
      <w:pPr>
        <w:ind w:left="680" w:right="320" w:firstLine="399"/>
        <w:spacing w:after="0" w:line="294" w:lineRule="auto"/>
        <w:rPr>
          <w:sz w:val="20"/>
          <w:szCs w:val="20"/>
          <w:color w:val="auto"/>
        </w:rPr>
      </w:pPr>
      <w:r>
        <w:rPr>
          <w:rFonts w:ascii="Arial" w:cs="Arial" w:eastAsia="Arial" w:hAnsi="Arial"/>
          <w:sz w:val="13"/>
          <w:szCs w:val="13"/>
          <w:color w:val="auto"/>
        </w:rPr>
        <w:t>Our assessment of which revenue recognition guidance is appropriate to account for each element in an arrangement can involve significant judgment. The determination of whether software is more than incidental to hardware can impact the timing of revenue recognition.</w:t>
      </w:r>
    </w:p>
    <w:p>
      <w:pPr>
        <w:spacing w:after="0" w:line="47" w:lineRule="exact"/>
        <w:rPr>
          <w:sz w:val="20"/>
          <w:szCs w:val="20"/>
          <w:color w:val="auto"/>
        </w:rPr>
      </w:pPr>
    </w:p>
    <w:p>
      <w:pPr>
        <w:ind w:left="680" w:right="20" w:firstLine="399"/>
        <w:spacing w:after="0" w:line="338" w:lineRule="auto"/>
        <w:rPr>
          <w:sz w:val="20"/>
          <w:szCs w:val="20"/>
          <w:color w:val="auto"/>
        </w:rPr>
      </w:pPr>
      <w:r>
        <w:rPr>
          <w:rFonts w:ascii="Arial" w:cs="Arial" w:eastAsia="Arial" w:hAnsi="Arial"/>
          <w:sz w:val="12"/>
          <w:szCs w:val="12"/>
          <w:color w:val="auto"/>
        </w:rPr>
        <w:t>Revenue from product sales where any software is considered incidental (other than for long-term contracts) and services, are recognized when persuasive evidence of an arrangement exists, delivery has occurred and title and risk of loss has transferred or services have been rendered, the fee is fixed or determinable and collectibility is reasonably assured.</w:t>
      </w:r>
    </w:p>
    <w:p>
      <w:pPr>
        <w:spacing w:after="0" w:line="24" w:lineRule="exact"/>
        <w:rPr>
          <w:sz w:val="20"/>
          <w:szCs w:val="20"/>
          <w:color w:val="auto"/>
        </w:rPr>
      </w:pPr>
    </w:p>
    <w:p>
      <w:pPr>
        <w:ind w:left="680" w:right="80" w:firstLine="399"/>
        <w:spacing w:after="0" w:line="290" w:lineRule="auto"/>
        <w:rPr>
          <w:sz w:val="20"/>
          <w:szCs w:val="20"/>
          <w:color w:val="auto"/>
        </w:rPr>
      </w:pPr>
      <w:r>
        <w:rPr>
          <w:rFonts w:ascii="Arial" w:cs="Arial" w:eastAsia="Arial" w:hAnsi="Arial"/>
          <w:sz w:val="12"/>
          <w:szCs w:val="12"/>
          <w:color w:val="auto"/>
        </w:rPr>
        <w:t>Revenue recognition related to long-term contracts for customized network solutions are recognized using the percentage-of-completion method. In using the percentage-of-completion method, we generally apply the cost-to-cost method of accounting where sales and profits are recorded based on the ratio of costs incurred to estimated total costs at completion. Contracts are combined when specific aggregation criteria. Recognition of profit on long-term contracts requires estimates of: the total contract value; the total cost at completion; and the measurement of progress towards completion. Significant judgment is required when estimating total contract costs and progress to completion on the arrangements as well as whether a loss is expected to be incurred on the contract. Amounts representing contract change orders, claims or other items are included in sales only when they can be reliably estimated and realization is probable. When adjustments in contract value or estimated costs are determined, any changes from prior estimates are reflected in earnings in the current period. Anticipated losses on contracts or programs in progress are charged to earnings when identified.</w:t>
      </w:r>
    </w:p>
    <w:p>
      <w:pPr>
        <w:spacing w:after="0" w:line="52" w:lineRule="exact"/>
        <w:rPr>
          <w:sz w:val="20"/>
          <w:szCs w:val="20"/>
          <w:color w:val="auto"/>
        </w:rPr>
      </w:pPr>
    </w:p>
    <w:p>
      <w:pPr>
        <w:ind w:left="680" w:right="160" w:firstLine="399"/>
        <w:spacing w:after="0" w:line="294" w:lineRule="auto"/>
        <w:rPr>
          <w:sz w:val="20"/>
          <w:szCs w:val="20"/>
          <w:color w:val="auto"/>
        </w:rPr>
      </w:pPr>
      <w:r>
        <w:rPr>
          <w:rFonts w:ascii="Arial" w:cs="Arial" w:eastAsia="Arial" w:hAnsi="Arial"/>
          <w:sz w:val="13"/>
          <w:szCs w:val="13"/>
          <w:color w:val="auto"/>
        </w:rPr>
        <w:t>For revenue recognition from the sale of software or products which have software which is more than incidental to the product as a whole, the entire fee from the arrangement must be allocated to each of the elements based on the individual element’s fair value, which must be based on vendor specific objective evidence of the fair</w:t>
      </w:r>
    </w:p>
    <w:p>
      <w:pPr>
        <w:spacing w:after="0" w:line="25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54" w:name="page55"/>
    <w:bookmarkEnd w:id="5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100"/>
        <w:spacing w:after="0" w:line="338" w:lineRule="auto"/>
        <w:rPr>
          <w:sz w:val="20"/>
          <w:szCs w:val="20"/>
          <w:color w:val="auto"/>
        </w:rPr>
      </w:pPr>
      <w:r>
        <w:rPr>
          <w:rFonts w:ascii="Arial" w:cs="Arial" w:eastAsia="Arial" w:hAnsi="Arial"/>
          <w:sz w:val="12"/>
          <w:szCs w:val="12"/>
          <w:color w:val="auto"/>
        </w:rPr>
        <w:t>value (“VSOE”). If VSOE cannot be established for the undelivered elements of an arrangement, we defer revenue until the earlier of delivery, or fair value of the undelivered element exists, unless the undelivered element is a service, in which the entire arrangement fee is recognized ratably over the period during which the services are expected to be performed.</w:t>
      </w:r>
    </w:p>
    <w:p>
      <w:pPr>
        <w:spacing w:after="0" w:line="2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Royalty income is recognized on the basis of terms specified in the contractual agreements.</w:t>
      </w:r>
    </w:p>
    <w:p>
      <w:pPr>
        <w:spacing w:after="0" w:line="18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Provisions for Excess and Obsolete Inventory Losses</w:t>
      </w:r>
    </w:p>
    <w:p>
      <w:pPr>
        <w:spacing w:after="0" w:line="104" w:lineRule="exact"/>
        <w:rPr>
          <w:sz w:val="20"/>
          <w:szCs w:val="20"/>
          <w:color w:val="auto"/>
        </w:rPr>
      </w:pPr>
    </w:p>
    <w:p>
      <w:pPr>
        <w:ind w:left="680" w:firstLine="399"/>
        <w:spacing w:after="0" w:line="267" w:lineRule="auto"/>
        <w:rPr>
          <w:sz w:val="20"/>
          <w:szCs w:val="20"/>
          <w:color w:val="auto"/>
        </w:rPr>
      </w:pPr>
      <w:r>
        <w:rPr>
          <w:rFonts w:ascii="Arial" w:cs="Arial" w:eastAsia="Arial" w:hAnsi="Arial"/>
          <w:sz w:val="13"/>
          <w:szCs w:val="13"/>
          <w:color w:val="auto"/>
        </w:rPr>
        <w:t>As of July 3, 2009, our reserve for excess and obsolete inventory was $49.9 million, or 33.6% of the gross inventory balance, which compares to a reserve of $35.6 million, or 27.6% of the gross inventory balance as of June 27, 2008. During fiscal 2009, we increased our net inventory reserves by $14.3 million primarily due to inventory mark-downs as a result of product transitioning and product discontinuance. During the third quarter of fiscal 2009, we also recorded $3.4 million included in “Charges for product transition” on the Consolidated Statement of Operations for estimated losses on future inventory purchase commitments. During fiscal 2008, we increased our inventory reserves by $14.7 million relating to inventory impairment as a result of product transitioning and product discontinuance.</w:t>
      </w:r>
    </w:p>
    <w:p>
      <w:pPr>
        <w:spacing w:after="0" w:line="65" w:lineRule="exact"/>
        <w:rPr>
          <w:sz w:val="20"/>
          <w:szCs w:val="20"/>
          <w:color w:val="auto"/>
        </w:rPr>
      </w:pPr>
    </w:p>
    <w:p>
      <w:pPr>
        <w:ind w:left="680" w:firstLine="399"/>
        <w:spacing w:after="0" w:line="287" w:lineRule="auto"/>
        <w:rPr>
          <w:sz w:val="20"/>
          <w:szCs w:val="20"/>
          <w:color w:val="auto"/>
        </w:rPr>
      </w:pPr>
      <w:r>
        <w:rPr>
          <w:rFonts w:ascii="Arial" w:cs="Arial" w:eastAsia="Arial" w:hAnsi="Arial"/>
          <w:sz w:val="12"/>
          <w:szCs w:val="12"/>
          <w:color w:val="auto"/>
        </w:rPr>
        <w:t>Our inventory has been valued at the lower of cost or market. We balance the need to maintain prudent inventory levels to ensure competitive delivery performance with the risk of excess or obsolete inventory due to changing technology and customer requirements. We regularly review inventory quantities on hand and record a provision for excess and obsolete inventory based primarily on our estimated forecast of product demand, anticipated end of product life and production requirements. The review of excess and obsolete inventory primarily relates to the microwave business segments. Several factors may influence the sale and use of our inventories, including decisions to exit a product line, technological change and new product development. These factors could result in a change in the amount of obsolete inventory quantities on hand. Additionally, our estimates of future product demand may prove to be inaccurate, in which case the provision required for excess and obsolete inventory may be overstated or understated. In the future, if we determine that our inventory is overvalued, we would be required to recognize such costs in cost of product sales and services in our Statement of Operations at the time of such determination. In the case of goods which have been written down below cost at the close of a fiscal year, such reduced amount is considered the cost for subsequent accounting purposes. We did not make any material changes in the reserve methodology used to establish our inventory loss reserves during the past three fiscal years.</w:t>
      </w:r>
    </w:p>
    <w:p>
      <w:pPr>
        <w:spacing w:after="0" w:line="13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Goodwill and Intangible Assets</w:t>
      </w:r>
    </w:p>
    <w:p>
      <w:pPr>
        <w:spacing w:after="0" w:line="104" w:lineRule="exact"/>
        <w:rPr>
          <w:sz w:val="20"/>
          <w:szCs w:val="20"/>
          <w:color w:val="auto"/>
        </w:rPr>
      </w:pPr>
    </w:p>
    <w:p>
      <w:pPr>
        <w:jc w:val="both"/>
        <w:ind w:left="680" w:right="60" w:firstLine="399"/>
        <w:spacing w:after="0" w:line="309" w:lineRule="auto"/>
        <w:rPr>
          <w:sz w:val="20"/>
          <w:szCs w:val="20"/>
          <w:color w:val="auto"/>
        </w:rPr>
      </w:pPr>
      <w:r>
        <w:rPr>
          <w:rFonts w:ascii="Arial" w:cs="Arial" w:eastAsia="Arial" w:hAnsi="Arial"/>
          <w:sz w:val="12"/>
          <w:szCs w:val="12"/>
          <w:color w:val="auto"/>
        </w:rPr>
        <w:t>Goodwill on our consolidated balance sheet as of July 3, 2009 and June 27, 2008 was $3.2 million and $284.2 million. Identifiable intangible assets on our consolidated balance sheet as of July 3, 2009 and June 27, 2008 was $84.1 million and $130.1 million. During fiscal 2009, we recorded impairment charges of $279.0 million for goodwill and $32.6 million for the Stratex trade name which had indefinite lives. We have not recorded any impairment losses on identifiable intangible assets with definite lives in fiscal 2009, 2008 or 2007.</w:t>
      </w:r>
    </w:p>
    <w:p>
      <w:pPr>
        <w:spacing w:after="0" w:line="41" w:lineRule="exact"/>
        <w:rPr>
          <w:sz w:val="20"/>
          <w:szCs w:val="20"/>
          <w:color w:val="auto"/>
        </w:rPr>
      </w:pPr>
    </w:p>
    <w:p>
      <w:pPr>
        <w:ind w:left="680" w:right="40" w:firstLine="399"/>
        <w:spacing w:after="0" w:line="299" w:lineRule="auto"/>
        <w:rPr>
          <w:sz w:val="20"/>
          <w:szCs w:val="20"/>
          <w:color w:val="auto"/>
        </w:rPr>
      </w:pPr>
      <w:r>
        <w:rPr>
          <w:rFonts w:ascii="Arial" w:cs="Arial" w:eastAsia="Arial" w:hAnsi="Arial"/>
          <w:sz w:val="12"/>
          <w:szCs w:val="12"/>
          <w:color w:val="auto"/>
        </w:rPr>
        <w:t>The majority of our goodwill and the trade name “Stratex” were recorded in connection with the acquisition of Stratex Networks, Inc. (“Stratex”) in January 2007 and were included in the International Microwave segment of our business. In January 2009, we determined that based on the current global economic environment and the decline of our market capitalization, it was likely that an indicator of goodwill impairment existed as of the end of the second quarter of fiscal 2009. As a result, we performed an interim review for impairment as of the end of the second quarter of fiscal 2009 of our goodwill and other indefinite-lived intangible assets (consisting solely of the trade name “Stratex”).</w:t>
      </w:r>
    </w:p>
    <w:p>
      <w:pPr>
        <w:spacing w:after="0" w:line="48" w:lineRule="exact"/>
        <w:rPr>
          <w:sz w:val="20"/>
          <w:szCs w:val="20"/>
          <w:color w:val="auto"/>
        </w:rPr>
      </w:pPr>
    </w:p>
    <w:p>
      <w:pPr>
        <w:ind w:left="680" w:right="260" w:firstLine="399"/>
        <w:spacing w:after="0" w:line="299" w:lineRule="auto"/>
        <w:rPr>
          <w:sz w:val="20"/>
          <w:szCs w:val="20"/>
          <w:color w:val="auto"/>
        </w:rPr>
      </w:pPr>
      <w:r>
        <w:rPr>
          <w:rFonts w:ascii="Arial" w:cs="Arial" w:eastAsia="Arial" w:hAnsi="Arial"/>
          <w:sz w:val="12"/>
          <w:szCs w:val="12"/>
          <w:color w:val="auto"/>
        </w:rPr>
        <w:t>To test for potential impairment of our goodwill, we determined the fair value of each of our reporting segments based on projected discounted cash flows and market-based multiples applied to sales and earnings. The results indicated an impairment to goodwill, because the current carrying value of the North America Microwave and International Microwave segments exceeded their fair value. We then allocated these fair values to the respective underlying assets and liabilities to determine the implied fair value of goodwill, resulting in a $279.0 million charge to write down all of our goodwill. We determined the fair value of the trade name “Stratex” by performing a projected</w:t>
      </w:r>
    </w:p>
    <w:p>
      <w:pPr>
        <w:spacing w:after="0" w:line="260"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20"/>
          </w:cols>
          <w:pgMar w:left="220" w:top="349" w:right="1059" w:bottom="1440" w:gutter="0" w:footer="0" w:header="0"/>
        </w:sectPr>
      </w:pPr>
    </w:p>
    <w:bookmarkStart w:id="55" w:name="page56"/>
    <w:bookmarkEnd w:id="5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60"/>
        <w:spacing w:after="0" w:line="294" w:lineRule="auto"/>
        <w:rPr>
          <w:sz w:val="20"/>
          <w:szCs w:val="20"/>
          <w:color w:val="auto"/>
        </w:rPr>
      </w:pPr>
      <w:r>
        <w:rPr>
          <w:rFonts w:ascii="Arial" w:cs="Arial" w:eastAsia="Arial" w:hAnsi="Arial"/>
          <w:sz w:val="13"/>
          <w:szCs w:val="13"/>
          <w:color w:val="auto"/>
        </w:rPr>
        <w:t>discounted cash flow analysis based on the relief-from-royalty approach, resulting in a $22.0 million charge to write down the trade name “Stratex” to $11.0 million as of April 3, 2009, the end of our third quarter in fiscal 2009.</w:t>
      </w:r>
    </w:p>
    <w:p>
      <w:pPr>
        <w:spacing w:after="0" w:line="47" w:lineRule="exact"/>
        <w:rPr>
          <w:sz w:val="20"/>
          <w:szCs w:val="20"/>
          <w:color w:val="auto"/>
        </w:rPr>
      </w:pPr>
    </w:p>
    <w:p>
      <w:pPr>
        <w:ind w:left="680" w:right="40" w:firstLine="399"/>
        <w:spacing w:after="0" w:line="295" w:lineRule="auto"/>
        <w:rPr>
          <w:sz w:val="20"/>
          <w:szCs w:val="20"/>
          <w:color w:val="auto"/>
        </w:rPr>
      </w:pPr>
      <w:r>
        <w:rPr>
          <w:rFonts w:ascii="Arial" w:cs="Arial" w:eastAsia="Arial" w:hAnsi="Arial"/>
          <w:sz w:val="12"/>
          <w:szCs w:val="12"/>
          <w:color w:val="auto"/>
        </w:rPr>
        <w:t>During June 2009, subsequent to the May 27, 2009 spin-off by Harris of its majority interest or 56 percent of our common stock, Harris notified us of its intent to terminate the trademark license in effect between us since January 26, 2007. The new name of our Company will not include Harris or Stratex. Accordingly, the fair value of the indefinite-lived trade name “Stratex” was deemed to be impaired. Furthermore, we anticipate making this change by December 2009, which is a known definite life of six months from July 3, 2009, the end of our fiscal year 2009. As a result, we determined the fair value of the trade name “Stratex” as of July 3, 2009 by performing a projected discounted cash flow analysis based on the relief-from-royalty approach, resulting in a $10.6 million charge to write down a majority of the trade name “Stratex” to a fair value of $0.4 million with a six-month remaining life.</w:t>
      </w:r>
    </w:p>
    <w:p>
      <w:pPr>
        <w:spacing w:after="0" w:line="49" w:lineRule="exact"/>
        <w:rPr>
          <w:sz w:val="20"/>
          <w:szCs w:val="20"/>
          <w:color w:val="auto"/>
        </w:rPr>
      </w:pPr>
    </w:p>
    <w:p>
      <w:pPr>
        <w:ind w:left="680" w:right="20" w:firstLine="399"/>
        <w:spacing w:after="0" w:line="338" w:lineRule="auto"/>
        <w:rPr>
          <w:sz w:val="20"/>
          <w:szCs w:val="20"/>
          <w:color w:val="auto"/>
        </w:rPr>
      </w:pPr>
      <w:r>
        <w:rPr>
          <w:rFonts w:ascii="Arial" w:cs="Arial" w:eastAsia="Arial" w:hAnsi="Arial"/>
          <w:sz w:val="12"/>
          <w:szCs w:val="12"/>
          <w:color w:val="auto"/>
        </w:rPr>
        <w:t>We will not be required to make any current or future cash expenditures as a result of these impairments, and these impairments do not impact our financial covenant compliance under our credit arrangements or our ongoing financial performance. We did not record any impairment losses on identifiable intangible assets or goodwill in fiscal 2008 or 2007.</w:t>
      </w:r>
    </w:p>
    <w:p>
      <w:pPr>
        <w:spacing w:after="0" w:line="24" w:lineRule="exact"/>
        <w:rPr>
          <w:sz w:val="20"/>
          <w:szCs w:val="20"/>
          <w:color w:val="auto"/>
        </w:rPr>
      </w:pPr>
    </w:p>
    <w:p>
      <w:pPr>
        <w:ind w:left="680" w:right="40" w:firstLine="399"/>
        <w:spacing w:after="0" w:line="292" w:lineRule="auto"/>
        <w:rPr>
          <w:sz w:val="20"/>
          <w:szCs w:val="20"/>
          <w:color w:val="auto"/>
        </w:rPr>
      </w:pPr>
      <w:r>
        <w:rPr>
          <w:rFonts w:ascii="Arial" w:cs="Arial" w:eastAsia="Arial" w:hAnsi="Arial"/>
          <w:sz w:val="12"/>
          <w:szCs w:val="12"/>
          <w:color w:val="auto"/>
        </w:rPr>
        <w:t>We review goodwill and identifiable intangible assets for impairment annually and whenever events or changes in circumstances indicate its carrying value may not be recoverable. We are required to perform a two-step impairment test on goodwill. In the first step, we compare the fair value of each reporting unit to its carrying value. Our reporting units are consistent with the reportable segments identified in Note N of the Notes to Consolidated Financial Statements. If the fair value of the reporting unit exceeds the carrying value of the net assets assigned to that unit, goodwill is considered not impaired and we are not required to perform further testing. If the carrying value of the net assets assigned to the reporting unit exceeds the fair value of the reporting unit, then we must perform the second step of the impairment test in order to determine the implied fair value of the reporting unit’s goodwill. If the carrying value of a reporting unit’s goodwill exceeds its implied fair value, then we would record an impairment loss equal to the difference.</w:t>
      </w:r>
    </w:p>
    <w:p>
      <w:pPr>
        <w:spacing w:after="0" w:line="51" w:lineRule="exact"/>
        <w:rPr>
          <w:sz w:val="20"/>
          <w:szCs w:val="20"/>
          <w:color w:val="auto"/>
        </w:rPr>
      </w:pPr>
    </w:p>
    <w:p>
      <w:pPr>
        <w:ind w:left="680" w:right="260" w:firstLine="399"/>
        <w:spacing w:after="0" w:line="299" w:lineRule="auto"/>
        <w:rPr>
          <w:sz w:val="20"/>
          <w:szCs w:val="20"/>
          <w:color w:val="auto"/>
        </w:rPr>
      </w:pPr>
      <w:r>
        <w:rPr>
          <w:rFonts w:ascii="Arial" w:cs="Arial" w:eastAsia="Arial" w:hAnsi="Arial"/>
          <w:sz w:val="12"/>
          <w:szCs w:val="12"/>
          <w:color w:val="auto"/>
        </w:rPr>
        <w:t>Determining the fair value of a reporting unit involves the use of significant estimates and assumptions. These estimates and assumptions include revenue growth rates and operating margins used to calculate projected future cash flows, risk-adjusted discount rates, future economic and market conditions and determination of appropriate market comparables. We base our fair value estimates on assumptions we believe to be reasonable, but that are unpredictable and inherently uncertain. Actual future results may differ from those estimates. In addition, we make certain judgments and assumptions in allocating shared assets and liabilities to determine the carrying values for each of our reporting units.</w:t>
      </w:r>
    </w:p>
    <w:p>
      <w:pPr>
        <w:spacing w:after="0" w:line="48" w:lineRule="exact"/>
        <w:rPr>
          <w:sz w:val="20"/>
          <w:szCs w:val="20"/>
          <w:color w:val="auto"/>
        </w:rPr>
      </w:pPr>
    </w:p>
    <w:p>
      <w:pPr>
        <w:ind w:left="680" w:firstLine="399"/>
        <w:spacing w:after="0" w:line="262" w:lineRule="auto"/>
        <w:rPr>
          <w:sz w:val="20"/>
          <w:szCs w:val="20"/>
          <w:color w:val="auto"/>
        </w:rPr>
      </w:pPr>
      <w:r>
        <w:rPr>
          <w:rFonts w:ascii="Arial" w:cs="Arial" w:eastAsia="Arial" w:hAnsi="Arial"/>
          <w:sz w:val="13"/>
          <w:szCs w:val="13"/>
          <w:color w:val="auto"/>
        </w:rPr>
        <w:t>We are required to perform an annual (or under certain circumstances more frequent) impairment test of our goodwill. Goodwill impairment is determined using a two-step process. The first step of the goodwill impairment test is used to identify potential impairment by comparing the fair value of a reporting unit, which we define as one of our business segments, with its net book value or carrying amount including goodwill. If the fair value of a reporting unit exceeds its carrying amount, goodwill of the reporting unit is considered not impaired and the second step of the impairment test is unnecessary. If the carrying amount of a reporting unit exceeds its fair value, the second step of the goodwill impairment test compares the implied fair value of the reporting unit’s goodwill with the carrying amount of that goodwill. If the carrying amount of the reporting unit’s goodwill exceeds the implied fair value of that goodwill, an impairment loss is recognized in an amount equal to that excess. The implied fair value of goodwill is determined in the same manner as the amount of goodwill recognized in a business combination. The fair value of the reporting unit is allocated to all of the assets and liabilities of that unit, including any unrecognized intangible assets, as if the reporting unit had been acquired in a business combination and the fair value of the reporting unit was the purchase price paid to acquire the reporting unit. We have not made any material changes in the methodology used to determine the valuation of our goodwill or the assessment of whether or not goodwill is impaired during the past three fiscal years.</w:t>
      </w:r>
    </w:p>
    <w:p>
      <w:pPr>
        <w:spacing w:after="0" w:line="71"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There are many assumptions and estimates underlying the determination of the fair value of a reporting unit. These assumptions include projected cash flows, discount rates, comparable market prices of similar businesses, recent acquisitions of similar businesses made in the marketplace and a review of the financial and market conditions of the underlying business. The accuracy of our estimate of the fair value of our reporting units and future</w:t>
      </w:r>
    </w:p>
    <w:p>
      <w:pPr>
        <w:spacing w:after="0" w:line="270"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9" w:right="1039" w:bottom="1440" w:gutter="0" w:footer="0" w:header="0"/>
        </w:sectPr>
      </w:pPr>
    </w:p>
    <w:bookmarkStart w:id="56" w:name="page57"/>
    <w:bookmarkEnd w:id="5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340"/>
        <w:spacing w:after="0" w:line="294" w:lineRule="auto"/>
        <w:rPr>
          <w:sz w:val="20"/>
          <w:szCs w:val="20"/>
          <w:color w:val="auto"/>
        </w:rPr>
      </w:pPr>
      <w:r>
        <w:rPr>
          <w:rFonts w:ascii="Arial" w:cs="Arial" w:eastAsia="Arial" w:hAnsi="Arial"/>
          <w:sz w:val="13"/>
          <w:szCs w:val="13"/>
          <w:color w:val="auto"/>
        </w:rPr>
        <w:t>changes in the assumptions used to make these estimates could result in the recording of an impairment loss. A 10% decrease in our estimate of the fair value of our reporting units would lead to further tests for impairment as described above.</w:t>
      </w:r>
    </w:p>
    <w:p>
      <w:pPr>
        <w:spacing w:after="0" w:line="12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Income Taxes and Tax Valuation Allowances</w:t>
      </w:r>
    </w:p>
    <w:p>
      <w:pPr>
        <w:spacing w:after="0" w:line="104" w:lineRule="exact"/>
        <w:rPr>
          <w:sz w:val="20"/>
          <w:szCs w:val="20"/>
          <w:color w:val="auto"/>
        </w:rPr>
      </w:pPr>
    </w:p>
    <w:p>
      <w:pPr>
        <w:ind w:left="680" w:firstLine="399"/>
        <w:spacing w:after="0" w:line="292" w:lineRule="auto"/>
        <w:rPr>
          <w:sz w:val="20"/>
          <w:szCs w:val="20"/>
          <w:color w:val="auto"/>
        </w:rPr>
      </w:pPr>
      <w:r>
        <w:rPr>
          <w:rFonts w:ascii="Arial" w:cs="Arial" w:eastAsia="Arial" w:hAnsi="Arial"/>
          <w:sz w:val="12"/>
          <w:szCs w:val="12"/>
          <w:color w:val="auto"/>
        </w:rPr>
        <w:t>We record the estimated future tax effects of temporary differences between the tax basis of assets and liabilities and amounts reported in our consolidated balance sheet, as well as operating loss and tax credit carryforwards. We follow very specific and detailed guidelines in each tax jurisdiction regarding the recoverability of any tax assets recorded on the balance sheet and provide necessary valuation allowances as required. Future realization of deferred tax assets ultimately depends on the existence of sufficient taxable income of the appropriate character (for example, ordinary income or capital gain) within the carryback or carryforward periods available under the tax law. We regularly review our deferred tax assets for recoverability based on historical taxable income, projected future taxable income, the expected timing of the reversals of existing temporary differences and tax planning strategies. We have not made any material changes in the methodologies used to determine our tax valuation allowances during the past three fiscal years.</w:t>
      </w:r>
    </w:p>
    <w:p>
      <w:pPr>
        <w:spacing w:after="0" w:line="51" w:lineRule="exact"/>
        <w:rPr>
          <w:sz w:val="20"/>
          <w:szCs w:val="20"/>
          <w:color w:val="auto"/>
        </w:rPr>
      </w:pPr>
    </w:p>
    <w:p>
      <w:pPr>
        <w:ind w:left="680" w:firstLine="399"/>
        <w:spacing w:after="0" w:line="288" w:lineRule="auto"/>
        <w:rPr>
          <w:sz w:val="20"/>
          <w:szCs w:val="20"/>
          <w:color w:val="auto"/>
        </w:rPr>
      </w:pPr>
      <w:r>
        <w:rPr>
          <w:rFonts w:ascii="Arial" w:cs="Arial" w:eastAsia="Arial" w:hAnsi="Arial"/>
          <w:sz w:val="12"/>
          <w:szCs w:val="12"/>
          <w:color w:val="auto"/>
        </w:rPr>
        <w:t>Our consolidated balance sheet as of July 3, 2009 includes a non-current deferred income tax asset of $8.0 million and a non-current deferred tax liability of $0.9 million. This compares to a net current deferred tax asset of $12.6 million, a non-current deferred income tax asset of $13.7 million, and a non-current deferred tax liability of $3.7 million as of June 27, 2008. For all jurisdictions for which we have deferred tax assets, we expect that our existing levels of pre-tax earnings are sufficient to generate the amount of future taxable income needed to realize these tax assets. Our valuation allowance related to deferred income taxes, as reflected in our consolidated balance sheet, was $168.9 million as of July 3, 2009 and $116.9 million as of June 27, 2008. The increase in valuation allowance from fiscal 2008 to fiscal 2009 was primarily due to our establishing a valuation allowance on certain deferred tax assets. If we continue to operate at a loss in certain jurisdictions or are unable to generate sufficient future taxable income, or if there is a material change in the actual effective tax rates or time period within which the underlying temporary differences become taxable or deductible, we could be required to increase the valuation allowance against all or a significant portion of our deferred tax assets resulting in a substantial increase in our effective tax rate and a material adverse impact on our operating results.</w:t>
      </w:r>
    </w:p>
    <w:p>
      <w:pPr>
        <w:spacing w:after="0" w:line="56" w:lineRule="exact"/>
        <w:rPr>
          <w:sz w:val="20"/>
          <w:szCs w:val="20"/>
          <w:color w:val="auto"/>
        </w:rPr>
      </w:pPr>
    </w:p>
    <w:p>
      <w:pPr>
        <w:ind w:left="680" w:firstLine="399"/>
        <w:spacing w:after="0" w:line="290" w:lineRule="auto"/>
        <w:rPr>
          <w:sz w:val="20"/>
          <w:szCs w:val="20"/>
          <w:color w:val="auto"/>
        </w:rPr>
      </w:pPr>
      <w:r>
        <w:rPr>
          <w:rFonts w:ascii="Arial" w:cs="Arial" w:eastAsia="Arial" w:hAnsi="Arial"/>
          <w:sz w:val="12"/>
          <w:szCs w:val="12"/>
          <w:color w:val="auto"/>
        </w:rPr>
        <w:t>United States income taxes have not been provided on basis differences in foreign subsidiaries of $11.7 million and $73.1 million as of July 3, 2009 and June 27, 2008, because of our intention to reinvest these earnings indefinitely. The determination of unrecognized deferred U.S. tax liability for foreign subsidiaries is not practicable. Tax loss and credit carryforwards as of July 3, 2009 have expiration dates ranging between one year and no expiration in certain instances. The amount of U.S. tax loss carryforwards as of July 3, 2009 and June 27, 2008 was $201.2 million and $198.5 million and begin to expire in fiscal 2022. Credit carryforwards as of July 3, 2009 and June 27, 2008 was $27.9 million and $24.8 million and certain credits begin to expire in fiscal 2010. The amount of foreign tax loss carryforwards for July 3, 2009 and June 27, 2008 was $50.5 million and $40.2 million. The utilization of a portion of the U.S. net operating losses created prior to the merger is subject to an annual limitation under Section 382 of the Internal Revenue Code as a result of a change of ownership. Income taxes paid were $2.6 million, $2.2 million and $6.6 million during fiscal 2009, 2008 and 2007.</w:t>
      </w:r>
    </w:p>
    <w:p>
      <w:pPr>
        <w:spacing w:after="0" w:line="52" w:lineRule="exact"/>
        <w:rPr>
          <w:sz w:val="20"/>
          <w:szCs w:val="20"/>
          <w:color w:val="auto"/>
        </w:rPr>
      </w:pPr>
    </w:p>
    <w:p>
      <w:pPr>
        <w:ind w:left="680" w:right="340" w:firstLine="399"/>
        <w:spacing w:after="0" w:line="276" w:lineRule="auto"/>
        <w:rPr>
          <w:sz w:val="20"/>
          <w:szCs w:val="20"/>
          <w:color w:val="auto"/>
        </w:rPr>
      </w:pPr>
      <w:r>
        <w:rPr>
          <w:rFonts w:ascii="Arial" w:cs="Arial" w:eastAsia="Arial" w:hAnsi="Arial"/>
          <w:sz w:val="13"/>
          <w:szCs w:val="13"/>
          <w:color w:val="auto"/>
        </w:rPr>
        <w:t>The effective tax rate in the fiscal year ended July 3, 2009 was impacted unfavorably by a valuation allowance recorded on certain deferred tax assets, certain purchase accounting adjustments and foreign tax credits where it was determined it was not more likely than not that the assets would be realized. The net change in the valuation allowance impacting the effective tax rate during the year ended July 3, 2009 was an increase of $50.8 million.</w:t>
      </w:r>
    </w:p>
    <w:p>
      <w:pPr>
        <w:spacing w:after="0" w:line="59" w:lineRule="exact"/>
        <w:rPr>
          <w:sz w:val="20"/>
          <w:szCs w:val="20"/>
          <w:color w:val="auto"/>
        </w:rPr>
      </w:pPr>
    </w:p>
    <w:p>
      <w:pPr>
        <w:ind w:left="680" w:right="140" w:firstLine="399"/>
        <w:spacing w:after="0" w:line="267" w:lineRule="auto"/>
        <w:rPr>
          <w:sz w:val="20"/>
          <w:szCs w:val="20"/>
          <w:color w:val="auto"/>
        </w:rPr>
      </w:pPr>
      <w:r>
        <w:rPr>
          <w:rFonts w:ascii="Arial" w:cs="Arial" w:eastAsia="Arial" w:hAnsi="Arial"/>
          <w:sz w:val="13"/>
          <w:szCs w:val="13"/>
          <w:color w:val="auto"/>
        </w:rPr>
        <w:t>During the year ended July 3, 2009, certain temporary taxable differences in the amount of $7.2 million were realized. This realization resulted in a reduction of the valuation allowance placed on Stratex acquired deferred tax assets. The reduction of this valuation allowance was recorded against the goodwill and non-current intangible assets acquired in the Stratex acquisition. The reduction of the acquired intangible assets was required after the impairment reduced our goodwill from the Stratex acquisition to zero. The portion of the valuation allowance for deferred tax assets for which subsequently recognized tax benefits will be accounted for through the income statement is $56.1 million. For the year ended June 27, 2008, certain temporary taxable differences in the amount of</w:t>
      </w:r>
    </w:p>
    <w:p>
      <w:pPr>
        <w:spacing w:after="0" w:line="277"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57" w:name="page58"/>
    <w:bookmarkEnd w:id="5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20"/>
        <w:spacing w:after="0" w:line="276" w:lineRule="auto"/>
        <w:rPr>
          <w:sz w:val="20"/>
          <w:szCs w:val="20"/>
          <w:color w:val="auto"/>
        </w:rPr>
      </w:pPr>
      <w:r>
        <w:rPr>
          <w:rFonts w:ascii="Arial" w:cs="Arial" w:eastAsia="Arial" w:hAnsi="Arial"/>
          <w:sz w:val="13"/>
          <w:szCs w:val="13"/>
          <w:color w:val="auto"/>
        </w:rPr>
        <w:t>$30.7 million were realized. This realization resulted in a reduction of the valuation allowance placed on Stratex acquired deferred tax assets. The reduction of this valuation allowance was recorded against the goodwill related to the Stratex acquisition. The portion of the valuation allowance for deferred tax assets for which subsequently recognized tax benefits will be allocated to reduce goodwill was $63.3 million as of June 27, 2008.</w:t>
      </w:r>
    </w:p>
    <w:p>
      <w:pPr>
        <w:spacing w:after="0" w:line="59"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We established our International Headquarters in Singapore and received a favorable tax ruling resulting from an application filed by us with the Singapore Economic Development Board (“EDB”) effective January 26, 2007. This favorable tax ruling calls for a 10% effective tax rate to be applied over a five year period provided certain milestones and objectives are met. We are confident that we will meet the expectations of the EDB and retain this favorable ruling.</w:t>
      </w:r>
    </w:p>
    <w:p>
      <w:pPr>
        <w:spacing w:after="0" w:line="59" w:lineRule="exact"/>
        <w:rPr>
          <w:sz w:val="20"/>
          <w:szCs w:val="20"/>
          <w:color w:val="auto"/>
        </w:rPr>
      </w:pPr>
    </w:p>
    <w:p>
      <w:pPr>
        <w:jc w:val="both"/>
        <w:ind w:left="680" w:right="40" w:firstLine="399"/>
        <w:spacing w:after="0" w:line="276" w:lineRule="auto"/>
        <w:rPr>
          <w:sz w:val="20"/>
          <w:szCs w:val="20"/>
          <w:color w:val="auto"/>
        </w:rPr>
      </w:pPr>
      <w:r>
        <w:rPr>
          <w:rFonts w:ascii="Arial" w:cs="Arial" w:eastAsia="Arial" w:hAnsi="Arial"/>
          <w:sz w:val="13"/>
          <w:szCs w:val="13"/>
          <w:color w:val="auto"/>
        </w:rPr>
        <w:t>We entered into a tax sharing agreement with Harris Corporation effective on January 26, 2007, the date of the merger. The tax sharing agreement addresses, among other things, the settlement process associated with pre-merger tax liabilities and tax attributes that are attributable to the MCD business when it was a division of Harris Corporation. There were no settlement payments recorded in fiscal 2009, 2008 or 2007.</w:t>
      </w:r>
    </w:p>
    <w:p>
      <w:pPr>
        <w:spacing w:after="0" w:line="59" w:lineRule="exact"/>
        <w:rPr>
          <w:sz w:val="20"/>
          <w:szCs w:val="20"/>
          <w:color w:val="auto"/>
        </w:rPr>
      </w:pPr>
    </w:p>
    <w:p>
      <w:pPr>
        <w:ind w:left="680" w:firstLine="399"/>
        <w:spacing w:after="0" w:line="267" w:lineRule="auto"/>
        <w:rPr>
          <w:sz w:val="20"/>
          <w:szCs w:val="20"/>
          <w:color w:val="auto"/>
        </w:rPr>
      </w:pPr>
      <w:r>
        <w:rPr>
          <w:rFonts w:ascii="Arial" w:cs="Arial" w:eastAsia="Arial" w:hAnsi="Arial"/>
          <w:sz w:val="13"/>
          <w:szCs w:val="13"/>
          <w:color w:val="auto"/>
        </w:rPr>
        <w:t>We are subject to income taxes in the U.S. and numerous foreign jurisdictions. Significant judgment is required in determining our worldwide provision for income taxes and recording the related assets and liabilities. In the ordinary course of our business, there are many transactions and calculations where the ultimate tax determination is uncertain. Accruals for tax contingencies are provided for in accordance with the requirements of FIN 48 “Accounting for Uncertainties in Income Taxes.” FIN 48 addresses the accounting for and disclosure of uncertainty in income tax positions, by prescribing a minimum recognition threshold that a tax position is required to satisfy before being recognized in the financial statements.</w:t>
      </w:r>
    </w:p>
    <w:p>
      <w:pPr>
        <w:spacing w:after="0" w:line="65"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As of July 3, 2009 and June 27, 2008, we had a liability for unrecognized tax benefits of $30.9 million and $29.6 million for various federal, foreign, and state income tax matters. Unrecognized tax benefits increased by $1.3 million. If the unrecognized tax benefits associated with these positions are ultimately recognized, they would not be expected to have a material impact on our effective tax rate or financial position.</w:t>
      </w:r>
    </w:p>
    <w:p>
      <w:pPr>
        <w:spacing w:after="0" w:line="59" w:lineRule="exact"/>
        <w:rPr>
          <w:sz w:val="20"/>
          <w:szCs w:val="20"/>
          <w:color w:val="auto"/>
        </w:rPr>
      </w:pPr>
    </w:p>
    <w:p>
      <w:pPr>
        <w:ind w:left="680" w:right="260" w:firstLine="399"/>
        <w:spacing w:after="0" w:line="338" w:lineRule="auto"/>
        <w:rPr>
          <w:sz w:val="20"/>
          <w:szCs w:val="20"/>
          <w:color w:val="auto"/>
        </w:rPr>
      </w:pPr>
      <w:r>
        <w:rPr>
          <w:rFonts w:ascii="Arial" w:cs="Arial" w:eastAsia="Arial" w:hAnsi="Arial"/>
          <w:sz w:val="12"/>
          <w:szCs w:val="12"/>
          <w:color w:val="auto"/>
        </w:rPr>
        <w:t>We account for interest and penalties related to unrecognized tax benefits as part of our provision for federal, foreign, and state income taxes. We did not accrue an additional amount for such interest as of July 3, 2009 and, as of June 27, 2008, we accrued additional interest of less than $0.1 million. No penalties have been accrued.</w:t>
      </w:r>
    </w:p>
    <w:p>
      <w:pPr>
        <w:spacing w:after="0" w:line="24" w:lineRule="exact"/>
        <w:rPr>
          <w:sz w:val="20"/>
          <w:szCs w:val="20"/>
          <w:color w:val="auto"/>
        </w:rPr>
      </w:pPr>
    </w:p>
    <w:p>
      <w:pPr>
        <w:ind w:left="680" w:right="600" w:firstLine="399"/>
        <w:spacing w:after="0" w:line="294" w:lineRule="auto"/>
        <w:rPr>
          <w:sz w:val="20"/>
          <w:szCs w:val="20"/>
          <w:color w:val="auto"/>
        </w:rPr>
      </w:pPr>
      <w:r>
        <w:rPr>
          <w:rFonts w:ascii="Arial" w:cs="Arial" w:eastAsia="Arial" w:hAnsi="Arial"/>
          <w:sz w:val="13"/>
          <w:szCs w:val="13"/>
          <w:color w:val="auto"/>
        </w:rPr>
        <w:t>We expect that the amount of unrecognized tax benefit may change in the next twelve months; however, it is not expected to have a significant impact on our results of operations, financial position or cash flows.</w:t>
      </w:r>
    </w:p>
    <w:p>
      <w:pPr>
        <w:spacing w:after="0" w:line="47"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We have a number of years with open tax audits which vary from jurisdiction to jurisdiction. Our major tax jurisdictions include the U.S., Singapore, Poland, Nigeria, France and the U.K. The earliest years still open and subject to ongoing audits for these jurisdictions are as follows: United States — 2003; Singapore — 2006; Poland — 2004; Nigeria — 2004; France — 2006; and UK — 2006. As of July 3, 2009, we were not under audit by the U.S. Internal Revenue Service.</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Impact of Recently Issued Accounting Pronouncements</w:t>
      </w:r>
    </w:p>
    <w:p>
      <w:pPr>
        <w:spacing w:after="0" w:line="104"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As described in “Note B — Significant Accounting Policies and New Accounting Pronouncements” in the Notes to Consolidated Financial Statements, there are accounting pronouncements that have recently been issued but have not yet been implemented by us. Note B describes the potential impact that these pronouncements are expected to have on our financial position, results of operations and cash flows.</w:t>
      </w:r>
    </w:p>
    <w:p>
      <w:pPr>
        <w:spacing w:after="0" w:line="137"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7A.</w:t>
      </w:r>
      <w:r>
        <w:rPr>
          <w:sz w:val="20"/>
          <w:szCs w:val="20"/>
          <w:color w:val="auto"/>
        </w:rPr>
        <w:tab/>
      </w:r>
      <w:r>
        <w:rPr>
          <w:rFonts w:ascii="Arial" w:cs="Arial" w:eastAsia="Arial" w:hAnsi="Arial"/>
          <w:sz w:val="11"/>
          <w:szCs w:val="11"/>
          <w:b w:val="1"/>
          <w:bCs w:val="1"/>
          <w:i w:val="1"/>
          <w:iCs w:val="1"/>
          <w:color w:val="auto"/>
        </w:rPr>
        <w:t>Quantitative and Qualitative Disclosures About Market Risk.</w:t>
      </w:r>
    </w:p>
    <w:p>
      <w:pPr>
        <w:spacing w:after="0" w:line="104" w:lineRule="exact"/>
        <w:rPr>
          <w:sz w:val="20"/>
          <w:szCs w:val="20"/>
          <w:color w:val="auto"/>
        </w:rPr>
      </w:pPr>
    </w:p>
    <w:p>
      <w:pPr>
        <w:ind w:left="680" w:right="60" w:firstLine="399"/>
        <w:spacing w:after="0" w:line="309" w:lineRule="auto"/>
        <w:rPr>
          <w:sz w:val="20"/>
          <w:szCs w:val="20"/>
          <w:color w:val="auto"/>
        </w:rPr>
      </w:pPr>
      <w:r>
        <w:rPr>
          <w:rFonts w:ascii="Arial" w:cs="Arial" w:eastAsia="Arial" w:hAnsi="Arial"/>
          <w:sz w:val="12"/>
          <w:szCs w:val="12"/>
          <w:color w:val="auto"/>
        </w:rPr>
        <w:t>In the normal course of doing business, we are exposed to the risks associated with foreign currency exchange rates and changes in interest rates. We employ established policies and procedures governing the use of financial instruments to manage our exposure to such risks. For a discussion of such policies and procedures and the related risks, see “Financial Risk Management” in “Item 7. Management’s Discussion and Analysis of Financial Condition and Results of Operations,” which is incorporated by reference into this Item 7A.</w:t>
      </w:r>
    </w:p>
    <w:p>
      <w:pPr>
        <w:spacing w:after="0" w:line="253"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174"/>
        </w:trPr>
        <w:tc>
          <w:tcPr>
            <w:tcW w:w="680" w:type="dxa"/>
            <w:vAlign w:val="bottom"/>
          </w:tcPr>
          <w:p>
            <w:pPr>
              <w:spacing w:after="0"/>
              <w:rPr>
                <w:sz w:val="15"/>
                <w:szCs w:val="15"/>
                <w:color w:val="auto"/>
              </w:rPr>
            </w:pPr>
          </w:p>
        </w:tc>
        <w:tc>
          <w:tcPr>
            <w:tcW w:w="620" w:type="dxa"/>
            <w:vAlign w:val="bottom"/>
            <w:gridSpan w:val="2"/>
          </w:tcPr>
          <w:p>
            <w:pPr>
              <w:spacing w:after="0"/>
              <w:rPr>
                <w:sz w:val="20"/>
                <w:szCs w:val="20"/>
                <w:color w:val="auto"/>
              </w:rPr>
            </w:pPr>
            <w:r>
              <w:rPr>
                <w:rFonts w:ascii="Arial" w:cs="Arial" w:eastAsia="Arial" w:hAnsi="Arial"/>
                <w:sz w:val="13"/>
                <w:szCs w:val="13"/>
                <w:b w:val="1"/>
                <w:bCs w:val="1"/>
                <w:color w:val="auto"/>
              </w:rPr>
              <w:t>Item 8.</w:t>
            </w:r>
          </w:p>
        </w:tc>
        <w:tc>
          <w:tcPr>
            <w:tcW w:w="8980" w:type="dxa"/>
            <w:vAlign w:val="bottom"/>
            <w:gridSpan w:val="8"/>
          </w:tcPr>
          <w:p>
            <w:pPr>
              <w:ind w:left="200"/>
              <w:spacing w:after="0"/>
              <w:rPr>
                <w:sz w:val="20"/>
                <w:szCs w:val="20"/>
                <w:color w:val="auto"/>
              </w:rPr>
            </w:pPr>
            <w:r>
              <w:rPr>
                <w:rFonts w:ascii="Arial" w:cs="Arial" w:eastAsia="Arial" w:hAnsi="Arial"/>
                <w:sz w:val="13"/>
                <w:szCs w:val="13"/>
                <w:b w:val="1"/>
                <w:bCs w:val="1"/>
                <w:i w:val="1"/>
                <w:iCs w:val="1"/>
                <w:color w:val="auto"/>
              </w:rPr>
              <w:t>Financial Statements and Supplementary Data.</w:t>
            </w: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303"/>
        </w:trPr>
        <w:tc>
          <w:tcPr>
            <w:tcW w:w="680" w:type="dxa"/>
            <w:vAlign w:val="bottom"/>
          </w:tcPr>
          <w:p>
            <w:pPr>
              <w:spacing w:after="0"/>
              <w:rPr>
                <w:sz w:val="24"/>
                <w:szCs w:val="24"/>
                <w:color w:val="auto"/>
              </w:rPr>
            </w:pPr>
          </w:p>
        </w:tc>
        <w:tc>
          <w:tcPr>
            <w:tcW w:w="9600" w:type="dxa"/>
            <w:vAlign w:val="bottom"/>
            <w:gridSpan w:val="10"/>
          </w:tcPr>
          <w:p>
            <w:pPr>
              <w:spacing w:after="0"/>
              <w:rPr>
                <w:sz w:val="20"/>
                <w:szCs w:val="20"/>
                <w:color w:val="auto"/>
              </w:rPr>
            </w:pPr>
            <w:r>
              <w:rPr>
                <w:rFonts w:ascii="Arial" w:cs="Arial" w:eastAsia="Arial" w:hAnsi="Arial"/>
                <w:sz w:val="11"/>
                <w:szCs w:val="11"/>
                <w:b w:val="1"/>
                <w:bCs w:val="1"/>
                <w:color w:val="auto"/>
              </w:rPr>
              <w:t>Index to Financial Statements</w:t>
            </w:r>
          </w:p>
        </w:tc>
        <w:tc>
          <w:tcPr>
            <w:tcW w:w="380" w:type="dxa"/>
            <w:vAlign w:val="bottom"/>
          </w:tcPr>
          <w:p>
            <w:pPr>
              <w:jc w:val="right"/>
              <w:ind w:right="14"/>
              <w:spacing w:after="0"/>
              <w:rPr>
                <w:sz w:val="20"/>
                <w:szCs w:val="20"/>
                <w:color w:val="auto"/>
              </w:rPr>
            </w:pPr>
            <w:r>
              <w:rPr>
                <w:rFonts w:ascii="Arial" w:cs="Arial" w:eastAsia="Arial" w:hAnsi="Arial"/>
                <w:sz w:val="11"/>
                <w:szCs w:val="11"/>
                <w:b w:val="1"/>
                <w:bCs w:val="1"/>
                <w:color w:val="auto"/>
              </w:rPr>
              <w:t>Page</w:t>
            </w:r>
          </w:p>
        </w:tc>
        <w:tc>
          <w:tcPr>
            <w:tcW w:w="800" w:type="dxa"/>
            <w:vAlign w:val="bottom"/>
          </w:tcPr>
          <w:p>
            <w:pPr>
              <w:spacing w:after="0"/>
              <w:rPr>
                <w:sz w:val="24"/>
                <w:szCs w:val="24"/>
                <w:color w:val="auto"/>
              </w:rPr>
            </w:pPr>
          </w:p>
        </w:tc>
      </w:tr>
      <w:tr>
        <w:trPr>
          <w:trHeight w:val="20"/>
        </w:trPr>
        <w:tc>
          <w:tcPr>
            <w:tcW w:w="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1"/>
        </w:trPr>
        <w:tc>
          <w:tcPr>
            <w:tcW w:w="680" w:type="dxa"/>
            <w:vAlign w:val="bottom"/>
          </w:tcPr>
          <w:p>
            <w:pPr>
              <w:spacing w:after="0"/>
              <w:rPr>
                <w:sz w:val="14"/>
                <w:szCs w:val="14"/>
                <w:color w:val="auto"/>
              </w:rPr>
            </w:pPr>
          </w:p>
        </w:tc>
        <w:tc>
          <w:tcPr>
            <w:tcW w:w="3160" w:type="dxa"/>
            <w:vAlign w:val="bottom"/>
            <w:tcBorders>
              <w:bottom w:val="single" w:sz="8" w:color="0000EE"/>
            </w:tcBorders>
            <w:gridSpan w:val="4"/>
          </w:tcPr>
          <w:p>
            <w:pPr>
              <w:spacing w:after="0"/>
              <w:rPr>
                <w:rFonts w:ascii="Arial" w:cs="Arial" w:eastAsia="Arial" w:hAnsi="Arial"/>
                <w:sz w:val="13"/>
                <w:szCs w:val="13"/>
                <w:color w:val="0000EE"/>
                <w:w w:val="94"/>
              </w:rPr>
            </w:pPr>
            <w:hyperlink w:anchor="page60">
              <w:r>
                <w:rPr>
                  <w:rFonts w:ascii="Arial" w:cs="Arial" w:eastAsia="Arial" w:hAnsi="Arial"/>
                  <w:sz w:val="13"/>
                  <w:szCs w:val="13"/>
                  <w:color w:val="0000EE"/>
                  <w:w w:val="94"/>
                </w:rPr>
                <w:t>Report of Independent Registered Public Accounting Firm</w:t>
              </w:r>
            </w:hyperlink>
          </w:p>
        </w:tc>
        <w:tc>
          <w:tcPr>
            <w:tcW w:w="6440" w:type="dxa"/>
            <w:vAlign w:val="bottom"/>
            <w:gridSpan w:val="6"/>
          </w:tcPr>
          <w:p>
            <w:pPr>
              <w:spacing w:after="0"/>
              <w:rPr>
                <w:sz w:val="14"/>
                <w:szCs w:val="14"/>
                <w:color w:val="auto"/>
              </w:rPr>
            </w:pPr>
          </w:p>
        </w:tc>
        <w:tc>
          <w:tcPr>
            <w:tcW w:w="380" w:type="dxa"/>
            <w:vAlign w:val="bottom"/>
          </w:tcPr>
          <w:p>
            <w:pPr>
              <w:jc w:val="right"/>
              <w:ind w:right="14"/>
              <w:spacing w:after="0"/>
              <w:rPr>
                <w:sz w:val="20"/>
                <w:szCs w:val="20"/>
                <w:color w:val="auto"/>
              </w:rPr>
            </w:pPr>
            <w:r>
              <w:rPr>
                <w:rFonts w:ascii="Arial" w:cs="Arial" w:eastAsia="Arial" w:hAnsi="Arial"/>
                <w:sz w:val="13"/>
                <w:szCs w:val="13"/>
                <w:color w:val="auto"/>
              </w:rPr>
              <w:t>59</w:t>
            </w:r>
          </w:p>
        </w:tc>
        <w:tc>
          <w:tcPr>
            <w:tcW w:w="800" w:type="dxa"/>
            <w:vAlign w:val="bottom"/>
          </w:tcPr>
          <w:p>
            <w:pPr>
              <w:spacing w:after="0"/>
              <w:rPr>
                <w:sz w:val="14"/>
                <w:szCs w:val="14"/>
                <w:color w:val="auto"/>
              </w:rPr>
            </w:pPr>
          </w:p>
        </w:tc>
      </w:tr>
      <w:tr>
        <w:trPr>
          <w:trHeight w:val="141"/>
        </w:trPr>
        <w:tc>
          <w:tcPr>
            <w:tcW w:w="680" w:type="dxa"/>
            <w:vAlign w:val="bottom"/>
          </w:tcPr>
          <w:p>
            <w:pPr>
              <w:spacing w:after="0"/>
              <w:rPr>
                <w:sz w:val="12"/>
                <w:szCs w:val="12"/>
                <w:color w:val="auto"/>
              </w:rPr>
            </w:pPr>
          </w:p>
        </w:tc>
        <w:tc>
          <w:tcPr>
            <w:tcW w:w="3160" w:type="dxa"/>
            <w:vAlign w:val="bottom"/>
            <w:tcBorders>
              <w:bottom w:val="single" w:sz="8" w:color="0000EE"/>
            </w:tcBorders>
            <w:gridSpan w:val="4"/>
          </w:tcPr>
          <w:p>
            <w:pPr>
              <w:spacing w:after="0" w:line="141" w:lineRule="exact"/>
              <w:rPr>
                <w:rFonts w:ascii="Arial" w:cs="Arial" w:eastAsia="Arial" w:hAnsi="Arial"/>
                <w:sz w:val="13"/>
                <w:szCs w:val="13"/>
                <w:color w:val="0000EE"/>
                <w:w w:val="94"/>
              </w:rPr>
            </w:pPr>
            <w:hyperlink w:anchor="page61">
              <w:r>
                <w:rPr>
                  <w:rFonts w:ascii="Arial" w:cs="Arial" w:eastAsia="Arial" w:hAnsi="Arial"/>
                  <w:sz w:val="13"/>
                  <w:szCs w:val="13"/>
                  <w:color w:val="0000EE"/>
                  <w:w w:val="94"/>
                </w:rPr>
                <w:t>Report of Independent Registered Public Accounting Firm</w:t>
              </w:r>
            </w:hyperlink>
          </w:p>
        </w:tc>
        <w:tc>
          <w:tcPr>
            <w:tcW w:w="6440" w:type="dxa"/>
            <w:vAlign w:val="bottom"/>
            <w:gridSpan w:val="6"/>
          </w:tcPr>
          <w:p>
            <w:pPr>
              <w:spacing w:after="0"/>
              <w:rPr>
                <w:sz w:val="12"/>
                <w:szCs w:val="12"/>
                <w:color w:val="auto"/>
              </w:rPr>
            </w:pPr>
          </w:p>
        </w:tc>
        <w:tc>
          <w:tcPr>
            <w:tcW w:w="380" w:type="dxa"/>
            <w:vAlign w:val="bottom"/>
          </w:tcPr>
          <w:p>
            <w:pPr>
              <w:jc w:val="right"/>
              <w:ind w:right="14"/>
              <w:spacing w:after="0" w:line="141" w:lineRule="exact"/>
              <w:rPr>
                <w:sz w:val="20"/>
                <w:szCs w:val="20"/>
                <w:color w:val="auto"/>
              </w:rPr>
            </w:pPr>
            <w:r>
              <w:rPr>
                <w:rFonts w:ascii="Arial" w:cs="Arial" w:eastAsia="Arial" w:hAnsi="Arial"/>
                <w:sz w:val="13"/>
                <w:szCs w:val="13"/>
                <w:color w:val="auto"/>
              </w:rPr>
              <w:t>60</w:t>
            </w:r>
          </w:p>
        </w:tc>
        <w:tc>
          <w:tcPr>
            <w:tcW w:w="800" w:type="dxa"/>
            <w:vAlign w:val="bottom"/>
          </w:tcPr>
          <w:p>
            <w:pPr>
              <w:spacing w:after="0"/>
              <w:rPr>
                <w:sz w:val="12"/>
                <w:szCs w:val="12"/>
                <w:color w:val="auto"/>
              </w:rPr>
            </w:pPr>
          </w:p>
        </w:tc>
      </w:tr>
      <w:tr>
        <w:trPr>
          <w:trHeight w:val="141"/>
        </w:trPr>
        <w:tc>
          <w:tcPr>
            <w:tcW w:w="680" w:type="dxa"/>
            <w:vAlign w:val="bottom"/>
          </w:tcPr>
          <w:p>
            <w:pPr>
              <w:spacing w:after="0"/>
              <w:rPr>
                <w:sz w:val="12"/>
                <w:szCs w:val="12"/>
                <w:color w:val="auto"/>
              </w:rPr>
            </w:pPr>
          </w:p>
        </w:tc>
        <w:tc>
          <w:tcPr>
            <w:tcW w:w="9600" w:type="dxa"/>
            <w:vAlign w:val="bottom"/>
            <w:gridSpan w:val="10"/>
          </w:tcPr>
          <w:p>
            <w:pPr>
              <w:spacing w:after="0" w:line="141" w:lineRule="exact"/>
              <w:rPr>
                <w:rFonts w:ascii="Arial" w:cs="Arial" w:eastAsia="Arial" w:hAnsi="Arial"/>
                <w:sz w:val="13"/>
                <w:szCs w:val="13"/>
                <w:color w:val="0000EE"/>
              </w:rPr>
            </w:pPr>
            <w:hyperlink w:anchor="page62">
              <w:r>
                <w:rPr>
                  <w:rFonts w:ascii="Arial" w:cs="Arial" w:eastAsia="Arial" w:hAnsi="Arial"/>
                  <w:sz w:val="13"/>
                  <w:szCs w:val="13"/>
                  <w:color w:val="0000EE"/>
                </w:rPr>
                <w:t>Consolidated Statements of Operations — Fiscal Years ended July 3, 2009; June 27, 2008; and June 29, 2007</w:t>
              </w:r>
            </w:hyperlink>
          </w:p>
        </w:tc>
        <w:tc>
          <w:tcPr>
            <w:tcW w:w="380" w:type="dxa"/>
            <w:vAlign w:val="bottom"/>
          </w:tcPr>
          <w:p>
            <w:pPr>
              <w:jc w:val="right"/>
              <w:ind w:right="14"/>
              <w:spacing w:after="0" w:line="141" w:lineRule="exact"/>
              <w:rPr>
                <w:sz w:val="20"/>
                <w:szCs w:val="20"/>
                <w:color w:val="auto"/>
              </w:rPr>
            </w:pPr>
            <w:r>
              <w:rPr>
                <w:rFonts w:ascii="Arial" w:cs="Arial" w:eastAsia="Arial" w:hAnsi="Arial"/>
                <w:sz w:val="13"/>
                <w:szCs w:val="13"/>
                <w:color w:val="auto"/>
              </w:rPr>
              <w:t>61</w:t>
            </w:r>
          </w:p>
        </w:tc>
        <w:tc>
          <w:tcPr>
            <w:tcW w:w="800" w:type="dxa"/>
            <w:vAlign w:val="bottom"/>
          </w:tcPr>
          <w:p>
            <w:pPr>
              <w:spacing w:after="0"/>
              <w:rPr>
                <w:sz w:val="12"/>
                <w:szCs w:val="12"/>
                <w:color w:val="auto"/>
              </w:rPr>
            </w:pPr>
          </w:p>
        </w:tc>
      </w:tr>
      <w:tr>
        <w:trPr>
          <w:trHeight w:val="141"/>
        </w:trPr>
        <w:tc>
          <w:tcPr>
            <w:tcW w:w="680" w:type="dxa"/>
            <w:vAlign w:val="bottom"/>
          </w:tcPr>
          <w:p>
            <w:pPr>
              <w:spacing w:after="0"/>
              <w:rPr>
                <w:sz w:val="12"/>
                <w:szCs w:val="12"/>
                <w:color w:val="auto"/>
              </w:rPr>
            </w:pPr>
          </w:p>
        </w:tc>
        <w:tc>
          <w:tcPr>
            <w:tcW w:w="5880" w:type="dxa"/>
            <w:vAlign w:val="bottom"/>
            <w:tcBorders>
              <w:top w:val="single" w:sz="8" w:color="0000EE"/>
            </w:tcBorders>
            <w:gridSpan w:val="6"/>
          </w:tcPr>
          <w:p>
            <w:pPr>
              <w:spacing w:after="0" w:line="141" w:lineRule="exact"/>
              <w:rPr>
                <w:rFonts w:ascii="Arial" w:cs="Arial" w:eastAsia="Arial" w:hAnsi="Arial"/>
                <w:sz w:val="13"/>
                <w:szCs w:val="13"/>
                <w:color w:val="0000EE"/>
              </w:rPr>
            </w:pPr>
            <w:hyperlink w:anchor="page63">
              <w:r>
                <w:rPr>
                  <w:rFonts w:ascii="Arial" w:cs="Arial" w:eastAsia="Arial" w:hAnsi="Arial"/>
                  <w:sz w:val="13"/>
                  <w:szCs w:val="13"/>
                  <w:color w:val="0000EE"/>
                </w:rPr>
                <w:t>Consolidated Balance Sheets — July 3, 2009 and June 27, 2008</w:t>
              </w:r>
            </w:hyperlink>
          </w:p>
        </w:tc>
        <w:tc>
          <w:tcPr>
            <w:tcW w:w="3720" w:type="dxa"/>
            <w:vAlign w:val="bottom"/>
            <w:gridSpan w:val="4"/>
          </w:tcPr>
          <w:p>
            <w:pPr>
              <w:spacing w:after="0"/>
              <w:rPr>
                <w:sz w:val="12"/>
                <w:szCs w:val="12"/>
                <w:color w:val="auto"/>
              </w:rPr>
            </w:pPr>
          </w:p>
        </w:tc>
        <w:tc>
          <w:tcPr>
            <w:tcW w:w="380" w:type="dxa"/>
            <w:vAlign w:val="bottom"/>
          </w:tcPr>
          <w:p>
            <w:pPr>
              <w:jc w:val="right"/>
              <w:ind w:right="14"/>
              <w:spacing w:after="0" w:line="141" w:lineRule="exact"/>
              <w:rPr>
                <w:sz w:val="20"/>
                <w:szCs w:val="20"/>
                <w:color w:val="auto"/>
              </w:rPr>
            </w:pPr>
            <w:r>
              <w:rPr>
                <w:rFonts w:ascii="Arial" w:cs="Arial" w:eastAsia="Arial" w:hAnsi="Arial"/>
                <w:sz w:val="13"/>
                <w:szCs w:val="13"/>
                <w:color w:val="auto"/>
              </w:rPr>
              <w:t>62</w:t>
            </w:r>
          </w:p>
        </w:tc>
        <w:tc>
          <w:tcPr>
            <w:tcW w:w="800" w:type="dxa"/>
            <w:vAlign w:val="bottom"/>
          </w:tcPr>
          <w:p>
            <w:pPr>
              <w:spacing w:after="0"/>
              <w:rPr>
                <w:sz w:val="12"/>
                <w:szCs w:val="12"/>
                <w:color w:val="auto"/>
              </w:rPr>
            </w:pPr>
          </w:p>
        </w:tc>
      </w:tr>
      <w:tr>
        <w:trPr>
          <w:trHeight w:val="20"/>
        </w:trPr>
        <w:tc>
          <w:tcPr>
            <w:tcW w:w="680" w:type="dxa"/>
            <w:vAlign w:val="bottom"/>
          </w:tcPr>
          <w:p>
            <w:pPr>
              <w:spacing w:after="0" w:line="20" w:lineRule="exact"/>
              <w:rPr>
                <w:sz w:val="1"/>
                <w:szCs w:val="1"/>
                <w:color w:val="auto"/>
              </w:rPr>
            </w:pPr>
          </w:p>
        </w:tc>
        <w:tc>
          <w:tcPr>
            <w:tcW w:w="2360" w:type="dxa"/>
            <w:vAlign w:val="bottom"/>
            <w:gridSpan w:val="3"/>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41"/>
        </w:trPr>
        <w:tc>
          <w:tcPr>
            <w:tcW w:w="680" w:type="dxa"/>
            <w:vAlign w:val="bottom"/>
          </w:tcPr>
          <w:p>
            <w:pPr>
              <w:spacing w:after="0"/>
              <w:rPr>
                <w:sz w:val="12"/>
                <w:szCs w:val="12"/>
                <w:color w:val="auto"/>
              </w:rPr>
            </w:pPr>
          </w:p>
        </w:tc>
        <w:tc>
          <w:tcPr>
            <w:tcW w:w="9600" w:type="dxa"/>
            <w:vAlign w:val="bottom"/>
            <w:gridSpan w:val="10"/>
          </w:tcPr>
          <w:p>
            <w:pPr>
              <w:spacing w:after="0" w:line="141" w:lineRule="exact"/>
              <w:rPr>
                <w:rFonts w:ascii="Arial" w:cs="Arial" w:eastAsia="Arial" w:hAnsi="Arial"/>
                <w:sz w:val="13"/>
                <w:szCs w:val="13"/>
                <w:color w:val="0000EE"/>
              </w:rPr>
            </w:pPr>
            <w:hyperlink w:anchor="page64">
              <w:r>
                <w:rPr>
                  <w:rFonts w:ascii="Arial" w:cs="Arial" w:eastAsia="Arial" w:hAnsi="Arial"/>
                  <w:sz w:val="13"/>
                  <w:szCs w:val="13"/>
                  <w:color w:val="0000EE"/>
                </w:rPr>
                <w:t>Consolidated Statements of Cash Flows — Fiscal Years ended July 3, 2009; June 27, 2008; and June 29, 2007</w:t>
              </w:r>
            </w:hyperlink>
          </w:p>
        </w:tc>
        <w:tc>
          <w:tcPr>
            <w:tcW w:w="380" w:type="dxa"/>
            <w:vAlign w:val="bottom"/>
          </w:tcPr>
          <w:p>
            <w:pPr>
              <w:jc w:val="right"/>
              <w:ind w:right="14"/>
              <w:spacing w:after="0" w:line="141" w:lineRule="exact"/>
              <w:rPr>
                <w:sz w:val="20"/>
                <w:szCs w:val="20"/>
                <w:color w:val="auto"/>
              </w:rPr>
            </w:pPr>
            <w:r>
              <w:rPr>
                <w:rFonts w:ascii="Arial" w:cs="Arial" w:eastAsia="Arial" w:hAnsi="Arial"/>
                <w:sz w:val="13"/>
                <w:szCs w:val="13"/>
                <w:color w:val="auto"/>
              </w:rPr>
              <w:t>63</w:t>
            </w:r>
          </w:p>
        </w:tc>
        <w:tc>
          <w:tcPr>
            <w:tcW w:w="800" w:type="dxa"/>
            <w:vAlign w:val="bottom"/>
          </w:tcPr>
          <w:p>
            <w:pPr>
              <w:spacing w:after="0"/>
              <w:rPr>
                <w:sz w:val="12"/>
                <w:szCs w:val="12"/>
                <w:color w:val="auto"/>
              </w:rPr>
            </w:pPr>
          </w:p>
        </w:tc>
      </w:tr>
      <w:tr>
        <w:trPr>
          <w:trHeight w:val="20"/>
        </w:trPr>
        <w:tc>
          <w:tcPr>
            <w:tcW w:w="680" w:type="dxa"/>
            <w:vAlign w:val="bottom"/>
          </w:tcPr>
          <w:p>
            <w:pPr>
              <w:spacing w:after="0" w:line="20" w:lineRule="exact"/>
              <w:rPr>
                <w:sz w:val="1"/>
                <w:szCs w:val="1"/>
                <w:color w:val="auto"/>
              </w:rPr>
            </w:pPr>
          </w:p>
        </w:tc>
        <w:tc>
          <w:tcPr>
            <w:tcW w:w="2360" w:type="dxa"/>
            <w:vAlign w:val="bottom"/>
            <w:gridSpan w:val="3"/>
            <w:shd w:val="clear" w:color="auto" w:fill="0000EE"/>
          </w:tcPr>
          <w:p>
            <w:pPr>
              <w:spacing w:after="0" w:line="20" w:lineRule="exact"/>
              <w:rPr>
                <w:sz w:val="1"/>
                <w:szCs w:val="1"/>
                <w:color w:val="auto"/>
              </w:rPr>
            </w:pPr>
          </w:p>
        </w:tc>
        <w:tc>
          <w:tcPr>
            <w:tcW w:w="3560" w:type="dxa"/>
            <w:vAlign w:val="bottom"/>
            <w:gridSpan w:val="4"/>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41"/>
        </w:trPr>
        <w:tc>
          <w:tcPr>
            <w:tcW w:w="680" w:type="dxa"/>
            <w:vAlign w:val="bottom"/>
          </w:tcPr>
          <w:p>
            <w:pPr>
              <w:spacing w:after="0"/>
              <w:rPr>
                <w:sz w:val="12"/>
                <w:szCs w:val="12"/>
                <w:color w:val="auto"/>
              </w:rPr>
            </w:pPr>
          </w:p>
        </w:tc>
        <w:tc>
          <w:tcPr>
            <w:tcW w:w="7820" w:type="dxa"/>
            <w:vAlign w:val="bottom"/>
            <w:tcBorders>
              <w:bottom w:val="single" w:sz="8" w:color="0000EE"/>
            </w:tcBorders>
            <w:gridSpan w:val="9"/>
          </w:tcPr>
          <w:p>
            <w:pPr>
              <w:spacing w:after="0" w:line="141" w:lineRule="exact"/>
              <w:rPr>
                <w:rFonts w:ascii="Arial" w:cs="Arial" w:eastAsia="Arial" w:hAnsi="Arial"/>
                <w:sz w:val="13"/>
                <w:szCs w:val="13"/>
                <w:color w:val="0000EE"/>
                <w:w w:val="92"/>
              </w:rPr>
            </w:pPr>
            <w:hyperlink w:anchor="page65">
              <w:r>
                <w:rPr>
                  <w:rFonts w:ascii="Arial" w:cs="Arial" w:eastAsia="Arial" w:hAnsi="Arial"/>
                  <w:sz w:val="13"/>
                  <w:szCs w:val="13"/>
                  <w:color w:val="0000EE"/>
                  <w:w w:val="92"/>
                </w:rPr>
                <w:t>Consolidated Statements of Shareholders’ Equity and Comprehensive Loss — Fiscal Years ended July 3, 2009; June 27, 2008; and June 29, 2007</w:t>
              </w:r>
            </w:hyperlink>
          </w:p>
        </w:tc>
        <w:tc>
          <w:tcPr>
            <w:tcW w:w="1780" w:type="dxa"/>
            <w:vAlign w:val="bottom"/>
          </w:tcPr>
          <w:p>
            <w:pPr>
              <w:spacing w:after="0"/>
              <w:rPr>
                <w:sz w:val="12"/>
                <w:szCs w:val="12"/>
                <w:color w:val="auto"/>
              </w:rPr>
            </w:pPr>
          </w:p>
        </w:tc>
        <w:tc>
          <w:tcPr>
            <w:tcW w:w="380" w:type="dxa"/>
            <w:vAlign w:val="bottom"/>
          </w:tcPr>
          <w:p>
            <w:pPr>
              <w:jc w:val="right"/>
              <w:ind w:right="14"/>
              <w:spacing w:after="0" w:line="141" w:lineRule="exact"/>
              <w:rPr>
                <w:sz w:val="20"/>
                <w:szCs w:val="20"/>
                <w:color w:val="auto"/>
              </w:rPr>
            </w:pPr>
            <w:r>
              <w:rPr>
                <w:rFonts w:ascii="Arial" w:cs="Arial" w:eastAsia="Arial" w:hAnsi="Arial"/>
                <w:sz w:val="13"/>
                <w:szCs w:val="13"/>
                <w:color w:val="auto"/>
              </w:rPr>
              <w:t>64</w:t>
            </w:r>
          </w:p>
        </w:tc>
        <w:tc>
          <w:tcPr>
            <w:tcW w:w="800" w:type="dxa"/>
            <w:vAlign w:val="bottom"/>
          </w:tcPr>
          <w:p>
            <w:pPr>
              <w:spacing w:after="0"/>
              <w:rPr>
                <w:sz w:val="12"/>
                <w:szCs w:val="12"/>
                <w:color w:val="auto"/>
              </w:rPr>
            </w:pPr>
          </w:p>
        </w:tc>
      </w:tr>
      <w:tr>
        <w:trPr>
          <w:trHeight w:val="141"/>
        </w:trPr>
        <w:tc>
          <w:tcPr>
            <w:tcW w:w="680" w:type="dxa"/>
            <w:vAlign w:val="bottom"/>
          </w:tcPr>
          <w:p>
            <w:pPr>
              <w:spacing w:after="0"/>
              <w:rPr>
                <w:sz w:val="12"/>
                <w:szCs w:val="12"/>
                <w:color w:val="auto"/>
              </w:rPr>
            </w:pPr>
          </w:p>
        </w:tc>
        <w:tc>
          <w:tcPr>
            <w:tcW w:w="2360" w:type="dxa"/>
            <w:vAlign w:val="bottom"/>
            <w:tcBorders>
              <w:bottom w:val="single" w:sz="8" w:color="0000EE"/>
            </w:tcBorders>
            <w:gridSpan w:val="3"/>
          </w:tcPr>
          <w:p>
            <w:pPr>
              <w:spacing w:after="0" w:line="141" w:lineRule="exact"/>
              <w:rPr>
                <w:rFonts w:ascii="Arial" w:cs="Arial" w:eastAsia="Arial" w:hAnsi="Arial"/>
                <w:sz w:val="13"/>
                <w:szCs w:val="13"/>
                <w:color w:val="0000EE"/>
                <w:w w:val="92"/>
              </w:rPr>
            </w:pPr>
            <w:hyperlink w:anchor="page66">
              <w:r>
                <w:rPr>
                  <w:rFonts w:ascii="Arial" w:cs="Arial" w:eastAsia="Arial" w:hAnsi="Arial"/>
                  <w:sz w:val="13"/>
                  <w:szCs w:val="13"/>
                  <w:color w:val="0000EE"/>
                  <w:w w:val="92"/>
                </w:rPr>
                <w:t>Notes to Consolidated Financial Statements</w:t>
              </w:r>
            </w:hyperlink>
          </w:p>
        </w:tc>
        <w:tc>
          <w:tcPr>
            <w:tcW w:w="7240" w:type="dxa"/>
            <w:vAlign w:val="bottom"/>
            <w:gridSpan w:val="7"/>
          </w:tcPr>
          <w:p>
            <w:pPr>
              <w:spacing w:after="0"/>
              <w:rPr>
                <w:sz w:val="12"/>
                <w:szCs w:val="12"/>
                <w:color w:val="auto"/>
              </w:rPr>
            </w:pPr>
          </w:p>
        </w:tc>
        <w:tc>
          <w:tcPr>
            <w:tcW w:w="380" w:type="dxa"/>
            <w:vAlign w:val="bottom"/>
          </w:tcPr>
          <w:p>
            <w:pPr>
              <w:jc w:val="right"/>
              <w:ind w:right="14"/>
              <w:spacing w:after="0" w:line="141" w:lineRule="exact"/>
              <w:rPr>
                <w:sz w:val="20"/>
                <w:szCs w:val="20"/>
                <w:color w:val="auto"/>
              </w:rPr>
            </w:pPr>
            <w:r>
              <w:rPr>
                <w:rFonts w:ascii="Arial" w:cs="Arial" w:eastAsia="Arial" w:hAnsi="Arial"/>
                <w:sz w:val="13"/>
                <w:szCs w:val="13"/>
                <w:color w:val="auto"/>
              </w:rPr>
              <w:t>65</w:t>
            </w:r>
          </w:p>
        </w:tc>
        <w:tc>
          <w:tcPr>
            <w:tcW w:w="800" w:type="dxa"/>
            <w:vAlign w:val="bottom"/>
          </w:tcPr>
          <w:p>
            <w:pPr>
              <w:spacing w:after="0"/>
              <w:rPr>
                <w:sz w:val="12"/>
                <w:szCs w:val="12"/>
                <w:color w:val="auto"/>
              </w:rPr>
            </w:pPr>
          </w:p>
        </w:tc>
      </w:tr>
      <w:tr>
        <w:trPr>
          <w:trHeight w:val="141"/>
        </w:trPr>
        <w:tc>
          <w:tcPr>
            <w:tcW w:w="680" w:type="dxa"/>
            <w:vAlign w:val="bottom"/>
          </w:tcPr>
          <w:p>
            <w:pPr>
              <w:spacing w:after="0"/>
              <w:rPr>
                <w:sz w:val="12"/>
                <w:szCs w:val="12"/>
                <w:color w:val="auto"/>
              </w:rPr>
            </w:pPr>
          </w:p>
        </w:tc>
        <w:tc>
          <w:tcPr>
            <w:tcW w:w="9600" w:type="dxa"/>
            <w:vAlign w:val="bottom"/>
            <w:gridSpan w:val="10"/>
          </w:tcPr>
          <w:p>
            <w:pPr>
              <w:spacing w:after="0" w:line="141" w:lineRule="exact"/>
              <w:rPr>
                <w:rFonts w:ascii="Arial" w:cs="Arial" w:eastAsia="Arial" w:hAnsi="Arial"/>
                <w:sz w:val="13"/>
                <w:szCs w:val="13"/>
                <w:color w:val="0000EE"/>
              </w:rPr>
            </w:pPr>
            <w:hyperlink w:anchor="page122">
              <w:r>
                <w:rPr>
                  <w:rFonts w:ascii="Arial" w:cs="Arial" w:eastAsia="Arial" w:hAnsi="Arial"/>
                  <w:sz w:val="13"/>
                  <w:szCs w:val="13"/>
                  <w:color w:val="0000EE"/>
                </w:rPr>
                <w:t>For each of the Fiscal Years ended July 3, 2009; June 27, 2008; and June 29, 2007 Schedule II — Valuation and Qualifying Accounts</w:t>
              </w:r>
            </w:hyperlink>
          </w:p>
        </w:tc>
        <w:tc>
          <w:tcPr>
            <w:tcW w:w="380" w:type="dxa"/>
            <w:vAlign w:val="bottom"/>
          </w:tcPr>
          <w:p>
            <w:pPr>
              <w:jc w:val="right"/>
              <w:ind w:right="14"/>
              <w:spacing w:after="0" w:line="141" w:lineRule="exact"/>
              <w:rPr>
                <w:sz w:val="20"/>
                <w:szCs w:val="20"/>
                <w:color w:val="auto"/>
              </w:rPr>
            </w:pPr>
            <w:r>
              <w:rPr>
                <w:rFonts w:ascii="Arial" w:cs="Arial" w:eastAsia="Arial" w:hAnsi="Arial"/>
                <w:sz w:val="13"/>
                <w:szCs w:val="13"/>
                <w:color w:val="auto"/>
              </w:rPr>
              <w:t>121</w:t>
            </w:r>
          </w:p>
        </w:tc>
        <w:tc>
          <w:tcPr>
            <w:tcW w:w="800" w:type="dxa"/>
            <w:vAlign w:val="bottom"/>
          </w:tcPr>
          <w:p>
            <w:pPr>
              <w:spacing w:after="0"/>
              <w:rPr>
                <w:sz w:val="12"/>
                <w:szCs w:val="12"/>
                <w:color w:val="auto"/>
              </w:rPr>
            </w:pPr>
          </w:p>
        </w:tc>
      </w:tr>
      <w:tr>
        <w:trPr>
          <w:trHeight w:val="473"/>
        </w:trPr>
        <w:tc>
          <w:tcPr>
            <w:tcW w:w="68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5260" w:type="dxa"/>
            <w:vAlign w:val="bottom"/>
            <w:tcBorders>
              <w:top w:val="single" w:sz="8" w:color="0000EE"/>
            </w:tcBorders>
            <w:gridSpan w:val="4"/>
          </w:tcPr>
          <w:p>
            <w:pPr>
              <w:jc w:val="right"/>
              <w:ind w:right="820"/>
              <w:spacing w:after="0"/>
              <w:rPr>
                <w:sz w:val="20"/>
                <w:szCs w:val="20"/>
                <w:color w:val="auto"/>
              </w:rPr>
            </w:pPr>
            <w:r>
              <w:rPr>
                <w:rFonts w:ascii="Arial" w:cs="Arial" w:eastAsia="Arial" w:hAnsi="Arial"/>
                <w:sz w:val="13"/>
                <w:szCs w:val="13"/>
                <w:color w:val="auto"/>
              </w:rPr>
              <w:t>58</w:t>
            </w:r>
          </w:p>
        </w:tc>
        <w:tc>
          <w:tcPr>
            <w:tcW w:w="40" w:type="dxa"/>
            <w:vAlign w:val="bottom"/>
            <w:tcBorders>
              <w:top w:val="single" w:sz="8" w:color="0000EE"/>
            </w:tcBorders>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6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7"/>
        </w:trPr>
        <w:tc>
          <w:tcPr>
            <w:tcW w:w="6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174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244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1260" w:type="dxa"/>
            <w:vAlign w:val="bottom"/>
            <w:tcBorders>
              <w:bottom w:val="single" w:sz="8" w:color="808080"/>
            </w:tcBorders>
          </w:tcPr>
          <w:p>
            <w:pPr>
              <w:spacing w:after="0"/>
              <w:rPr>
                <w:sz w:val="14"/>
                <w:szCs w:val="14"/>
                <w:color w:val="auto"/>
              </w:rPr>
            </w:pPr>
          </w:p>
        </w:tc>
        <w:tc>
          <w:tcPr>
            <w:tcW w:w="640" w:type="dxa"/>
            <w:vAlign w:val="bottom"/>
            <w:tcBorders>
              <w:bottom w:val="single" w:sz="8" w:color="808080"/>
            </w:tcBorders>
          </w:tcPr>
          <w:p>
            <w:pPr>
              <w:spacing w:after="0"/>
              <w:rPr>
                <w:sz w:val="14"/>
                <w:szCs w:val="14"/>
                <w:color w:val="auto"/>
              </w:rPr>
            </w:pPr>
          </w:p>
        </w:tc>
        <w:tc>
          <w:tcPr>
            <w:tcW w:w="178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12700" cy="63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31" w:right="219" w:bottom="1440" w:gutter="0" w:footer="0" w:header="0"/>
        </w:sectPr>
      </w:pPr>
    </w:p>
    <w:bookmarkStart w:id="59" w:name="page60"/>
    <w:bookmarkEnd w:id="5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63" w:lineRule="exact"/>
        <w:rPr>
          <w:sz w:val="20"/>
          <w:szCs w:val="20"/>
          <w:color w:val="auto"/>
        </w:rPr>
      </w:pPr>
    </w:p>
    <w:p>
      <w:pPr>
        <w:ind w:left="4000"/>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8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Board of Directors and Shareholders of Harris Stratex Networks, Inc.</w:t>
      </w:r>
    </w:p>
    <w:p>
      <w:pPr>
        <w:spacing w:after="0" w:line="102" w:lineRule="exact"/>
        <w:rPr>
          <w:sz w:val="20"/>
          <w:szCs w:val="20"/>
          <w:color w:val="auto"/>
        </w:rPr>
      </w:pPr>
    </w:p>
    <w:p>
      <w:pPr>
        <w:ind w:left="680" w:right="40" w:firstLine="399"/>
        <w:spacing w:after="0" w:line="270" w:lineRule="auto"/>
        <w:rPr>
          <w:sz w:val="20"/>
          <w:szCs w:val="20"/>
          <w:color w:val="auto"/>
        </w:rPr>
      </w:pPr>
      <w:r>
        <w:rPr>
          <w:rFonts w:ascii="Arial" w:cs="Arial" w:eastAsia="Arial" w:hAnsi="Arial"/>
          <w:sz w:val="13"/>
          <w:szCs w:val="13"/>
          <w:color w:val="auto"/>
        </w:rPr>
        <w:t>We have audited the accompanying consolidated balance sheets of Harris Stratex Networks, Inc. and subsidiaries as of July 3, 2009 and June 27, 2008, and the related consolidated statements of operations, shareholders’ equity and comprehensive loss, and cash flows for each of the three years in the period ended July 3, 2009. Our audits also included the financial statement schedule listed in the Index at Item 15(a)(2). These financial statements and schedule are the responsibility of the Company’s management. Our responsibility is to express an opinion on these financial statements and schedule based on our audits.</w:t>
      </w:r>
    </w:p>
    <w:p>
      <w:pPr>
        <w:spacing w:after="0" w:line="63" w:lineRule="exact"/>
        <w:rPr>
          <w:sz w:val="20"/>
          <w:szCs w:val="20"/>
          <w:color w:val="auto"/>
        </w:rPr>
      </w:pPr>
    </w:p>
    <w:p>
      <w:pPr>
        <w:ind w:left="680" w:firstLine="399"/>
        <w:spacing w:after="0" w:line="270" w:lineRule="auto"/>
        <w:rPr>
          <w:sz w:val="20"/>
          <w:szCs w:val="20"/>
          <w:color w:val="auto"/>
        </w:rPr>
      </w:pPr>
      <w:r>
        <w:rPr>
          <w:rFonts w:ascii="Arial" w:cs="Arial" w:eastAsia="Arial" w:hAnsi="Arial"/>
          <w:sz w:val="13"/>
          <w:szCs w:val="13"/>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63" w:lineRule="exact"/>
        <w:rPr>
          <w:sz w:val="20"/>
          <w:szCs w:val="20"/>
          <w:color w:val="auto"/>
        </w:rPr>
      </w:pPr>
    </w:p>
    <w:p>
      <w:pPr>
        <w:ind w:left="680" w:right="460" w:firstLine="399"/>
        <w:spacing w:after="0" w:line="270" w:lineRule="auto"/>
        <w:rPr>
          <w:sz w:val="20"/>
          <w:szCs w:val="20"/>
          <w:color w:val="auto"/>
        </w:rPr>
      </w:pPr>
      <w:r>
        <w:rPr>
          <w:rFonts w:ascii="Arial" w:cs="Arial" w:eastAsia="Arial" w:hAnsi="Arial"/>
          <w:sz w:val="13"/>
          <w:szCs w:val="13"/>
          <w:color w:val="auto"/>
        </w:rPr>
        <w:t>In our opinion, the financial statements referred to above present fairly, in all material respects, the consolidated financial position of Harris Stratex Networks, Inc. and subsidiaries at July 3, 2009 and June 27, 2008, and the consolidated results of their operations and their cash flows for each of the three years in the period ended July 3, 2009, in conformity with U.S.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63"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We also have audited, in accordance with the standards of the Public Company Accounting Oversight Board (United States), Harris Stratex Networks, Inc.’s internal control over financial reporting as of July 3, 2009, based on criteria established in Internal Control-Integrated Framework issued by the Committee of Sponsoring Organizations of the Treadway Commission and our report dated September 3, 2009 expressed an unqualified opinion thereon.</w:t>
      </w:r>
    </w:p>
    <w:p>
      <w:pPr>
        <w:spacing w:after="0" w:line="300"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/s/ Ernst &amp; Young LLP</w:t>
      </w:r>
    </w:p>
    <w:p>
      <w:pPr>
        <w:spacing w:after="0" w:line="18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Raleigh, North Carolina</w:t>
      </w:r>
    </w:p>
    <w:p>
      <w:pPr>
        <w:spacing w:after="0" w:line="2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September 3, 2009</w:t>
      </w:r>
    </w:p>
    <w:p>
      <w:pPr>
        <w:spacing w:after="0" w:line="30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60" w:name="page61"/>
    <w:bookmarkEnd w:id="6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63" w:lineRule="exact"/>
        <w:rPr>
          <w:sz w:val="20"/>
          <w:szCs w:val="20"/>
          <w:color w:val="auto"/>
        </w:rPr>
      </w:pPr>
    </w:p>
    <w:p>
      <w:pPr>
        <w:ind w:left="4000"/>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8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Board of Directors and Shareholders of Harris Stratex Networks, Inc.</w:t>
      </w:r>
    </w:p>
    <w:p>
      <w:pPr>
        <w:spacing w:after="0" w:line="102" w:lineRule="exact"/>
        <w:rPr>
          <w:sz w:val="20"/>
          <w:szCs w:val="20"/>
          <w:color w:val="auto"/>
        </w:rPr>
      </w:pPr>
    </w:p>
    <w:p>
      <w:pPr>
        <w:ind w:left="680" w:right="120" w:firstLine="399"/>
        <w:spacing w:after="0" w:line="267" w:lineRule="auto"/>
        <w:rPr>
          <w:sz w:val="20"/>
          <w:szCs w:val="20"/>
          <w:color w:val="auto"/>
        </w:rPr>
      </w:pPr>
      <w:r>
        <w:rPr>
          <w:rFonts w:ascii="Arial" w:cs="Arial" w:eastAsia="Arial" w:hAnsi="Arial"/>
          <w:sz w:val="13"/>
          <w:szCs w:val="13"/>
          <w:color w:val="auto"/>
        </w:rPr>
        <w:t>We have audited Harris Stratex Networks, Inc.’s internal control over financial reporting as of July 3, 2009, based on criteria established in Internal Control — Integrated Framework issued by the Committee of Sponsoring Organizations of the Treadway Commission (the COSO criteria). Harris Stratex Networks, Inc.’s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65" w:lineRule="exact"/>
        <w:rPr>
          <w:sz w:val="20"/>
          <w:szCs w:val="20"/>
          <w:color w:val="auto"/>
        </w:rPr>
      </w:pPr>
    </w:p>
    <w:p>
      <w:pPr>
        <w:ind w:left="680" w:right="60" w:firstLine="399"/>
        <w:spacing w:after="0" w:line="267" w:lineRule="auto"/>
        <w:rPr>
          <w:sz w:val="20"/>
          <w:szCs w:val="20"/>
          <w:color w:val="auto"/>
        </w:rPr>
      </w:pPr>
      <w:r>
        <w:rPr>
          <w:rFonts w:ascii="Arial" w:cs="Arial" w:eastAsia="Arial" w:hAnsi="Arial"/>
          <w:sz w:val="13"/>
          <w:szCs w:val="13"/>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65" w:lineRule="exact"/>
        <w:rPr>
          <w:sz w:val="20"/>
          <w:szCs w:val="20"/>
          <w:color w:val="auto"/>
        </w:rPr>
      </w:pPr>
    </w:p>
    <w:p>
      <w:pPr>
        <w:ind w:left="680" w:firstLine="399"/>
        <w:spacing w:after="0" w:line="292" w:lineRule="auto"/>
        <w:rPr>
          <w:sz w:val="20"/>
          <w:szCs w:val="20"/>
          <w:color w:val="auto"/>
        </w:rPr>
      </w:pPr>
      <w:r>
        <w:rPr>
          <w:rFonts w:ascii="Arial" w:cs="Arial" w:eastAsia="Arial" w:hAnsi="Arial"/>
          <w:sz w:val="12"/>
          <w:szCs w:val="12"/>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51" w:lineRule="exact"/>
        <w:rPr>
          <w:sz w:val="20"/>
          <w:szCs w:val="20"/>
          <w:color w:val="auto"/>
        </w:rPr>
      </w:pPr>
    </w:p>
    <w:p>
      <w:pPr>
        <w:ind w:left="680" w:firstLine="399"/>
        <w:spacing w:after="0" w:line="338" w:lineRule="auto"/>
        <w:rPr>
          <w:sz w:val="20"/>
          <w:szCs w:val="20"/>
          <w:color w:val="auto"/>
        </w:rPr>
      </w:pPr>
      <w:r>
        <w:rPr>
          <w:rFonts w:ascii="Arial" w:cs="Arial" w:eastAsia="Arial" w:hAnsi="Arial"/>
          <w:sz w:val="12"/>
          <w:szCs w:val="12"/>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4" w:lineRule="exact"/>
        <w:rPr>
          <w:sz w:val="20"/>
          <w:szCs w:val="20"/>
          <w:color w:val="auto"/>
        </w:rPr>
      </w:pPr>
    </w:p>
    <w:p>
      <w:pPr>
        <w:ind w:left="680" w:right="420" w:firstLine="399"/>
        <w:spacing w:after="0" w:line="294" w:lineRule="auto"/>
        <w:rPr>
          <w:sz w:val="20"/>
          <w:szCs w:val="20"/>
          <w:color w:val="auto"/>
        </w:rPr>
      </w:pPr>
      <w:r>
        <w:rPr>
          <w:rFonts w:ascii="Arial" w:cs="Arial" w:eastAsia="Arial" w:hAnsi="Arial"/>
          <w:sz w:val="13"/>
          <w:szCs w:val="13"/>
          <w:color w:val="auto"/>
        </w:rPr>
        <w:t>In our opinion, Harris Stratex Networks, Inc. maintained, in all material respects, effective internal control over financial reporting as of July 3, 2009, based on the COSO criteria.</w:t>
      </w:r>
    </w:p>
    <w:p>
      <w:pPr>
        <w:spacing w:after="0" w:line="47" w:lineRule="exact"/>
        <w:rPr>
          <w:sz w:val="20"/>
          <w:szCs w:val="20"/>
          <w:color w:val="auto"/>
        </w:rPr>
      </w:pPr>
    </w:p>
    <w:p>
      <w:pPr>
        <w:ind w:left="680" w:right="20" w:firstLine="399"/>
        <w:spacing w:after="0" w:line="309" w:lineRule="auto"/>
        <w:rPr>
          <w:sz w:val="20"/>
          <w:szCs w:val="20"/>
          <w:color w:val="auto"/>
        </w:rPr>
      </w:pPr>
      <w:r>
        <w:rPr>
          <w:rFonts w:ascii="Arial" w:cs="Arial" w:eastAsia="Arial" w:hAnsi="Arial"/>
          <w:sz w:val="12"/>
          <w:szCs w:val="12"/>
          <w:color w:val="auto"/>
        </w:rPr>
        <w:t>We also have audited, in accordance with the standards of the Public Company Accounting Oversight Board (United States), the consolidated balance sheets of Harris Stratex Networks, Inc. and subsidiaries as of July 3, 2009 and June 27, 2008, and the related consolidated statements of operations, shareholders’ equity and comprehensive loss, and cash flows for each of the three years in the period ended July 3, 2009 of Harris Stratex Networks, Inc. and our report dated September 3, 2009 expressed an unqualified opinion thereon.</w:t>
      </w:r>
    </w:p>
    <w:p>
      <w:pPr>
        <w:spacing w:after="0" w:line="28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/s/ Ernst &amp; Young LLP</w:t>
      </w:r>
    </w:p>
    <w:p>
      <w:pPr>
        <w:spacing w:after="0" w:line="18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Raleigh, North Carolina</w:t>
      </w:r>
    </w:p>
    <w:p>
      <w:pPr>
        <w:spacing w:after="0" w:line="2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September 3, 2009</w:t>
      </w:r>
    </w:p>
    <w:p>
      <w:pPr>
        <w:spacing w:after="0" w:line="30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9" w:right="1039" w:bottom="1440" w:gutter="0" w:footer="0" w:header="0"/>
        </w:sectPr>
      </w:pPr>
    </w:p>
    <w:bookmarkStart w:id="61" w:name="page62"/>
    <w:bookmarkEnd w:id="6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6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HARRIS STRATEX NETWORKS, INC. AND SUBSIDIARIES</w:t>
      </w:r>
    </w:p>
    <w:p>
      <w:pPr>
        <w:spacing w:after="0" w:line="102"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CONSOLIDATED STATEMENTS OF OPERATIONS</w:t>
      </w:r>
    </w:p>
    <w:p>
      <w:pPr>
        <w:spacing w:after="0" w:line="189" w:lineRule="exact"/>
        <w:rPr>
          <w:sz w:val="20"/>
          <w:szCs w:val="20"/>
          <w:color w:val="auto"/>
        </w:rPr>
      </w:pPr>
    </w:p>
    <w:tbl>
      <w:tblPr>
        <w:tblLayout w:type="fixed"/>
        <w:tblInd w:w="680" w:type="dxa"/>
        <w:tblCellMar>
          <w:top w:w="0" w:type="dxa"/>
          <w:left w:w="0" w:type="dxa"/>
          <w:bottom w:w="0" w:type="dxa"/>
          <w:right w:w="0" w:type="dxa"/>
        </w:tblCellMar>
      </w:tblPr>
      <w:tr>
        <w:trPr>
          <w:trHeight w:val="128"/>
        </w:trPr>
        <w:tc>
          <w:tcPr>
            <w:tcW w:w="68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0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1"/>
                <w:szCs w:val="11"/>
                <w:b w:val="1"/>
                <w:bCs w:val="1"/>
                <w:color w:val="auto"/>
                <w:w w:val="87"/>
              </w:rPr>
              <w:t>Fiscal Years Ended</w:t>
            </w:r>
          </w:p>
        </w:tc>
        <w:tc>
          <w:tcPr>
            <w:tcW w:w="1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68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gridSpan w:val="2"/>
          </w:tcPr>
          <w:p>
            <w:pPr>
              <w:jc w:val="right"/>
              <w:ind w:right="200"/>
              <w:spacing w:after="0" w:line="84" w:lineRule="exact"/>
              <w:rPr>
                <w:sz w:val="20"/>
                <w:szCs w:val="20"/>
                <w:color w:val="auto"/>
              </w:rPr>
            </w:pPr>
            <w:r>
              <w:rPr>
                <w:rFonts w:ascii="Arial" w:cs="Arial" w:eastAsia="Arial" w:hAnsi="Arial"/>
                <w:sz w:val="9"/>
                <w:szCs w:val="9"/>
                <w:b w:val="1"/>
                <w:bCs w:val="1"/>
                <w:color w:val="auto"/>
              </w:rPr>
              <w:t>July 3,</w:t>
            </w:r>
          </w:p>
        </w:tc>
        <w:tc>
          <w:tcPr>
            <w:tcW w:w="700" w:type="dxa"/>
            <w:vAlign w:val="bottom"/>
          </w:tcPr>
          <w:p>
            <w:pPr>
              <w:spacing w:after="0"/>
              <w:rPr>
                <w:sz w:val="7"/>
                <w:szCs w:val="7"/>
                <w:color w:val="auto"/>
              </w:rPr>
            </w:pPr>
          </w:p>
        </w:tc>
        <w:tc>
          <w:tcPr>
            <w:tcW w:w="1300" w:type="dxa"/>
            <w:vAlign w:val="bottom"/>
            <w:gridSpan w:val="3"/>
          </w:tcPr>
          <w:p>
            <w:pPr>
              <w:jc w:val="center"/>
              <w:ind w:right="760"/>
              <w:spacing w:after="0" w:line="84" w:lineRule="exact"/>
              <w:rPr>
                <w:sz w:val="20"/>
                <w:szCs w:val="20"/>
                <w:color w:val="auto"/>
              </w:rPr>
            </w:pPr>
            <w:r>
              <w:rPr>
                <w:rFonts w:ascii="Arial" w:cs="Arial" w:eastAsia="Arial" w:hAnsi="Arial"/>
                <w:sz w:val="9"/>
                <w:szCs w:val="9"/>
                <w:b w:val="1"/>
                <w:bCs w:val="1"/>
                <w:color w:val="auto"/>
              </w:rPr>
              <w:t>June 27,</w:t>
            </w:r>
          </w:p>
        </w:tc>
        <w:tc>
          <w:tcPr>
            <w:tcW w:w="500" w:type="dxa"/>
            <w:vAlign w:val="bottom"/>
            <w:gridSpan w:val="2"/>
          </w:tcPr>
          <w:p>
            <w:pPr>
              <w:jc w:val="right"/>
              <w:spacing w:after="0" w:line="84" w:lineRule="exact"/>
              <w:rPr>
                <w:sz w:val="20"/>
                <w:szCs w:val="20"/>
                <w:color w:val="auto"/>
              </w:rPr>
            </w:pPr>
            <w:r>
              <w:rPr>
                <w:rFonts w:ascii="Arial" w:cs="Arial" w:eastAsia="Arial" w:hAnsi="Arial"/>
                <w:sz w:val="9"/>
                <w:szCs w:val="9"/>
                <w:b w:val="1"/>
                <w:bCs w:val="1"/>
                <w:color w:val="auto"/>
              </w:rPr>
              <w:t>June 29,</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68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ind w:right="74"/>
              <w:spacing w:after="0"/>
              <w:rPr>
                <w:sz w:val="20"/>
                <w:szCs w:val="20"/>
                <w:color w:val="auto"/>
              </w:rPr>
            </w:pPr>
            <w:r>
              <w:rPr>
                <w:rFonts w:ascii="Arial" w:cs="Arial" w:eastAsia="Arial" w:hAnsi="Arial"/>
                <w:sz w:val="11"/>
                <w:szCs w:val="11"/>
                <w:b w:val="1"/>
                <w:bCs w:val="1"/>
                <w:color w:val="auto"/>
              </w:rPr>
              <w:t>2009</w:t>
            </w:r>
          </w:p>
        </w:tc>
        <w:tc>
          <w:tcPr>
            <w:tcW w:w="10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 millions,</w:t>
            </w:r>
          </w:p>
        </w:tc>
        <w:tc>
          <w:tcPr>
            <w:tcW w:w="1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center"/>
              <w:ind w:right="53"/>
              <w:spacing w:after="0"/>
              <w:rPr>
                <w:sz w:val="20"/>
                <w:szCs w:val="20"/>
                <w:color w:val="auto"/>
              </w:rPr>
            </w:pPr>
            <w:r>
              <w:rPr>
                <w:rFonts w:ascii="Arial" w:cs="Arial" w:eastAsia="Arial" w:hAnsi="Arial"/>
                <w:sz w:val="11"/>
                <w:szCs w:val="11"/>
                <w:b w:val="1"/>
                <w:bCs w:val="1"/>
                <w:color w:val="auto"/>
                <w:w w:val="81"/>
              </w:rPr>
              <w:t>2008</w:t>
            </w:r>
          </w:p>
        </w:tc>
        <w:tc>
          <w:tcPr>
            <w:tcW w:w="7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ind w:right="73"/>
              <w:spacing w:after="0"/>
              <w:rPr>
                <w:sz w:val="20"/>
                <w:szCs w:val="20"/>
                <w:color w:val="auto"/>
              </w:rPr>
            </w:pPr>
            <w:r>
              <w:rPr>
                <w:rFonts w:ascii="Arial" w:cs="Arial" w:eastAsia="Arial" w:hAnsi="Arial"/>
                <w:sz w:val="11"/>
                <w:szCs w:val="11"/>
                <w:b w:val="1"/>
                <w:bCs w:val="1"/>
                <w:color w:val="auto"/>
                <w:w w:val="89"/>
              </w:rPr>
              <w:t>2007</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300" w:type="dxa"/>
            <w:vAlign w:val="bottom"/>
            <w:gridSpan w:val="3"/>
          </w:tcPr>
          <w:p>
            <w:pPr>
              <w:spacing w:after="0"/>
              <w:rPr>
                <w:sz w:val="20"/>
                <w:szCs w:val="20"/>
                <w:color w:val="auto"/>
              </w:rPr>
            </w:pPr>
            <w:r>
              <w:rPr>
                <w:rFonts w:ascii="Arial" w:cs="Arial" w:eastAsia="Arial" w:hAnsi="Arial"/>
                <w:sz w:val="11"/>
                <w:szCs w:val="11"/>
                <w:b w:val="1"/>
                <w:bCs w:val="1"/>
                <w:color w:val="auto"/>
                <w:w w:val="91"/>
              </w:rPr>
              <w:t>except per share amounts)</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68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Revenue from product sales and services:</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0" w:type="dxa"/>
            <w:vAlign w:val="bottom"/>
          </w:tcPr>
          <w:p>
            <w:pPr>
              <w:spacing w:after="0"/>
              <w:rPr>
                <w:sz w:val="20"/>
                <w:szCs w:val="20"/>
                <w:color w:val="auto"/>
              </w:rPr>
            </w:pPr>
            <w:r>
              <w:rPr>
                <w:rFonts w:ascii="Arial" w:cs="Arial" w:eastAsia="Arial" w:hAnsi="Arial"/>
                <w:sz w:val="13"/>
                <w:szCs w:val="13"/>
                <w:color w:val="auto"/>
              </w:rPr>
              <w:t>Revenue from external product sales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559.5</w:t>
            </w:r>
          </w:p>
        </w:tc>
        <w:tc>
          <w:tcPr>
            <w:tcW w:w="820" w:type="dxa"/>
            <w:vAlign w:val="bottom"/>
            <w:gridSpan w:val="2"/>
          </w:tcPr>
          <w:p>
            <w:pPr>
              <w:ind w:left="720"/>
              <w:spacing w:after="0"/>
              <w:rPr>
                <w:sz w:val="20"/>
                <w:szCs w:val="20"/>
                <w:color w:val="auto"/>
              </w:rPr>
            </w:pPr>
            <w:r>
              <w:rPr>
                <w:rFonts w:ascii="Arial" w:cs="Arial" w:eastAsia="Arial" w:hAnsi="Arial"/>
                <w:sz w:val="13"/>
                <w:szCs w:val="13"/>
                <w:color w:val="auto"/>
              </w:rPr>
              <w:t>$</w:t>
            </w:r>
          </w:p>
        </w:tc>
        <w:tc>
          <w:tcPr>
            <w:tcW w:w="1180" w:type="dxa"/>
            <w:vAlign w:val="bottom"/>
            <w:gridSpan w:val="2"/>
          </w:tcPr>
          <w:p>
            <w:pPr>
              <w:jc w:val="right"/>
              <w:ind w:right="780"/>
              <w:spacing w:after="0"/>
              <w:rPr>
                <w:sz w:val="20"/>
                <w:szCs w:val="20"/>
                <w:color w:val="auto"/>
              </w:rPr>
            </w:pPr>
            <w:r>
              <w:rPr>
                <w:rFonts w:ascii="Arial" w:cs="Arial" w:eastAsia="Arial" w:hAnsi="Arial"/>
                <w:sz w:val="13"/>
                <w:szCs w:val="13"/>
                <w:color w:val="auto"/>
              </w:rPr>
              <w:t>591.7</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gridSpan w:val="2"/>
          </w:tcPr>
          <w:p>
            <w:pPr>
              <w:jc w:val="right"/>
              <w:ind w:right="80"/>
              <w:spacing w:after="0"/>
              <w:rPr>
                <w:sz w:val="20"/>
                <w:szCs w:val="20"/>
                <w:color w:val="auto"/>
              </w:rPr>
            </w:pPr>
            <w:r>
              <w:rPr>
                <w:rFonts w:ascii="Arial" w:cs="Arial" w:eastAsia="Arial" w:hAnsi="Arial"/>
                <w:sz w:val="13"/>
                <w:szCs w:val="13"/>
                <w:color w:val="auto"/>
              </w:rPr>
              <w:t>409.1</w:t>
            </w:r>
          </w:p>
        </w:tc>
        <w:tc>
          <w:tcPr>
            <w:tcW w:w="0" w:type="dxa"/>
            <w:vAlign w:val="bottom"/>
          </w:tcPr>
          <w:p>
            <w:pPr>
              <w:spacing w:after="0"/>
              <w:rPr>
                <w:sz w:val="1"/>
                <w:szCs w:val="1"/>
                <w:color w:val="auto"/>
              </w:rPr>
            </w:pPr>
          </w:p>
        </w:tc>
      </w:tr>
      <w:tr>
        <w:trPr>
          <w:trHeight w:val="161"/>
        </w:trPr>
        <w:tc>
          <w:tcPr>
            <w:tcW w:w="6800" w:type="dxa"/>
            <w:vAlign w:val="bottom"/>
            <w:shd w:val="clear" w:color="auto" w:fill="CCEEFF"/>
          </w:tcPr>
          <w:p>
            <w:pPr>
              <w:spacing w:after="0"/>
              <w:rPr>
                <w:sz w:val="20"/>
                <w:szCs w:val="20"/>
                <w:color w:val="auto"/>
              </w:rPr>
            </w:pPr>
            <w:r>
              <w:rPr>
                <w:rFonts w:ascii="Arial" w:cs="Arial" w:eastAsia="Arial" w:hAnsi="Arial"/>
                <w:sz w:val="13"/>
                <w:szCs w:val="13"/>
                <w:color w:val="auto"/>
              </w:rPr>
              <w:t>Revenue from product sales with Harris Corporation</w:t>
            </w: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6.0</w:t>
            </w: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780"/>
              <w:spacing w:after="0"/>
              <w:rPr>
                <w:sz w:val="20"/>
                <w:szCs w:val="20"/>
                <w:color w:val="auto"/>
              </w:rPr>
            </w:pPr>
            <w:r>
              <w:rPr>
                <w:rFonts w:ascii="Arial" w:cs="Arial" w:eastAsia="Arial" w:hAnsi="Arial"/>
                <w:sz w:val="13"/>
                <w:szCs w:val="13"/>
                <w:color w:val="auto"/>
              </w:rPr>
              <w:t>3.5</w:t>
            </w:r>
          </w:p>
        </w:tc>
        <w:tc>
          <w:tcPr>
            <w:tcW w:w="12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61"/>
        </w:trPr>
        <w:tc>
          <w:tcPr>
            <w:tcW w:w="6800" w:type="dxa"/>
            <w:vAlign w:val="bottom"/>
          </w:tcPr>
          <w:p>
            <w:pPr>
              <w:spacing w:after="0"/>
              <w:rPr>
                <w:sz w:val="20"/>
                <w:szCs w:val="20"/>
                <w:color w:val="auto"/>
              </w:rPr>
            </w:pPr>
            <w:r>
              <w:rPr>
                <w:rFonts w:ascii="Arial" w:cs="Arial" w:eastAsia="Arial" w:hAnsi="Arial"/>
                <w:sz w:val="13"/>
                <w:szCs w:val="13"/>
                <w:color w:val="auto"/>
              </w:rPr>
              <w:t>Total revenue from product sales</w:t>
            </w:r>
          </w:p>
        </w:tc>
        <w:tc>
          <w:tcPr>
            <w:tcW w:w="8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565.5</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595.2</w:t>
            </w:r>
          </w:p>
        </w:tc>
        <w:tc>
          <w:tcPr>
            <w:tcW w:w="7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411.0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0" w:type="dxa"/>
            <w:vAlign w:val="bottom"/>
            <w:shd w:val="clear" w:color="auto" w:fill="CCEEFF"/>
          </w:tcPr>
          <w:p>
            <w:pPr>
              <w:spacing w:after="0"/>
              <w:rPr>
                <w:sz w:val="20"/>
                <w:szCs w:val="20"/>
                <w:color w:val="auto"/>
              </w:rPr>
            </w:pPr>
            <w:r>
              <w:rPr>
                <w:rFonts w:ascii="Arial" w:cs="Arial" w:eastAsia="Arial" w:hAnsi="Arial"/>
                <w:sz w:val="13"/>
                <w:szCs w:val="13"/>
                <w:color w:val="auto"/>
              </w:rPr>
              <w:t>Revenue from services</w:t>
            </w: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114.4</w:t>
            </w: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780"/>
              <w:spacing w:after="0"/>
              <w:rPr>
                <w:sz w:val="20"/>
                <w:szCs w:val="20"/>
                <w:color w:val="auto"/>
              </w:rPr>
            </w:pPr>
            <w:r>
              <w:rPr>
                <w:rFonts w:ascii="Arial" w:cs="Arial" w:eastAsia="Arial" w:hAnsi="Arial"/>
                <w:sz w:val="13"/>
                <w:szCs w:val="13"/>
                <w:color w:val="auto"/>
              </w:rPr>
              <w:t>123.2</w:t>
            </w:r>
          </w:p>
        </w:tc>
        <w:tc>
          <w:tcPr>
            <w:tcW w:w="12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96.9</w:t>
            </w:r>
          </w:p>
        </w:tc>
        <w:tc>
          <w:tcPr>
            <w:tcW w:w="0" w:type="dxa"/>
            <w:vAlign w:val="bottom"/>
          </w:tcPr>
          <w:p>
            <w:pPr>
              <w:spacing w:after="0"/>
              <w:rPr>
                <w:sz w:val="1"/>
                <w:szCs w:val="1"/>
                <w:color w:val="auto"/>
              </w:rPr>
            </w:pPr>
          </w:p>
        </w:tc>
      </w:tr>
      <w:tr>
        <w:trPr>
          <w:trHeight w:val="161"/>
        </w:trPr>
        <w:tc>
          <w:tcPr>
            <w:tcW w:w="6800" w:type="dxa"/>
            <w:vAlign w:val="bottom"/>
          </w:tcPr>
          <w:p>
            <w:pPr>
              <w:spacing w:after="0"/>
              <w:rPr>
                <w:sz w:val="20"/>
                <w:szCs w:val="20"/>
                <w:color w:val="auto"/>
              </w:rPr>
            </w:pPr>
            <w:r>
              <w:rPr>
                <w:rFonts w:ascii="Arial" w:cs="Arial" w:eastAsia="Arial" w:hAnsi="Arial"/>
                <w:sz w:val="13"/>
                <w:szCs w:val="13"/>
                <w:color w:val="auto"/>
              </w:rPr>
              <w:t>Total revenue from product sales and services</w:t>
            </w:r>
          </w:p>
        </w:tc>
        <w:tc>
          <w:tcPr>
            <w:tcW w:w="8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679.9</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718.4</w:t>
            </w:r>
          </w:p>
        </w:tc>
        <w:tc>
          <w:tcPr>
            <w:tcW w:w="7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507.9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Cost of product sales and services:</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0" w:type="dxa"/>
            <w:vAlign w:val="bottom"/>
          </w:tcPr>
          <w:p>
            <w:pPr>
              <w:spacing w:after="0"/>
              <w:rPr>
                <w:sz w:val="20"/>
                <w:szCs w:val="20"/>
                <w:color w:val="auto"/>
              </w:rPr>
            </w:pPr>
            <w:r>
              <w:rPr>
                <w:rFonts w:ascii="Arial" w:cs="Arial" w:eastAsia="Arial" w:hAnsi="Arial"/>
                <w:sz w:val="13"/>
                <w:szCs w:val="13"/>
                <w:color w:val="auto"/>
              </w:rPr>
              <w:t>Cost of external product sales</w:t>
            </w:r>
          </w:p>
        </w:tc>
        <w:tc>
          <w:tcPr>
            <w:tcW w:w="80" w:type="dxa"/>
            <w:vAlign w:val="bottom"/>
          </w:tcPr>
          <w:p>
            <w:pPr>
              <w:spacing w:after="0"/>
              <w:rPr>
                <w:sz w:val="14"/>
                <w:szCs w:val="14"/>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3"/>
                <w:szCs w:val="13"/>
                <w:color w:val="auto"/>
              </w:rPr>
              <w:t>(383.5)</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740"/>
              <w:spacing w:after="0"/>
              <w:rPr>
                <w:sz w:val="20"/>
                <w:szCs w:val="20"/>
                <w:color w:val="auto"/>
              </w:rPr>
            </w:pPr>
            <w:r>
              <w:rPr>
                <w:rFonts w:ascii="Arial" w:cs="Arial" w:eastAsia="Arial" w:hAnsi="Arial"/>
                <w:sz w:val="13"/>
                <w:szCs w:val="13"/>
                <w:color w:val="auto"/>
              </w:rPr>
              <w:t>(427.1)</w:t>
            </w:r>
          </w:p>
        </w:tc>
        <w:tc>
          <w:tcPr>
            <w:tcW w:w="120" w:type="dxa"/>
            <w:vAlign w:val="bottom"/>
          </w:tcPr>
          <w:p>
            <w:pPr>
              <w:spacing w:after="0"/>
              <w:rPr>
                <w:sz w:val="14"/>
                <w:szCs w:val="14"/>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3"/>
                <w:szCs w:val="13"/>
                <w:color w:val="auto"/>
                <w:w w:val="97"/>
              </w:rPr>
              <w:t>(286.3)</w:t>
            </w:r>
          </w:p>
        </w:tc>
        <w:tc>
          <w:tcPr>
            <w:tcW w:w="0" w:type="dxa"/>
            <w:vAlign w:val="bottom"/>
          </w:tcPr>
          <w:p>
            <w:pPr>
              <w:spacing w:after="0"/>
              <w:rPr>
                <w:sz w:val="1"/>
                <w:szCs w:val="1"/>
                <w:color w:val="auto"/>
              </w:rPr>
            </w:pPr>
          </w:p>
        </w:tc>
      </w:tr>
      <w:tr>
        <w:trPr>
          <w:trHeight w:val="161"/>
        </w:trPr>
        <w:tc>
          <w:tcPr>
            <w:tcW w:w="6800" w:type="dxa"/>
            <w:vAlign w:val="bottom"/>
            <w:shd w:val="clear" w:color="auto" w:fill="CCEEFF"/>
          </w:tcPr>
          <w:p>
            <w:pPr>
              <w:spacing w:after="0"/>
              <w:rPr>
                <w:sz w:val="20"/>
                <w:szCs w:val="20"/>
                <w:color w:val="auto"/>
              </w:rPr>
            </w:pPr>
            <w:r>
              <w:rPr>
                <w:rFonts w:ascii="Arial" w:cs="Arial" w:eastAsia="Arial" w:hAnsi="Arial"/>
                <w:sz w:val="13"/>
                <w:szCs w:val="13"/>
                <w:color w:val="auto"/>
              </w:rPr>
              <w:t>Charges for product transition</w:t>
            </w: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(29.8)</w:t>
            </w: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7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6800" w:type="dxa"/>
            <w:vAlign w:val="bottom"/>
          </w:tcPr>
          <w:p>
            <w:pPr>
              <w:spacing w:after="0"/>
              <w:rPr>
                <w:sz w:val="20"/>
                <w:szCs w:val="20"/>
                <w:color w:val="auto"/>
              </w:rPr>
            </w:pPr>
            <w:r>
              <w:rPr>
                <w:rFonts w:ascii="Arial" w:cs="Arial" w:eastAsia="Arial" w:hAnsi="Arial"/>
                <w:sz w:val="13"/>
                <w:szCs w:val="13"/>
                <w:color w:val="auto"/>
              </w:rPr>
              <w:t>Cost of product sales with Harris Corporation</w:t>
            </w:r>
          </w:p>
        </w:tc>
        <w:tc>
          <w:tcPr>
            <w:tcW w:w="80" w:type="dxa"/>
            <w:vAlign w:val="bottom"/>
          </w:tcPr>
          <w:p>
            <w:pPr>
              <w:spacing w:after="0"/>
              <w:rPr>
                <w:sz w:val="14"/>
                <w:szCs w:val="14"/>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3"/>
                <w:szCs w:val="13"/>
                <w:color w:val="auto"/>
              </w:rPr>
              <w:t>(2.4)</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740"/>
              <w:spacing w:after="0"/>
              <w:rPr>
                <w:sz w:val="20"/>
                <w:szCs w:val="20"/>
                <w:color w:val="auto"/>
              </w:rPr>
            </w:pPr>
            <w:r>
              <w:rPr>
                <w:rFonts w:ascii="Arial" w:cs="Arial" w:eastAsia="Arial" w:hAnsi="Arial"/>
                <w:sz w:val="13"/>
                <w:szCs w:val="13"/>
                <w:color w:val="auto"/>
              </w:rPr>
              <w:t>(1.3)</w:t>
            </w:r>
          </w:p>
        </w:tc>
        <w:tc>
          <w:tcPr>
            <w:tcW w:w="120" w:type="dxa"/>
            <w:vAlign w:val="bottom"/>
          </w:tcPr>
          <w:p>
            <w:pPr>
              <w:spacing w:after="0"/>
              <w:rPr>
                <w:sz w:val="14"/>
                <w:szCs w:val="14"/>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6800" w:type="dxa"/>
            <w:vAlign w:val="bottom"/>
            <w:shd w:val="clear" w:color="auto" w:fill="CCEEFF"/>
          </w:tcPr>
          <w:p>
            <w:pPr>
              <w:spacing w:after="0"/>
              <w:rPr>
                <w:sz w:val="20"/>
                <w:szCs w:val="20"/>
                <w:color w:val="auto"/>
              </w:rPr>
            </w:pPr>
            <w:r>
              <w:rPr>
                <w:rFonts w:ascii="Arial" w:cs="Arial" w:eastAsia="Arial" w:hAnsi="Arial"/>
                <w:sz w:val="13"/>
                <w:szCs w:val="13"/>
                <w:color w:val="auto"/>
              </w:rPr>
              <w:t>Total cost of product sales</w:t>
            </w: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(415.7)</w:t>
            </w: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740"/>
              <w:spacing w:after="0"/>
              <w:rPr>
                <w:sz w:val="20"/>
                <w:szCs w:val="20"/>
                <w:color w:val="auto"/>
              </w:rPr>
            </w:pPr>
            <w:r>
              <w:rPr>
                <w:rFonts w:ascii="Arial" w:cs="Arial" w:eastAsia="Arial" w:hAnsi="Arial"/>
                <w:sz w:val="13"/>
                <w:szCs w:val="13"/>
                <w:color w:val="auto"/>
              </w:rPr>
              <w:t>(428.4)</w:t>
            </w:r>
          </w:p>
        </w:tc>
        <w:tc>
          <w:tcPr>
            <w:tcW w:w="12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97"/>
              </w:rPr>
              <w:t>(287.6)</w:t>
            </w:r>
          </w:p>
        </w:tc>
        <w:tc>
          <w:tcPr>
            <w:tcW w:w="0" w:type="dxa"/>
            <w:vAlign w:val="bottom"/>
          </w:tcPr>
          <w:p>
            <w:pPr>
              <w:spacing w:after="0"/>
              <w:rPr>
                <w:sz w:val="1"/>
                <w:szCs w:val="1"/>
                <w:color w:val="auto"/>
              </w:rPr>
            </w:pPr>
          </w:p>
        </w:tc>
      </w:tr>
      <w:tr>
        <w:trPr>
          <w:trHeight w:val="161"/>
        </w:trPr>
        <w:tc>
          <w:tcPr>
            <w:tcW w:w="6800" w:type="dxa"/>
            <w:vAlign w:val="bottom"/>
          </w:tcPr>
          <w:p>
            <w:pPr>
              <w:spacing w:after="0"/>
              <w:rPr>
                <w:sz w:val="20"/>
                <w:szCs w:val="20"/>
                <w:color w:val="auto"/>
              </w:rPr>
            </w:pPr>
            <w:r>
              <w:rPr>
                <w:rFonts w:ascii="Arial" w:cs="Arial" w:eastAsia="Arial" w:hAnsi="Arial"/>
                <w:sz w:val="13"/>
                <w:szCs w:val="13"/>
                <w:color w:val="auto"/>
              </w:rPr>
              <w:t>Cost of services</w:t>
            </w:r>
          </w:p>
        </w:tc>
        <w:tc>
          <w:tcPr>
            <w:tcW w:w="80" w:type="dxa"/>
            <w:vAlign w:val="bottom"/>
          </w:tcPr>
          <w:p>
            <w:pPr>
              <w:spacing w:after="0"/>
              <w:rPr>
                <w:sz w:val="14"/>
                <w:szCs w:val="14"/>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3"/>
                <w:szCs w:val="13"/>
                <w:color w:val="auto"/>
              </w:rPr>
              <w:t>(81.4)</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740"/>
              <w:spacing w:after="0"/>
              <w:rPr>
                <w:sz w:val="20"/>
                <w:szCs w:val="20"/>
                <w:color w:val="auto"/>
              </w:rPr>
            </w:pPr>
            <w:r>
              <w:rPr>
                <w:rFonts w:ascii="Arial" w:cs="Arial" w:eastAsia="Arial" w:hAnsi="Arial"/>
                <w:sz w:val="13"/>
                <w:szCs w:val="13"/>
                <w:color w:val="auto"/>
              </w:rPr>
              <w:t>(87.9)</w:t>
            </w:r>
          </w:p>
        </w:tc>
        <w:tc>
          <w:tcPr>
            <w:tcW w:w="120" w:type="dxa"/>
            <w:vAlign w:val="bottom"/>
          </w:tcPr>
          <w:p>
            <w:pPr>
              <w:spacing w:after="0"/>
              <w:rPr>
                <w:sz w:val="14"/>
                <w:szCs w:val="14"/>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3"/>
                <w:szCs w:val="13"/>
                <w:color w:val="auto"/>
              </w:rPr>
              <w:t>(65.2)</w:t>
            </w:r>
          </w:p>
        </w:tc>
        <w:tc>
          <w:tcPr>
            <w:tcW w:w="0" w:type="dxa"/>
            <w:vAlign w:val="bottom"/>
          </w:tcPr>
          <w:p>
            <w:pPr>
              <w:spacing w:after="0"/>
              <w:rPr>
                <w:sz w:val="1"/>
                <w:szCs w:val="1"/>
                <w:color w:val="auto"/>
              </w:rPr>
            </w:pPr>
          </w:p>
        </w:tc>
      </w:tr>
      <w:tr>
        <w:trPr>
          <w:trHeight w:val="161"/>
        </w:trPr>
        <w:tc>
          <w:tcPr>
            <w:tcW w:w="6800" w:type="dxa"/>
            <w:vAlign w:val="bottom"/>
            <w:shd w:val="clear" w:color="auto" w:fill="CCEEFF"/>
          </w:tcPr>
          <w:p>
            <w:pPr>
              <w:spacing w:after="0"/>
              <w:rPr>
                <w:sz w:val="20"/>
                <w:szCs w:val="20"/>
                <w:color w:val="auto"/>
              </w:rPr>
            </w:pPr>
            <w:r>
              <w:rPr>
                <w:rFonts w:ascii="Arial" w:cs="Arial" w:eastAsia="Arial" w:hAnsi="Arial"/>
                <w:sz w:val="13"/>
                <w:szCs w:val="13"/>
                <w:color w:val="auto"/>
              </w:rPr>
              <w:t>Cost of sales billed from Harris Corporation</w:t>
            </w: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(0.9)</w:t>
            </w: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740"/>
              <w:spacing w:after="0"/>
              <w:rPr>
                <w:sz w:val="20"/>
                <w:szCs w:val="20"/>
                <w:color w:val="auto"/>
              </w:rPr>
            </w:pPr>
            <w:r>
              <w:rPr>
                <w:rFonts w:ascii="Arial" w:cs="Arial" w:eastAsia="Arial" w:hAnsi="Arial"/>
                <w:sz w:val="13"/>
                <w:szCs w:val="13"/>
                <w:color w:val="auto"/>
              </w:rPr>
              <w:t>(4.8)</w:t>
            </w:r>
          </w:p>
        </w:tc>
        <w:tc>
          <w:tcPr>
            <w:tcW w:w="12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(5.4)</w:t>
            </w:r>
          </w:p>
        </w:tc>
        <w:tc>
          <w:tcPr>
            <w:tcW w:w="0" w:type="dxa"/>
            <w:vAlign w:val="bottom"/>
          </w:tcPr>
          <w:p>
            <w:pPr>
              <w:spacing w:after="0"/>
              <w:rPr>
                <w:sz w:val="1"/>
                <w:szCs w:val="1"/>
                <w:color w:val="auto"/>
              </w:rPr>
            </w:pPr>
          </w:p>
        </w:tc>
      </w:tr>
      <w:tr>
        <w:trPr>
          <w:trHeight w:val="161"/>
        </w:trPr>
        <w:tc>
          <w:tcPr>
            <w:tcW w:w="6800" w:type="dxa"/>
            <w:vAlign w:val="bottom"/>
          </w:tcPr>
          <w:p>
            <w:pPr>
              <w:spacing w:after="0"/>
              <w:rPr>
                <w:sz w:val="20"/>
                <w:szCs w:val="20"/>
                <w:color w:val="auto"/>
              </w:rPr>
            </w:pPr>
            <w:r>
              <w:rPr>
                <w:rFonts w:ascii="Arial" w:cs="Arial" w:eastAsia="Arial" w:hAnsi="Arial"/>
                <w:sz w:val="13"/>
                <w:szCs w:val="13"/>
                <w:color w:val="auto"/>
              </w:rPr>
              <w:t>Amortization of purchased technology</w:t>
            </w:r>
          </w:p>
        </w:tc>
        <w:tc>
          <w:tcPr>
            <w:tcW w:w="80" w:type="dxa"/>
            <w:vAlign w:val="bottom"/>
          </w:tcPr>
          <w:p>
            <w:pPr>
              <w:spacing w:after="0"/>
              <w:rPr>
                <w:sz w:val="14"/>
                <w:szCs w:val="14"/>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3"/>
                <w:szCs w:val="13"/>
                <w:color w:val="auto"/>
              </w:rPr>
              <w:t>(7.5)</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740"/>
              <w:spacing w:after="0"/>
              <w:rPr>
                <w:sz w:val="20"/>
                <w:szCs w:val="20"/>
                <w:color w:val="auto"/>
              </w:rPr>
            </w:pPr>
            <w:r>
              <w:rPr>
                <w:rFonts w:ascii="Arial" w:cs="Arial" w:eastAsia="Arial" w:hAnsi="Arial"/>
                <w:sz w:val="13"/>
                <w:szCs w:val="13"/>
                <w:color w:val="auto"/>
              </w:rPr>
              <w:t>(7.1)</w:t>
            </w:r>
          </w:p>
        </w:tc>
        <w:tc>
          <w:tcPr>
            <w:tcW w:w="120" w:type="dxa"/>
            <w:vAlign w:val="bottom"/>
          </w:tcPr>
          <w:p>
            <w:pPr>
              <w:spacing w:after="0"/>
              <w:rPr>
                <w:sz w:val="14"/>
                <w:szCs w:val="14"/>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3"/>
                <w:szCs w:val="13"/>
                <w:color w:val="auto"/>
              </w:rPr>
              <w:t>(3.0)</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6800" w:type="dxa"/>
            <w:vAlign w:val="bottom"/>
            <w:shd w:val="clear" w:color="auto" w:fill="CCEEFF"/>
          </w:tcPr>
          <w:p>
            <w:pPr>
              <w:spacing w:after="0"/>
              <w:rPr>
                <w:sz w:val="20"/>
                <w:szCs w:val="20"/>
                <w:color w:val="auto"/>
              </w:rPr>
            </w:pPr>
            <w:r>
              <w:rPr>
                <w:rFonts w:ascii="Arial" w:cs="Arial" w:eastAsia="Arial" w:hAnsi="Arial"/>
                <w:sz w:val="13"/>
                <w:szCs w:val="13"/>
                <w:color w:val="auto"/>
              </w:rPr>
              <w:t>Total cost of product sales and services</w:t>
            </w: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(505.5)</w:t>
            </w: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740"/>
              <w:spacing w:after="0"/>
              <w:rPr>
                <w:sz w:val="20"/>
                <w:szCs w:val="20"/>
                <w:color w:val="auto"/>
              </w:rPr>
            </w:pPr>
            <w:r>
              <w:rPr>
                <w:rFonts w:ascii="Arial" w:cs="Arial" w:eastAsia="Arial" w:hAnsi="Arial"/>
                <w:sz w:val="13"/>
                <w:szCs w:val="13"/>
                <w:color w:val="auto"/>
              </w:rPr>
              <w:t>(528.2)</w:t>
            </w:r>
          </w:p>
        </w:tc>
        <w:tc>
          <w:tcPr>
            <w:tcW w:w="12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97"/>
              </w:rPr>
              <w:t>(361.2)</w:t>
            </w:r>
          </w:p>
        </w:tc>
        <w:tc>
          <w:tcPr>
            <w:tcW w:w="0" w:type="dxa"/>
            <w:vAlign w:val="bottom"/>
          </w:tcPr>
          <w:p>
            <w:pPr>
              <w:spacing w:after="0"/>
              <w:rPr>
                <w:sz w:val="1"/>
                <w:szCs w:val="1"/>
                <w:color w:val="auto"/>
              </w:rPr>
            </w:pPr>
          </w:p>
        </w:tc>
      </w:tr>
      <w:tr>
        <w:trPr>
          <w:trHeight w:val="161"/>
        </w:trPr>
        <w:tc>
          <w:tcPr>
            <w:tcW w:w="6800" w:type="dxa"/>
            <w:vAlign w:val="bottom"/>
          </w:tcPr>
          <w:p>
            <w:pPr>
              <w:spacing w:after="0"/>
              <w:rPr>
                <w:sz w:val="20"/>
                <w:szCs w:val="20"/>
                <w:color w:val="auto"/>
              </w:rPr>
            </w:pPr>
            <w:r>
              <w:rPr>
                <w:rFonts w:ascii="Arial" w:cs="Arial" w:eastAsia="Arial" w:hAnsi="Arial"/>
                <w:sz w:val="13"/>
                <w:szCs w:val="13"/>
                <w:b w:val="1"/>
                <w:bCs w:val="1"/>
                <w:color w:val="auto"/>
              </w:rPr>
              <w:t>Gross margin</w:t>
            </w:r>
          </w:p>
        </w:tc>
        <w:tc>
          <w:tcPr>
            <w:tcW w:w="8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174.4</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190.2</w:t>
            </w:r>
          </w:p>
        </w:tc>
        <w:tc>
          <w:tcPr>
            <w:tcW w:w="7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146.7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0" w:type="dxa"/>
            <w:vAlign w:val="bottom"/>
            <w:shd w:val="clear" w:color="auto" w:fill="CCEEFF"/>
          </w:tcPr>
          <w:p>
            <w:pPr>
              <w:spacing w:after="0"/>
              <w:rPr>
                <w:sz w:val="20"/>
                <w:szCs w:val="20"/>
                <w:color w:val="auto"/>
              </w:rPr>
            </w:pPr>
            <w:r>
              <w:rPr>
                <w:rFonts w:ascii="Arial" w:cs="Arial" w:eastAsia="Arial" w:hAnsi="Arial"/>
                <w:sz w:val="13"/>
                <w:szCs w:val="13"/>
                <w:color w:val="auto"/>
              </w:rPr>
              <w:t>Research and development expenses</w:t>
            </w: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(40.4)</w:t>
            </w: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740"/>
              <w:spacing w:after="0"/>
              <w:rPr>
                <w:sz w:val="20"/>
                <w:szCs w:val="20"/>
                <w:color w:val="auto"/>
              </w:rPr>
            </w:pPr>
            <w:r>
              <w:rPr>
                <w:rFonts w:ascii="Arial" w:cs="Arial" w:eastAsia="Arial" w:hAnsi="Arial"/>
                <w:sz w:val="13"/>
                <w:szCs w:val="13"/>
                <w:color w:val="auto"/>
              </w:rPr>
              <w:t>(46.1)</w:t>
            </w:r>
          </w:p>
        </w:tc>
        <w:tc>
          <w:tcPr>
            <w:tcW w:w="12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(39.4)</w:t>
            </w:r>
          </w:p>
        </w:tc>
        <w:tc>
          <w:tcPr>
            <w:tcW w:w="0" w:type="dxa"/>
            <w:vAlign w:val="bottom"/>
          </w:tcPr>
          <w:p>
            <w:pPr>
              <w:spacing w:after="0"/>
              <w:rPr>
                <w:sz w:val="1"/>
                <w:szCs w:val="1"/>
                <w:color w:val="auto"/>
              </w:rPr>
            </w:pPr>
          </w:p>
        </w:tc>
      </w:tr>
      <w:tr>
        <w:trPr>
          <w:trHeight w:val="161"/>
        </w:trPr>
        <w:tc>
          <w:tcPr>
            <w:tcW w:w="6800" w:type="dxa"/>
            <w:vAlign w:val="bottom"/>
          </w:tcPr>
          <w:p>
            <w:pPr>
              <w:spacing w:after="0"/>
              <w:rPr>
                <w:sz w:val="20"/>
                <w:szCs w:val="20"/>
                <w:color w:val="auto"/>
              </w:rPr>
            </w:pPr>
            <w:r>
              <w:rPr>
                <w:rFonts w:ascii="Arial" w:cs="Arial" w:eastAsia="Arial" w:hAnsi="Arial"/>
                <w:sz w:val="13"/>
                <w:szCs w:val="13"/>
                <w:color w:val="auto"/>
              </w:rPr>
              <w:t>Selling and administrative expenses</w:t>
            </w:r>
          </w:p>
        </w:tc>
        <w:tc>
          <w:tcPr>
            <w:tcW w:w="80" w:type="dxa"/>
            <w:vAlign w:val="bottom"/>
          </w:tcPr>
          <w:p>
            <w:pPr>
              <w:spacing w:after="0"/>
              <w:rPr>
                <w:sz w:val="14"/>
                <w:szCs w:val="14"/>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3"/>
                <w:szCs w:val="13"/>
                <w:color w:val="auto"/>
              </w:rPr>
              <w:t>(132.8)</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740"/>
              <w:spacing w:after="0"/>
              <w:rPr>
                <w:sz w:val="20"/>
                <w:szCs w:val="20"/>
                <w:color w:val="auto"/>
              </w:rPr>
            </w:pPr>
            <w:r>
              <w:rPr>
                <w:rFonts w:ascii="Arial" w:cs="Arial" w:eastAsia="Arial" w:hAnsi="Arial"/>
                <w:sz w:val="13"/>
                <w:szCs w:val="13"/>
                <w:color w:val="auto"/>
              </w:rPr>
              <w:t>(134.4)</w:t>
            </w:r>
          </w:p>
        </w:tc>
        <w:tc>
          <w:tcPr>
            <w:tcW w:w="120" w:type="dxa"/>
            <w:vAlign w:val="bottom"/>
          </w:tcPr>
          <w:p>
            <w:pPr>
              <w:spacing w:after="0"/>
              <w:rPr>
                <w:sz w:val="14"/>
                <w:szCs w:val="14"/>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3"/>
                <w:szCs w:val="13"/>
                <w:color w:val="auto"/>
              </w:rPr>
              <w:t>(92.1)</w:t>
            </w:r>
          </w:p>
        </w:tc>
        <w:tc>
          <w:tcPr>
            <w:tcW w:w="0" w:type="dxa"/>
            <w:vAlign w:val="bottom"/>
          </w:tcPr>
          <w:p>
            <w:pPr>
              <w:spacing w:after="0"/>
              <w:rPr>
                <w:sz w:val="1"/>
                <w:szCs w:val="1"/>
                <w:color w:val="auto"/>
              </w:rPr>
            </w:pPr>
          </w:p>
        </w:tc>
      </w:tr>
      <w:tr>
        <w:trPr>
          <w:trHeight w:val="161"/>
        </w:trPr>
        <w:tc>
          <w:tcPr>
            <w:tcW w:w="6800" w:type="dxa"/>
            <w:vAlign w:val="bottom"/>
            <w:shd w:val="clear" w:color="auto" w:fill="CCEEFF"/>
          </w:tcPr>
          <w:p>
            <w:pPr>
              <w:spacing w:after="0"/>
              <w:rPr>
                <w:sz w:val="20"/>
                <w:szCs w:val="20"/>
                <w:color w:val="auto"/>
              </w:rPr>
            </w:pPr>
            <w:r>
              <w:rPr>
                <w:rFonts w:ascii="Arial" w:cs="Arial" w:eastAsia="Arial" w:hAnsi="Arial"/>
                <w:sz w:val="13"/>
                <w:szCs w:val="13"/>
                <w:color w:val="auto"/>
              </w:rPr>
              <w:t>Selling and administrative expenses with Harris Corporation</w:t>
            </w: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(5.5)</w:t>
            </w: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740"/>
              <w:spacing w:after="0"/>
              <w:rPr>
                <w:sz w:val="20"/>
                <w:szCs w:val="20"/>
                <w:color w:val="auto"/>
              </w:rPr>
            </w:pPr>
            <w:r>
              <w:rPr>
                <w:rFonts w:ascii="Arial" w:cs="Arial" w:eastAsia="Arial" w:hAnsi="Arial"/>
                <w:sz w:val="13"/>
                <w:szCs w:val="13"/>
                <w:color w:val="auto"/>
              </w:rPr>
              <w:t>(7.0)</w:t>
            </w:r>
          </w:p>
        </w:tc>
        <w:tc>
          <w:tcPr>
            <w:tcW w:w="12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(6.8)</w:t>
            </w:r>
          </w:p>
        </w:tc>
        <w:tc>
          <w:tcPr>
            <w:tcW w:w="0" w:type="dxa"/>
            <w:vAlign w:val="bottom"/>
          </w:tcPr>
          <w:p>
            <w:pPr>
              <w:spacing w:after="0"/>
              <w:rPr>
                <w:sz w:val="1"/>
                <w:szCs w:val="1"/>
                <w:color w:val="auto"/>
              </w:rPr>
            </w:pPr>
          </w:p>
        </w:tc>
      </w:tr>
      <w:tr>
        <w:trPr>
          <w:trHeight w:val="20"/>
        </w:trPr>
        <w:tc>
          <w:tcPr>
            <w:tcW w:w="6800" w:type="dxa"/>
            <w:vAlign w:val="bottom"/>
            <w:vMerge w:val="restart"/>
          </w:tcPr>
          <w:p>
            <w:pPr>
              <w:spacing w:after="0"/>
              <w:rPr>
                <w:sz w:val="20"/>
                <w:szCs w:val="20"/>
                <w:color w:val="auto"/>
              </w:rPr>
            </w:pPr>
            <w:r>
              <w:rPr>
                <w:rFonts w:ascii="Arial" w:cs="Arial" w:eastAsia="Arial" w:hAnsi="Arial"/>
                <w:sz w:val="13"/>
                <w:szCs w:val="13"/>
                <w:color w:val="auto"/>
              </w:rPr>
              <w:t>Total research, development, selling and administrative expenses</w:t>
            </w: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68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3"/>
                <w:szCs w:val="13"/>
                <w:color w:val="auto"/>
              </w:rPr>
              <w:t>(178.7)</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740"/>
              <w:spacing w:after="0"/>
              <w:rPr>
                <w:sz w:val="20"/>
                <w:szCs w:val="20"/>
                <w:color w:val="auto"/>
              </w:rPr>
            </w:pPr>
            <w:r>
              <w:rPr>
                <w:rFonts w:ascii="Arial" w:cs="Arial" w:eastAsia="Arial" w:hAnsi="Arial"/>
                <w:sz w:val="13"/>
                <w:szCs w:val="13"/>
                <w:color w:val="auto"/>
              </w:rPr>
              <w:t>(187.5)</w:t>
            </w:r>
          </w:p>
        </w:tc>
        <w:tc>
          <w:tcPr>
            <w:tcW w:w="120" w:type="dxa"/>
            <w:vAlign w:val="bottom"/>
          </w:tcPr>
          <w:p>
            <w:pPr>
              <w:spacing w:after="0"/>
              <w:rPr>
                <w:sz w:val="14"/>
                <w:szCs w:val="14"/>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3"/>
                <w:szCs w:val="13"/>
                <w:color w:val="auto"/>
                <w:w w:val="97"/>
              </w:rPr>
              <w:t>(138.3)</w:t>
            </w:r>
          </w:p>
        </w:tc>
        <w:tc>
          <w:tcPr>
            <w:tcW w:w="0" w:type="dxa"/>
            <w:vAlign w:val="bottom"/>
          </w:tcPr>
          <w:p>
            <w:pPr>
              <w:spacing w:after="0"/>
              <w:rPr>
                <w:sz w:val="1"/>
                <w:szCs w:val="1"/>
                <w:color w:val="auto"/>
              </w:rPr>
            </w:pPr>
          </w:p>
        </w:tc>
      </w:tr>
      <w:tr>
        <w:trPr>
          <w:trHeight w:val="161"/>
        </w:trPr>
        <w:tc>
          <w:tcPr>
            <w:tcW w:w="6800" w:type="dxa"/>
            <w:vAlign w:val="bottom"/>
            <w:shd w:val="clear" w:color="auto" w:fill="CCEEFF"/>
          </w:tcPr>
          <w:p>
            <w:pPr>
              <w:spacing w:after="0"/>
              <w:rPr>
                <w:sz w:val="20"/>
                <w:szCs w:val="20"/>
                <w:color w:val="auto"/>
              </w:rPr>
            </w:pPr>
            <w:r>
              <w:rPr>
                <w:rFonts w:ascii="Arial" w:cs="Arial" w:eastAsia="Arial" w:hAnsi="Arial"/>
                <w:sz w:val="13"/>
                <w:szCs w:val="13"/>
                <w:color w:val="auto"/>
              </w:rPr>
              <w:t>Acquired in-process research and development</w:t>
            </w: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(2.4)</w:t>
            </w: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7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(15.3)</w:t>
            </w:r>
          </w:p>
        </w:tc>
        <w:tc>
          <w:tcPr>
            <w:tcW w:w="0" w:type="dxa"/>
            <w:vAlign w:val="bottom"/>
          </w:tcPr>
          <w:p>
            <w:pPr>
              <w:spacing w:after="0"/>
              <w:rPr>
                <w:sz w:val="1"/>
                <w:szCs w:val="1"/>
                <w:color w:val="auto"/>
              </w:rPr>
            </w:pPr>
          </w:p>
        </w:tc>
      </w:tr>
      <w:tr>
        <w:trPr>
          <w:trHeight w:val="161"/>
        </w:trPr>
        <w:tc>
          <w:tcPr>
            <w:tcW w:w="6800" w:type="dxa"/>
            <w:vAlign w:val="bottom"/>
          </w:tcPr>
          <w:p>
            <w:pPr>
              <w:spacing w:after="0"/>
              <w:rPr>
                <w:sz w:val="20"/>
                <w:szCs w:val="20"/>
                <w:color w:val="auto"/>
              </w:rPr>
            </w:pPr>
            <w:r>
              <w:rPr>
                <w:rFonts w:ascii="Arial" w:cs="Arial" w:eastAsia="Arial" w:hAnsi="Arial"/>
                <w:sz w:val="13"/>
                <w:szCs w:val="13"/>
                <w:color w:val="auto"/>
              </w:rPr>
              <w:t>Amortization of identifiable intangible assets</w:t>
            </w:r>
          </w:p>
        </w:tc>
        <w:tc>
          <w:tcPr>
            <w:tcW w:w="80" w:type="dxa"/>
            <w:vAlign w:val="bottom"/>
          </w:tcPr>
          <w:p>
            <w:pPr>
              <w:spacing w:after="0"/>
              <w:rPr>
                <w:sz w:val="14"/>
                <w:szCs w:val="14"/>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3"/>
                <w:szCs w:val="13"/>
                <w:color w:val="auto"/>
              </w:rPr>
              <w:t>(5.6)</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740"/>
              <w:spacing w:after="0"/>
              <w:rPr>
                <w:sz w:val="20"/>
                <w:szCs w:val="20"/>
                <w:color w:val="auto"/>
              </w:rPr>
            </w:pPr>
            <w:r>
              <w:rPr>
                <w:rFonts w:ascii="Arial" w:cs="Arial" w:eastAsia="Arial" w:hAnsi="Arial"/>
                <w:sz w:val="13"/>
                <w:szCs w:val="13"/>
                <w:color w:val="auto"/>
              </w:rPr>
              <w:t>(7.1)</w:t>
            </w:r>
          </w:p>
        </w:tc>
        <w:tc>
          <w:tcPr>
            <w:tcW w:w="120" w:type="dxa"/>
            <w:vAlign w:val="bottom"/>
          </w:tcPr>
          <w:p>
            <w:pPr>
              <w:spacing w:after="0"/>
              <w:rPr>
                <w:sz w:val="14"/>
                <w:szCs w:val="14"/>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3"/>
                <w:szCs w:val="13"/>
                <w:color w:val="auto"/>
              </w:rPr>
              <w:t>(7.5)</w:t>
            </w:r>
          </w:p>
        </w:tc>
        <w:tc>
          <w:tcPr>
            <w:tcW w:w="0" w:type="dxa"/>
            <w:vAlign w:val="bottom"/>
          </w:tcPr>
          <w:p>
            <w:pPr>
              <w:spacing w:after="0"/>
              <w:rPr>
                <w:sz w:val="1"/>
                <w:szCs w:val="1"/>
                <w:color w:val="auto"/>
              </w:rPr>
            </w:pPr>
          </w:p>
        </w:tc>
      </w:tr>
      <w:tr>
        <w:trPr>
          <w:trHeight w:val="161"/>
        </w:trPr>
        <w:tc>
          <w:tcPr>
            <w:tcW w:w="6800" w:type="dxa"/>
            <w:vAlign w:val="bottom"/>
            <w:shd w:val="clear" w:color="auto" w:fill="CCEEFF"/>
          </w:tcPr>
          <w:p>
            <w:pPr>
              <w:spacing w:after="0"/>
              <w:rPr>
                <w:sz w:val="20"/>
                <w:szCs w:val="20"/>
                <w:color w:val="auto"/>
              </w:rPr>
            </w:pPr>
            <w:r>
              <w:rPr>
                <w:rFonts w:ascii="Arial" w:cs="Arial" w:eastAsia="Arial" w:hAnsi="Arial"/>
                <w:sz w:val="13"/>
                <w:szCs w:val="13"/>
                <w:color w:val="auto"/>
              </w:rPr>
              <w:t>Software impairment charges</w:t>
            </w: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(3.2)</w:t>
            </w: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7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6800" w:type="dxa"/>
            <w:vAlign w:val="bottom"/>
          </w:tcPr>
          <w:p>
            <w:pPr>
              <w:spacing w:after="0"/>
              <w:rPr>
                <w:sz w:val="20"/>
                <w:szCs w:val="20"/>
                <w:color w:val="auto"/>
              </w:rPr>
            </w:pPr>
            <w:r>
              <w:rPr>
                <w:rFonts w:ascii="Arial" w:cs="Arial" w:eastAsia="Arial" w:hAnsi="Arial"/>
                <w:sz w:val="13"/>
                <w:szCs w:val="13"/>
                <w:color w:val="auto"/>
              </w:rPr>
              <w:t>Restructuring charges</w:t>
            </w:r>
          </w:p>
        </w:tc>
        <w:tc>
          <w:tcPr>
            <w:tcW w:w="80" w:type="dxa"/>
            <w:vAlign w:val="bottom"/>
          </w:tcPr>
          <w:p>
            <w:pPr>
              <w:spacing w:after="0"/>
              <w:rPr>
                <w:sz w:val="14"/>
                <w:szCs w:val="14"/>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3"/>
                <w:szCs w:val="13"/>
                <w:color w:val="auto"/>
              </w:rPr>
              <w:t>(8.2)</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740"/>
              <w:spacing w:after="0"/>
              <w:rPr>
                <w:sz w:val="20"/>
                <w:szCs w:val="20"/>
                <w:color w:val="auto"/>
              </w:rPr>
            </w:pPr>
            <w:r>
              <w:rPr>
                <w:rFonts w:ascii="Arial" w:cs="Arial" w:eastAsia="Arial" w:hAnsi="Arial"/>
                <w:sz w:val="13"/>
                <w:szCs w:val="13"/>
                <w:color w:val="auto"/>
              </w:rPr>
              <w:t>(9.3)</w:t>
            </w:r>
          </w:p>
        </w:tc>
        <w:tc>
          <w:tcPr>
            <w:tcW w:w="120" w:type="dxa"/>
            <w:vAlign w:val="bottom"/>
          </w:tcPr>
          <w:p>
            <w:pPr>
              <w:spacing w:after="0"/>
              <w:rPr>
                <w:sz w:val="14"/>
                <w:szCs w:val="14"/>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3"/>
                <w:szCs w:val="13"/>
                <w:color w:val="auto"/>
              </w:rPr>
              <w:t>(9.3)</w:t>
            </w:r>
          </w:p>
        </w:tc>
        <w:tc>
          <w:tcPr>
            <w:tcW w:w="0" w:type="dxa"/>
            <w:vAlign w:val="bottom"/>
          </w:tcPr>
          <w:p>
            <w:pPr>
              <w:spacing w:after="0"/>
              <w:rPr>
                <w:sz w:val="1"/>
                <w:szCs w:val="1"/>
                <w:color w:val="auto"/>
              </w:rPr>
            </w:pPr>
          </w:p>
        </w:tc>
      </w:tr>
      <w:tr>
        <w:trPr>
          <w:trHeight w:val="161"/>
        </w:trPr>
        <w:tc>
          <w:tcPr>
            <w:tcW w:w="6800" w:type="dxa"/>
            <w:vAlign w:val="bottom"/>
            <w:shd w:val="clear" w:color="auto" w:fill="CCEEFF"/>
          </w:tcPr>
          <w:p>
            <w:pPr>
              <w:spacing w:after="0"/>
              <w:rPr>
                <w:sz w:val="20"/>
                <w:szCs w:val="20"/>
                <w:color w:val="auto"/>
              </w:rPr>
            </w:pPr>
            <w:r>
              <w:rPr>
                <w:rFonts w:ascii="Arial" w:cs="Arial" w:eastAsia="Arial" w:hAnsi="Arial"/>
                <w:sz w:val="13"/>
                <w:szCs w:val="13"/>
                <w:color w:val="auto"/>
              </w:rPr>
              <w:t>Goodwill impairment charges</w:t>
            </w: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(279.0)</w:t>
            </w: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7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6800" w:type="dxa"/>
            <w:vAlign w:val="bottom"/>
          </w:tcPr>
          <w:p>
            <w:pPr>
              <w:spacing w:after="0"/>
              <w:rPr>
                <w:sz w:val="20"/>
                <w:szCs w:val="20"/>
                <w:color w:val="auto"/>
              </w:rPr>
            </w:pPr>
            <w:r>
              <w:rPr>
                <w:rFonts w:ascii="Arial" w:cs="Arial" w:eastAsia="Arial" w:hAnsi="Arial"/>
                <w:sz w:val="13"/>
                <w:szCs w:val="13"/>
                <w:color w:val="auto"/>
              </w:rPr>
              <w:t>Trade name impairment charges</w:t>
            </w:r>
          </w:p>
        </w:tc>
        <w:tc>
          <w:tcPr>
            <w:tcW w:w="80" w:type="dxa"/>
            <w:vAlign w:val="bottom"/>
          </w:tcPr>
          <w:p>
            <w:pPr>
              <w:spacing w:after="0"/>
              <w:rPr>
                <w:sz w:val="14"/>
                <w:szCs w:val="14"/>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3"/>
                <w:szCs w:val="13"/>
                <w:color w:val="auto"/>
              </w:rPr>
              <w:t>(32.6)</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7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6800" w:type="dxa"/>
            <w:vAlign w:val="bottom"/>
            <w:shd w:val="clear" w:color="auto" w:fill="CCEEFF"/>
          </w:tcPr>
          <w:p>
            <w:pPr>
              <w:spacing w:after="0"/>
              <w:rPr>
                <w:sz w:val="20"/>
                <w:szCs w:val="20"/>
                <w:color w:val="auto"/>
              </w:rPr>
            </w:pPr>
            <w:r>
              <w:rPr>
                <w:rFonts w:ascii="Arial" w:cs="Arial" w:eastAsia="Arial" w:hAnsi="Arial"/>
                <w:sz w:val="13"/>
                <w:szCs w:val="13"/>
                <w:color w:val="auto"/>
              </w:rPr>
              <w:t>Corporate allocations expense from Harris Corporation</w:t>
            </w: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7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(3.7)</w:t>
            </w:r>
          </w:p>
        </w:tc>
        <w:tc>
          <w:tcPr>
            <w:tcW w:w="0" w:type="dxa"/>
            <w:vAlign w:val="bottom"/>
          </w:tcPr>
          <w:p>
            <w:pPr>
              <w:spacing w:after="0"/>
              <w:rPr>
                <w:sz w:val="1"/>
                <w:szCs w:val="1"/>
                <w:color w:val="auto"/>
              </w:rPr>
            </w:pPr>
          </w:p>
        </w:tc>
      </w:tr>
      <w:tr>
        <w:trPr>
          <w:trHeight w:val="20"/>
        </w:trPr>
        <w:tc>
          <w:tcPr>
            <w:tcW w:w="6800" w:type="dxa"/>
            <w:vAlign w:val="bottom"/>
            <w:vMerge w:val="restart"/>
          </w:tcPr>
          <w:p>
            <w:pPr>
              <w:spacing w:after="0"/>
              <w:rPr>
                <w:sz w:val="20"/>
                <w:szCs w:val="20"/>
                <w:color w:val="auto"/>
              </w:rPr>
            </w:pPr>
            <w:r>
              <w:rPr>
                <w:rFonts w:ascii="Arial" w:cs="Arial" w:eastAsia="Arial" w:hAnsi="Arial"/>
                <w:sz w:val="13"/>
                <w:szCs w:val="13"/>
                <w:b w:val="1"/>
                <w:bCs w:val="1"/>
                <w:color w:val="auto"/>
              </w:rPr>
              <w:t>Operating loss</w:t>
            </w: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68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3"/>
                <w:szCs w:val="13"/>
                <w:color w:val="auto"/>
              </w:rPr>
              <w:t>(335.3)</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740"/>
              <w:spacing w:after="0"/>
              <w:rPr>
                <w:sz w:val="20"/>
                <w:szCs w:val="20"/>
                <w:color w:val="auto"/>
              </w:rPr>
            </w:pPr>
            <w:r>
              <w:rPr>
                <w:rFonts w:ascii="Arial" w:cs="Arial" w:eastAsia="Arial" w:hAnsi="Arial"/>
                <w:sz w:val="13"/>
                <w:szCs w:val="13"/>
                <w:color w:val="auto"/>
              </w:rPr>
              <w:t>(13.7)</w:t>
            </w:r>
          </w:p>
        </w:tc>
        <w:tc>
          <w:tcPr>
            <w:tcW w:w="120" w:type="dxa"/>
            <w:vAlign w:val="bottom"/>
          </w:tcPr>
          <w:p>
            <w:pPr>
              <w:spacing w:after="0"/>
              <w:rPr>
                <w:sz w:val="14"/>
                <w:szCs w:val="14"/>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3"/>
                <w:szCs w:val="13"/>
                <w:color w:val="auto"/>
              </w:rPr>
              <w:t>(27.4)</w:t>
            </w:r>
          </w:p>
        </w:tc>
        <w:tc>
          <w:tcPr>
            <w:tcW w:w="0" w:type="dxa"/>
            <w:vAlign w:val="bottom"/>
          </w:tcPr>
          <w:p>
            <w:pPr>
              <w:spacing w:after="0"/>
              <w:rPr>
                <w:sz w:val="1"/>
                <w:szCs w:val="1"/>
                <w:color w:val="auto"/>
              </w:rPr>
            </w:pPr>
          </w:p>
        </w:tc>
      </w:tr>
      <w:tr>
        <w:trPr>
          <w:trHeight w:val="161"/>
        </w:trPr>
        <w:tc>
          <w:tcPr>
            <w:tcW w:w="6800" w:type="dxa"/>
            <w:vAlign w:val="bottom"/>
            <w:shd w:val="clear" w:color="auto" w:fill="CCEEFF"/>
          </w:tcPr>
          <w:p>
            <w:pPr>
              <w:spacing w:after="0"/>
              <w:rPr>
                <w:sz w:val="20"/>
                <w:szCs w:val="20"/>
                <w:color w:val="auto"/>
              </w:rPr>
            </w:pPr>
            <w:r>
              <w:rPr>
                <w:rFonts w:ascii="Arial" w:cs="Arial" w:eastAsia="Arial" w:hAnsi="Arial"/>
                <w:sz w:val="13"/>
                <w:szCs w:val="13"/>
                <w:color w:val="auto"/>
              </w:rPr>
              <w:t>Interest income</w:t>
            </w: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0.9</w:t>
            </w: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780"/>
              <w:spacing w:after="0"/>
              <w:rPr>
                <w:sz w:val="20"/>
                <w:szCs w:val="20"/>
                <w:color w:val="auto"/>
              </w:rPr>
            </w:pPr>
            <w:r>
              <w:rPr>
                <w:rFonts w:ascii="Arial" w:cs="Arial" w:eastAsia="Arial" w:hAnsi="Arial"/>
                <w:sz w:val="13"/>
                <w:szCs w:val="13"/>
                <w:color w:val="auto"/>
              </w:rPr>
              <w:t>2.4</w:t>
            </w:r>
          </w:p>
        </w:tc>
        <w:tc>
          <w:tcPr>
            <w:tcW w:w="12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61"/>
        </w:trPr>
        <w:tc>
          <w:tcPr>
            <w:tcW w:w="6800" w:type="dxa"/>
            <w:vAlign w:val="bottom"/>
          </w:tcPr>
          <w:p>
            <w:pPr>
              <w:spacing w:after="0"/>
              <w:rPr>
                <w:sz w:val="20"/>
                <w:szCs w:val="20"/>
                <w:color w:val="auto"/>
              </w:rPr>
            </w:pPr>
            <w:r>
              <w:rPr>
                <w:rFonts w:ascii="Arial" w:cs="Arial" w:eastAsia="Arial" w:hAnsi="Arial"/>
                <w:sz w:val="13"/>
                <w:szCs w:val="13"/>
                <w:color w:val="auto"/>
              </w:rPr>
              <w:t>Interest expense</w:t>
            </w:r>
          </w:p>
        </w:tc>
        <w:tc>
          <w:tcPr>
            <w:tcW w:w="80" w:type="dxa"/>
            <w:vAlign w:val="bottom"/>
          </w:tcPr>
          <w:p>
            <w:pPr>
              <w:spacing w:after="0"/>
              <w:rPr>
                <w:sz w:val="14"/>
                <w:szCs w:val="14"/>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3"/>
                <w:szCs w:val="13"/>
                <w:color w:val="auto"/>
              </w:rPr>
              <w:t>(2.8)</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740"/>
              <w:spacing w:after="0"/>
              <w:rPr>
                <w:sz w:val="20"/>
                <w:szCs w:val="20"/>
                <w:color w:val="auto"/>
              </w:rPr>
            </w:pPr>
            <w:r>
              <w:rPr>
                <w:rFonts w:ascii="Arial" w:cs="Arial" w:eastAsia="Arial" w:hAnsi="Arial"/>
                <w:sz w:val="13"/>
                <w:szCs w:val="13"/>
                <w:color w:val="auto"/>
              </w:rPr>
              <w:t>(2.6)</w:t>
            </w:r>
          </w:p>
        </w:tc>
        <w:tc>
          <w:tcPr>
            <w:tcW w:w="120" w:type="dxa"/>
            <w:vAlign w:val="bottom"/>
          </w:tcPr>
          <w:p>
            <w:pPr>
              <w:spacing w:after="0"/>
              <w:rPr>
                <w:sz w:val="14"/>
                <w:szCs w:val="14"/>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68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Loss before provision for or benefit from income taxes</w:t>
            </w: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(337.2)</w:t>
            </w: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740"/>
              <w:spacing w:after="0"/>
              <w:rPr>
                <w:sz w:val="20"/>
                <w:szCs w:val="20"/>
                <w:color w:val="auto"/>
              </w:rPr>
            </w:pPr>
            <w:r>
              <w:rPr>
                <w:rFonts w:ascii="Arial" w:cs="Arial" w:eastAsia="Arial" w:hAnsi="Arial"/>
                <w:sz w:val="13"/>
                <w:szCs w:val="13"/>
                <w:color w:val="auto"/>
              </w:rPr>
              <w:t>(13.9)</w:t>
            </w:r>
          </w:p>
        </w:tc>
        <w:tc>
          <w:tcPr>
            <w:tcW w:w="12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(27.9)</w:t>
            </w:r>
          </w:p>
        </w:tc>
        <w:tc>
          <w:tcPr>
            <w:tcW w:w="0" w:type="dxa"/>
            <w:vAlign w:val="bottom"/>
          </w:tcPr>
          <w:p>
            <w:pPr>
              <w:spacing w:after="0"/>
              <w:rPr>
                <w:sz w:val="1"/>
                <w:szCs w:val="1"/>
                <w:color w:val="auto"/>
              </w:rPr>
            </w:pPr>
          </w:p>
        </w:tc>
      </w:tr>
      <w:tr>
        <w:trPr>
          <w:trHeight w:val="161"/>
        </w:trPr>
        <w:tc>
          <w:tcPr>
            <w:tcW w:w="6800" w:type="dxa"/>
            <w:vAlign w:val="bottom"/>
          </w:tcPr>
          <w:p>
            <w:pPr>
              <w:spacing w:after="0"/>
              <w:rPr>
                <w:sz w:val="20"/>
                <w:szCs w:val="20"/>
                <w:color w:val="auto"/>
              </w:rPr>
            </w:pPr>
            <w:r>
              <w:rPr>
                <w:rFonts w:ascii="Arial" w:cs="Arial" w:eastAsia="Arial" w:hAnsi="Arial"/>
                <w:sz w:val="13"/>
                <w:szCs w:val="13"/>
                <w:color w:val="auto"/>
              </w:rPr>
              <w:t>(Provision for) benefit from income taxes</w:t>
            </w:r>
          </w:p>
        </w:tc>
        <w:tc>
          <w:tcPr>
            <w:tcW w:w="80" w:type="dxa"/>
            <w:vAlign w:val="bottom"/>
          </w:tcPr>
          <w:p>
            <w:pPr>
              <w:spacing w:after="0"/>
              <w:rPr>
                <w:sz w:val="14"/>
                <w:szCs w:val="14"/>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3"/>
                <w:szCs w:val="13"/>
                <w:color w:val="auto"/>
              </w:rPr>
              <w:t>(17.8)</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780"/>
              <w:spacing w:after="0"/>
              <w:rPr>
                <w:sz w:val="20"/>
                <w:szCs w:val="20"/>
                <w:color w:val="auto"/>
              </w:rPr>
            </w:pPr>
            <w:r>
              <w:rPr>
                <w:rFonts w:ascii="Arial" w:cs="Arial" w:eastAsia="Arial" w:hAnsi="Arial"/>
                <w:sz w:val="13"/>
                <w:szCs w:val="13"/>
                <w:color w:val="auto"/>
              </w:rPr>
              <w:t>2.0</w:t>
            </w:r>
          </w:p>
        </w:tc>
        <w:tc>
          <w:tcPr>
            <w:tcW w:w="120" w:type="dxa"/>
            <w:vAlign w:val="bottom"/>
          </w:tcPr>
          <w:p>
            <w:pPr>
              <w:spacing w:after="0"/>
              <w:rPr>
                <w:sz w:val="14"/>
                <w:szCs w:val="14"/>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3"/>
                <w:szCs w:val="13"/>
                <w:color w:val="auto"/>
              </w:rPr>
              <w:t>6.1</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68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Net loss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(355.0)</w:t>
            </w:r>
          </w:p>
        </w:tc>
        <w:tc>
          <w:tcPr>
            <w:tcW w:w="820" w:type="dxa"/>
            <w:vAlign w:val="bottom"/>
            <w:gridSpan w:val="2"/>
            <w:shd w:val="clear" w:color="auto" w:fill="CCEEFF"/>
          </w:tcPr>
          <w:p>
            <w:pPr>
              <w:ind w:left="720"/>
              <w:spacing w:after="0"/>
              <w:rPr>
                <w:sz w:val="20"/>
                <w:szCs w:val="20"/>
                <w:color w:val="auto"/>
              </w:rPr>
            </w:pPr>
            <w:r>
              <w:rPr>
                <w:rFonts w:ascii="Arial" w:cs="Arial" w:eastAsia="Arial" w:hAnsi="Arial"/>
                <w:sz w:val="13"/>
                <w:szCs w:val="13"/>
                <w:color w:val="auto"/>
              </w:rPr>
              <w:t>$</w:t>
            </w:r>
          </w:p>
        </w:tc>
        <w:tc>
          <w:tcPr>
            <w:tcW w:w="1180" w:type="dxa"/>
            <w:vAlign w:val="bottom"/>
            <w:gridSpan w:val="2"/>
            <w:shd w:val="clear" w:color="auto" w:fill="CCEEFF"/>
          </w:tcPr>
          <w:p>
            <w:pPr>
              <w:jc w:val="right"/>
              <w:ind w:right="740"/>
              <w:spacing w:after="0"/>
              <w:rPr>
                <w:sz w:val="20"/>
                <w:szCs w:val="20"/>
                <w:color w:val="auto"/>
              </w:rPr>
            </w:pPr>
            <w:r>
              <w:rPr>
                <w:rFonts w:ascii="Arial" w:cs="Arial" w:eastAsia="Arial" w:hAnsi="Arial"/>
                <w:sz w:val="13"/>
                <w:szCs w:val="13"/>
                <w:color w:val="auto"/>
              </w:rPr>
              <w:t>(11.9)</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(21.8)</w:t>
            </w:r>
          </w:p>
        </w:tc>
        <w:tc>
          <w:tcPr>
            <w:tcW w:w="0" w:type="dxa"/>
            <w:vAlign w:val="bottom"/>
          </w:tcPr>
          <w:p>
            <w:pPr>
              <w:spacing w:after="0"/>
              <w:rPr>
                <w:sz w:val="1"/>
                <w:szCs w:val="1"/>
                <w:color w:val="auto"/>
              </w:rPr>
            </w:pPr>
          </w:p>
        </w:tc>
      </w:tr>
      <w:tr>
        <w:trPr>
          <w:trHeight w:val="20"/>
        </w:trPr>
        <w:tc>
          <w:tcPr>
            <w:tcW w:w="6800" w:type="dxa"/>
            <w:vAlign w:val="bottom"/>
            <w:vMerge w:val="restart"/>
          </w:tcPr>
          <w:p>
            <w:pPr>
              <w:spacing w:after="0"/>
              <w:rPr>
                <w:sz w:val="20"/>
                <w:szCs w:val="20"/>
                <w:color w:val="auto"/>
              </w:rPr>
            </w:pPr>
            <w:r>
              <w:rPr>
                <w:rFonts w:ascii="Arial" w:cs="Arial" w:eastAsia="Arial" w:hAnsi="Arial"/>
                <w:sz w:val="13"/>
                <w:szCs w:val="13"/>
                <w:color w:val="auto"/>
              </w:rPr>
              <w:t>Net loss per common share of Class A and Class B Common Stock (Notes 1 and 2):</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8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800" w:type="dxa"/>
            <w:vAlign w:val="bottom"/>
            <w:shd w:val="clear" w:color="auto" w:fill="CCEEFF"/>
          </w:tcPr>
          <w:p>
            <w:pPr>
              <w:spacing w:after="0"/>
              <w:rPr>
                <w:sz w:val="20"/>
                <w:szCs w:val="20"/>
                <w:color w:val="auto"/>
              </w:rPr>
            </w:pPr>
            <w:r>
              <w:rPr>
                <w:rFonts w:ascii="Arial" w:cs="Arial" w:eastAsia="Arial" w:hAnsi="Arial"/>
                <w:sz w:val="13"/>
                <w:szCs w:val="13"/>
                <w:color w:val="auto"/>
              </w:rPr>
              <w:t>Basic and diluted</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(6.05)</w:t>
            </w:r>
          </w:p>
        </w:tc>
        <w:tc>
          <w:tcPr>
            <w:tcW w:w="820" w:type="dxa"/>
            <w:vAlign w:val="bottom"/>
            <w:gridSpan w:val="2"/>
            <w:shd w:val="clear" w:color="auto" w:fill="CCEEFF"/>
          </w:tcPr>
          <w:p>
            <w:pPr>
              <w:ind w:left="720"/>
              <w:spacing w:after="0"/>
              <w:rPr>
                <w:sz w:val="20"/>
                <w:szCs w:val="20"/>
                <w:color w:val="auto"/>
              </w:rPr>
            </w:pPr>
            <w:r>
              <w:rPr>
                <w:rFonts w:ascii="Arial" w:cs="Arial" w:eastAsia="Arial" w:hAnsi="Arial"/>
                <w:sz w:val="13"/>
                <w:szCs w:val="13"/>
                <w:color w:val="auto"/>
              </w:rPr>
              <w:t>$</w:t>
            </w:r>
          </w:p>
        </w:tc>
        <w:tc>
          <w:tcPr>
            <w:tcW w:w="1180" w:type="dxa"/>
            <w:vAlign w:val="bottom"/>
            <w:gridSpan w:val="2"/>
            <w:shd w:val="clear" w:color="auto" w:fill="CCEEFF"/>
          </w:tcPr>
          <w:p>
            <w:pPr>
              <w:jc w:val="right"/>
              <w:ind w:right="740"/>
              <w:spacing w:after="0"/>
              <w:rPr>
                <w:sz w:val="20"/>
                <w:szCs w:val="20"/>
                <w:color w:val="auto"/>
              </w:rPr>
            </w:pPr>
            <w:r>
              <w:rPr>
                <w:rFonts w:ascii="Arial" w:cs="Arial" w:eastAsia="Arial" w:hAnsi="Arial"/>
                <w:sz w:val="13"/>
                <w:szCs w:val="13"/>
                <w:color w:val="auto"/>
              </w:rPr>
              <w:t>(0.20)</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(0.88)</w:t>
            </w:r>
          </w:p>
        </w:tc>
        <w:tc>
          <w:tcPr>
            <w:tcW w:w="0" w:type="dxa"/>
            <w:vAlign w:val="bottom"/>
          </w:tcPr>
          <w:p>
            <w:pPr>
              <w:spacing w:after="0"/>
              <w:rPr>
                <w:sz w:val="1"/>
                <w:szCs w:val="1"/>
                <w:color w:val="auto"/>
              </w:rPr>
            </w:pPr>
          </w:p>
        </w:tc>
      </w:tr>
      <w:tr>
        <w:trPr>
          <w:trHeight w:val="172"/>
        </w:trPr>
        <w:tc>
          <w:tcPr>
            <w:tcW w:w="6800" w:type="dxa"/>
            <w:vAlign w:val="bottom"/>
          </w:tcPr>
          <w:p>
            <w:pPr>
              <w:spacing w:after="0"/>
              <w:rPr>
                <w:sz w:val="20"/>
                <w:szCs w:val="20"/>
                <w:color w:val="auto"/>
              </w:rPr>
            </w:pPr>
            <w:r>
              <w:rPr>
                <w:rFonts w:ascii="Arial" w:cs="Arial" w:eastAsia="Arial" w:hAnsi="Arial"/>
                <w:sz w:val="13"/>
                <w:szCs w:val="13"/>
                <w:color w:val="auto"/>
              </w:rPr>
              <w:t>Basic and diluted weighted average shares outstanding</w:t>
            </w:r>
          </w:p>
        </w:tc>
        <w:tc>
          <w:tcPr>
            <w:tcW w:w="80" w:type="dxa"/>
            <w:vAlign w:val="bottom"/>
          </w:tcPr>
          <w:p>
            <w:pPr>
              <w:spacing w:after="0"/>
              <w:rPr>
                <w:sz w:val="14"/>
                <w:szCs w:val="14"/>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58.7</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780"/>
              <w:spacing w:after="0"/>
              <w:rPr>
                <w:sz w:val="20"/>
                <w:szCs w:val="20"/>
                <w:color w:val="auto"/>
              </w:rPr>
            </w:pPr>
            <w:r>
              <w:rPr>
                <w:rFonts w:ascii="Arial" w:cs="Arial" w:eastAsia="Arial" w:hAnsi="Arial"/>
                <w:sz w:val="13"/>
                <w:szCs w:val="13"/>
                <w:color w:val="auto"/>
              </w:rPr>
              <w:t>58.4</w:t>
            </w:r>
          </w:p>
        </w:tc>
        <w:tc>
          <w:tcPr>
            <w:tcW w:w="120" w:type="dxa"/>
            <w:vAlign w:val="bottom"/>
          </w:tcPr>
          <w:p>
            <w:pPr>
              <w:spacing w:after="0"/>
              <w:rPr>
                <w:sz w:val="14"/>
                <w:szCs w:val="14"/>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3"/>
                <w:szCs w:val="13"/>
                <w:color w:val="auto"/>
              </w:rPr>
              <w:t>24.7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57150</wp:posOffset>
            </wp:positionV>
            <wp:extent cx="825500" cy="63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25500" cy="6350"/>
                    </a:xfrm>
                    <a:prstGeom prst="rect">
                      <a:avLst/>
                    </a:prstGeom>
                    <a:noFill/>
                  </pic:spPr>
                </pic:pic>
              </a:graphicData>
            </a:graphic>
          </wp:anchor>
        </w:drawing>
      </w:r>
    </w:p>
    <w:p>
      <w:pPr>
        <w:spacing w:after="0" w:line="120" w:lineRule="exact"/>
        <w:rPr>
          <w:sz w:val="20"/>
          <w:szCs w:val="20"/>
          <w:color w:val="auto"/>
        </w:rPr>
      </w:pPr>
    </w:p>
    <w:p>
      <w:pPr>
        <w:ind w:left="1000" w:right="40" w:hanging="266"/>
        <w:spacing w:after="0" w:line="291" w:lineRule="auto"/>
        <w:tabs>
          <w:tab w:leader="none" w:pos="10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The net loss per common share amounts are the same for Class A and Class B because the holders of each class are legally entitled to equal per share distributions whether through dividends or in liquidation.</w:t>
      </w:r>
    </w:p>
    <w:p>
      <w:pPr>
        <w:ind w:left="1000" w:right="160" w:hanging="266"/>
        <w:spacing w:after="0" w:line="324" w:lineRule="auto"/>
        <w:tabs>
          <w:tab w:leader="none" w:pos="1000" w:val="left"/>
        </w:tabs>
        <w:numPr>
          <w:ilvl w:val="0"/>
          <w:numId w:val="27"/>
        </w:numPr>
        <w:rPr>
          <w:rFonts w:ascii="Arial" w:cs="Arial" w:eastAsia="Arial" w:hAnsi="Arial"/>
          <w:sz w:val="12"/>
          <w:szCs w:val="12"/>
          <w:color w:val="auto"/>
        </w:rPr>
      </w:pPr>
      <w:r>
        <w:rPr>
          <w:rFonts w:ascii="Arial" w:cs="Arial" w:eastAsia="Arial" w:hAnsi="Arial"/>
          <w:sz w:val="12"/>
          <w:szCs w:val="12"/>
          <w:color w:val="auto"/>
        </w:rPr>
        <w:t>Prior to January 26, 2007, the Company was a division of Harris Corporation and there were no shares outstanding for purposes of income or loss calculations. Basic and diluted weighted average shares outstanding are calculated based on the daily outstanding shares, reflecting the fact that no shares were outstanding prior to January 26, 2007.</w:t>
      </w:r>
    </w:p>
    <w:p>
      <w:pPr>
        <w:ind w:left="3980"/>
        <w:spacing w:after="0"/>
        <w:rPr>
          <w:sz w:val="20"/>
          <w:szCs w:val="20"/>
          <w:color w:val="auto"/>
        </w:rPr>
      </w:pPr>
      <w:r>
        <w:rPr>
          <w:rFonts w:ascii="Arial" w:cs="Arial" w:eastAsia="Arial" w:hAnsi="Arial"/>
          <w:sz w:val="13"/>
          <w:szCs w:val="13"/>
          <w:color w:val="auto"/>
        </w:rPr>
        <w:t>See accompanying Notes to Consolidated Financial Statements</w:t>
      </w:r>
    </w:p>
    <w:p>
      <w:pPr>
        <w:spacing w:after="0" w:line="30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62" w:name="page63"/>
    <w:bookmarkEnd w:id="6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HARRIS STRATEX NETWORKS, INC. AND SUBSIDIARIES</w:t>
      </w:r>
    </w:p>
    <w:p>
      <w:pPr>
        <w:spacing w:after="0" w:line="173" w:lineRule="exact"/>
        <w:rPr>
          <w:sz w:val="20"/>
          <w:szCs w:val="20"/>
          <w:color w:val="auto"/>
        </w:rPr>
      </w:pPr>
    </w:p>
    <w:p>
      <w:pPr>
        <w:ind w:left="4520"/>
        <w:spacing w:after="0"/>
        <w:rPr>
          <w:sz w:val="20"/>
          <w:szCs w:val="20"/>
          <w:color w:val="auto"/>
        </w:rPr>
      </w:pPr>
      <w:r>
        <w:rPr>
          <w:rFonts w:ascii="Arial" w:cs="Arial" w:eastAsia="Arial" w:hAnsi="Arial"/>
          <w:sz w:val="13"/>
          <w:szCs w:val="13"/>
          <w:b w:val="1"/>
          <w:bCs w:val="1"/>
          <w:color w:val="auto"/>
        </w:rPr>
        <w:t>CONSOLIDATED BALANCE SHEETS</w:t>
      </w:r>
    </w:p>
    <w:p>
      <w:pPr>
        <w:spacing w:after="0" w:line="173"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8700" w:type="dxa"/>
            <w:vAlign w:val="bottom"/>
          </w:tcPr>
          <w:p>
            <w:pPr>
              <w:spacing w:after="0"/>
              <w:rPr>
                <w:sz w:val="10"/>
                <w:szCs w:val="10"/>
                <w:color w:val="auto"/>
              </w:rPr>
            </w:pPr>
          </w:p>
        </w:tc>
        <w:tc>
          <w:tcPr>
            <w:tcW w:w="700" w:type="dxa"/>
            <w:vAlign w:val="bottom"/>
            <w:gridSpan w:val="4"/>
          </w:tcPr>
          <w:p>
            <w:pPr>
              <w:jc w:val="right"/>
              <w:ind w:right="360"/>
              <w:spacing w:after="0"/>
              <w:rPr>
                <w:sz w:val="20"/>
                <w:szCs w:val="20"/>
                <w:color w:val="auto"/>
              </w:rPr>
            </w:pPr>
            <w:r>
              <w:rPr>
                <w:rFonts w:ascii="Arial" w:cs="Arial" w:eastAsia="Arial" w:hAnsi="Arial"/>
                <w:sz w:val="11"/>
                <w:szCs w:val="11"/>
                <w:b w:val="1"/>
                <w:bCs w:val="1"/>
                <w:color w:val="auto"/>
                <w:w w:val="93"/>
              </w:rPr>
              <w:t>July 3,</w:t>
            </w:r>
          </w:p>
        </w:tc>
        <w:tc>
          <w:tcPr>
            <w:tcW w:w="60" w:type="dxa"/>
            <w:vAlign w:val="bottom"/>
          </w:tcPr>
          <w:p>
            <w:pPr>
              <w:spacing w:after="0"/>
              <w:rPr>
                <w:sz w:val="10"/>
                <w:szCs w:val="10"/>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w w:val="81"/>
              </w:rPr>
              <w:t>June 27,</w:t>
            </w:r>
          </w:p>
        </w:tc>
        <w:tc>
          <w:tcPr>
            <w:tcW w:w="0" w:type="dxa"/>
            <w:vAlign w:val="bottom"/>
          </w:tcPr>
          <w:p>
            <w:pPr>
              <w:spacing w:after="0"/>
              <w:rPr>
                <w:sz w:val="1"/>
                <w:szCs w:val="1"/>
                <w:color w:val="auto"/>
              </w:rPr>
            </w:pPr>
          </w:p>
        </w:tc>
      </w:tr>
      <w:tr>
        <w:trPr>
          <w:trHeight w:val="128"/>
        </w:trPr>
        <w:tc>
          <w:tcPr>
            <w:tcW w:w="87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b w:val="1"/>
                <w:bCs w:val="1"/>
                <w:color w:val="auto"/>
                <w:w w:val="89"/>
              </w:rPr>
              <w:t>2009</w:t>
            </w: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2008</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8700" w:type="dxa"/>
            <w:vAlign w:val="bottom"/>
          </w:tcPr>
          <w:p>
            <w:pPr>
              <w:spacing w:after="0"/>
              <w:rPr>
                <w:sz w:val="7"/>
                <w:szCs w:val="7"/>
                <w:color w:val="auto"/>
              </w:rPr>
            </w:pPr>
          </w:p>
        </w:tc>
        <w:tc>
          <w:tcPr>
            <w:tcW w:w="1280" w:type="dxa"/>
            <w:vAlign w:val="bottom"/>
            <w:gridSpan w:val="7"/>
          </w:tcPr>
          <w:p>
            <w:pPr>
              <w:jc w:val="right"/>
              <w:ind w:right="120"/>
              <w:spacing w:after="0" w:line="84" w:lineRule="exact"/>
              <w:rPr>
                <w:sz w:val="20"/>
                <w:szCs w:val="20"/>
                <w:color w:val="auto"/>
              </w:rPr>
            </w:pPr>
            <w:r>
              <w:rPr>
                <w:rFonts w:ascii="Arial" w:cs="Arial" w:eastAsia="Arial" w:hAnsi="Arial"/>
                <w:sz w:val="9"/>
                <w:szCs w:val="9"/>
                <w:b w:val="1"/>
                <w:bCs w:val="1"/>
                <w:color w:val="auto"/>
              </w:rPr>
              <w:t>(In millions, except share</w:t>
            </w:r>
          </w:p>
        </w:tc>
        <w:tc>
          <w:tcPr>
            <w:tcW w:w="0" w:type="dxa"/>
            <w:vAlign w:val="bottom"/>
          </w:tcPr>
          <w:p>
            <w:pPr>
              <w:spacing w:after="0"/>
              <w:rPr>
                <w:sz w:val="1"/>
                <w:szCs w:val="1"/>
                <w:color w:val="auto"/>
              </w:rPr>
            </w:pPr>
          </w:p>
        </w:tc>
      </w:tr>
      <w:tr>
        <w:trPr>
          <w:trHeight w:val="140"/>
        </w:trPr>
        <w:tc>
          <w:tcPr>
            <w:tcW w:w="8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gridSpan w:val="6"/>
          </w:tcPr>
          <w:p>
            <w:pPr>
              <w:jc w:val="right"/>
              <w:ind w:right="480"/>
              <w:spacing w:after="0"/>
              <w:rPr>
                <w:sz w:val="20"/>
                <w:szCs w:val="20"/>
                <w:color w:val="auto"/>
              </w:rPr>
            </w:pPr>
            <w:r>
              <w:rPr>
                <w:rFonts w:ascii="Arial" w:cs="Arial" w:eastAsia="Arial" w:hAnsi="Arial"/>
                <w:sz w:val="11"/>
                <w:szCs w:val="11"/>
                <w:b w:val="1"/>
                <w:bCs w:val="1"/>
                <w:color w:val="auto"/>
              </w:rPr>
              <w:t>amounts)</w:t>
            </w:r>
          </w:p>
        </w:tc>
        <w:tc>
          <w:tcPr>
            <w:tcW w:w="0" w:type="dxa"/>
            <w:vAlign w:val="bottom"/>
          </w:tcPr>
          <w:p>
            <w:pPr>
              <w:spacing w:after="0"/>
              <w:rPr>
                <w:sz w:val="1"/>
                <w:szCs w:val="1"/>
                <w:color w:val="auto"/>
              </w:rPr>
            </w:pPr>
          </w:p>
        </w:tc>
      </w:tr>
      <w:tr>
        <w:trPr>
          <w:trHeight w:val="28"/>
        </w:trPr>
        <w:tc>
          <w:tcPr>
            <w:tcW w:w="870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1"/>
        </w:trPr>
        <w:tc>
          <w:tcPr>
            <w:tcW w:w="8700" w:type="dxa"/>
            <w:vAlign w:val="bottom"/>
            <w:shd w:val="clear" w:color="auto" w:fill="CCEEFF"/>
          </w:tcPr>
          <w:p>
            <w:pPr>
              <w:ind w:left="4800"/>
              <w:spacing w:after="0" w:line="111" w:lineRule="exact"/>
              <w:rPr>
                <w:sz w:val="20"/>
                <w:szCs w:val="20"/>
                <w:color w:val="auto"/>
              </w:rPr>
            </w:pPr>
            <w:r>
              <w:rPr>
                <w:rFonts w:ascii="Arial" w:cs="Arial" w:eastAsia="Arial" w:hAnsi="Arial"/>
                <w:sz w:val="11"/>
                <w:szCs w:val="11"/>
                <w:b w:val="1"/>
                <w:bCs w:val="1"/>
                <w:color w:val="auto"/>
              </w:rPr>
              <w:t>ASSETS</w:t>
            </w:r>
          </w:p>
        </w:tc>
        <w:tc>
          <w:tcPr>
            <w:tcW w:w="6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8700" w:type="dxa"/>
            <w:vAlign w:val="bottom"/>
          </w:tcPr>
          <w:p>
            <w:pPr>
              <w:spacing w:after="0" w:line="111" w:lineRule="exact"/>
              <w:rPr>
                <w:sz w:val="20"/>
                <w:szCs w:val="20"/>
                <w:color w:val="auto"/>
              </w:rPr>
            </w:pPr>
            <w:r>
              <w:rPr>
                <w:rFonts w:ascii="Arial" w:cs="Arial" w:eastAsia="Arial" w:hAnsi="Arial"/>
                <w:sz w:val="11"/>
                <w:szCs w:val="11"/>
                <w:i w:val="1"/>
                <w:iCs w:val="1"/>
                <w:color w:val="auto"/>
              </w:rPr>
              <w:t>Current Assets</w:t>
            </w: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8700" w:type="dxa"/>
            <w:vAlign w:val="bottom"/>
            <w:shd w:val="clear" w:color="auto" w:fill="CCEEFF"/>
          </w:tcPr>
          <w:p>
            <w:pPr>
              <w:ind w:left="120"/>
              <w:spacing w:after="0" w:line="111" w:lineRule="exact"/>
              <w:rPr>
                <w:sz w:val="20"/>
                <w:szCs w:val="20"/>
                <w:color w:val="auto"/>
              </w:rPr>
            </w:pPr>
            <w:r>
              <w:rPr>
                <w:rFonts w:ascii="Arial" w:cs="Arial" w:eastAsia="Arial" w:hAnsi="Arial"/>
                <w:sz w:val="11"/>
                <w:szCs w:val="11"/>
                <w:color w:val="auto"/>
              </w:rPr>
              <w:t>Cash and cash equivalents</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360" w:type="dxa"/>
            <w:vAlign w:val="bottom"/>
            <w:gridSpan w:val="2"/>
            <w:shd w:val="clear" w:color="auto" w:fill="CCEEFF"/>
          </w:tcPr>
          <w:p>
            <w:pPr>
              <w:jc w:val="right"/>
              <w:ind w:right="20"/>
              <w:spacing w:after="0" w:line="111" w:lineRule="exact"/>
              <w:rPr>
                <w:sz w:val="20"/>
                <w:szCs w:val="20"/>
                <w:color w:val="auto"/>
              </w:rPr>
            </w:pPr>
            <w:r>
              <w:rPr>
                <w:rFonts w:ascii="Arial" w:cs="Arial" w:eastAsia="Arial" w:hAnsi="Arial"/>
                <w:sz w:val="11"/>
                <w:szCs w:val="11"/>
                <w:color w:val="auto"/>
              </w:rPr>
              <w:t>136.8</w:t>
            </w:r>
          </w:p>
        </w:tc>
        <w:tc>
          <w:tcPr>
            <w:tcW w:w="280" w:type="dxa"/>
            <w:vAlign w:val="bottom"/>
            <w:shd w:val="clear" w:color="auto" w:fill="CCEEFF"/>
          </w:tcPr>
          <w:p>
            <w:pPr>
              <w:spacing w:after="0"/>
              <w:rPr>
                <w:sz w:val="9"/>
                <w:szCs w:val="9"/>
                <w:color w:val="auto"/>
              </w:rPr>
            </w:pPr>
          </w:p>
        </w:tc>
        <w:tc>
          <w:tcPr>
            <w:tcW w:w="6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80"/>
              <w:spacing w:after="0" w:line="111" w:lineRule="exact"/>
              <w:rPr>
                <w:sz w:val="20"/>
                <w:szCs w:val="20"/>
                <w:color w:val="auto"/>
              </w:rPr>
            </w:pPr>
            <w:r>
              <w:rPr>
                <w:rFonts w:ascii="Arial" w:cs="Arial" w:eastAsia="Arial" w:hAnsi="Arial"/>
                <w:sz w:val="11"/>
                <w:szCs w:val="11"/>
                <w:color w:val="auto"/>
              </w:rPr>
              <w:t>95.0</w:t>
            </w:r>
          </w:p>
        </w:tc>
        <w:tc>
          <w:tcPr>
            <w:tcW w:w="0" w:type="dxa"/>
            <w:vAlign w:val="bottom"/>
          </w:tcPr>
          <w:p>
            <w:pPr>
              <w:spacing w:after="0"/>
              <w:rPr>
                <w:sz w:val="1"/>
                <w:szCs w:val="1"/>
                <w:color w:val="auto"/>
              </w:rPr>
            </w:pPr>
          </w:p>
        </w:tc>
      </w:tr>
      <w:tr>
        <w:trPr>
          <w:trHeight w:val="111"/>
        </w:trPr>
        <w:tc>
          <w:tcPr>
            <w:tcW w:w="8700" w:type="dxa"/>
            <w:vAlign w:val="bottom"/>
          </w:tcPr>
          <w:p>
            <w:pPr>
              <w:ind w:left="120"/>
              <w:spacing w:after="0" w:line="111" w:lineRule="exact"/>
              <w:rPr>
                <w:sz w:val="20"/>
                <w:szCs w:val="20"/>
                <w:color w:val="auto"/>
              </w:rPr>
            </w:pPr>
            <w:r>
              <w:rPr>
                <w:rFonts w:ascii="Arial" w:cs="Arial" w:eastAsia="Arial" w:hAnsi="Arial"/>
                <w:sz w:val="11"/>
                <w:szCs w:val="11"/>
                <w:color w:val="auto"/>
              </w:rPr>
              <w:t>Short-term investments</w:t>
            </w:r>
          </w:p>
        </w:tc>
        <w:tc>
          <w:tcPr>
            <w:tcW w:w="60" w:type="dxa"/>
            <w:vAlign w:val="bottom"/>
          </w:tcPr>
          <w:p>
            <w:pPr>
              <w:spacing w:after="0"/>
              <w:rPr>
                <w:sz w:val="9"/>
                <w:szCs w:val="9"/>
                <w:color w:val="auto"/>
              </w:rPr>
            </w:pPr>
          </w:p>
        </w:tc>
        <w:tc>
          <w:tcPr>
            <w:tcW w:w="360" w:type="dxa"/>
            <w:vAlign w:val="bottom"/>
            <w:gridSpan w:val="2"/>
          </w:tcPr>
          <w:p>
            <w:pPr>
              <w:jc w:val="right"/>
              <w:ind w:right="20"/>
              <w:spacing w:after="0" w:line="111" w:lineRule="exact"/>
              <w:rPr>
                <w:sz w:val="20"/>
                <w:szCs w:val="20"/>
                <w:color w:val="auto"/>
              </w:rPr>
            </w:pPr>
            <w:r>
              <w:rPr>
                <w:rFonts w:ascii="Arial" w:cs="Arial" w:eastAsia="Arial" w:hAnsi="Arial"/>
                <w:sz w:val="11"/>
                <w:szCs w:val="11"/>
                <w:color w:val="auto"/>
              </w:rPr>
              <w:t>0.3</w:t>
            </w: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gridSpan w:val="2"/>
          </w:tcPr>
          <w:p>
            <w:pPr>
              <w:jc w:val="right"/>
              <w:ind w:right="80"/>
              <w:spacing w:after="0" w:line="111" w:lineRule="exact"/>
              <w:rPr>
                <w:sz w:val="20"/>
                <w:szCs w:val="20"/>
                <w:color w:val="auto"/>
              </w:rPr>
            </w:pPr>
            <w:r>
              <w:rPr>
                <w:rFonts w:ascii="Arial" w:cs="Arial" w:eastAsia="Arial" w:hAnsi="Arial"/>
                <w:sz w:val="11"/>
                <w:szCs w:val="11"/>
                <w:color w:val="auto"/>
              </w:rPr>
              <w:t>3.1</w:t>
            </w:r>
          </w:p>
        </w:tc>
        <w:tc>
          <w:tcPr>
            <w:tcW w:w="0" w:type="dxa"/>
            <w:vAlign w:val="bottom"/>
          </w:tcPr>
          <w:p>
            <w:pPr>
              <w:spacing w:after="0"/>
              <w:rPr>
                <w:sz w:val="1"/>
                <w:szCs w:val="1"/>
                <w:color w:val="auto"/>
              </w:rPr>
            </w:pPr>
          </w:p>
        </w:tc>
      </w:tr>
      <w:tr>
        <w:trPr>
          <w:trHeight w:val="111"/>
        </w:trPr>
        <w:tc>
          <w:tcPr>
            <w:tcW w:w="8700" w:type="dxa"/>
            <w:vAlign w:val="bottom"/>
            <w:shd w:val="clear" w:color="auto" w:fill="CCEEFF"/>
          </w:tcPr>
          <w:p>
            <w:pPr>
              <w:ind w:left="120"/>
              <w:spacing w:after="0" w:line="111" w:lineRule="exact"/>
              <w:rPr>
                <w:sz w:val="20"/>
                <w:szCs w:val="20"/>
                <w:color w:val="auto"/>
              </w:rPr>
            </w:pPr>
            <w:r>
              <w:rPr>
                <w:rFonts w:ascii="Arial" w:cs="Arial" w:eastAsia="Arial" w:hAnsi="Arial"/>
                <w:sz w:val="11"/>
                <w:szCs w:val="11"/>
                <w:color w:val="auto"/>
              </w:rPr>
              <w:t>Receivables</w:t>
            </w:r>
          </w:p>
        </w:tc>
        <w:tc>
          <w:tcPr>
            <w:tcW w:w="60" w:type="dxa"/>
            <w:vAlign w:val="bottom"/>
            <w:shd w:val="clear" w:color="auto" w:fill="CCEEFF"/>
          </w:tcPr>
          <w:p>
            <w:pPr>
              <w:spacing w:after="0"/>
              <w:rPr>
                <w:sz w:val="9"/>
                <w:szCs w:val="9"/>
                <w:color w:val="auto"/>
              </w:rPr>
            </w:pPr>
          </w:p>
        </w:tc>
        <w:tc>
          <w:tcPr>
            <w:tcW w:w="360" w:type="dxa"/>
            <w:vAlign w:val="bottom"/>
            <w:gridSpan w:val="2"/>
            <w:shd w:val="clear" w:color="auto" w:fill="CCEEFF"/>
          </w:tcPr>
          <w:p>
            <w:pPr>
              <w:jc w:val="right"/>
              <w:ind w:right="20"/>
              <w:spacing w:after="0" w:line="111" w:lineRule="exact"/>
              <w:rPr>
                <w:sz w:val="20"/>
                <w:szCs w:val="20"/>
                <w:color w:val="auto"/>
              </w:rPr>
            </w:pPr>
            <w:r>
              <w:rPr>
                <w:rFonts w:ascii="Arial" w:cs="Arial" w:eastAsia="Arial" w:hAnsi="Arial"/>
                <w:sz w:val="11"/>
                <w:szCs w:val="11"/>
                <w:color w:val="auto"/>
              </w:rPr>
              <w:t>142.9</w:t>
            </w:r>
          </w:p>
        </w:tc>
        <w:tc>
          <w:tcPr>
            <w:tcW w:w="2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80"/>
              <w:spacing w:after="0" w:line="111" w:lineRule="exact"/>
              <w:rPr>
                <w:sz w:val="20"/>
                <w:szCs w:val="20"/>
                <w:color w:val="auto"/>
              </w:rPr>
            </w:pPr>
            <w:r>
              <w:rPr>
                <w:rFonts w:ascii="Arial" w:cs="Arial" w:eastAsia="Arial" w:hAnsi="Arial"/>
                <w:sz w:val="11"/>
                <w:szCs w:val="11"/>
                <w:color w:val="auto"/>
              </w:rPr>
              <w:t>199.7</w:t>
            </w:r>
          </w:p>
        </w:tc>
        <w:tc>
          <w:tcPr>
            <w:tcW w:w="0" w:type="dxa"/>
            <w:vAlign w:val="bottom"/>
          </w:tcPr>
          <w:p>
            <w:pPr>
              <w:spacing w:after="0"/>
              <w:rPr>
                <w:sz w:val="1"/>
                <w:szCs w:val="1"/>
                <w:color w:val="auto"/>
              </w:rPr>
            </w:pPr>
          </w:p>
        </w:tc>
      </w:tr>
      <w:tr>
        <w:trPr>
          <w:trHeight w:val="111"/>
        </w:trPr>
        <w:tc>
          <w:tcPr>
            <w:tcW w:w="8700" w:type="dxa"/>
            <w:vAlign w:val="bottom"/>
          </w:tcPr>
          <w:p>
            <w:pPr>
              <w:ind w:left="120"/>
              <w:spacing w:after="0" w:line="111" w:lineRule="exact"/>
              <w:rPr>
                <w:sz w:val="20"/>
                <w:szCs w:val="20"/>
                <w:color w:val="auto"/>
              </w:rPr>
            </w:pPr>
            <w:r>
              <w:rPr>
                <w:rFonts w:ascii="Arial" w:cs="Arial" w:eastAsia="Arial" w:hAnsi="Arial"/>
                <w:sz w:val="11"/>
                <w:szCs w:val="11"/>
                <w:color w:val="auto"/>
              </w:rPr>
              <w:t>Unbilled costs</w:t>
            </w:r>
          </w:p>
        </w:tc>
        <w:tc>
          <w:tcPr>
            <w:tcW w:w="60" w:type="dxa"/>
            <w:vAlign w:val="bottom"/>
          </w:tcPr>
          <w:p>
            <w:pPr>
              <w:spacing w:after="0"/>
              <w:rPr>
                <w:sz w:val="9"/>
                <w:szCs w:val="9"/>
                <w:color w:val="auto"/>
              </w:rPr>
            </w:pPr>
          </w:p>
        </w:tc>
        <w:tc>
          <w:tcPr>
            <w:tcW w:w="360" w:type="dxa"/>
            <w:vAlign w:val="bottom"/>
            <w:gridSpan w:val="2"/>
          </w:tcPr>
          <w:p>
            <w:pPr>
              <w:jc w:val="right"/>
              <w:ind w:right="20"/>
              <w:spacing w:after="0" w:line="111" w:lineRule="exact"/>
              <w:rPr>
                <w:sz w:val="20"/>
                <w:szCs w:val="20"/>
                <w:color w:val="auto"/>
              </w:rPr>
            </w:pPr>
            <w:r>
              <w:rPr>
                <w:rFonts w:ascii="Arial" w:cs="Arial" w:eastAsia="Arial" w:hAnsi="Arial"/>
                <w:sz w:val="11"/>
                <w:szCs w:val="11"/>
                <w:color w:val="auto"/>
              </w:rPr>
              <w:t>27.8</w:t>
            </w: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gridSpan w:val="2"/>
          </w:tcPr>
          <w:p>
            <w:pPr>
              <w:jc w:val="right"/>
              <w:ind w:right="80"/>
              <w:spacing w:after="0" w:line="111" w:lineRule="exact"/>
              <w:rPr>
                <w:sz w:val="20"/>
                <w:szCs w:val="20"/>
                <w:color w:val="auto"/>
              </w:rPr>
            </w:pPr>
            <w:r>
              <w:rPr>
                <w:rFonts w:ascii="Arial" w:cs="Arial" w:eastAsia="Arial" w:hAnsi="Arial"/>
                <w:sz w:val="11"/>
                <w:szCs w:val="11"/>
                <w:color w:val="auto"/>
              </w:rPr>
              <w:t>37.1</w:t>
            </w:r>
          </w:p>
        </w:tc>
        <w:tc>
          <w:tcPr>
            <w:tcW w:w="0" w:type="dxa"/>
            <w:vAlign w:val="bottom"/>
          </w:tcPr>
          <w:p>
            <w:pPr>
              <w:spacing w:after="0"/>
              <w:rPr>
                <w:sz w:val="1"/>
                <w:szCs w:val="1"/>
                <w:color w:val="auto"/>
              </w:rPr>
            </w:pPr>
          </w:p>
        </w:tc>
      </w:tr>
      <w:tr>
        <w:trPr>
          <w:trHeight w:val="111"/>
        </w:trPr>
        <w:tc>
          <w:tcPr>
            <w:tcW w:w="8700" w:type="dxa"/>
            <w:vAlign w:val="bottom"/>
            <w:shd w:val="clear" w:color="auto" w:fill="CCEEFF"/>
          </w:tcPr>
          <w:p>
            <w:pPr>
              <w:ind w:left="120"/>
              <w:spacing w:after="0" w:line="111" w:lineRule="exact"/>
              <w:rPr>
                <w:sz w:val="20"/>
                <w:szCs w:val="20"/>
                <w:color w:val="auto"/>
              </w:rPr>
            </w:pPr>
            <w:r>
              <w:rPr>
                <w:rFonts w:ascii="Arial" w:cs="Arial" w:eastAsia="Arial" w:hAnsi="Arial"/>
                <w:sz w:val="11"/>
                <w:szCs w:val="11"/>
                <w:color w:val="auto"/>
              </w:rPr>
              <w:t>Inventories</w:t>
            </w:r>
          </w:p>
        </w:tc>
        <w:tc>
          <w:tcPr>
            <w:tcW w:w="60" w:type="dxa"/>
            <w:vAlign w:val="bottom"/>
            <w:shd w:val="clear" w:color="auto" w:fill="CCEEFF"/>
          </w:tcPr>
          <w:p>
            <w:pPr>
              <w:spacing w:after="0"/>
              <w:rPr>
                <w:sz w:val="9"/>
                <w:szCs w:val="9"/>
                <w:color w:val="auto"/>
              </w:rPr>
            </w:pPr>
          </w:p>
        </w:tc>
        <w:tc>
          <w:tcPr>
            <w:tcW w:w="360" w:type="dxa"/>
            <w:vAlign w:val="bottom"/>
            <w:gridSpan w:val="2"/>
            <w:shd w:val="clear" w:color="auto" w:fill="CCEEFF"/>
          </w:tcPr>
          <w:p>
            <w:pPr>
              <w:jc w:val="right"/>
              <w:ind w:right="20"/>
              <w:spacing w:after="0" w:line="111" w:lineRule="exact"/>
              <w:rPr>
                <w:sz w:val="20"/>
                <w:szCs w:val="20"/>
                <w:color w:val="auto"/>
              </w:rPr>
            </w:pPr>
            <w:r>
              <w:rPr>
                <w:rFonts w:ascii="Arial" w:cs="Arial" w:eastAsia="Arial" w:hAnsi="Arial"/>
                <w:sz w:val="11"/>
                <w:szCs w:val="11"/>
                <w:color w:val="auto"/>
              </w:rPr>
              <w:t>98.6</w:t>
            </w:r>
          </w:p>
        </w:tc>
        <w:tc>
          <w:tcPr>
            <w:tcW w:w="2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80"/>
              <w:spacing w:after="0" w:line="111" w:lineRule="exact"/>
              <w:rPr>
                <w:sz w:val="20"/>
                <w:szCs w:val="20"/>
                <w:color w:val="auto"/>
              </w:rPr>
            </w:pPr>
            <w:r>
              <w:rPr>
                <w:rFonts w:ascii="Arial" w:cs="Arial" w:eastAsia="Arial" w:hAnsi="Arial"/>
                <w:sz w:val="11"/>
                <w:szCs w:val="11"/>
                <w:color w:val="auto"/>
              </w:rPr>
              <w:t>93.5</w:t>
            </w:r>
          </w:p>
        </w:tc>
        <w:tc>
          <w:tcPr>
            <w:tcW w:w="0" w:type="dxa"/>
            <w:vAlign w:val="bottom"/>
          </w:tcPr>
          <w:p>
            <w:pPr>
              <w:spacing w:after="0"/>
              <w:rPr>
                <w:sz w:val="1"/>
                <w:szCs w:val="1"/>
                <w:color w:val="auto"/>
              </w:rPr>
            </w:pPr>
          </w:p>
        </w:tc>
      </w:tr>
      <w:tr>
        <w:trPr>
          <w:trHeight w:val="111"/>
        </w:trPr>
        <w:tc>
          <w:tcPr>
            <w:tcW w:w="8700" w:type="dxa"/>
            <w:vAlign w:val="bottom"/>
          </w:tcPr>
          <w:p>
            <w:pPr>
              <w:ind w:left="120"/>
              <w:spacing w:after="0" w:line="111" w:lineRule="exact"/>
              <w:rPr>
                <w:sz w:val="20"/>
                <w:szCs w:val="20"/>
                <w:color w:val="auto"/>
              </w:rPr>
            </w:pPr>
            <w:r>
              <w:rPr>
                <w:rFonts w:ascii="Arial" w:cs="Arial" w:eastAsia="Arial" w:hAnsi="Arial"/>
                <w:sz w:val="11"/>
                <w:szCs w:val="11"/>
                <w:color w:val="auto"/>
              </w:rPr>
              <w:t>Deferred income taxes</w:t>
            </w:r>
          </w:p>
        </w:tc>
        <w:tc>
          <w:tcPr>
            <w:tcW w:w="60" w:type="dxa"/>
            <w:vAlign w:val="bottom"/>
          </w:tcPr>
          <w:p>
            <w:pPr>
              <w:spacing w:after="0"/>
              <w:rPr>
                <w:sz w:val="9"/>
                <w:szCs w:val="9"/>
                <w:color w:val="auto"/>
              </w:rPr>
            </w:pPr>
          </w:p>
        </w:tc>
        <w:tc>
          <w:tcPr>
            <w:tcW w:w="640" w:type="dxa"/>
            <w:vAlign w:val="bottom"/>
            <w:gridSpan w:val="3"/>
          </w:tcPr>
          <w:p>
            <w:pPr>
              <w:jc w:val="right"/>
              <w:ind w:right="300"/>
              <w:spacing w:after="0" w:line="111"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520" w:type="dxa"/>
            <w:vAlign w:val="bottom"/>
            <w:gridSpan w:val="2"/>
          </w:tcPr>
          <w:p>
            <w:pPr>
              <w:jc w:val="right"/>
              <w:ind w:right="80"/>
              <w:spacing w:after="0" w:line="111" w:lineRule="exact"/>
              <w:rPr>
                <w:sz w:val="20"/>
                <w:szCs w:val="20"/>
                <w:color w:val="auto"/>
              </w:rPr>
            </w:pPr>
            <w:r>
              <w:rPr>
                <w:rFonts w:ascii="Arial" w:cs="Arial" w:eastAsia="Arial" w:hAnsi="Arial"/>
                <w:sz w:val="11"/>
                <w:szCs w:val="11"/>
                <w:color w:val="auto"/>
              </w:rPr>
              <w:t>12.6</w:t>
            </w:r>
          </w:p>
        </w:tc>
        <w:tc>
          <w:tcPr>
            <w:tcW w:w="0" w:type="dxa"/>
            <w:vAlign w:val="bottom"/>
          </w:tcPr>
          <w:p>
            <w:pPr>
              <w:spacing w:after="0"/>
              <w:rPr>
                <w:sz w:val="1"/>
                <w:szCs w:val="1"/>
                <w:color w:val="auto"/>
              </w:rPr>
            </w:pPr>
          </w:p>
        </w:tc>
      </w:tr>
      <w:tr>
        <w:trPr>
          <w:trHeight w:val="111"/>
        </w:trPr>
        <w:tc>
          <w:tcPr>
            <w:tcW w:w="8700" w:type="dxa"/>
            <w:vAlign w:val="bottom"/>
            <w:shd w:val="clear" w:color="auto" w:fill="CCEEFF"/>
          </w:tcPr>
          <w:p>
            <w:pPr>
              <w:ind w:left="120"/>
              <w:spacing w:after="0" w:line="111" w:lineRule="exact"/>
              <w:rPr>
                <w:sz w:val="20"/>
                <w:szCs w:val="20"/>
                <w:color w:val="auto"/>
              </w:rPr>
            </w:pPr>
            <w:r>
              <w:rPr>
                <w:rFonts w:ascii="Arial" w:cs="Arial" w:eastAsia="Arial" w:hAnsi="Arial"/>
                <w:sz w:val="11"/>
                <w:szCs w:val="11"/>
                <w:color w:val="auto"/>
              </w:rPr>
              <w:t>Due from Harris Corporation</w:t>
            </w:r>
          </w:p>
        </w:tc>
        <w:tc>
          <w:tcPr>
            <w:tcW w:w="60" w:type="dxa"/>
            <w:vAlign w:val="bottom"/>
            <w:shd w:val="clear" w:color="auto" w:fill="CCEEFF"/>
          </w:tcPr>
          <w:p>
            <w:pPr>
              <w:spacing w:after="0"/>
              <w:rPr>
                <w:sz w:val="9"/>
                <w:szCs w:val="9"/>
                <w:color w:val="auto"/>
              </w:rPr>
            </w:pPr>
          </w:p>
        </w:tc>
        <w:tc>
          <w:tcPr>
            <w:tcW w:w="360" w:type="dxa"/>
            <w:vAlign w:val="bottom"/>
            <w:gridSpan w:val="2"/>
            <w:shd w:val="clear" w:color="auto" w:fill="CCEEFF"/>
          </w:tcPr>
          <w:p>
            <w:pPr>
              <w:jc w:val="right"/>
              <w:ind w:right="20"/>
              <w:spacing w:after="0" w:line="111" w:lineRule="exact"/>
              <w:rPr>
                <w:sz w:val="20"/>
                <w:szCs w:val="20"/>
                <w:color w:val="auto"/>
              </w:rPr>
            </w:pPr>
            <w:r>
              <w:rPr>
                <w:rFonts w:ascii="Arial" w:cs="Arial" w:eastAsia="Arial" w:hAnsi="Arial"/>
                <w:sz w:val="11"/>
                <w:szCs w:val="11"/>
                <w:color w:val="auto"/>
              </w:rPr>
              <w:t>3.0</w:t>
            </w:r>
          </w:p>
        </w:tc>
        <w:tc>
          <w:tcPr>
            <w:tcW w:w="2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80"/>
              <w:spacing w:after="0" w:line="111"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1"/>
        </w:trPr>
        <w:tc>
          <w:tcPr>
            <w:tcW w:w="8700" w:type="dxa"/>
            <w:vAlign w:val="bottom"/>
          </w:tcPr>
          <w:p>
            <w:pPr>
              <w:ind w:left="120"/>
              <w:spacing w:after="0" w:line="111" w:lineRule="exact"/>
              <w:rPr>
                <w:sz w:val="20"/>
                <w:szCs w:val="20"/>
                <w:color w:val="auto"/>
              </w:rPr>
            </w:pPr>
            <w:r>
              <w:rPr>
                <w:rFonts w:ascii="Arial" w:cs="Arial" w:eastAsia="Arial" w:hAnsi="Arial"/>
                <w:sz w:val="11"/>
                <w:szCs w:val="11"/>
                <w:color w:val="auto"/>
              </w:rPr>
              <w:t>Other current assets</w:t>
            </w:r>
          </w:p>
        </w:tc>
        <w:tc>
          <w:tcPr>
            <w:tcW w:w="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jc w:val="right"/>
              <w:spacing w:after="0" w:line="111" w:lineRule="exact"/>
              <w:rPr>
                <w:sz w:val="20"/>
                <w:szCs w:val="20"/>
                <w:color w:val="auto"/>
              </w:rPr>
            </w:pPr>
            <w:r>
              <w:rPr>
                <w:rFonts w:ascii="Arial" w:cs="Arial" w:eastAsia="Arial" w:hAnsi="Arial"/>
                <w:sz w:val="11"/>
                <w:szCs w:val="11"/>
                <w:color w:val="auto"/>
              </w:rPr>
              <w:t>26.7</w:t>
            </w: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jc w:val="right"/>
              <w:spacing w:after="0" w:line="111" w:lineRule="exact"/>
              <w:rPr>
                <w:sz w:val="20"/>
                <w:szCs w:val="20"/>
                <w:color w:val="auto"/>
              </w:rPr>
            </w:pPr>
            <w:r>
              <w:rPr>
                <w:rFonts w:ascii="Arial" w:cs="Arial" w:eastAsia="Arial" w:hAnsi="Arial"/>
                <w:sz w:val="11"/>
                <w:szCs w:val="11"/>
                <w:color w:val="auto"/>
              </w:rPr>
              <w:t>19.1</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8700" w:type="dxa"/>
            <w:vAlign w:val="bottom"/>
            <w:shd w:val="clear" w:color="auto" w:fill="CCEEFF"/>
          </w:tcPr>
          <w:p>
            <w:pPr>
              <w:ind w:left="120"/>
              <w:spacing w:after="0" w:line="111" w:lineRule="exact"/>
              <w:rPr>
                <w:sz w:val="20"/>
                <w:szCs w:val="20"/>
                <w:color w:val="auto"/>
              </w:rPr>
            </w:pPr>
            <w:r>
              <w:rPr>
                <w:rFonts w:ascii="Arial" w:cs="Arial" w:eastAsia="Arial" w:hAnsi="Arial"/>
                <w:sz w:val="11"/>
                <w:szCs w:val="11"/>
                <w:color w:val="auto"/>
              </w:rPr>
              <w:t>Total current assets</w:t>
            </w:r>
          </w:p>
        </w:tc>
        <w:tc>
          <w:tcPr>
            <w:tcW w:w="60" w:type="dxa"/>
            <w:vAlign w:val="bottom"/>
            <w:shd w:val="clear" w:color="auto" w:fill="CCEEFF"/>
          </w:tcPr>
          <w:p>
            <w:pPr>
              <w:spacing w:after="0"/>
              <w:rPr>
                <w:sz w:val="9"/>
                <w:szCs w:val="9"/>
                <w:color w:val="auto"/>
              </w:rPr>
            </w:pPr>
          </w:p>
        </w:tc>
        <w:tc>
          <w:tcPr>
            <w:tcW w:w="360" w:type="dxa"/>
            <w:vAlign w:val="bottom"/>
            <w:gridSpan w:val="2"/>
            <w:shd w:val="clear" w:color="auto" w:fill="CCEEFF"/>
          </w:tcPr>
          <w:p>
            <w:pPr>
              <w:jc w:val="right"/>
              <w:ind w:right="20"/>
              <w:spacing w:after="0" w:line="111" w:lineRule="exact"/>
              <w:rPr>
                <w:sz w:val="20"/>
                <w:szCs w:val="20"/>
                <w:color w:val="auto"/>
              </w:rPr>
            </w:pPr>
            <w:r>
              <w:rPr>
                <w:rFonts w:ascii="Arial" w:cs="Arial" w:eastAsia="Arial" w:hAnsi="Arial"/>
                <w:sz w:val="11"/>
                <w:szCs w:val="11"/>
                <w:color w:val="auto"/>
              </w:rPr>
              <w:t>436.1</w:t>
            </w:r>
          </w:p>
        </w:tc>
        <w:tc>
          <w:tcPr>
            <w:tcW w:w="2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80"/>
              <w:spacing w:after="0" w:line="111" w:lineRule="exact"/>
              <w:rPr>
                <w:sz w:val="20"/>
                <w:szCs w:val="20"/>
                <w:color w:val="auto"/>
              </w:rPr>
            </w:pPr>
            <w:r>
              <w:rPr>
                <w:rFonts w:ascii="Arial" w:cs="Arial" w:eastAsia="Arial" w:hAnsi="Arial"/>
                <w:sz w:val="11"/>
                <w:szCs w:val="11"/>
                <w:color w:val="auto"/>
              </w:rPr>
              <w:t>460.1</w:t>
            </w:r>
          </w:p>
        </w:tc>
        <w:tc>
          <w:tcPr>
            <w:tcW w:w="0" w:type="dxa"/>
            <w:vAlign w:val="bottom"/>
          </w:tcPr>
          <w:p>
            <w:pPr>
              <w:spacing w:after="0"/>
              <w:rPr>
                <w:sz w:val="1"/>
                <w:szCs w:val="1"/>
                <w:color w:val="auto"/>
              </w:rPr>
            </w:pPr>
          </w:p>
        </w:tc>
      </w:tr>
      <w:tr>
        <w:trPr>
          <w:trHeight w:val="111"/>
        </w:trPr>
        <w:tc>
          <w:tcPr>
            <w:tcW w:w="8700" w:type="dxa"/>
            <w:vAlign w:val="bottom"/>
          </w:tcPr>
          <w:p>
            <w:pPr>
              <w:spacing w:after="0" w:line="111" w:lineRule="exact"/>
              <w:rPr>
                <w:sz w:val="20"/>
                <w:szCs w:val="20"/>
                <w:color w:val="auto"/>
              </w:rPr>
            </w:pPr>
            <w:r>
              <w:rPr>
                <w:rFonts w:ascii="Arial" w:cs="Arial" w:eastAsia="Arial" w:hAnsi="Arial"/>
                <w:sz w:val="11"/>
                <w:szCs w:val="11"/>
                <w:i w:val="1"/>
                <w:iCs w:val="1"/>
                <w:color w:val="auto"/>
              </w:rPr>
              <w:t>Long-Term Assets</w:t>
            </w: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8700" w:type="dxa"/>
            <w:vAlign w:val="bottom"/>
            <w:shd w:val="clear" w:color="auto" w:fill="CCEEFF"/>
          </w:tcPr>
          <w:p>
            <w:pPr>
              <w:ind w:left="120"/>
              <w:spacing w:after="0" w:line="111" w:lineRule="exact"/>
              <w:rPr>
                <w:sz w:val="20"/>
                <w:szCs w:val="20"/>
                <w:color w:val="auto"/>
              </w:rPr>
            </w:pPr>
            <w:r>
              <w:rPr>
                <w:rFonts w:ascii="Arial" w:cs="Arial" w:eastAsia="Arial" w:hAnsi="Arial"/>
                <w:sz w:val="11"/>
                <w:szCs w:val="11"/>
                <w:color w:val="auto"/>
              </w:rPr>
              <w:t>Property, plant and equipment</w:t>
            </w:r>
          </w:p>
        </w:tc>
        <w:tc>
          <w:tcPr>
            <w:tcW w:w="60" w:type="dxa"/>
            <w:vAlign w:val="bottom"/>
            <w:shd w:val="clear" w:color="auto" w:fill="CCEEFF"/>
          </w:tcPr>
          <w:p>
            <w:pPr>
              <w:spacing w:after="0"/>
              <w:rPr>
                <w:sz w:val="9"/>
                <w:szCs w:val="9"/>
                <w:color w:val="auto"/>
              </w:rPr>
            </w:pPr>
          </w:p>
        </w:tc>
        <w:tc>
          <w:tcPr>
            <w:tcW w:w="360" w:type="dxa"/>
            <w:vAlign w:val="bottom"/>
            <w:gridSpan w:val="2"/>
            <w:shd w:val="clear" w:color="auto" w:fill="CCEEFF"/>
          </w:tcPr>
          <w:p>
            <w:pPr>
              <w:jc w:val="right"/>
              <w:ind w:right="20"/>
              <w:spacing w:after="0" w:line="111" w:lineRule="exact"/>
              <w:rPr>
                <w:sz w:val="20"/>
                <w:szCs w:val="20"/>
                <w:color w:val="auto"/>
              </w:rPr>
            </w:pPr>
            <w:r>
              <w:rPr>
                <w:rFonts w:ascii="Arial" w:cs="Arial" w:eastAsia="Arial" w:hAnsi="Arial"/>
                <w:sz w:val="11"/>
                <w:szCs w:val="11"/>
                <w:color w:val="auto"/>
              </w:rPr>
              <w:t>57.4</w:t>
            </w:r>
          </w:p>
        </w:tc>
        <w:tc>
          <w:tcPr>
            <w:tcW w:w="2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80"/>
              <w:spacing w:after="0" w:line="111" w:lineRule="exact"/>
              <w:rPr>
                <w:sz w:val="20"/>
                <w:szCs w:val="20"/>
                <w:color w:val="auto"/>
              </w:rPr>
            </w:pPr>
            <w:r>
              <w:rPr>
                <w:rFonts w:ascii="Arial" w:cs="Arial" w:eastAsia="Arial" w:hAnsi="Arial"/>
                <w:sz w:val="11"/>
                <w:szCs w:val="11"/>
                <w:color w:val="auto"/>
              </w:rPr>
              <w:t>75.6</w:t>
            </w:r>
          </w:p>
        </w:tc>
        <w:tc>
          <w:tcPr>
            <w:tcW w:w="0" w:type="dxa"/>
            <w:vAlign w:val="bottom"/>
          </w:tcPr>
          <w:p>
            <w:pPr>
              <w:spacing w:after="0"/>
              <w:rPr>
                <w:sz w:val="1"/>
                <w:szCs w:val="1"/>
                <w:color w:val="auto"/>
              </w:rPr>
            </w:pPr>
          </w:p>
        </w:tc>
      </w:tr>
      <w:tr>
        <w:trPr>
          <w:trHeight w:val="111"/>
        </w:trPr>
        <w:tc>
          <w:tcPr>
            <w:tcW w:w="8700" w:type="dxa"/>
            <w:vAlign w:val="bottom"/>
          </w:tcPr>
          <w:p>
            <w:pPr>
              <w:ind w:left="120"/>
              <w:spacing w:after="0" w:line="111" w:lineRule="exact"/>
              <w:rPr>
                <w:sz w:val="20"/>
                <w:szCs w:val="20"/>
                <w:color w:val="auto"/>
              </w:rPr>
            </w:pPr>
            <w:r>
              <w:rPr>
                <w:rFonts w:ascii="Arial" w:cs="Arial" w:eastAsia="Arial" w:hAnsi="Arial"/>
                <w:sz w:val="11"/>
                <w:szCs w:val="11"/>
                <w:color w:val="auto"/>
              </w:rPr>
              <w:t>Goodwill</w:t>
            </w:r>
          </w:p>
        </w:tc>
        <w:tc>
          <w:tcPr>
            <w:tcW w:w="60" w:type="dxa"/>
            <w:vAlign w:val="bottom"/>
          </w:tcPr>
          <w:p>
            <w:pPr>
              <w:spacing w:after="0"/>
              <w:rPr>
                <w:sz w:val="9"/>
                <w:szCs w:val="9"/>
                <w:color w:val="auto"/>
              </w:rPr>
            </w:pPr>
          </w:p>
        </w:tc>
        <w:tc>
          <w:tcPr>
            <w:tcW w:w="360" w:type="dxa"/>
            <w:vAlign w:val="bottom"/>
            <w:gridSpan w:val="2"/>
          </w:tcPr>
          <w:p>
            <w:pPr>
              <w:jc w:val="right"/>
              <w:ind w:right="20"/>
              <w:spacing w:after="0" w:line="111" w:lineRule="exact"/>
              <w:rPr>
                <w:sz w:val="20"/>
                <w:szCs w:val="20"/>
                <w:color w:val="auto"/>
              </w:rPr>
            </w:pPr>
            <w:r>
              <w:rPr>
                <w:rFonts w:ascii="Arial" w:cs="Arial" w:eastAsia="Arial" w:hAnsi="Arial"/>
                <w:sz w:val="11"/>
                <w:szCs w:val="11"/>
                <w:color w:val="auto"/>
              </w:rPr>
              <w:t>3.2</w:t>
            </w: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gridSpan w:val="2"/>
          </w:tcPr>
          <w:p>
            <w:pPr>
              <w:jc w:val="right"/>
              <w:ind w:right="80"/>
              <w:spacing w:after="0" w:line="111" w:lineRule="exact"/>
              <w:rPr>
                <w:sz w:val="20"/>
                <w:szCs w:val="20"/>
                <w:color w:val="auto"/>
              </w:rPr>
            </w:pPr>
            <w:r>
              <w:rPr>
                <w:rFonts w:ascii="Arial" w:cs="Arial" w:eastAsia="Arial" w:hAnsi="Arial"/>
                <w:sz w:val="11"/>
                <w:szCs w:val="11"/>
                <w:color w:val="auto"/>
              </w:rPr>
              <w:t>284.2</w:t>
            </w:r>
          </w:p>
        </w:tc>
        <w:tc>
          <w:tcPr>
            <w:tcW w:w="0" w:type="dxa"/>
            <w:vAlign w:val="bottom"/>
          </w:tcPr>
          <w:p>
            <w:pPr>
              <w:spacing w:after="0"/>
              <w:rPr>
                <w:sz w:val="1"/>
                <w:szCs w:val="1"/>
                <w:color w:val="auto"/>
              </w:rPr>
            </w:pPr>
          </w:p>
        </w:tc>
      </w:tr>
      <w:tr>
        <w:trPr>
          <w:trHeight w:val="111"/>
        </w:trPr>
        <w:tc>
          <w:tcPr>
            <w:tcW w:w="8700" w:type="dxa"/>
            <w:vAlign w:val="bottom"/>
            <w:shd w:val="clear" w:color="auto" w:fill="CCEEFF"/>
          </w:tcPr>
          <w:p>
            <w:pPr>
              <w:ind w:left="120"/>
              <w:spacing w:after="0" w:line="111" w:lineRule="exact"/>
              <w:rPr>
                <w:sz w:val="20"/>
                <w:szCs w:val="20"/>
                <w:color w:val="auto"/>
              </w:rPr>
            </w:pPr>
            <w:r>
              <w:rPr>
                <w:rFonts w:ascii="Arial" w:cs="Arial" w:eastAsia="Arial" w:hAnsi="Arial"/>
                <w:sz w:val="11"/>
                <w:szCs w:val="11"/>
                <w:color w:val="auto"/>
              </w:rPr>
              <w:t>Identifiable intangible assets</w:t>
            </w:r>
          </w:p>
        </w:tc>
        <w:tc>
          <w:tcPr>
            <w:tcW w:w="60" w:type="dxa"/>
            <w:vAlign w:val="bottom"/>
            <w:shd w:val="clear" w:color="auto" w:fill="CCEEFF"/>
          </w:tcPr>
          <w:p>
            <w:pPr>
              <w:spacing w:after="0"/>
              <w:rPr>
                <w:sz w:val="9"/>
                <w:szCs w:val="9"/>
                <w:color w:val="auto"/>
              </w:rPr>
            </w:pPr>
          </w:p>
        </w:tc>
        <w:tc>
          <w:tcPr>
            <w:tcW w:w="360" w:type="dxa"/>
            <w:vAlign w:val="bottom"/>
            <w:gridSpan w:val="2"/>
            <w:shd w:val="clear" w:color="auto" w:fill="CCEEFF"/>
          </w:tcPr>
          <w:p>
            <w:pPr>
              <w:jc w:val="right"/>
              <w:ind w:right="20"/>
              <w:spacing w:after="0" w:line="111" w:lineRule="exact"/>
              <w:rPr>
                <w:sz w:val="20"/>
                <w:szCs w:val="20"/>
                <w:color w:val="auto"/>
              </w:rPr>
            </w:pPr>
            <w:r>
              <w:rPr>
                <w:rFonts w:ascii="Arial" w:cs="Arial" w:eastAsia="Arial" w:hAnsi="Arial"/>
                <w:sz w:val="11"/>
                <w:szCs w:val="11"/>
                <w:color w:val="auto"/>
              </w:rPr>
              <w:t>84.1</w:t>
            </w:r>
          </w:p>
        </w:tc>
        <w:tc>
          <w:tcPr>
            <w:tcW w:w="2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80"/>
              <w:spacing w:after="0" w:line="111" w:lineRule="exact"/>
              <w:rPr>
                <w:sz w:val="20"/>
                <w:szCs w:val="20"/>
                <w:color w:val="auto"/>
              </w:rPr>
            </w:pPr>
            <w:r>
              <w:rPr>
                <w:rFonts w:ascii="Arial" w:cs="Arial" w:eastAsia="Arial" w:hAnsi="Arial"/>
                <w:sz w:val="11"/>
                <w:szCs w:val="11"/>
                <w:color w:val="auto"/>
              </w:rPr>
              <w:t>130.1</w:t>
            </w:r>
          </w:p>
        </w:tc>
        <w:tc>
          <w:tcPr>
            <w:tcW w:w="0" w:type="dxa"/>
            <w:vAlign w:val="bottom"/>
          </w:tcPr>
          <w:p>
            <w:pPr>
              <w:spacing w:after="0"/>
              <w:rPr>
                <w:sz w:val="1"/>
                <w:szCs w:val="1"/>
                <w:color w:val="auto"/>
              </w:rPr>
            </w:pPr>
          </w:p>
        </w:tc>
      </w:tr>
      <w:tr>
        <w:trPr>
          <w:trHeight w:val="111"/>
        </w:trPr>
        <w:tc>
          <w:tcPr>
            <w:tcW w:w="8700" w:type="dxa"/>
            <w:vAlign w:val="bottom"/>
          </w:tcPr>
          <w:p>
            <w:pPr>
              <w:ind w:left="120"/>
              <w:spacing w:after="0" w:line="111" w:lineRule="exact"/>
              <w:rPr>
                <w:sz w:val="20"/>
                <w:szCs w:val="20"/>
                <w:color w:val="auto"/>
              </w:rPr>
            </w:pPr>
            <w:r>
              <w:rPr>
                <w:rFonts w:ascii="Arial" w:cs="Arial" w:eastAsia="Arial" w:hAnsi="Arial"/>
                <w:sz w:val="11"/>
                <w:szCs w:val="11"/>
                <w:color w:val="auto"/>
              </w:rPr>
              <w:t>Capitalized software</w:t>
            </w:r>
          </w:p>
        </w:tc>
        <w:tc>
          <w:tcPr>
            <w:tcW w:w="60" w:type="dxa"/>
            <w:vAlign w:val="bottom"/>
          </w:tcPr>
          <w:p>
            <w:pPr>
              <w:spacing w:after="0"/>
              <w:rPr>
                <w:sz w:val="9"/>
                <w:szCs w:val="9"/>
                <w:color w:val="auto"/>
              </w:rPr>
            </w:pPr>
          </w:p>
        </w:tc>
        <w:tc>
          <w:tcPr>
            <w:tcW w:w="360" w:type="dxa"/>
            <w:vAlign w:val="bottom"/>
            <w:gridSpan w:val="2"/>
          </w:tcPr>
          <w:p>
            <w:pPr>
              <w:jc w:val="right"/>
              <w:ind w:right="20"/>
              <w:spacing w:after="0" w:line="111" w:lineRule="exact"/>
              <w:rPr>
                <w:sz w:val="20"/>
                <w:szCs w:val="20"/>
                <w:color w:val="auto"/>
              </w:rPr>
            </w:pPr>
            <w:r>
              <w:rPr>
                <w:rFonts w:ascii="Arial" w:cs="Arial" w:eastAsia="Arial" w:hAnsi="Arial"/>
                <w:sz w:val="11"/>
                <w:szCs w:val="11"/>
                <w:color w:val="auto"/>
              </w:rPr>
              <w:t>9.3</w:t>
            </w: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gridSpan w:val="2"/>
          </w:tcPr>
          <w:p>
            <w:pPr>
              <w:jc w:val="right"/>
              <w:ind w:right="80"/>
              <w:spacing w:after="0" w:line="111" w:lineRule="exact"/>
              <w:rPr>
                <w:sz w:val="20"/>
                <w:szCs w:val="20"/>
                <w:color w:val="auto"/>
              </w:rPr>
            </w:pPr>
            <w:r>
              <w:rPr>
                <w:rFonts w:ascii="Arial" w:cs="Arial" w:eastAsia="Arial" w:hAnsi="Arial"/>
                <w:sz w:val="11"/>
                <w:szCs w:val="11"/>
                <w:color w:val="auto"/>
              </w:rPr>
              <w:t>9.5</w:t>
            </w:r>
          </w:p>
        </w:tc>
        <w:tc>
          <w:tcPr>
            <w:tcW w:w="0" w:type="dxa"/>
            <w:vAlign w:val="bottom"/>
          </w:tcPr>
          <w:p>
            <w:pPr>
              <w:spacing w:after="0"/>
              <w:rPr>
                <w:sz w:val="1"/>
                <w:szCs w:val="1"/>
                <w:color w:val="auto"/>
              </w:rPr>
            </w:pPr>
          </w:p>
        </w:tc>
      </w:tr>
      <w:tr>
        <w:trPr>
          <w:trHeight w:val="111"/>
        </w:trPr>
        <w:tc>
          <w:tcPr>
            <w:tcW w:w="8700" w:type="dxa"/>
            <w:vAlign w:val="bottom"/>
            <w:shd w:val="clear" w:color="auto" w:fill="CCEEFF"/>
          </w:tcPr>
          <w:p>
            <w:pPr>
              <w:ind w:left="120"/>
              <w:spacing w:after="0" w:line="111" w:lineRule="exact"/>
              <w:rPr>
                <w:sz w:val="20"/>
                <w:szCs w:val="20"/>
                <w:color w:val="auto"/>
              </w:rPr>
            </w:pPr>
            <w:r>
              <w:rPr>
                <w:rFonts w:ascii="Arial" w:cs="Arial" w:eastAsia="Arial" w:hAnsi="Arial"/>
                <w:sz w:val="11"/>
                <w:szCs w:val="11"/>
                <w:color w:val="auto"/>
              </w:rPr>
              <w:t>Non-current portion of notes receivable</w:t>
            </w:r>
          </w:p>
        </w:tc>
        <w:tc>
          <w:tcPr>
            <w:tcW w:w="60" w:type="dxa"/>
            <w:vAlign w:val="bottom"/>
            <w:shd w:val="clear" w:color="auto" w:fill="CCEEFF"/>
          </w:tcPr>
          <w:p>
            <w:pPr>
              <w:spacing w:after="0"/>
              <w:rPr>
                <w:sz w:val="9"/>
                <w:szCs w:val="9"/>
                <w:color w:val="auto"/>
              </w:rPr>
            </w:pPr>
          </w:p>
        </w:tc>
        <w:tc>
          <w:tcPr>
            <w:tcW w:w="360" w:type="dxa"/>
            <w:vAlign w:val="bottom"/>
            <w:gridSpan w:val="2"/>
            <w:shd w:val="clear" w:color="auto" w:fill="CCEEFF"/>
          </w:tcPr>
          <w:p>
            <w:pPr>
              <w:jc w:val="right"/>
              <w:ind w:right="20"/>
              <w:spacing w:after="0" w:line="111" w:lineRule="exact"/>
              <w:rPr>
                <w:sz w:val="20"/>
                <w:szCs w:val="20"/>
                <w:color w:val="auto"/>
              </w:rPr>
            </w:pPr>
            <w:r>
              <w:rPr>
                <w:rFonts w:ascii="Arial" w:cs="Arial" w:eastAsia="Arial" w:hAnsi="Arial"/>
                <w:sz w:val="11"/>
                <w:szCs w:val="11"/>
                <w:color w:val="auto"/>
              </w:rPr>
              <w:t>0.4</w:t>
            </w:r>
          </w:p>
        </w:tc>
        <w:tc>
          <w:tcPr>
            <w:tcW w:w="2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80"/>
              <w:spacing w:after="0" w:line="111" w:lineRule="exact"/>
              <w:rPr>
                <w:sz w:val="20"/>
                <w:szCs w:val="20"/>
                <w:color w:val="auto"/>
              </w:rPr>
            </w:pPr>
            <w:r>
              <w:rPr>
                <w:rFonts w:ascii="Arial" w:cs="Arial" w:eastAsia="Arial" w:hAnsi="Arial"/>
                <w:sz w:val="11"/>
                <w:szCs w:val="11"/>
                <w:color w:val="auto"/>
              </w:rPr>
              <w:t>2.5</w:t>
            </w:r>
          </w:p>
        </w:tc>
        <w:tc>
          <w:tcPr>
            <w:tcW w:w="0" w:type="dxa"/>
            <w:vAlign w:val="bottom"/>
          </w:tcPr>
          <w:p>
            <w:pPr>
              <w:spacing w:after="0"/>
              <w:rPr>
                <w:sz w:val="1"/>
                <w:szCs w:val="1"/>
                <w:color w:val="auto"/>
              </w:rPr>
            </w:pPr>
          </w:p>
        </w:tc>
      </w:tr>
      <w:tr>
        <w:trPr>
          <w:trHeight w:val="111"/>
        </w:trPr>
        <w:tc>
          <w:tcPr>
            <w:tcW w:w="8700" w:type="dxa"/>
            <w:vAlign w:val="bottom"/>
          </w:tcPr>
          <w:p>
            <w:pPr>
              <w:ind w:left="120"/>
              <w:spacing w:after="0" w:line="111" w:lineRule="exact"/>
              <w:rPr>
                <w:sz w:val="20"/>
                <w:szCs w:val="20"/>
                <w:color w:val="auto"/>
              </w:rPr>
            </w:pPr>
            <w:r>
              <w:rPr>
                <w:rFonts w:ascii="Arial" w:cs="Arial" w:eastAsia="Arial" w:hAnsi="Arial"/>
                <w:sz w:val="11"/>
                <w:szCs w:val="11"/>
                <w:color w:val="auto"/>
              </w:rPr>
              <w:t>Non-current deferred income taxes</w:t>
            </w:r>
          </w:p>
        </w:tc>
        <w:tc>
          <w:tcPr>
            <w:tcW w:w="60" w:type="dxa"/>
            <w:vAlign w:val="bottom"/>
          </w:tcPr>
          <w:p>
            <w:pPr>
              <w:spacing w:after="0"/>
              <w:rPr>
                <w:sz w:val="9"/>
                <w:szCs w:val="9"/>
                <w:color w:val="auto"/>
              </w:rPr>
            </w:pPr>
          </w:p>
        </w:tc>
        <w:tc>
          <w:tcPr>
            <w:tcW w:w="360" w:type="dxa"/>
            <w:vAlign w:val="bottom"/>
            <w:gridSpan w:val="2"/>
          </w:tcPr>
          <w:p>
            <w:pPr>
              <w:jc w:val="right"/>
              <w:ind w:right="20"/>
              <w:spacing w:after="0" w:line="111" w:lineRule="exact"/>
              <w:rPr>
                <w:sz w:val="20"/>
                <w:szCs w:val="20"/>
                <w:color w:val="auto"/>
              </w:rPr>
            </w:pPr>
            <w:r>
              <w:rPr>
                <w:rFonts w:ascii="Arial" w:cs="Arial" w:eastAsia="Arial" w:hAnsi="Arial"/>
                <w:sz w:val="11"/>
                <w:szCs w:val="11"/>
                <w:color w:val="auto"/>
              </w:rPr>
              <w:t>8.0</w:t>
            </w: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gridSpan w:val="2"/>
          </w:tcPr>
          <w:p>
            <w:pPr>
              <w:jc w:val="right"/>
              <w:ind w:right="80"/>
              <w:spacing w:after="0" w:line="111" w:lineRule="exact"/>
              <w:rPr>
                <w:sz w:val="20"/>
                <w:szCs w:val="20"/>
                <w:color w:val="auto"/>
              </w:rPr>
            </w:pPr>
            <w:r>
              <w:rPr>
                <w:rFonts w:ascii="Arial" w:cs="Arial" w:eastAsia="Arial" w:hAnsi="Arial"/>
                <w:sz w:val="11"/>
                <w:szCs w:val="11"/>
                <w:color w:val="auto"/>
              </w:rPr>
              <w:t>13.7</w:t>
            </w:r>
          </w:p>
        </w:tc>
        <w:tc>
          <w:tcPr>
            <w:tcW w:w="0" w:type="dxa"/>
            <w:vAlign w:val="bottom"/>
          </w:tcPr>
          <w:p>
            <w:pPr>
              <w:spacing w:after="0"/>
              <w:rPr>
                <w:sz w:val="1"/>
                <w:szCs w:val="1"/>
                <w:color w:val="auto"/>
              </w:rPr>
            </w:pPr>
          </w:p>
        </w:tc>
      </w:tr>
      <w:tr>
        <w:trPr>
          <w:trHeight w:val="111"/>
        </w:trPr>
        <w:tc>
          <w:tcPr>
            <w:tcW w:w="8700" w:type="dxa"/>
            <w:vAlign w:val="bottom"/>
            <w:shd w:val="clear" w:color="auto" w:fill="CCEEFF"/>
          </w:tcPr>
          <w:p>
            <w:pPr>
              <w:ind w:left="120"/>
              <w:spacing w:after="0" w:line="111" w:lineRule="exact"/>
              <w:rPr>
                <w:sz w:val="20"/>
                <w:szCs w:val="20"/>
                <w:color w:val="auto"/>
              </w:rPr>
            </w:pPr>
            <w:r>
              <w:rPr>
                <w:rFonts w:ascii="Arial" w:cs="Arial" w:eastAsia="Arial" w:hAnsi="Arial"/>
                <w:sz w:val="11"/>
                <w:szCs w:val="11"/>
                <w:color w:val="auto"/>
              </w:rPr>
              <w:t>Other assets</w:t>
            </w:r>
          </w:p>
        </w:tc>
        <w:tc>
          <w:tcPr>
            <w:tcW w:w="60" w:type="dxa"/>
            <w:vAlign w:val="bottom"/>
            <w:shd w:val="clear" w:color="auto" w:fill="CCEEFF"/>
          </w:tcPr>
          <w:p>
            <w:pPr>
              <w:spacing w:after="0"/>
              <w:rPr>
                <w:sz w:val="9"/>
                <w:szCs w:val="9"/>
                <w:color w:val="auto"/>
              </w:rPr>
            </w:pPr>
          </w:p>
        </w:tc>
        <w:tc>
          <w:tcPr>
            <w:tcW w:w="360" w:type="dxa"/>
            <w:vAlign w:val="bottom"/>
            <w:gridSpan w:val="2"/>
            <w:shd w:val="clear" w:color="auto" w:fill="CCEEFF"/>
          </w:tcPr>
          <w:p>
            <w:pPr>
              <w:jc w:val="right"/>
              <w:ind w:right="20"/>
              <w:spacing w:after="0" w:line="111" w:lineRule="exact"/>
              <w:rPr>
                <w:sz w:val="20"/>
                <w:szCs w:val="20"/>
                <w:color w:val="auto"/>
              </w:rPr>
            </w:pPr>
            <w:r>
              <w:rPr>
                <w:rFonts w:ascii="Arial" w:cs="Arial" w:eastAsia="Arial" w:hAnsi="Arial"/>
                <w:sz w:val="11"/>
                <w:szCs w:val="11"/>
                <w:color w:val="auto"/>
              </w:rPr>
              <w:t>1.7</w:t>
            </w:r>
          </w:p>
        </w:tc>
        <w:tc>
          <w:tcPr>
            <w:tcW w:w="2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80"/>
              <w:spacing w:after="0" w:line="111" w:lineRule="exact"/>
              <w:rPr>
                <w:sz w:val="20"/>
                <w:szCs w:val="20"/>
                <w:color w:val="auto"/>
              </w:rPr>
            </w:pPr>
            <w:r>
              <w:rPr>
                <w:rFonts w:ascii="Arial" w:cs="Arial" w:eastAsia="Arial" w:hAnsi="Arial"/>
                <w:sz w:val="11"/>
                <w:szCs w:val="11"/>
                <w:color w:val="auto"/>
              </w:rPr>
              <w:t>1.6</w:t>
            </w:r>
          </w:p>
        </w:tc>
        <w:tc>
          <w:tcPr>
            <w:tcW w:w="0" w:type="dxa"/>
            <w:vAlign w:val="bottom"/>
          </w:tcPr>
          <w:p>
            <w:pPr>
              <w:spacing w:after="0"/>
              <w:rPr>
                <w:sz w:val="1"/>
                <w:szCs w:val="1"/>
                <w:color w:val="auto"/>
              </w:rPr>
            </w:pPr>
          </w:p>
        </w:tc>
      </w:tr>
      <w:tr>
        <w:trPr>
          <w:trHeight w:val="111"/>
        </w:trPr>
        <w:tc>
          <w:tcPr>
            <w:tcW w:w="8700" w:type="dxa"/>
            <w:vAlign w:val="bottom"/>
          </w:tcPr>
          <w:p>
            <w:pPr>
              <w:ind w:left="120"/>
              <w:spacing w:after="0" w:line="111" w:lineRule="exact"/>
              <w:rPr>
                <w:sz w:val="20"/>
                <w:szCs w:val="20"/>
                <w:color w:val="auto"/>
              </w:rPr>
            </w:pPr>
            <w:r>
              <w:rPr>
                <w:rFonts w:ascii="Arial" w:cs="Arial" w:eastAsia="Arial" w:hAnsi="Arial"/>
                <w:sz w:val="11"/>
                <w:szCs w:val="11"/>
                <w:color w:val="auto"/>
              </w:rPr>
              <w:t>Total long-term assets</w:t>
            </w:r>
          </w:p>
        </w:tc>
        <w:tc>
          <w:tcPr>
            <w:tcW w:w="60" w:type="dxa"/>
            <w:vAlign w:val="bottom"/>
            <w:tcBorders>
              <w:top w:val="single" w:sz="8" w:color="auto"/>
              <w:bottom w:val="single" w:sz="8" w:color="auto"/>
            </w:tcBorders>
          </w:tcPr>
          <w:p>
            <w:pPr>
              <w:spacing w:after="0"/>
              <w:rPr>
                <w:sz w:val="9"/>
                <w:szCs w:val="9"/>
                <w:color w:val="auto"/>
              </w:rPr>
            </w:pPr>
          </w:p>
        </w:tc>
        <w:tc>
          <w:tcPr>
            <w:tcW w:w="340" w:type="dxa"/>
            <w:vAlign w:val="bottom"/>
            <w:tcBorders>
              <w:top w:val="single" w:sz="8" w:color="auto"/>
              <w:bottom w:val="single" w:sz="8" w:color="auto"/>
            </w:tcBorders>
          </w:tcPr>
          <w:p>
            <w:pPr>
              <w:jc w:val="right"/>
              <w:spacing w:after="0" w:line="111" w:lineRule="exact"/>
              <w:rPr>
                <w:sz w:val="20"/>
                <w:szCs w:val="20"/>
                <w:color w:val="auto"/>
              </w:rPr>
            </w:pPr>
            <w:r>
              <w:rPr>
                <w:rFonts w:ascii="Arial" w:cs="Arial" w:eastAsia="Arial" w:hAnsi="Arial"/>
                <w:sz w:val="11"/>
                <w:szCs w:val="11"/>
                <w:color w:val="auto"/>
              </w:rPr>
              <w:t>164.1</w:t>
            </w: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440" w:type="dxa"/>
            <w:vAlign w:val="bottom"/>
            <w:tcBorders>
              <w:top w:val="single" w:sz="8" w:color="auto"/>
              <w:bottom w:val="single" w:sz="8" w:color="auto"/>
            </w:tcBorders>
          </w:tcPr>
          <w:p>
            <w:pPr>
              <w:jc w:val="right"/>
              <w:spacing w:after="0" w:line="111" w:lineRule="exact"/>
              <w:rPr>
                <w:sz w:val="20"/>
                <w:szCs w:val="20"/>
                <w:color w:val="auto"/>
              </w:rPr>
            </w:pPr>
            <w:r>
              <w:rPr>
                <w:rFonts w:ascii="Arial" w:cs="Arial" w:eastAsia="Arial" w:hAnsi="Arial"/>
                <w:sz w:val="11"/>
                <w:szCs w:val="11"/>
                <w:color w:val="auto"/>
              </w:rPr>
              <w:t>517.2</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8700" w:type="dxa"/>
            <w:vAlign w:val="bottom"/>
            <w:shd w:val="clear" w:color="auto" w:fill="CCEEFF"/>
          </w:tcPr>
          <w:p>
            <w:pPr>
              <w:spacing w:after="0" w:line="111" w:lineRule="exact"/>
              <w:rPr>
                <w:sz w:val="20"/>
                <w:szCs w:val="20"/>
                <w:color w:val="auto"/>
              </w:rPr>
            </w:pPr>
            <w:r>
              <w:rPr>
                <w:rFonts w:ascii="Arial" w:cs="Arial" w:eastAsia="Arial" w:hAnsi="Arial"/>
                <w:sz w:val="11"/>
                <w:szCs w:val="11"/>
                <w:color w:val="auto"/>
              </w:rPr>
              <w:t>Total assets</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360" w:type="dxa"/>
            <w:vAlign w:val="bottom"/>
            <w:gridSpan w:val="2"/>
            <w:shd w:val="clear" w:color="auto" w:fill="CCEEFF"/>
          </w:tcPr>
          <w:p>
            <w:pPr>
              <w:jc w:val="right"/>
              <w:ind w:right="20"/>
              <w:spacing w:after="0" w:line="111" w:lineRule="exact"/>
              <w:rPr>
                <w:sz w:val="20"/>
                <w:szCs w:val="20"/>
                <w:color w:val="auto"/>
              </w:rPr>
            </w:pPr>
            <w:r>
              <w:rPr>
                <w:rFonts w:ascii="Arial" w:cs="Arial" w:eastAsia="Arial" w:hAnsi="Arial"/>
                <w:sz w:val="11"/>
                <w:szCs w:val="11"/>
                <w:color w:val="auto"/>
              </w:rPr>
              <w:t>600.2</w:t>
            </w:r>
          </w:p>
        </w:tc>
        <w:tc>
          <w:tcPr>
            <w:tcW w:w="280" w:type="dxa"/>
            <w:vAlign w:val="bottom"/>
            <w:shd w:val="clear" w:color="auto" w:fill="CCEEFF"/>
          </w:tcPr>
          <w:p>
            <w:pPr>
              <w:spacing w:after="0"/>
              <w:rPr>
                <w:sz w:val="9"/>
                <w:szCs w:val="9"/>
                <w:color w:val="auto"/>
              </w:rPr>
            </w:pPr>
          </w:p>
        </w:tc>
        <w:tc>
          <w:tcPr>
            <w:tcW w:w="6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80"/>
              <w:spacing w:after="0" w:line="111" w:lineRule="exact"/>
              <w:rPr>
                <w:sz w:val="20"/>
                <w:szCs w:val="20"/>
                <w:color w:val="auto"/>
              </w:rPr>
            </w:pPr>
            <w:r>
              <w:rPr>
                <w:rFonts w:ascii="Arial" w:cs="Arial" w:eastAsia="Arial" w:hAnsi="Arial"/>
                <w:sz w:val="11"/>
                <w:szCs w:val="11"/>
                <w:color w:val="auto"/>
              </w:rPr>
              <w:t>977.3</w:t>
            </w:r>
          </w:p>
        </w:tc>
        <w:tc>
          <w:tcPr>
            <w:tcW w:w="0" w:type="dxa"/>
            <w:vAlign w:val="bottom"/>
          </w:tcPr>
          <w:p>
            <w:pPr>
              <w:spacing w:after="0"/>
              <w:rPr>
                <w:sz w:val="1"/>
                <w:szCs w:val="1"/>
                <w:color w:val="auto"/>
              </w:rPr>
            </w:pPr>
          </w:p>
        </w:tc>
      </w:tr>
      <w:tr>
        <w:trPr>
          <w:trHeight w:val="20"/>
        </w:trPr>
        <w:tc>
          <w:tcPr>
            <w:tcW w:w="8700" w:type="dxa"/>
            <w:vAlign w:val="bottom"/>
            <w:vMerge w:val="restart"/>
          </w:tcPr>
          <w:p>
            <w:pPr>
              <w:ind w:left="3840"/>
              <w:spacing w:after="0"/>
              <w:rPr>
                <w:sz w:val="20"/>
                <w:szCs w:val="20"/>
                <w:color w:val="auto"/>
              </w:rPr>
            </w:pPr>
            <w:r>
              <w:rPr>
                <w:rFonts w:ascii="Arial" w:cs="Arial" w:eastAsia="Arial" w:hAnsi="Arial"/>
                <w:sz w:val="11"/>
                <w:szCs w:val="11"/>
                <w:b w:val="1"/>
                <w:bCs w:val="1"/>
                <w:color w:val="auto"/>
              </w:rPr>
              <w:t>LIABILITIES AND SHAREHOLDERS’ EQUITY</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87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1"/>
        </w:trPr>
        <w:tc>
          <w:tcPr>
            <w:tcW w:w="8700" w:type="dxa"/>
            <w:vAlign w:val="bottom"/>
            <w:shd w:val="clear" w:color="auto" w:fill="CCEEFF"/>
          </w:tcPr>
          <w:p>
            <w:pPr>
              <w:spacing w:after="0" w:line="111" w:lineRule="exact"/>
              <w:rPr>
                <w:sz w:val="20"/>
                <w:szCs w:val="20"/>
                <w:color w:val="auto"/>
              </w:rPr>
            </w:pPr>
            <w:r>
              <w:rPr>
                <w:rFonts w:ascii="Arial" w:cs="Arial" w:eastAsia="Arial" w:hAnsi="Arial"/>
                <w:sz w:val="11"/>
                <w:szCs w:val="11"/>
                <w:i w:val="1"/>
                <w:iCs w:val="1"/>
                <w:color w:val="auto"/>
              </w:rPr>
              <w:t>Current Liabilities</w:t>
            </w:r>
          </w:p>
        </w:tc>
        <w:tc>
          <w:tcPr>
            <w:tcW w:w="6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8700" w:type="dxa"/>
            <w:vAlign w:val="bottom"/>
          </w:tcPr>
          <w:p>
            <w:pPr>
              <w:ind w:left="120"/>
              <w:spacing w:after="0" w:line="111" w:lineRule="exact"/>
              <w:rPr>
                <w:sz w:val="20"/>
                <w:szCs w:val="20"/>
                <w:color w:val="auto"/>
              </w:rPr>
            </w:pPr>
            <w:r>
              <w:rPr>
                <w:rFonts w:ascii="Arial" w:cs="Arial" w:eastAsia="Arial" w:hAnsi="Arial"/>
                <w:sz w:val="11"/>
                <w:szCs w:val="11"/>
                <w:color w:val="auto"/>
              </w:rPr>
              <w:t>Short-term debt</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360" w:type="dxa"/>
            <w:vAlign w:val="bottom"/>
            <w:gridSpan w:val="2"/>
          </w:tcPr>
          <w:p>
            <w:pPr>
              <w:jc w:val="right"/>
              <w:ind w:right="20"/>
              <w:spacing w:after="0" w:line="111" w:lineRule="exact"/>
              <w:rPr>
                <w:sz w:val="20"/>
                <w:szCs w:val="20"/>
                <w:color w:val="auto"/>
              </w:rPr>
            </w:pPr>
            <w:r>
              <w:rPr>
                <w:rFonts w:ascii="Arial" w:cs="Arial" w:eastAsia="Arial" w:hAnsi="Arial"/>
                <w:sz w:val="11"/>
                <w:szCs w:val="11"/>
                <w:color w:val="auto"/>
              </w:rPr>
              <w:t>10.0</w:t>
            </w:r>
          </w:p>
        </w:tc>
        <w:tc>
          <w:tcPr>
            <w:tcW w:w="280" w:type="dxa"/>
            <w:vAlign w:val="bottom"/>
          </w:tcPr>
          <w:p>
            <w:pPr>
              <w:spacing w:after="0"/>
              <w:rPr>
                <w:sz w:val="9"/>
                <w:szCs w:val="9"/>
                <w:color w:val="auto"/>
              </w:rPr>
            </w:pPr>
          </w:p>
        </w:tc>
        <w:tc>
          <w:tcPr>
            <w:tcW w:w="60" w:type="dxa"/>
            <w:vAlign w:val="bottom"/>
          </w:tcPr>
          <w:p>
            <w:pPr>
              <w:jc w:val="right"/>
              <w:spacing w:after="0" w:line="111" w:lineRule="exact"/>
              <w:rPr>
                <w:sz w:val="20"/>
                <w:szCs w:val="20"/>
                <w:color w:val="auto"/>
              </w:rPr>
            </w:pPr>
            <w:r>
              <w:rPr>
                <w:rFonts w:ascii="Arial" w:cs="Arial" w:eastAsia="Arial" w:hAnsi="Arial"/>
                <w:sz w:val="10"/>
                <w:szCs w:val="10"/>
                <w:color w:val="auto"/>
                <w:w w:val="71"/>
              </w:rPr>
              <w:t>$</w:t>
            </w:r>
          </w:p>
        </w:tc>
        <w:tc>
          <w:tcPr>
            <w:tcW w:w="520" w:type="dxa"/>
            <w:vAlign w:val="bottom"/>
            <w:gridSpan w:val="2"/>
          </w:tcPr>
          <w:p>
            <w:pPr>
              <w:jc w:val="right"/>
              <w:ind w:right="80"/>
              <w:spacing w:after="0" w:line="111"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1"/>
        </w:trPr>
        <w:tc>
          <w:tcPr>
            <w:tcW w:w="8700" w:type="dxa"/>
            <w:vAlign w:val="bottom"/>
            <w:shd w:val="clear" w:color="auto" w:fill="CCEEFF"/>
          </w:tcPr>
          <w:p>
            <w:pPr>
              <w:ind w:left="120"/>
              <w:spacing w:after="0" w:line="111" w:lineRule="exact"/>
              <w:rPr>
                <w:sz w:val="20"/>
                <w:szCs w:val="20"/>
                <w:color w:val="auto"/>
              </w:rPr>
            </w:pPr>
            <w:r>
              <w:rPr>
                <w:rFonts w:ascii="Arial" w:cs="Arial" w:eastAsia="Arial" w:hAnsi="Arial"/>
                <w:sz w:val="11"/>
                <w:szCs w:val="11"/>
                <w:color w:val="auto"/>
              </w:rPr>
              <w:t>Current portion of long-term debt</w:t>
            </w:r>
          </w:p>
        </w:tc>
        <w:tc>
          <w:tcPr>
            <w:tcW w:w="60" w:type="dxa"/>
            <w:vAlign w:val="bottom"/>
            <w:shd w:val="clear" w:color="auto" w:fill="CCEEFF"/>
          </w:tcPr>
          <w:p>
            <w:pPr>
              <w:spacing w:after="0"/>
              <w:rPr>
                <w:sz w:val="9"/>
                <w:szCs w:val="9"/>
                <w:color w:val="auto"/>
              </w:rPr>
            </w:pPr>
          </w:p>
        </w:tc>
        <w:tc>
          <w:tcPr>
            <w:tcW w:w="640" w:type="dxa"/>
            <w:vAlign w:val="bottom"/>
            <w:gridSpan w:val="3"/>
            <w:shd w:val="clear" w:color="auto" w:fill="CCEEFF"/>
          </w:tcPr>
          <w:p>
            <w:pPr>
              <w:jc w:val="right"/>
              <w:ind w:right="300"/>
              <w:spacing w:after="0" w:line="111"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80"/>
              <w:spacing w:after="0" w:line="111" w:lineRule="exact"/>
              <w:rPr>
                <w:sz w:val="20"/>
                <w:szCs w:val="20"/>
                <w:color w:val="auto"/>
              </w:rPr>
            </w:pPr>
            <w:r>
              <w:rPr>
                <w:rFonts w:ascii="Arial" w:cs="Arial" w:eastAsia="Arial" w:hAnsi="Arial"/>
                <w:sz w:val="11"/>
                <w:szCs w:val="11"/>
                <w:color w:val="auto"/>
              </w:rPr>
              <w:t>5.0</w:t>
            </w:r>
          </w:p>
        </w:tc>
        <w:tc>
          <w:tcPr>
            <w:tcW w:w="0" w:type="dxa"/>
            <w:vAlign w:val="bottom"/>
          </w:tcPr>
          <w:p>
            <w:pPr>
              <w:spacing w:after="0"/>
              <w:rPr>
                <w:sz w:val="1"/>
                <w:szCs w:val="1"/>
                <w:color w:val="auto"/>
              </w:rPr>
            </w:pPr>
          </w:p>
        </w:tc>
      </w:tr>
      <w:tr>
        <w:trPr>
          <w:trHeight w:val="111"/>
        </w:trPr>
        <w:tc>
          <w:tcPr>
            <w:tcW w:w="8700" w:type="dxa"/>
            <w:vAlign w:val="bottom"/>
          </w:tcPr>
          <w:p>
            <w:pPr>
              <w:ind w:left="120"/>
              <w:spacing w:after="0" w:line="111" w:lineRule="exact"/>
              <w:rPr>
                <w:sz w:val="20"/>
                <w:szCs w:val="20"/>
                <w:color w:val="auto"/>
              </w:rPr>
            </w:pPr>
            <w:r>
              <w:rPr>
                <w:rFonts w:ascii="Arial" w:cs="Arial" w:eastAsia="Arial" w:hAnsi="Arial"/>
                <w:sz w:val="11"/>
                <w:szCs w:val="11"/>
                <w:color w:val="auto"/>
              </w:rPr>
              <w:t>Accounts payable</w:t>
            </w:r>
          </w:p>
        </w:tc>
        <w:tc>
          <w:tcPr>
            <w:tcW w:w="60" w:type="dxa"/>
            <w:vAlign w:val="bottom"/>
          </w:tcPr>
          <w:p>
            <w:pPr>
              <w:spacing w:after="0"/>
              <w:rPr>
                <w:sz w:val="9"/>
                <w:szCs w:val="9"/>
                <w:color w:val="auto"/>
              </w:rPr>
            </w:pPr>
          </w:p>
        </w:tc>
        <w:tc>
          <w:tcPr>
            <w:tcW w:w="360" w:type="dxa"/>
            <w:vAlign w:val="bottom"/>
            <w:gridSpan w:val="2"/>
          </w:tcPr>
          <w:p>
            <w:pPr>
              <w:jc w:val="right"/>
              <w:ind w:right="20"/>
              <w:spacing w:after="0" w:line="111" w:lineRule="exact"/>
              <w:rPr>
                <w:sz w:val="20"/>
                <w:szCs w:val="20"/>
                <w:color w:val="auto"/>
              </w:rPr>
            </w:pPr>
            <w:r>
              <w:rPr>
                <w:rFonts w:ascii="Arial" w:cs="Arial" w:eastAsia="Arial" w:hAnsi="Arial"/>
                <w:sz w:val="11"/>
                <w:szCs w:val="11"/>
                <w:color w:val="auto"/>
              </w:rPr>
              <w:t>69.6</w:t>
            </w: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gridSpan w:val="2"/>
          </w:tcPr>
          <w:p>
            <w:pPr>
              <w:jc w:val="right"/>
              <w:ind w:right="80"/>
              <w:spacing w:after="0" w:line="111" w:lineRule="exact"/>
              <w:rPr>
                <w:sz w:val="20"/>
                <w:szCs w:val="20"/>
                <w:color w:val="auto"/>
              </w:rPr>
            </w:pPr>
            <w:r>
              <w:rPr>
                <w:rFonts w:ascii="Arial" w:cs="Arial" w:eastAsia="Arial" w:hAnsi="Arial"/>
                <w:sz w:val="11"/>
                <w:szCs w:val="11"/>
                <w:color w:val="auto"/>
              </w:rPr>
              <w:t>81.1</w:t>
            </w:r>
          </w:p>
        </w:tc>
        <w:tc>
          <w:tcPr>
            <w:tcW w:w="0" w:type="dxa"/>
            <w:vAlign w:val="bottom"/>
          </w:tcPr>
          <w:p>
            <w:pPr>
              <w:spacing w:after="0"/>
              <w:rPr>
                <w:sz w:val="1"/>
                <w:szCs w:val="1"/>
                <w:color w:val="auto"/>
              </w:rPr>
            </w:pPr>
          </w:p>
        </w:tc>
      </w:tr>
      <w:tr>
        <w:trPr>
          <w:trHeight w:val="111"/>
        </w:trPr>
        <w:tc>
          <w:tcPr>
            <w:tcW w:w="8700" w:type="dxa"/>
            <w:vAlign w:val="bottom"/>
            <w:shd w:val="clear" w:color="auto" w:fill="CCEEFF"/>
          </w:tcPr>
          <w:p>
            <w:pPr>
              <w:ind w:left="120"/>
              <w:spacing w:after="0" w:line="111" w:lineRule="exact"/>
              <w:rPr>
                <w:sz w:val="20"/>
                <w:szCs w:val="20"/>
                <w:color w:val="auto"/>
              </w:rPr>
            </w:pPr>
            <w:r>
              <w:rPr>
                <w:rFonts w:ascii="Arial" w:cs="Arial" w:eastAsia="Arial" w:hAnsi="Arial"/>
                <w:sz w:val="11"/>
                <w:szCs w:val="11"/>
                <w:color w:val="auto"/>
              </w:rPr>
              <w:t>Compensation and benefits</w:t>
            </w:r>
          </w:p>
        </w:tc>
        <w:tc>
          <w:tcPr>
            <w:tcW w:w="60" w:type="dxa"/>
            <w:vAlign w:val="bottom"/>
            <w:shd w:val="clear" w:color="auto" w:fill="CCEEFF"/>
          </w:tcPr>
          <w:p>
            <w:pPr>
              <w:spacing w:after="0"/>
              <w:rPr>
                <w:sz w:val="9"/>
                <w:szCs w:val="9"/>
                <w:color w:val="auto"/>
              </w:rPr>
            </w:pPr>
          </w:p>
        </w:tc>
        <w:tc>
          <w:tcPr>
            <w:tcW w:w="360" w:type="dxa"/>
            <w:vAlign w:val="bottom"/>
            <w:gridSpan w:val="2"/>
            <w:shd w:val="clear" w:color="auto" w:fill="CCEEFF"/>
          </w:tcPr>
          <w:p>
            <w:pPr>
              <w:jc w:val="right"/>
              <w:ind w:right="20"/>
              <w:spacing w:after="0" w:line="111" w:lineRule="exact"/>
              <w:rPr>
                <w:sz w:val="20"/>
                <w:szCs w:val="20"/>
                <w:color w:val="auto"/>
              </w:rPr>
            </w:pPr>
            <w:r>
              <w:rPr>
                <w:rFonts w:ascii="Arial" w:cs="Arial" w:eastAsia="Arial" w:hAnsi="Arial"/>
                <w:sz w:val="11"/>
                <w:szCs w:val="11"/>
                <w:color w:val="auto"/>
              </w:rPr>
              <w:t>16.6</w:t>
            </w:r>
          </w:p>
        </w:tc>
        <w:tc>
          <w:tcPr>
            <w:tcW w:w="2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80"/>
              <w:spacing w:after="0" w:line="111" w:lineRule="exact"/>
              <w:rPr>
                <w:sz w:val="20"/>
                <w:szCs w:val="20"/>
                <w:color w:val="auto"/>
              </w:rPr>
            </w:pPr>
            <w:r>
              <w:rPr>
                <w:rFonts w:ascii="Arial" w:cs="Arial" w:eastAsia="Arial" w:hAnsi="Arial"/>
                <w:sz w:val="11"/>
                <w:szCs w:val="11"/>
                <w:color w:val="auto"/>
              </w:rPr>
              <w:t>19.5</w:t>
            </w:r>
          </w:p>
        </w:tc>
        <w:tc>
          <w:tcPr>
            <w:tcW w:w="0" w:type="dxa"/>
            <w:vAlign w:val="bottom"/>
          </w:tcPr>
          <w:p>
            <w:pPr>
              <w:spacing w:after="0"/>
              <w:rPr>
                <w:sz w:val="1"/>
                <w:szCs w:val="1"/>
                <w:color w:val="auto"/>
              </w:rPr>
            </w:pPr>
          </w:p>
        </w:tc>
      </w:tr>
      <w:tr>
        <w:trPr>
          <w:trHeight w:val="111"/>
        </w:trPr>
        <w:tc>
          <w:tcPr>
            <w:tcW w:w="8700" w:type="dxa"/>
            <w:vAlign w:val="bottom"/>
          </w:tcPr>
          <w:p>
            <w:pPr>
              <w:ind w:left="120"/>
              <w:spacing w:after="0" w:line="111" w:lineRule="exact"/>
              <w:rPr>
                <w:sz w:val="20"/>
                <w:szCs w:val="20"/>
                <w:color w:val="auto"/>
              </w:rPr>
            </w:pPr>
            <w:r>
              <w:rPr>
                <w:rFonts w:ascii="Arial" w:cs="Arial" w:eastAsia="Arial" w:hAnsi="Arial"/>
                <w:sz w:val="11"/>
                <w:szCs w:val="11"/>
                <w:color w:val="auto"/>
              </w:rPr>
              <w:t>Other accrued items</w:t>
            </w:r>
          </w:p>
        </w:tc>
        <w:tc>
          <w:tcPr>
            <w:tcW w:w="60" w:type="dxa"/>
            <w:vAlign w:val="bottom"/>
          </w:tcPr>
          <w:p>
            <w:pPr>
              <w:spacing w:after="0"/>
              <w:rPr>
                <w:sz w:val="9"/>
                <w:szCs w:val="9"/>
                <w:color w:val="auto"/>
              </w:rPr>
            </w:pPr>
          </w:p>
        </w:tc>
        <w:tc>
          <w:tcPr>
            <w:tcW w:w="360" w:type="dxa"/>
            <w:vAlign w:val="bottom"/>
            <w:gridSpan w:val="2"/>
          </w:tcPr>
          <w:p>
            <w:pPr>
              <w:jc w:val="right"/>
              <w:ind w:right="20"/>
              <w:spacing w:after="0" w:line="111" w:lineRule="exact"/>
              <w:rPr>
                <w:sz w:val="20"/>
                <w:szCs w:val="20"/>
                <w:color w:val="auto"/>
              </w:rPr>
            </w:pPr>
            <w:r>
              <w:rPr>
                <w:rFonts w:ascii="Arial" w:cs="Arial" w:eastAsia="Arial" w:hAnsi="Arial"/>
                <w:sz w:val="11"/>
                <w:szCs w:val="11"/>
                <w:color w:val="auto"/>
              </w:rPr>
              <w:t>54.9</w:t>
            </w: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gridSpan w:val="2"/>
          </w:tcPr>
          <w:p>
            <w:pPr>
              <w:jc w:val="right"/>
              <w:ind w:right="80"/>
              <w:spacing w:after="0" w:line="111" w:lineRule="exact"/>
              <w:rPr>
                <w:sz w:val="20"/>
                <w:szCs w:val="20"/>
                <w:color w:val="auto"/>
              </w:rPr>
            </w:pPr>
            <w:r>
              <w:rPr>
                <w:rFonts w:ascii="Arial" w:cs="Arial" w:eastAsia="Arial" w:hAnsi="Arial"/>
                <w:sz w:val="11"/>
                <w:szCs w:val="11"/>
                <w:color w:val="auto"/>
              </w:rPr>
              <w:t>42.1</w:t>
            </w:r>
          </w:p>
        </w:tc>
        <w:tc>
          <w:tcPr>
            <w:tcW w:w="0" w:type="dxa"/>
            <w:vAlign w:val="bottom"/>
          </w:tcPr>
          <w:p>
            <w:pPr>
              <w:spacing w:after="0"/>
              <w:rPr>
                <w:sz w:val="1"/>
                <w:szCs w:val="1"/>
                <w:color w:val="auto"/>
              </w:rPr>
            </w:pPr>
          </w:p>
        </w:tc>
      </w:tr>
      <w:tr>
        <w:trPr>
          <w:trHeight w:val="111"/>
        </w:trPr>
        <w:tc>
          <w:tcPr>
            <w:tcW w:w="8700" w:type="dxa"/>
            <w:vAlign w:val="bottom"/>
            <w:shd w:val="clear" w:color="auto" w:fill="CCEEFF"/>
          </w:tcPr>
          <w:p>
            <w:pPr>
              <w:ind w:left="120"/>
              <w:spacing w:after="0" w:line="111" w:lineRule="exact"/>
              <w:rPr>
                <w:sz w:val="20"/>
                <w:szCs w:val="20"/>
                <w:color w:val="auto"/>
              </w:rPr>
            </w:pPr>
            <w:r>
              <w:rPr>
                <w:rFonts w:ascii="Arial" w:cs="Arial" w:eastAsia="Arial" w:hAnsi="Arial"/>
                <w:sz w:val="11"/>
                <w:szCs w:val="11"/>
                <w:color w:val="auto"/>
              </w:rPr>
              <w:t>Advance payments and unearned income</w:t>
            </w:r>
          </w:p>
        </w:tc>
        <w:tc>
          <w:tcPr>
            <w:tcW w:w="60" w:type="dxa"/>
            <w:vAlign w:val="bottom"/>
            <w:shd w:val="clear" w:color="auto" w:fill="CCEEFF"/>
          </w:tcPr>
          <w:p>
            <w:pPr>
              <w:spacing w:after="0"/>
              <w:rPr>
                <w:sz w:val="9"/>
                <w:szCs w:val="9"/>
                <w:color w:val="auto"/>
              </w:rPr>
            </w:pPr>
          </w:p>
        </w:tc>
        <w:tc>
          <w:tcPr>
            <w:tcW w:w="360" w:type="dxa"/>
            <w:vAlign w:val="bottom"/>
            <w:gridSpan w:val="2"/>
            <w:shd w:val="clear" w:color="auto" w:fill="CCEEFF"/>
          </w:tcPr>
          <w:p>
            <w:pPr>
              <w:jc w:val="right"/>
              <w:ind w:right="20"/>
              <w:spacing w:after="0" w:line="111" w:lineRule="exact"/>
              <w:rPr>
                <w:sz w:val="20"/>
                <w:szCs w:val="20"/>
                <w:color w:val="auto"/>
              </w:rPr>
            </w:pPr>
            <w:r>
              <w:rPr>
                <w:rFonts w:ascii="Arial" w:cs="Arial" w:eastAsia="Arial" w:hAnsi="Arial"/>
                <w:sz w:val="11"/>
                <w:szCs w:val="11"/>
                <w:color w:val="auto"/>
              </w:rPr>
              <w:t>37.3</w:t>
            </w:r>
          </w:p>
        </w:tc>
        <w:tc>
          <w:tcPr>
            <w:tcW w:w="2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80"/>
              <w:spacing w:after="0" w:line="111" w:lineRule="exact"/>
              <w:rPr>
                <w:sz w:val="20"/>
                <w:szCs w:val="20"/>
                <w:color w:val="auto"/>
              </w:rPr>
            </w:pPr>
            <w:r>
              <w:rPr>
                <w:rFonts w:ascii="Arial" w:cs="Arial" w:eastAsia="Arial" w:hAnsi="Arial"/>
                <w:sz w:val="11"/>
                <w:szCs w:val="11"/>
                <w:color w:val="auto"/>
              </w:rPr>
              <w:t>30.1</w:t>
            </w:r>
          </w:p>
        </w:tc>
        <w:tc>
          <w:tcPr>
            <w:tcW w:w="0" w:type="dxa"/>
            <w:vAlign w:val="bottom"/>
          </w:tcPr>
          <w:p>
            <w:pPr>
              <w:spacing w:after="0"/>
              <w:rPr>
                <w:sz w:val="1"/>
                <w:szCs w:val="1"/>
                <w:color w:val="auto"/>
              </w:rPr>
            </w:pPr>
          </w:p>
        </w:tc>
      </w:tr>
      <w:tr>
        <w:trPr>
          <w:trHeight w:val="111"/>
        </w:trPr>
        <w:tc>
          <w:tcPr>
            <w:tcW w:w="8700" w:type="dxa"/>
            <w:vAlign w:val="bottom"/>
          </w:tcPr>
          <w:p>
            <w:pPr>
              <w:ind w:left="120"/>
              <w:spacing w:after="0" w:line="111" w:lineRule="exact"/>
              <w:rPr>
                <w:sz w:val="20"/>
                <w:szCs w:val="20"/>
                <w:color w:val="auto"/>
              </w:rPr>
            </w:pPr>
            <w:r>
              <w:rPr>
                <w:rFonts w:ascii="Arial" w:cs="Arial" w:eastAsia="Arial" w:hAnsi="Arial"/>
                <w:sz w:val="11"/>
                <w:szCs w:val="11"/>
                <w:color w:val="auto"/>
              </w:rPr>
              <w:t>Restructuring liabilities</w:t>
            </w:r>
          </w:p>
        </w:tc>
        <w:tc>
          <w:tcPr>
            <w:tcW w:w="60" w:type="dxa"/>
            <w:vAlign w:val="bottom"/>
          </w:tcPr>
          <w:p>
            <w:pPr>
              <w:spacing w:after="0"/>
              <w:rPr>
                <w:sz w:val="9"/>
                <w:szCs w:val="9"/>
                <w:color w:val="auto"/>
              </w:rPr>
            </w:pPr>
          </w:p>
        </w:tc>
        <w:tc>
          <w:tcPr>
            <w:tcW w:w="360" w:type="dxa"/>
            <w:vAlign w:val="bottom"/>
            <w:gridSpan w:val="2"/>
          </w:tcPr>
          <w:p>
            <w:pPr>
              <w:jc w:val="right"/>
              <w:ind w:right="20"/>
              <w:spacing w:after="0" w:line="111" w:lineRule="exact"/>
              <w:rPr>
                <w:sz w:val="20"/>
                <w:szCs w:val="20"/>
                <w:color w:val="auto"/>
              </w:rPr>
            </w:pPr>
            <w:r>
              <w:rPr>
                <w:rFonts w:ascii="Arial" w:cs="Arial" w:eastAsia="Arial" w:hAnsi="Arial"/>
                <w:sz w:val="11"/>
                <w:szCs w:val="11"/>
                <w:color w:val="auto"/>
              </w:rPr>
              <w:t>5.3</w:t>
            </w: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gridSpan w:val="2"/>
          </w:tcPr>
          <w:p>
            <w:pPr>
              <w:jc w:val="right"/>
              <w:ind w:right="80"/>
              <w:spacing w:after="0" w:line="111" w:lineRule="exact"/>
              <w:rPr>
                <w:sz w:val="20"/>
                <w:szCs w:val="20"/>
                <w:color w:val="auto"/>
              </w:rPr>
            </w:pPr>
            <w:r>
              <w:rPr>
                <w:rFonts w:ascii="Arial" w:cs="Arial" w:eastAsia="Arial" w:hAnsi="Arial"/>
                <w:sz w:val="11"/>
                <w:szCs w:val="11"/>
                <w:color w:val="auto"/>
              </w:rPr>
              <w:t>5.1</w:t>
            </w:r>
          </w:p>
        </w:tc>
        <w:tc>
          <w:tcPr>
            <w:tcW w:w="0" w:type="dxa"/>
            <w:vAlign w:val="bottom"/>
          </w:tcPr>
          <w:p>
            <w:pPr>
              <w:spacing w:after="0"/>
              <w:rPr>
                <w:sz w:val="1"/>
                <w:szCs w:val="1"/>
                <w:color w:val="auto"/>
              </w:rPr>
            </w:pPr>
          </w:p>
        </w:tc>
      </w:tr>
      <w:tr>
        <w:trPr>
          <w:trHeight w:val="111"/>
        </w:trPr>
        <w:tc>
          <w:tcPr>
            <w:tcW w:w="8700" w:type="dxa"/>
            <w:vAlign w:val="bottom"/>
            <w:shd w:val="clear" w:color="auto" w:fill="CCEEFF"/>
          </w:tcPr>
          <w:p>
            <w:pPr>
              <w:ind w:left="120"/>
              <w:spacing w:after="0" w:line="111" w:lineRule="exact"/>
              <w:rPr>
                <w:sz w:val="20"/>
                <w:szCs w:val="20"/>
                <w:color w:val="auto"/>
              </w:rPr>
            </w:pPr>
            <w:r>
              <w:rPr>
                <w:rFonts w:ascii="Arial" w:cs="Arial" w:eastAsia="Arial" w:hAnsi="Arial"/>
                <w:sz w:val="11"/>
                <w:szCs w:val="11"/>
                <w:color w:val="auto"/>
              </w:rPr>
              <w:t>Current portion of long-term capital lease obligation to Harris Corporation and others</w:t>
            </w:r>
          </w:p>
        </w:tc>
        <w:tc>
          <w:tcPr>
            <w:tcW w:w="60" w:type="dxa"/>
            <w:vAlign w:val="bottom"/>
            <w:shd w:val="clear" w:color="auto" w:fill="CCEEFF"/>
          </w:tcPr>
          <w:p>
            <w:pPr>
              <w:spacing w:after="0"/>
              <w:rPr>
                <w:sz w:val="9"/>
                <w:szCs w:val="9"/>
                <w:color w:val="auto"/>
              </w:rPr>
            </w:pPr>
          </w:p>
        </w:tc>
        <w:tc>
          <w:tcPr>
            <w:tcW w:w="360" w:type="dxa"/>
            <w:vAlign w:val="bottom"/>
            <w:gridSpan w:val="2"/>
            <w:shd w:val="clear" w:color="auto" w:fill="CCEEFF"/>
          </w:tcPr>
          <w:p>
            <w:pPr>
              <w:jc w:val="right"/>
              <w:ind w:right="20"/>
              <w:spacing w:after="0" w:line="111" w:lineRule="exact"/>
              <w:rPr>
                <w:sz w:val="20"/>
                <w:szCs w:val="20"/>
                <w:color w:val="auto"/>
              </w:rPr>
            </w:pPr>
            <w:r>
              <w:rPr>
                <w:rFonts w:ascii="Arial" w:cs="Arial" w:eastAsia="Arial" w:hAnsi="Arial"/>
                <w:sz w:val="11"/>
                <w:szCs w:val="11"/>
                <w:color w:val="auto"/>
              </w:rPr>
              <w:t>0.7</w:t>
            </w:r>
          </w:p>
        </w:tc>
        <w:tc>
          <w:tcPr>
            <w:tcW w:w="2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80"/>
              <w:spacing w:after="0" w:line="111" w:lineRule="exact"/>
              <w:rPr>
                <w:sz w:val="20"/>
                <w:szCs w:val="20"/>
                <w:color w:val="auto"/>
              </w:rPr>
            </w:pPr>
            <w:r>
              <w:rPr>
                <w:rFonts w:ascii="Arial" w:cs="Arial" w:eastAsia="Arial" w:hAnsi="Arial"/>
                <w:sz w:val="11"/>
                <w:szCs w:val="11"/>
                <w:color w:val="auto"/>
              </w:rPr>
              <w:t>1.3</w:t>
            </w:r>
          </w:p>
        </w:tc>
        <w:tc>
          <w:tcPr>
            <w:tcW w:w="0" w:type="dxa"/>
            <w:vAlign w:val="bottom"/>
          </w:tcPr>
          <w:p>
            <w:pPr>
              <w:spacing w:after="0"/>
              <w:rPr>
                <w:sz w:val="1"/>
                <w:szCs w:val="1"/>
                <w:color w:val="auto"/>
              </w:rPr>
            </w:pPr>
          </w:p>
        </w:tc>
      </w:tr>
      <w:tr>
        <w:trPr>
          <w:trHeight w:val="111"/>
        </w:trPr>
        <w:tc>
          <w:tcPr>
            <w:tcW w:w="8700" w:type="dxa"/>
            <w:vAlign w:val="bottom"/>
          </w:tcPr>
          <w:p>
            <w:pPr>
              <w:ind w:left="120"/>
              <w:spacing w:after="0" w:line="111" w:lineRule="exact"/>
              <w:rPr>
                <w:sz w:val="20"/>
                <w:szCs w:val="20"/>
                <w:color w:val="auto"/>
              </w:rPr>
            </w:pPr>
            <w:r>
              <w:rPr>
                <w:rFonts w:ascii="Arial" w:cs="Arial" w:eastAsia="Arial" w:hAnsi="Arial"/>
                <w:sz w:val="11"/>
                <w:szCs w:val="11"/>
                <w:color w:val="auto"/>
              </w:rPr>
              <w:t>Due to Harris Corporation</w:t>
            </w:r>
          </w:p>
        </w:tc>
        <w:tc>
          <w:tcPr>
            <w:tcW w:w="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jc w:val="right"/>
              <w:spacing w:after="0" w:line="111" w:lineRule="exact"/>
              <w:rPr>
                <w:sz w:val="20"/>
                <w:szCs w:val="20"/>
                <w:color w:val="auto"/>
              </w:rPr>
            </w:pPr>
            <w:r>
              <w:rPr>
                <w:rFonts w:ascii="Arial" w:cs="Arial" w:eastAsia="Arial" w:hAnsi="Arial"/>
                <w:sz w:val="11"/>
                <w:szCs w:val="11"/>
                <w:color w:val="auto"/>
              </w:rPr>
              <w:t>—</w:t>
            </w:r>
          </w:p>
        </w:tc>
        <w:tc>
          <w:tcPr>
            <w:tcW w:w="300" w:type="dxa"/>
            <w:vAlign w:val="bottom"/>
            <w:gridSpan w:val="2"/>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jc w:val="right"/>
              <w:spacing w:after="0" w:line="111" w:lineRule="exact"/>
              <w:rPr>
                <w:sz w:val="20"/>
                <w:szCs w:val="20"/>
                <w:color w:val="auto"/>
              </w:rPr>
            </w:pPr>
            <w:r>
              <w:rPr>
                <w:rFonts w:ascii="Arial" w:cs="Arial" w:eastAsia="Arial" w:hAnsi="Arial"/>
                <w:sz w:val="11"/>
                <w:szCs w:val="11"/>
                <w:color w:val="auto"/>
              </w:rPr>
              <w:t>16.8</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8700" w:type="dxa"/>
            <w:vAlign w:val="bottom"/>
            <w:shd w:val="clear" w:color="auto" w:fill="CCEEFF"/>
          </w:tcPr>
          <w:p>
            <w:pPr>
              <w:ind w:left="120"/>
              <w:spacing w:after="0" w:line="111" w:lineRule="exact"/>
              <w:rPr>
                <w:sz w:val="20"/>
                <w:szCs w:val="20"/>
                <w:color w:val="auto"/>
              </w:rPr>
            </w:pPr>
            <w:r>
              <w:rPr>
                <w:rFonts w:ascii="Arial" w:cs="Arial" w:eastAsia="Arial" w:hAnsi="Arial"/>
                <w:sz w:val="11"/>
                <w:szCs w:val="11"/>
                <w:color w:val="auto"/>
              </w:rPr>
              <w:t>Total current liabilities</w:t>
            </w:r>
          </w:p>
        </w:tc>
        <w:tc>
          <w:tcPr>
            <w:tcW w:w="60" w:type="dxa"/>
            <w:vAlign w:val="bottom"/>
            <w:shd w:val="clear" w:color="auto" w:fill="CCEEFF"/>
          </w:tcPr>
          <w:p>
            <w:pPr>
              <w:spacing w:after="0"/>
              <w:rPr>
                <w:sz w:val="9"/>
                <w:szCs w:val="9"/>
                <w:color w:val="auto"/>
              </w:rPr>
            </w:pPr>
          </w:p>
        </w:tc>
        <w:tc>
          <w:tcPr>
            <w:tcW w:w="360" w:type="dxa"/>
            <w:vAlign w:val="bottom"/>
            <w:gridSpan w:val="2"/>
            <w:shd w:val="clear" w:color="auto" w:fill="CCEEFF"/>
          </w:tcPr>
          <w:p>
            <w:pPr>
              <w:jc w:val="right"/>
              <w:ind w:right="20"/>
              <w:spacing w:after="0" w:line="111" w:lineRule="exact"/>
              <w:rPr>
                <w:sz w:val="20"/>
                <w:szCs w:val="20"/>
                <w:color w:val="auto"/>
              </w:rPr>
            </w:pPr>
            <w:r>
              <w:rPr>
                <w:rFonts w:ascii="Arial" w:cs="Arial" w:eastAsia="Arial" w:hAnsi="Arial"/>
                <w:sz w:val="11"/>
                <w:szCs w:val="11"/>
                <w:color w:val="auto"/>
              </w:rPr>
              <w:t>194.4</w:t>
            </w:r>
          </w:p>
        </w:tc>
        <w:tc>
          <w:tcPr>
            <w:tcW w:w="2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80"/>
              <w:spacing w:after="0" w:line="111" w:lineRule="exact"/>
              <w:rPr>
                <w:sz w:val="20"/>
                <w:szCs w:val="20"/>
                <w:color w:val="auto"/>
              </w:rPr>
            </w:pPr>
            <w:r>
              <w:rPr>
                <w:rFonts w:ascii="Arial" w:cs="Arial" w:eastAsia="Arial" w:hAnsi="Arial"/>
                <w:sz w:val="11"/>
                <w:szCs w:val="11"/>
                <w:color w:val="auto"/>
              </w:rPr>
              <w:t>201.0</w:t>
            </w:r>
          </w:p>
        </w:tc>
        <w:tc>
          <w:tcPr>
            <w:tcW w:w="0" w:type="dxa"/>
            <w:vAlign w:val="bottom"/>
          </w:tcPr>
          <w:p>
            <w:pPr>
              <w:spacing w:after="0"/>
              <w:rPr>
                <w:sz w:val="1"/>
                <w:szCs w:val="1"/>
                <w:color w:val="auto"/>
              </w:rPr>
            </w:pPr>
          </w:p>
        </w:tc>
      </w:tr>
      <w:tr>
        <w:trPr>
          <w:trHeight w:val="111"/>
        </w:trPr>
        <w:tc>
          <w:tcPr>
            <w:tcW w:w="8700" w:type="dxa"/>
            <w:vAlign w:val="bottom"/>
          </w:tcPr>
          <w:p>
            <w:pPr>
              <w:spacing w:after="0" w:line="111" w:lineRule="exact"/>
              <w:rPr>
                <w:sz w:val="20"/>
                <w:szCs w:val="20"/>
                <w:color w:val="auto"/>
              </w:rPr>
            </w:pPr>
            <w:r>
              <w:rPr>
                <w:rFonts w:ascii="Arial" w:cs="Arial" w:eastAsia="Arial" w:hAnsi="Arial"/>
                <w:sz w:val="11"/>
                <w:szCs w:val="11"/>
                <w:i w:val="1"/>
                <w:iCs w:val="1"/>
                <w:color w:val="auto"/>
              </w:rPr>
              <w:t>Long-Term Liabilities</w:t>
            </w: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8700" w:type="dxa"/>
            <w:vAlign w:val="bottom"/>
            <w:shd w:val="clear" w:color="auto" w:fill="CCEEFF"/>
          </w:tcPr>
          <w:p>
            <w:pPr>
              <w:ind w:left="120"/>
              <w:spacing w:after="0" w:line="111" w:lineRule="exact"/>
              <w:rPr>
                <w:sz w:val="20"/>
                <w:szCs w:val="20"/>
                <w:color w:val="auto"/>
              </w:rPr>
            </w:pPr>
            <w:r>
              <w:rPr>
                <w:rFonts w:ascii="Arial" w:cs="Arial" w:eastAsia="Arial" w:hAnsi="Arial"/>
                <w:sz w:val="11"/>
                <w:szCs w:val="11"/>
                <w:color w:val="auto"/>
              </w:rPr>
              <w:t>Long-term debt</w:t>
            </w:r>
          </w:p>
        </w:tc>
        <w:tc>
          <w:tcPr>
            <w:tcW w:w="60" w:type="dxa"/>
            <w:vAlign w:val="bottom"/>
            <w:shd w:val="clear" w:color="auto" w:fill="CCEEFF"/>
          </w:tcPr>
          <w:p>
            <w:pPr>
              <w:spacing w:after="0"/>
              <w:rPr>
                <w:sz w:val="9"/>
                <w:szCs w:val="9"/>
                <w:color w:val="auto"/>
              </w:rPr>
            </w:pPr>
          </w:p>
        </w:tc>
        <w:tc>
          <w:tcPr>
            <w:tcW w:w="640" w:type="dxa"/>
            <w:vAlign w:val="bottom"/>
            <w:gridSpan w:val="3"/>
            <w:shd w:val="clear" w:color="auto" w:fill="CCEEFF"/>
          </w:tcPr>
          <w:p>
            <w:pPr>
              <w:jc w:val="right"/>
              <w:ind w:right="300"/>
              <w:spacing w:after="0" w:line="111"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80"/>
              <w:spacing w:after="0" w:line="111" w:lineRule="exact"/>
              <w:rPr>
                <w:sz w:val="20"/>
                <w:szCs w:val="20"/>
                <w:color w:val="auto"/>
              </w:rPr>
            </w:pPr>
            <w:r>
              <w:rPr>
                <w:rFonts w:ascii="Arial" w:cs="Arial" w:eastAsia="Arial" w:hAnsi="Arial"/>
                <w:sz w:val="11"/>
                <w:szCs w:val="11"/>
                <w:color w:val="auto"/>
              </w:rPr>
              <w:t>3.8</w:t>
            </w:r>
          </w:p>
        </w:tc>
        <w:tc>
          <w:tcPr>
            <w:tcW w:w="0" w:type="dxa"/>
            <w:vAlign w:val="bottom"/>
          </w:tcPr>
          <w:p>
            <w:pPr>
              <w:spacing w:after="0"/>
              <w:rPr>
                <w:sz w:val="1"/>
                <w:szCs w:val="1"/>
                <w:color w:val="auto"/>
              </w:rPr>
            </w:pPr>
          </w:p>
        </w:tc>
      </w:tr>
      <w:tr>
        <w:trPr>
          <w:trHeight w:val="111"/>
        </w:trPr>
        <w:tc>
          <w:tcPr>
            <w:tcW w:w="8700" w:type="dxa"/>
            <w:vAlign w:val="bottom"/>
          </w:tcPr>
          <w:p>
            <w:pPr>
              <w:ind w:left="120"/>
              <w:spacing w:after="0" w:line="111" w:lineRule="exact"/>
              <w:rPr>
                <w:sz w:val="20"/>
                <w:szCs w:val="20"/>
                <w:color w:val="auto"/>
              </w:rPr>
            </w:pPr>
            <w:r>
              <w:rPr>
                <w:rFonts w:ascii="Arial" w:cs="Arial" w:eastAsia="Arial" w:hAnsi="Arial"/>
                <w:sz w:val="11"/>
                <w:szCs w:val="11"/>
                <w:color w:val="auto"/>
              </w:rPr>
              <w:t>Long-term portion of capital lease obligation to Harris Corporation and others</w:t>
            </w:r>
          </w:p>
        </w:tc>
        <w:tc>
          <w:tcPr>
            <w:tcW w:w="60" w:type="dxa"/>
            <w:vAlign w:val="bottom"/>
          </w:tcPr>
          <w:p>
            <w:pPr>
              <w:spacing w:after="0"/>
              <w:rPr>
                <w:sz w:val="9"/>
                <w:szCs w:val="9"/>
                <w:color w:val="auto"/>
              </w:rPr>
            </w:pPr>
          </w:p>
        </w:tc>
        <w:tc>
          <w:tcPr>
            <w:tcW w:w="360" w:type="dxa"/>
            <w:vAlign w:val="bottom"/>
            <w:gridSpan w:val="2"/>
          </w:tcPr>
          <w:p>
            <w:pPr>
              <w:jc w:val="right"/>
              <w:ind w:right="20"/>
              <w:spacing w:after="0" w:line="111" w:lineRule="exact"/>
              <w:rPr>
                <w:sz w:val="20"/>
                <w:szCs w:val="20"/>
                <w:color w:val="auto"/>
              </w:rPr>
            </w:pPr>
            <w:r>
              <w:rPr>
                <w:rFonts w:ascii="Arial" w:cs="Arial" w:eastAsia="Arial" w:hAnsi="Arial"/>
                <w:sz w:val="11"/>
                <w:szCs w:val="11"/>
                <w:color w:val="auto"/>
              </w:rPr>
              <w:t>1.1</w:t>
            </w: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gridSpan w:val="2"/>
          </w:tcPr>
          <w:p>
            <w:pPr>
              <w:jc w:val="right"/>
              <w:ind w:right="80"/>
              <w:spacing w:after="0" w:line="111" w:lineRule="exact"/>
              <w:rPr>
                <w:sz w:val="20"/>
                <w:szCs w:val="20"/>
                <w:color w:val="auto"/>
              </w:rPr>
            </w:pPr>
            <w:r>
              <w:rPr>
                <w:rFonts w:ascii="Arial" w:cs="Arial" w:eastAsia="Arial" w:hAnsi="Arial"/>
                <w:sz w:val="11"/>
                <w:szCs w:val="11"/>
                <w:color w:val="auto"/>
              </w:rPr>
              <w:t>1.3</w:t>
            </w:r>
          </w:p>
        </w:tc>
        <w:tc>
          <w:tcPr>
            <w:tcW w:w="0" w:type="dxa"/>
            <w:vAlign w:val="bottom"/>
          </w:tcPr>
          <w:p>
            <w:pPr>
              <w:spacing w:after="0"/>
              <w:rPr>
                <w:sz w:val="1"/>
                <w:szCs w:val="1"/>
                <w:color w:val="auto"/>
              </w:rPr>
            </w:pPr>
          </w:p>
        </w:tc>
      </w:tr>
      <w:tr>
        <w:trPr>
          <w:trHeight w:val="111"/>
        </w:trPr>
        <w:tc>
          <w:tcPr>
            <w:tcW w:w="8700" w:type="dxa"/>
            <w:vAlign w:val="bottom"/>
            <w:shd w:val="clear" w:color="auto" w:fill="CCEEFF"/>
          </w:tcPr>
          <w:p>
            <w:pPr>
              <w:ind w:left="120"/>
              <w:spacing w:after="0" w:line="111" w:lineRule="exact"/>
              <w:rPr>
                <w:sz w:val="20"/>
                <w:szCs w:val="20"/>
                <w:color w:val="auto"/>
              </w:rPr>
            </w:pPr>
            <w:r>
              <w:rPr>
                <w:rFonts w:ascii="Arial" w:cs="Arial" w:eastAsia="Arial" w:hAnsi="Arial"/>
                <w:sz w:val="11"/>
                <w:szCs w:val="11"/>
                <w:color w:val="auto"/>
              </w:rPr>
              <w:t>Restructuring and other long-term liabilities</w:t>
            </w:r>
          </w:p>
        </w:tc>
        <w:tc>
          <w:tcPr>
            <w:tcW w:w="60" w:type="dxa"/>
            <w:vAlign w:val="bottom"/>
            <w:shd w:val="clear" w:color="auto" w:fill="CCEEFF"/>
          </w:tcPr>
          <w:p>
            <w:pPr>
              <w:spacing w:after="0"/>
              <w:rPr>
                <w:sz w:val="9"/>
                <w:szCs w:val="9"/>
                <w:color w:val="auto"/>
              </w:rPr>
            </w:pPr>
          </w:p>
        </w:tc>
        <w:tc>
          <w:tcPr>
            <w:tcW w:w="360" w:type="dxa"/>
            <w:vAlign w:val="bottom"/>
            <w:gridSpan w:val="2"/>
            <w:shd w:val="clear" w:color="auto" w:fill="CCEEFF"/>
          </w:tcPr>
          <w:p>
            <w:pPr>
              <w:jc w:val="right"/>
              <w:ind w:right="20"/>
              <w:spacing w:after="0" w:line="111" w:lineRule="exact"/>
              <w:rPr>
                <w:sz w:val="20"/>
                <w:szCs w:val="20"/>
                <w:color w:val="auto"/>
              </w:rPr>
            </w:pPr>
            <w:r>
              <w:rPr>
                <w:rFonts w:ascii="Arial" w:cs="Arial" w:eastAsia="Arial" w:hAnsi="Arial"/>
                <w:sz w:val="11"/>
                <w:szCs w:val="11"/>
                <w:color w:val="auto"/>
              </w:rPr>
              <w:t>3.2</w:t>
            </w:r>
          </w:p>
        </w:tc>
        <w:tc>
          <w:tcPr>
            <w:tcW w:w="2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80"/>
              <w:spacing w:after="0" w:line="111" w:lineRule="exact"/>
              <w:rPr>
                <w:sz w:val="20"/>
                <w:szCs w:val="20"/>
                <w:color w:val="auto"/>
              </w:rPr>
            </w:pPr>
            <w:r>
              <w:rPr>
                <w:rFonts w:ascii="Arial" w:cs="Arial" w:eastAsia="Arial" w:hAnsi="Arial"/>
                <w:sz w:val="11"/>
                <w:szCs w:val="11"/>
                <w:color w:val="auto"/>
              </w:rPr>
              <w:t>7.4</w:t>
            </w:r>
          </w:p>
        </w:tc>
        <w:tc>
          <w:tcPr>
            <w:tcW w:w="0" w:type="dxa"/>
            <w:vAlign w:val="bottom"/>
          </w:tcPr>
          <w:p>
            <w:pPr>
              <w:spacing w:after="0"/>
              <w:rPr>
                <w:sz w:val="1"/>
                <w:szCs w:val="1"/>
                <w:color w:val="auto"/>
              </w:rPr>
            </w:pPr>
          </w:p>
        </w:tc>
      </w:tr>
      <w:tr>
        <w:trPr>
          <w:trHeight w:val="111"/>
        </w:trPr>
        <w:tc>
          <w:tcPr>
            <w:tcW w:w="8700" w:type="dxa"/>
            <w:vAlign w:val="bottom"/>
          </w:tcPr>
          <w:p>
            <w:pPr>
              <w:ind w:left="120"/>
              <w:spacing w:after="0" w:line="111" w:lineRule="exact"/>
              <w:rPr>
                <w:sz w:val="20"/>
                <w:szCs w:val="20"/>
                <w:color w:val="auto"/>
              </w:rPr>
            </w:pPr>
            <w:r>
              <w:rPr>
                <w:rFonts w:ascii="Arial" w:cs="Arial" w:eastAsia="Arial" w:hAnsi="Arial"/>
                <w:sz w:val="11"/>
                <w:szCs w:val="11"/>
                <w:color w:val="auto"/>
              </w:rPr>
              <w:t>Redeemable preference shares</w:t>
            </w:r>
          </w:p>
        </w:tc>
        <w:tc>
          <w:tcPr>
            <w:tcW w:w="60" w:type="dxa"/>
            <w:vAlign w:val="bottom"/>
          </w:tcPr>
          <w:p>
            <w:pPr>
              <w:spacing w:after="0"/>
              <w:rPr>
                <w:sz w:val="9"/>
                <w:szCs w:val="9"/>
                <w:color w:val="auto"/>
              </w:rPr>
            </w:pPr>
          </w:p>
        </w:tc>
        <w:tc>
          <w:tcPr>
            <w:tcW w:w="360" w:type="dxa"/>
            <w:vAlign w:val="bottom"/>
            <w:gridSpan w:val="2"/>
          </w:tcPr>
          <w:p>
            <w:pPr>
              <w:jc w:val="right"/>
              <w:ind w:right="20"/>
              <w:spacing w:after="0" w:line="111" w:lineRule="exact"/>
              <w:rPr>
                <w:sz w:val="20"/>
                <w:szCs w:val="20"/>
                <w:color w:val="auto"/>
              </w:rPr>
            </w:pPr>
            <w:r>
              <w:rPr>
                <w:rFonts w:ascii="Arial" w:cs="Arial" w:eastAsia="Arial" w:hAnsi="Arial"/>
                <w:sz w:val="11"/>
                <w:szCs w:val="11"/>
                <w:color w:val="auto"/>
              </w:rPr>
              <w:t>8.3</w:t>
            </w: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gridSpan w:val="2"/>
          </w:tcPr>
          <w:p>
            <w:pPr>
              <w:jc w:val="right"/>
              <w:ind w:right="80"/>
              <w:spacing w:after="0" w:line="111" w:lineRule="exact"/>
              <w:rPr>
                <w:sz w:val="20"/>
                <w:szCs w:val="20"/>
                <w:color w:val="auto"/>
              </w:rPr>
            </w:pPr>
            <w:r>
              <w:rPr>
                <w:rFonts w:ascii="Arial" w:cs="Arial" w:eastAsia="Arial" w:hAnsi="Arial"/>
                <w:sz w:val="11"/>
                <w:szCs w:val="11"/>
                <w:color w:val="auto"/>
              </w:rPr>
              <w:t>8.3</w:t>
            </w:r>
          </w:p>
        </w:tc>
        <w:tc>
          <w:tcPr>
            <w:tcW w:w="0" w:type="dxa"/>
            <w:vAlign w:val="bottom"/>
          </w:tcPr>
          <w:p>
            <w:pPr>
              <w:spacing w:after="0"/>
              <w:rPr>
                <w:sz w:val="1"/>
                <w:szCs w:val="1"/>
                <w:color w:val="auto"/>
              </w:rPr>
            </w:pPr>
          </w:p>
        </w:tc>
      </w:tr>
      <w:tr>
        <w:trPr>
          <w:trHeight w:val="111"/>
        </w:trPr>
        <w:tc>
          <w:tcPr>
            <w:tcW w:w="8700" w:type="dxa"/>
            <w:vAlign w:val="bottom"/>
            <w:shd w:val="clear" w:color="auto" w:fill="CCEEFF"/>
          </w:tcPr>
          <w:p>
            <w:pPr>
              <w:ind w:left="120"/>
              <w:spacing w:after="0" w:line="111" w:lineRule="exact"/>
              <w:rPr>
                <w:sz w:val="20"/>
                <w:szCs w:val="20"/>
                <w:color w:val="auto"/>
              </w:rPr>
            </w:pPr>
            <w:r>
              <w:rPr>
                <w:rFonts w:ascii="Arial" w:cs="Arial" w:eastAsia="Arial" w:hAnsi="Arial"/>
                <w:sz w:val="11"/>
                <w:szCs w:val="11"/>
                <w:color w:val="auto"/>
              </w:rPr>
              <w:t>Warrants</w:t>
            </w:r>
          </w:p>
        </w:tc>
        <w:tc>
          <w:tcPr>
            <w:tcW w:w="60" w:type="dxa"/>
            <w:vAlign w:val="bottom"/>
            <w:shd w:val="clear" w:color="auto" w:fill="CCEEFF"/>
          </w:tcPr>
          <w:p>
            <w:pPr>
              <w:spacing w:after="0"/>
              <w:rPr>
                <w:sz w:val="9"/>
                <w:szCs w:val="9"/>
                <w:color w:val="auto"/>
              </w:rPr>
            </w:pPr>
          </w:p>
        </w:tc>
        <w:tc>
          <w:tcPr>
            <w:tcW w:w="640" w:type="dxa"/>
            <w:vAlign w:val="bottom"/>
            <w:gridSpan w:val="3"/>
            <w:shd w:val="clear" w:color="auto" w:fill="CCEEFF"/>
          </w:tcPr>
          <w:p>
            <w:pPr>
              <w:jc w:val="right"/>
              <w:ind w:right="300"/>
              <w:spacing w:after="0" w:line="111"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80"/>
              <w:spacing w:after="0" w:line="111" w:lineRule="exact"/>
              <w:rPr>
                <w:sz w:val="20"/>
                <w:szCs w:val="20"/>
                <w:color w:val="auto"/>
              </w:rPr>
            </w:pPr>
            <w:r>
              <w:rPr>
                <w:rFonts w:ascii="Arial" w:cs="Arial" w:eastAsia="Arial" w:hAnsi="Arial"/>
                <w:sz w:val="11"/>
                <w:szCs w:val="11"/>
                <w:color w:val="auto"/>
              </w:rPr>
              <w:t>0.6</w:t>
            </w:r>
          </w:p>
        </w:tc>
        <w:tc>
          <w:tcPr>
            <w:tcW w:w="0" w:type="dxa"/>
            <w:vAlign w:val="bottom"/>
          </w:tcPr>
          <w:p>
            <w:pPr>
              <w:spacing w:after="0"/>
              <w:rPr>
                <w:sz w:val="1"/>
                <w:szCs w:val="1"/>
                <w:color w:val="auto"/>
              </w:rPr>
            </w:pPr>
          </w:p>
        </w:tc>
      </w:tr>
      <w:tr>
        <w:trPr>
          <w:trHeight w:val="111"/>
        </w:trPr>
        <w:tc>
          <w:tcPr>
            <w:tcW w:w="8700" w:type="dxa"/>
            <w:vAlign w:val="bottom"/>
          </w:tcPr>
          <w:p>
            <w:pPr>
              <w:ind w:left="120"/>
              <w:spacing w:after="0" w:line="111" w:lineRule="exact"/>
              <w:rPr>
                <w:sz w:val="20"/>
                <w:szCs w:val="20"/>
                <w:color w:val="auto"/>
              </w:rPr>
            </w:pPr>
            <w:r>
              <w:rPr>
                <w:rFonts w:ascii="Arial" w:cs="Arial" w:eastAsia="Arial" w:hAnsi="Arial"/>
                <w:sz w:val="11"/>
                <w:szCs w:val="11"/>
                <w:color w:val="auto"/>
              </w:rPr>
              <w:t>Reserve for uncertain tax positions</w:t>
            </w:r>
          </w:p>
        </w:tc>
        <w:tc>
          <w:tcPr>
            <w:tcW w:w="60" w:type="dxa"/>
            <w:vAlign w:val="bottom"/>
          </w:tcPr>
          <w:p>
            <w:pPr>
              <w:spacing w:after="0"/>
              <w:rPr>
                <w:sz w:val="9"/>
                <w:szCs w:val="9"/>
                <w:color w:val="auto"/>
              </w:rPr>
            </w:pPr>
          </w:p>
        </w:tc>
        <w:tc>
          <w:tcPr>
            <w:tcW w:w="360" w:type="dxa"/>
            <w:vAlign w:val="bottom"/>
            <w:gridSpan w:val="2"/>
          </w:tcPr>
          <w:p>
            <w:pPr>
              <w:jc w:val="right"/>
              <w:ind w:right="20"/>
              <w:spacing w:after="0" w:line="111" w:lineRule="exact"/>
              <w:rPr>
                <w:sz w:val="20"/>
                <w:szCs w:val="20"/>
                <w:color w:val="auto"/>
              </w:rPr>
            </w:pPr>
            <w:r>
              <w:rPr>
                <w:rFonts w:ascii="Arial" w:cs="Arial" w:eastAsia="Arial" w:hAnsi="Arial"/>
                <w:sz w:val="11"/>
                <w:szCs w:val="11"/>
                <w:color w:val="auto"/>
              </w:rPr>
              <w:t>4.4</w:t>
            </w: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gridSpan w:val="2"/>
          </w:tcPr>
          <w:p>
            <w:pPr>
              <w:jc w:val="right"/>
              <w:ind w:right="80"/>
              <w:spacing w:after="0" w:line="111" w:lineRule="exact"/>
              <w:rPr>
                <w:sz w:val="20"/>
                <w:szCs w:val="20"/>
                <w:color w:val="auto"/>
              </w:rPr>
            </w:pPr>
            <w:r>
              <w:rPr>
                <w:rFonts w:ascii="Arial" w:cs="Arial" w:eastAsia="Arial" w:hAnsi="Arial"/>
                <w:sz w:val="11"/>
                <w:szCs w:val="11"/>
                <w:color w:val="auto"/>
              </w:rPr>
              <w:t>3.0</w:t>
            </w:r>
          </w:p>
        </w:tc>
        <w:tc>
          <w:tcPr>
            <w:tcW w:w="0" w:type="dxa"/>
            <w:vAlign w:val="bottom"/>
          </w:tcPr>
          <w:p>
            <w:pPr>
              <w:spacing w:after="0"/>
              <w:rPr>
                <w:sz w:val="1"/>
                <w:szCs w:val="1"/>
                <w:color w:val="auto"/>
              </w:rPr>
            </w:pPr>
          </w:p>
        </w:tc>
      </w:tr>
      <w:tr>
        <w:trPr>
          <w:trHeight w:val="111"/>
        </w:trPr>
        <w:tc>
          <w:tcPr>
            <w:tcW w:w="8700" w:type="dxa"/>
            <w:vAlign w:val="bottom"/>
            <w:shd w:val="clear" w:color="auto" w:fill="CCEEFF"/>
          </w:tcPr>
          <w:p>
            <w:pPr>
              <w:ind w:left="120"/>
              <w:spacing w:after="0" w:line="111" w:lineRule="exact"/>
              <w:rPr>
                <w:sz w:val="20"/>
                <w:szCs w:val="20"/>
                <w:color w:val="auto"/>
              </w:rPr>
            </w:pPr>
            <w:r>
              <w:rPr>
                <w:rFonts w:ascii="Arial" w:cs="Arial" w:eastAsia="Arial" w:hAnsi="Arial"/>
                <w:sz w:val="11"/>
                <w:szCs w:val="11"/>
                <w:color w:val="auto"/>
              </w:rPr>
              <w:t>Deferred income taxes</w:t>
            </w:r>
          </w:p>
        </w:tc>
        <w:tc>
          <w:tcPr>
            <w:tcW w:w="60" w:type="dxa"/>
            <w:vAlign w:val="bottom"/>
            <w:shd w:val="clear" w:color="auto" w:fill="CCEEFF"/>
          </w:tcPr>
          <w:p>
            <w:pPr>
              <w:spacing w:after="0"/>
              <w:rPr>
                <w:sz w:val="9"/>
                <w:szCs w:val="9"/>
                <w:color w:val="auto"/>
              </w:rPr>
            </w:pPr>
          </w:p>
        </w:tc>
        <w:tc>
          <w:tcPr>
            <w:tcW w:w="360" w:type="dxa"/>
            <w:vAlign w:val="bottom"/>
            <w:gridSpan w:val="2"/>
            <w:shd w:val="clear" w:color="auto" w:fill="CCEEFF"/>
          </w:tcPr>
          <w:p>
            <w:pPr>
              <w:jc w:val="right"/>
              <w:ind w:right="20"/>
              <w:spacing w:after="0" w:line="111" w:lineRule="exact"/>
              <w:rPr>
                <w:sz w:val="20"/>
                <w:szCs w:val="20"/>
                <w:color w:val="auto"/>
              </w:rPr>
            </w:pPr>
            <w:r>
              <w:rPr>
                <w:rFonts w:ascii="Arial" w:cs="Arial" w:eastAsia="Arial" w:hAnsi="Arial"/>
                <w:sz w:val="11"/>
                <w:szCs w:val="11"/>
                <w:color w:val="auto"/>
              </w:rPr>
              <w:t>0.9</w:t>
            </w:r>
          </w:p>
        </w:tc>
        <w:tc>
          <w:tcPr>
            <w:tcW w:w="2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80"/>
              <w:spacing w:after="0" w:line="111" w:lineRule="exact"/>
              <w:rPr>
                <w:sz w:val="20"/>
                <w:szCs w:val="20"/>
                <w:color w:val="auto"/>
              </w:rPr>
            </w:pPr>
            <w:r>
              <w:rPr>
                <w:rFonts w:ascii="Arial" w:cs="Arial" w:eastAsia="Arial" w:hAnsi="Arial"/>
                <w:sz w:val="11"/>
                <w:szCs w:val="11"/>
                <w:color w:val="auto"/>
              </w:rPr>
              <w:t>3.7</w:t>
            </w:r>
          </w:p>
        </w:tc>
        <w:tc>
          <w:tcPr>
            <w:tcW w:w="0" w:type="dxa"/>
            <w:vAlign w:val="bottom"/>
          </w:tcPr>
          <w:p>
            <w:pPr>
              <w:spacing w:after="0"/>
              <w:rPr>
                <w:sz w:val="1"/>
                <w:szCs w:val="1"/>
                <w:color w:val="auto"/>
              </w:rPr>
            </w:pPr>
          </w:p>
        </w:tc>
      </w:tr>
      <w:tr>
        <w:trPr>
          <w:trHeight w:val="111"/>
        </w:trPr>
        <w:tc>
          <w:tcPr>
            <w:tcW w:w="8700" w:type="dxa"/>
            <w:vAlign w:val="bottom"/>
          </w:tcPr>
          <w:p>
            <w:pPr>
              <w:spacing w:after="0" w:line="111" w:lineRule="exact"/>
              <w:rPr>
                <w:sz w:val="20"/>
                <w:szCs w:val="20"/>
                <w:color w:val="auto"/>
              </w:rPr>
            </w:pPr>
            <w:r>
              <w:rPr>
                <w:rFonts w:ascii="Arial" w:cs="Arial" w:eastAsia="Arial" w:hAnsi="Arial"/>
                <w:sz w:val="11"/>
                <w:szCs w:val="11"/>
                <w:color w:val="auto"/>
              </w:rPr>
              <w:t>Total Liabilities</w:t>
            </w:r>
          </w:p>
        </w:tc>
        <w:tc>
          <w:tcPr>
            <w:tcW w:w="6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jc w:val="right"/>
              <w:spacing w:after="0" w:line="111" w:lineRule="exact"/>
              <w:rPr>
                <w:sz w:val="20"/>
                <w:szCs w:val="20"/>
                <w:color w:val="auto"/>
              </w:rPr>
            </w:pPr>
            <w:r>
              <w:rPr>
                <w:rFonts w:ascii="Arial" w:cs="Arial" w:eastAsia="Arial" w:hAnsi="Arial"/>
                <w:sz w:val="11"/>
                <w:szCs w:val="11"/>
                <w:color w:val="auto"/>
              </w:rPr>
              <w:t>212.3</w:t>
            </w: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jc w:val="right"/>
              <w:spacing w:after="0" w:line="111" w:lineRule="exact"/>
              <w:rPr>
                <w:sz w:val="20"/>
                <w:szCs w:val="20"/>
                <w:color w:val="auto"/>
              </w:rPr>
            </w:pPr>
            <w:r>
              <w:rPr>
                <w:rFonts w:ascii="Arial" w:cs="Arial" w:eastAsia="Arial" w:hAnsi="Arial"/>
                <w:sz w:val="11"/>
                <w:szCs w:val="11"/>
                <w:color w:val="auto"/>
              </w:rPr>
              <w:t>229.1</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8700" w:type="dxa"/>
            <w:vAlign w:val="bottom"/>
            <w:shd w:val="clear" w:color="auto" w:fill="CCEEFF"/>
          </w:tcPr>
          <w:p>
            <w:pPr>
              <w:spacing w:after="0" w:line="111" w:lineRule="exact"/>
              <w:rPr>
                <w:sz w:val="20"/>
                <w:szCs w:val="20"/>
                <w:color w:val="auto"/>
              </w:rPr>
            </w:pPr>
            <w:r>
              <w:rPr>
                <w:rFonts w:ascii="Arial" w:cs="Arial" w:eastAsia="Arial" w:hAnsi="Arial"/>
                <w:sz w:val="11"/>
                <w:szCs w:val="11"/>
                <w:i w:val="1"/>
                <w:iCs w:val="1"/>
                <w:color w:val="auto"/>
              </w:rPr>
              <w:t>Commitments and contingencies</w:t>
            </w:r>
          </w:p>
        </w:tc>
        <w:tc>
          <w:tcPr>
            <w:tcW w:w="6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8700" w:type="dxa"/>
            <w:vAlign w:val="bottom"/>
          </w:tcPr>
          <w:p>
            <w:pPr>
              <w:spacing w:after="0" w:line="111" w:lineRule="exact"/>
              <w:rPr>
                <w:sz w:val="20"/>
                <w:szCs w:val="20"/>
                <w:color w:val="auto"/>
              </w:rPr>
            </w:pPr>
            <w:r>
              <w:rPr>
                <w:rFonts w:ascii="Arial" w:cs="Arial" w:eastAsia="Arial" w:hAnsi="Arial"/>
                <w:sz w:val="11"/>
                <w:szCs w:val="11"/>
                <w:i w:val="1"/>
                <w:iCs w:val="1"/>
                <w:color w:val="auto"/>
              </w:rPr>
              <w:t>Shareholders’ Equity</w:t>
            </w: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8700" w:type="dxa"/>
            <w:vAlign w:val="bottom"/>
            <w:shd w:val="clear" w:color="auto" w:fill="CCEEFF"/>
          </w:tcPr>
          <w:p>
            <w:pPr>
              <w:spacing w:after="0" w:line="111" w:lineRule="exact"/>
              <w:rPr>
                <w:sz w:val="20"/>
                <w:szCs w:val="20"/>
                <w:color w:val="auto"/>
              </w:rPr>
            </w:pPr>
            <w:r>
              <w:rPr>
                <w:rFonts w:ascii="Arial" w:cs="Arial" w:eastAsia="Arial" w:hAnsi="Arial"/>
                <w:sz w:val="11"/>
                <w:szCs w:val="11"/>
                <w:color w:val="auto"/>
              </w:rPr>
              <w:t>Preferred stock, $0.01 par value; 50,000,000 shares authorized; none issued</w:t>
            </w:r>
          </w:p>
        </w:tc>
        <w:tc>
          <w:tcPr>
            <w:tcW w:w="60" w:type="dxa"/>
            <w:vAlign w:val="bottom"/>
            <w:shd w:val="clear" w:color="auto" w:fill="CCEEFF"/>
          </w:tcPr>
          <w:p>
            <w:pPr>
              <w:spacing w:after="0"/>
              <w:rPr>
                <w:sz w:val="9"/>
                <w:szCs w:val="9"/>
                <w:color w:val="auto"/>
              </w:rPr>
            </w:pPr>
          </w:p>
        </w:tc>
        <w:tc>
          <w:tcPr>
            <w:tcW w:w="640" w:type="dxa"/>
            <w:vAlign w:val="bottom"/>
            <w:gridSpan w:val="3"/>
            <w:shd w:val="clear" w:color="auto" w:fill="CCEEFF"/>
          </w:tcPr>
          <w:p>
            <w:pPr>
              <w:jc w:val="right"/>
              <w:ind w:right="300"/>
              <w:spacing w:after="0" w:line="111"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80"/>
              <w:spacing w:after="0" w:line="111"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1"/>
        </w:trPr>
        <w:tc>
          <w:tcPr>
            <w:tcW w:w="8700" w:type="dxa"/>
            <w:vAlign w:val="bottom"/>
          </w:tcPr>
          <w:p>
            <w:pPr>
              <w:spacing w:after="0" w:line="111" w:lineRule="exact"/>
              <w:rPr>
                <w:sz w:val="20"/>
                <w:szCs w:val="20"/>
                <w:color w:val="auto"/>
              </w:rPr>
            </w:pPr>
            <w:r>
              <w:rPr>
                <w:rFonts w:ascii="Arial" w:cs="Arial" w:eastAsia="Arial" w:hAnsi="Arial"/>
                <w:sz w:val="11"/>
                <w:szCs w:val="11"/>
                <w:color w:val="auto"/>
                <w:w w:val="99"/>
              </w:rPr>
              <w:t>Common stock, Class A, $0.01 par value; 300,000,000 shares authorized; issued and outstanding 58,903,177 shares as of July 3, 2009 and 25,556,134 shares as of June 27, 2008</w:t>
            </w:r>
          </w:p>
        </w:tc>
        <w:tc>
          <w:tcPr>
            <w:tcW w:w="60" w:type="dxa"/>
            <w:vAlign w:val="bottom"/>
          </w:tcPr>
          <w:p>
            <w:pPr>
              <w:spacing w:after="0"/>
              <w:rPr>
                <w:sz w:val="9"/>
                <w:szCs w:val="9"/>
                <w:color w:val="auto"/>
              </w:rPr>
            </w:pPr>
          </w:p>
        </w:tc>
        <w:tc>
          <w:tcPr>
            <w:tcW w:w="360" w:type="dxa"/>
            <w:vAlign w:val="bottom"/>
            <w:gridSpan w:val="2"/>
          </w:tcPr>
          <w:p>
            <w:pPr>
              <w:jc w:val="right"/>
              <w:ind w:right="20"/>
              <w:spacing w:after="0" w:line="111" w:lineRule="exact"/>
              <w:rPr>
                <w:sz w:val="20"/>
                <w:szCs w:val="20"/>
                <w:color w:val="auto"/>
              </w:rPr>
            </w:pPr>
            <w:r>
              <w:rPr>
                <w:rFonts w:ascii="Arial" w:cs="Arial" w:eastAsia="Arial" w:hAnsi="Arial"/>
                <w:sz w:val="11"/>
                <w:szCs w:val="11"/>
                <w:color w:val="auto"/>
              </w:rPr>
              <w:t>0.6</w:t>
            </w: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gridSpan w:val="2"/>
          </w:tcPr>
          <w:p>
            <w:pPr>
              <w:jc w:val="right"/>
              <w:ind w:right="80"/>
              <w:spacing w:after="0" w:line="111" w:lineRule="exact"/>
              <w:rPr>
                <w:sz w:val="20"/>
                <w:szCs w:val="20"/>
                <w:color w:val="auto"/>
              </w:rPr>
            </w:pPr>
            <w:r>
              <w:rPr>
                <w:rFonts w:ascii="Arial" w:cs="Arial" w:eastAsia="Arial" w:hAnsi="Arial"/>
                <w:sz w:val="11"/>
                <w:szCs w:val="11"/>
                <w:color w:val="auto"/>
              </w:rPr>
              <w:t>0.3</w:t>
            </w:r>
          </w:p>
        </w:tc>
        <w:tc>
          <w:tcPr>
            <w:tcW w:w="0" w:type="dxa"/>
            <w:vAlign w:val="bottom"/>
          </w:tcPr>
          <w:p>
            <w:pPr>
              <w:spacing w:after="0"/>
              <w:rPr>
                <w:sz w:val="1"/>
                <w:szCs w:val="1"/>
                <w:color w:val="auto"/>
              </w:rPr>
            </w:pPr>
          </w:p>
        </w:tc>
      </w:tr>
      <w:tr>
        <w:trPr>
          <w:trHeight w:val="111"/>
        </w:trPr>
        <w:tc>
          <w:tcPr>
            <w:tcW w:w="8700" w:type="dxa"/>
            <w:vAlign w:val="bottom"/>
            <w:shd w:val="clear" w:color="auto" w:fill="CCEEFF"/>
          </w:tcPr>
          <w:p>
            <w:pPr>
              <w:spacing w:after="0" w:line="111" w:lineRule="exact"/>
              <w:rPr>
                <w:sz w:val="20"/>
                <w:szCs w:val="20"/>
                <w:color w:val="auto"/>
              </w:rPr>
            </w:pPr>
            <w:r>
              <w:rPr>
                <w:rFonts w:ascii="Arial" w:cs="Arial" w:eastAsia="Arial" w:hAnsi="Arial"/>
                <w:sz w:val="11"/>
                <w:szCs w:val="11"/>
                <w:color w:val="auto"/>
              </w:rPr>
              <w:t>Common stock, Class B, $0.01 par value; 100,000,000 shares authorized; issued and outstanding zero shares as of July 3, 2009 and 32,913,377 shares as of June 27, 2008</w:t>
            </w:r>
          </w:p>
        </w:tc>
        <w:tc>
          <w:tcPr>
            <w:tcW w:w="60" w:type="dxa"/>
            <w:vAlign w:val="bottom"/>
            <w:shd w:val="clear" w:color="auto" w:fill="CCEEFF"/>
          </w:tcPr>
          <w:p>
            <w:pPr>
              <w:spacing w:after="0"/>
              <w:rPr>
                <w:sz w:val="9"/>
                <w:szCs w:val="9"/>
                <w:color w:val="auto"/>
              </w:rPr>
            </w:pPr>
          </w:p>
        </w:tc>
        <w:tc>
          <w:tcPr>
            <w:tcW w:w="640" w:type="dxa"/>
            <w:vAlign w:val="bottom"/>
            <w:gridSpan w:val="3"/>
            <w:shd w:val="clear" w:color="auto" w:fill="CCEEFF"/>
          </w:tcPr>
          <w:p>
            <w:pPr>
              <w:jc w:val="right"/>
              <w:ind w:right="300"/>
              <w:spacing w:after="0" w:line="111"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80"/>
              <w:spacing w:after="0" w:line="111" w:lineRule="exact"/>
              <w:rPr>
                <w:sz w:val="20"/>
                <w:szCs w:val="20"/>
                <w:color w:val="auto"/>
              </w:rPr>
            </w:pPr>
            <w:r>
              <w:rPr>
                <w:rFonts w:ascii="Arial" w:cs="Arial" w:eastAsia="Arial" w:hAnsi="Arial"/>
                <w:sz w:val="11"/>
                <w:szCs w:val="11"/>
                <w:color w:val="auto"/>
              </w:rPr>
              <w:t>0.3</w:t>
            </w:r>
          </w:p>
        </w:tc>
        <w:tc>
          <w:tcPr>
            <w:tcW w:w="0" w:type="dxa"/>
            <w:vAlign w:val="bottom"/>
          </w:tcPr>
          <w:p>
            <w:pPr>
              <w:spacing w:after="0"/>
              <w:rPr>
                <w:sz w:val="1"/>
                <w:szCs w:val="1"/>
                <w:color w:val="auto"/>
              </w:rPr>
            </w:pPr>
          </w:p>
        </w:tc>
      </w:tr>
      <w:tr>
        <w:trPr>
          <w:trHeight w:val="111"/>
        </w:trPr>
        <w:tc>
          <w:tcPr>
            <w:tcW w:w="8700" w:type="dxa"/>
            <w:vAlign w:val="bottom"/>
          </w:tcPr>
          <w:p>
            <w:pPr>
              <w:spacing w:after="0" w:line="111" w:lineRule="exact"/>
              <w:rPr>
                <w:sz w:val="20"/>
                <w:szCs w:val="20"/>
                <w:color w:val="auto"/>
              </w:rPr>
            </w:pPr>
            <w:r>
              <w:rPr>
                <w:rFonts w:ascii="Arial" w:cs="Arial" w:eastAsia="Arial" w:hAnsi="Arial"/>
                <w:sz w:val="11"/>
                <w:szCs w:val="11"/>
                <w:color w:val="auto"/>
              </w:rPr>
              <w:t>Additional paid-in-capital</w:t>
            </w:r>
          </w:p>
        </w:tc>
        <w:tc>
          <w:tcPr>
            <w:tcW w:w="60" w:type="dxa"/>
            <w:vAlign w:val="bottom"/>
          </w:tcPr>
          <w:p>
            <w:pPr>
              <w:spacing w:after="0"/>
              <w:rPr>
                <w:sz w:val="9"/>
                <w:szCs w:val="9"/>
                <w:color w:val="auto"/>
              </w:rPr>
            </w:pPr>
          </w:p>
        </w:tc>
        <w:tc>
          <w:tcPr>
            <w:tcW w:w="360" w:type="dxa"/>
            <w:vAlign w:val="bottom"/>
            <w:gridSpan w:val="2"/>
          </w:tcPr>
          <w:p>
            <w:pPr>
              <w:jc w:val="right"/>
              <w:ind w:right="20"/>
              <w:spacing w:after="0" w:line="111" w:lineRule="exact"/>
              <w:rPr>
                <w:sz w:val="20"/>
                <w:szCs w:val="20"/>
                <w:color w:val="auto"/>
              </w:rPr>
            </w:pPr>
            <w:r>
              <w:rPr>
                <w:rFonts w:ascii="Arial" w:cs="Arial" w:eastAsia="Arial" w:hAnsi="Arial"/>
                <w:sz w:val="11"/>
                <w:szCs w:val="11"/>
                <w:color w:val="auto"/>
              </w:rPr>
              <w:t>783.2</w:t>
            </w: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gridSpan w:val="2"/>
          </w:tcPr>
          <w:p>
            <w:pPr>
              <w:jc w:val="right"/>
              <w:ind w:right="80"/>
              <w:spacing w:after="0" w:line="111" w:lineRule="exact"/>
              <w:rPr>
                <w:sz w:val="20"/>
                <w:szCs w:val="20"/>
                <w:color w:val="auto"/>
              </w:rPr>
            </w:pPr>
            <w:r>
              <w:rPr>
                <w:rFonts w:ascii="Arial" w:cs="Arial" w:eastAsia="Arial" w:hAnsi="Arial"/>
                <w:sz w:val="11"/>
                <w:szCs w:val="11"/>
                <w:color w:val="auto"/>
              </w:rPr>
              <w:t>779.9</w:t>
            </w:r>
          </w:p>
        </w:tc>
        <w:tc>
          <w:tcPr>
            <w:tcW w:w="0" w:type="dxa"/>
            <w:vAlign w:val="bottom"/>
          </w:tcPr>
          <w:p>
            <w:pPr>
              <w:spacing w:after="0"/>
              <w:rPr>
                <w:sz w:val="1"/>
                <w:szCs w:val="1"/>
                <w:color w:val="auto"/>
              </w:rPr>
            </w:pPr>
          </w:p>
        </w:tc>
      </w:tr>
      <w:tr>
        <w:trPr>
          <w:trHeight w:val="111"/>
        </w:trPr>
        <w:tc>
          <w:tcPr>
            <w:tcW w:w="8700" w:type="dxa"/>
            <w:vAlign w:val="bottom"/>
            <w:shd w:val="clear" w:color="auto" w:fill="CCEEFF"/>
          </w:tcPr>
          <w:p>
            <w:pPr>
              <w:spacing w:after="0" w:line="111" w:lineRule="exact"/>
              <w:rPr>
                <w:sz w:val="20"/>
                <w:szCs w:val="20"/>
                <w:color w:val="auto"/>
              </w:rPr>
            </w:pPr>
            <w:r>
              <w:rPr>
                <w:rFonts w:ascii="Arial" w:cs="Arial" w:eastAsia="Arial" w:hAnsi="Arial"/>
                <w:sz w:val="11"/>
                <w:szCs w:val="11"/>
                <w:color w:val="auto"/>
              </w:rPr>
              <w:t>Accumulated deficit</w:t>
            </w:r>
          </w:p>
        </w:tc>
        <w:tc>
          <w:tcPr>
            <w:tcW w:w="60" w:type="dxa"/>
            <w:vAlign w:val="bottom"/>
            <w:shd w:val="clear" w:color="auto" w:fill="CCEEFF"/>
          </w:tcPr>
          <w:p>
            <w:pPr>
              <w:spacing w:after="0"/>
              <w:rPr>
                <w:sz w:val="9"/>
                <w:szCs w:val="9"/>
                <w:color w:val="auto"/>
              </w:rPr>
            </w:pPr>
          </w:p>
        </w:tc>
        <w:tc>
          <w:tcPr>
            <w:tcW w:w="640" w:type="dxa"/>
            <w:vAlign w:val="bottom"/>
            <w:gridSpan w:val="3"/>
            <w:shd w:val="clear" w:color="auto" w:fill="CCEEFF"/>
          </w:tcPr>
          <w:p>
            <w:pPr>
              <w:jc w:val="right"/>
              <w:ind w:right="260"/>
              <w:spacing w:after="0" w:line="111" w:lineRule="exact"/>
              <w:rPr>
                <w:sz w:val="20"/>
                <w:szCs w:val="20"/>
                <w:color w:val="auto"/>
              </w:rPr>
            </w:pPr>
            <w:r>
              <w:rPr>
                <w:rFonts w:ascii="Arial" w:cs="Arial" w:eastAsia="Arial" w:hAnsi="Arial"/>
                <w:sz w:val="11"/>
                <w:szCs w:val="11"/>
                <w:color w:val="auto"/>
              </w:rPr>
              <w:t>(391.1)</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60"/>
              <w:spacing w:after="0" w:line="111" w:lineRule="exact"/>
              <w:rPr>
                <w:sz w:val="20"/>
                <w:szCs w:val="20"/>
                <w:color w:val="auto"/>
              </w:rPr>
            </w:pPr>
            <w:r>
              <w:rPr>
                <w:rFonts w:ascii="Arial" w:cs="Arial" w:eastAsia="Arial" w:hAnsi="Arial"/>
                <w:sz w:val="11"/>
                <w:szCs w:val="11"/>
                <w:color w:val="auto"/>
              </w:rPr>
              <w:t>(36.1)</w:t>
            </w:r>
          </w:p>
        </w:tc>
        <w:tc>
          <w:tcPr>
            <w:tcW w:w="0" w:type="dxa"/>
            <w:vAlign w:val="bottom"/>
          </w:tcPr>
          <w:p>
            <w:pPr>
              <w:spacing w:after="0"/>
              <w:rPr>
                <w:sz w:val="1"/>
                <w:szCs w:val="1"/>
                <w:color w:val="auto"/>
              </w:rPr>
            </w:pPr>
          </w:p>
        </w:tc>
      </w:tr>
      <w:tr>
        <w:trPr>
          <w:trHeight w:val="111"/>
        </w:trPr>
        <w:tc>
          <w:tcPr>
            <w:tcW w:w="8700" w:type="dxa"/>
            <w:vAlign w:val="bottom"/>
          </w:tcPr>
          <w:p>
            <w:pPr>
              <w:spacing w:after="0" w:line="111" w:lineRule="exact"/>
              <w:rPr>
                <w:sz w:val="20"/>
                <w:szCs w:val="20"/>
                <w:color w:val="auto"/>
              </w:rPr>
            </w:pPr>
            <w:r>
              <w:rPr>
                <w:rFonts w:ascii="Arial" w:cs="Arial" w:eastAsia="Arial" w:hAnsi="Arial"/>
                <w:sz w:val="11"/>
                <w:szCs w:val="11"/>
                <w:color w:val="auto"/>
              </w:rPr>
              <w:t>Accumulated other comprehensive (loss) income</w:t>
            </w:r>
          </w:p>
        </w:tc>
        <w:tc>
          <w:tcPr>
            <w:tcW w:w="60" w:type="dxa"/>
            <w:vAlign w:val="bottom"/>
          </w:tcPr>
          <w:p>
            <w:pPr>
              <w:spacing w:after="0"/>
              <w:rPr>
                <w:sz w:val="9"/>
                <w:szCs w:val="9"/>
                <w:color w:val="auto"/>
              </w:rPr>
            </w:pPr>
          </w:p>
        </w:tc>
        <w:tc>
          <w:tcPr>
            <w:tcW w:w="640" w:type="dxa"/>
            <w:vAlign w:val="bottom"/>
            <w:gridSpan w:val="3"/>
          </w:tcPr>
          <w:p>
            <w:pPr>
              <w:jc w:val="right"/>
              <w:ind w:right="260"/>
              <w:spacing w:after="0" w:line="111" w:lineRule="exact"/>
              <w:rPr>
                <w:sz w:val="20"/>
                <w:szCs w:val="20"/>
                <w:color w:val="auto"/>
              </w:rPr>
            </w:pPr>
            <w:r>
              <w:rPr>
                <w:rFonts w:ascii="Arial" w:cs="Arial" w:eastAsia="Arial" w:hAnsi="Arial"/>
                <w:sz w:val="11"/>
                <w:szCs w:val="11"/>
                <w:color w:val="auto"/>
              </w:rPr>
              <w:t>(4.8)</w:t>
            </w:r>
          </w:p>
        </w:tc>
        <w:tc>
          <w:tcPr>
            <w:tcW w:w="60" w:type="dxa"/>
            <w:vAlign w:val="bottom"/>
          </w:tcPr>
          <w:p>
            <w:pPr>
              <w:spacing w:after="0"/>
              <w:rPr>
                <w:sz w:val="9"/>
                <w:szCs w:val="9"/>
                <w:color w:val="auto"/>
              </w:rPr>
            </w:pPr>
          </w:p>
        </w:tc>
        <w:tc>
          <w:tcPr>
            <w:tcW w:w="520" w:type="dxa"/>
            <w:vAlign w:val="bottom"/>
            <w:gridSpan w:val="2"/>
          </w:tcPr>
          <w:p>
            <w:pPr>
              <w:jc w:val="right"/>
              <w:ind w:right="80"/>
              <w:spacing w:after="0" w:line="111" w:lineRule="exact"/>
              <w:rPr>
                <w:sz w:val="20"/>
                <w:szCs w:val="20"/>
                <w:color w:val="auto"/>
              </w:rPr>
            </w:pPr>
            <w:r>
              <w:rPr>
                <w:rFonts w:ascii="Arial" w:cs="Arial" w:eastAsia="Arial" w:hAnsi="Arial"/>
                <w:sz w:val="11"/>
                <w:szCs w:val="11"/>
                <w:color w:val="auto"/>
              </w:rPr>
              <w:t>3.8</w:t>
            </w:r>
          </w:p>
        </w:tc>
        <w:tc>
          <w:tcPr>
            <w:tcW w:w="0" w:type="dxa"/>
            <w:vAlign w:val="bottom"/>
          </w:tcPr>
          <w:p>
            <w:pPr>
              <w:spacing w:after="0"/>
              <w:rPr>
                <w:sz w:val="1"/>
                <w:szCs w:val="1"/>
                <w:color w:val="auto"/>
              </w:rPr>
            </w:pPr>
          </w:p>
        </w:tc>
      </w:tr>
      <w:tr>
        <w:trPr>
          <w:trHeight w:val="111"/>
        </w:trPr>
        <w:tc>
          <w:tcPr>
            <w:tcW w:w="8700" w:type="dxa"/>
            <w:vAlign w:val="bottom"/>
            <w:shd w:val="clear" w:color="auto" w:fill="CCEEFF"/>
          </w:tcPr>
          <w:p>
            <w:pPr>
              <w:spacing w:after="0" w:line="111" w:lineRule="exact"/>
              <w:rPr>
                <w:sz w:val="20"/>
                <w:szCs w:val="20"/>
                <w:color w:val="auto"/>
              </w:rPr>
            </w:pPr>
            <w:r>
              <w:rPr>
                <w:rFonts w:ascii="Arial" w:cs="Arial" w:eastAsia="Arial" w:hAnsi="Arial"/>
                <w:sz w:val="11"/>
                <w:szCs w:val="11"/>
                <w:color w:val="auto"/>
              </w:rPr>
              <w:t>Total Shareholders’ Equity</w:t>
            </w:r>
          </w:p>
        </w:tc>
        <w:tc>
          <w:tcPr>
            <w:tcW w:w="60" w:type="dxa"/>
            <w:vAlign w:val="bottom"/>
            <w:tcBorders>
              <w:top w:val="single" w:sz="8" w:color="auto"/>
              <w:bottom w:val="single" w:sz="8" w:color="auto"/>
            </w:tcBorders>
            <w:shd w:val="clear" w:color="auto" w:fill="CCEEFF"/>
          </w:tcPr>
          <w:p>
            <w:pPr>
              <w:spacing w:after="0"/>
              <w:rPr>
                <w:sz w:val="9"/>
                <w:szCs w:val="9"/>
                <w:color w:val="auto"/>
              </w:rPr>
            </w:pPr>
          </w:p>
        </w:tc>
        <w:tc>
          <w:tcPr>
            <w:tcW w:w="340" w:type="dxa"/>
            <w:vAlign w:val="bottom"/>
            <w:tcBorders>
              <w:top w:val="single" w:sz="8" w:color="auto"/>
              <w:bottom w:val="single" w:sz="8" w:color="auto"/>
            </w:tcBorders>
            <w:shd w:val="clear" w:color="auto" w:fill="CCEEFF"/>
          </w:tcPr>
          <w:p>
            <w:pPr>
              <w:jc w:val="right"/>
              <w:spacing w:after="0" w:line="111" w:lineRule="exact"/>
              <w:rPr>
                <w:sz w:val="20"/>
                <w:szCs w:val="20"/>
                <w:color w:val="auto"/>
              </w:rPr>
            </w:pPr>
            <w:r>
              <w:rPr>
                <w:rFonts w:ascii="Arial" w:cs="Arial" w:eastAsia="Arial" w:hAnsi="Arial"/>
                <w:sz w:val="11"/>
                <w:szCs w:val="11"/>
                <w:color w:val="auto"/>
              </w:rPr>
              <w:t>387.9</w:t>
            </w:r>
          </w:p>
        </w:tc>
        <w:tc>
          <w:tcPr>
            <w:tcW w:w="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60" w:type="dxa"/>
            <w:vAlign w:val="bottom"/>
            <w:tcBorders>
              <w:top w:val="single" w:sz="8" w:color="auto"/>
              <w:bottom w:val="single" w:sz="8" w:color="auto"/>
            </w:tcBorders>
            <w:shd w:val="clear" w:color="auto" w:fill="CCEEFF"/>
          </w:tcPr>
          <w:p>
            <w:pPr>
              <w:spacing w:after="0"/>
              <w:rPr>
                <w:sz w:val="9"/>
                <w:szCs w:val="9"/>
                <w:color w:val="auto"/>
              </w:rPr>
            </w:pPr>
          </w:p>
        </w:tc>
        <w:tc>
          <w:tcPr>
            <w:tcW w:w="440" w:type="dxa"/>
            <w:vAlign w:val="bottom"/>
            <w:tcBorders>
              <w:top w:val="single" w:sz="8" w:color="auto"/>
              <w:bottom w:val="single" w:sz="8" w:color="auto"/>
            </w:tcBorders>
            <w:shd w:val="clear" w:color="auto" w:fill="CCEEFF"/>
          </w:tcPr>
          <w:p>
            <w:pPr>
              <w:jc w:val="right"/>
              <w:spacing w:after="0" w:line="111" w:lineRule="exact"/>
              <w:rPr>
                <w:sz w:val="20"/>
                <w:szCs w:val="20"/>
                <w:color w:val="auto"/>
              </w:rPr>
            </w:pPr>
            <w:r>
              <w:rPr>
                <w:rFonts w:ascii="Arial" w:cs="Arial" w:eastAsia="Arial" w:hAnsi="Arial"/>
                <w:sz w:val="11"/>
                <w:szCs w:val="11"/>
                <w:color w:val="auto"/>
              </w:rPr>
              <w:t>748.2</w:t>
            </w: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8700" w:type="dxa"/>
            <w:vAlign w:val="bottom"/>
          </w:tcPr>
          <w:p>
            <w:pPr>
              <w:spacing w:after="0" w:line="111" w:lineRule="exact"/>
              <w:rPr>
                <w:sz w:val="20"/>
                <w:szCs w:val="20"/>
                <w:color w:val="auto"/>
              </w:rPr>
            </w:pPr>
            <w:r>
              <w:rPr>
                <w:rFonts w:ascii="Arial" w:cs="Arial" w:eastAsia="Arial" w:hAnsi="Arial"/>
                <w:sz w:val="11"/>
                <w:szCs w:val="11"/>
                <w:color w:val="auto"/>
              </w:rPr>
              <w:t>Total Liabilities and Shareholders’ Equity</w:t>
            </w: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340" w:type="dxa"/>
            <w:vAlign w:val="bottom"/>
            <w:tcBorders>
              <w:bottom w:val="single" w:sz="8" w:color="auto"/>
            </w:tcBorders>
          </w:tcPr>
          <w:p>
            <w:pPr>
              <w:jc w:val="right"/>
              <w:spacing w:after="0" w:line="111" w:lineRule="exact"/>
              <w:rPr>
                <w:sz w:val="20"/>
                <w:szCs w:val="20"/>
                <w:color w:val="auto"/>
              </w:rPr>
            </w:pPr>
            <w:r>
              <w:rPr>
                <w:rFonts w:ascii="Arial" w:cs="Arial" w:eastAsia="Arial" w:hAnsi="Arial"/>
                <w:sz w:val="11"/>
                <w:szCs w:val="11"/>
                <w:color w:val="auto"/>
              </w:rPr>
              <w:t>600.2</w:t>
            </w:r>
          </w:p>
        </w:tc>
        <w:tc>
          <w:tcPr>
            <w:tcW w:w="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Borders>
              <w:bottom w:val="single" w:sz="8" w:color="auto"/>
            </w:tcBorders>
          </w:tcPr>
          <w:p>
            <w:pPr>
              <w:jc w:val="right"/>
              <w:spacing w:after="0" w:line="111" w:lineRule="exact"/>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tcPr>
          <w:p>
            <w:pPr>
              <w:jc w:val="right"/>
              <w:spacing w:after="0" w:line="111" w:lineRule="exact"/>
              <w:rPr>
                <w:sz w:val="20"/>
                <w:szCs w:val="20"/>
                <w:color w:val="auto"/>
              </w:rPr>
            </w:pPr>
            <w:r>
              <w:rPr>
                <w:rFonts w:ascii="Arial" w:cs="Arial" w:eastAsia="Arial" w:hAnsi="Arial"/>
                <w:sz w:val="11"/>
                <w:szCs w:val="11"/>
                <w:color w:val="auto"/>
              </w:rPr>
              <w:t>977.3</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ind w:left="3980"/>
        <w:spacing w:after="0"/>
        <w:rPr>
          <w:sz w:val="20"/>
          <w:szCs w:val="20"/>
          <w:color w:val="auto"/>
        </w:rPr>
      </w:pPr>
      <w:r>
        <w:rPr>
          <w:rFonts w:ascii="Arial" w:cs="Arial" w:eastAsia="Arial" w:hAnsi="Arial"/>
          <w:sz w:val="13"/>
          <w:szCs w:val="13"/>
          <w:color w:val="auto"/>
        </w:rPr>
        <w:t>See accompanying Notes to Consolidated Financial Statements</w:t>
      </w:r>
    </w:p>
    <w:p>
      <w:pPr>
        <w:spacing w:after="0" w:line="31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63" w:name="page64"/>
    <w:bookmarkEnd w:id="6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HARRIS STRATEX NETWORKS, INC. AND SUBSIDIARIES</w:t>
      </w:r>
    </w:p>
    <w:p>
      <w:pPr>
        <w:spacing w:after="0" w:line="173" w:lineRule="exact"/>
        <w:rPr>
          <w:sz w:val="20"/>
          <w:szCs w:val="20"/>
          <w:color w:val="auto"/>
        </w:rPr>
      </w:pPr>
    </w:p>
    <w:p>
      <w:pPr>
        <w:ind w:left="4100"/>
        <w:spacing w:after="0"/>
        <w:rPr>
          <w:sz w:val="20"/>
          <w:szCs w:val="20"/>
          <w:color w:val="auto"/>
        </w:rPr>
      </w:pPr>
      <w:r>
        <w:rPr>
          <w:rFonts w:ascii="Arial" w:cs="Arial" w:eastAsia="Arial" w:hAnsi="Arial"/>
          <w:sz w:val="13"/>
          <w:szCs w:val="13"/>
          <w:b w:val="1"/>
          <w:bCs w:val="1"/>
          <w:color w:val="auto"/>
        </w:rPr>
        <w:t>CONSOLIDATED STATEMENTS OF CASH FLOWS</w:t>
      </w:r>
    </w:p>
    <w:p>
      <w:pPr>
        <w:spacing w:after="0" w:line="189" w:lineRule="exact"/>
        <w:rPr>
          <w:sz w:val="20"/>
          <w:szCs w:val="20"/>
          <w:color w:val="auto"/>
        </w:rPr>
      </w:pPr>
    </w:p>
    <w:tbl>
      <w:tblPr>
        <w:tblLayout w:type="fixed"/>
        <w:tblInd w:w="680" w:type="dxa"/>
        <w:tblCellMar>
          <w:top w:w="0" w:type="dxa"/>
          <w:left w:w="0" w:type="dxa"/>
          <w:bottom w:w="0" w:type="dxa"/>
          <w:right w:w="0" w:type="dxa"/>
        </w:tblCellMar>
      </w:tblPr>
      <w:tr>
        <w:trPr>
          <w:trHeight w:val="128"/>
        </w:trPr>
        <w:tc>
          <w:tcPr>
            <w:tcW w:w="79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1"/>
                <w:szCs w:val="11"/>
                <w:b w:val="1"/>
                <w:bCs w:val="1"/>
                <w:color w:val="auto"/>
                <w:w w:val="91"/>
              </w:rPr>
              <w:t>Fiscal Years Ended</w:t>
            </w: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84"/>
        </w:trPr>
        <w:tc>
          <w:tcPr>
            <w:tcW w:w="7900" w:type="dxa"/>
            <w:vAlign w:val="bottom"/>
          </w:tcPr>
          <w:p>
            <w:pPr>
              <w:spacing w:after="0"/>
              <w:rPr>
                <w:sz w:val="7"/>
                <w:szCs w:val="7"/>
                <w:color w:val="auto"/>
              </w:rPr>
            </w:pPr>
          </w:p>
        </w:tc>
        <w:tc>
          <w:tcPr>
            <w:tcW w:w="500" w:type="dxa"/>
            <w:vAlign w:val="bottom"/>
            <w:gridSpan w:val="3"/>
          </w:tcPr>
          <w:p>
            <w:pPr>
              <w:jc w:val="right"/>
              <w:ind w:right="140"/>
              <w:spacing w:after="0" w:line="84" w:lineRule="exact"/>
              <w:rPr>
                <w:sz w:val="20"/>
                <w:szCs w:val="20"/>
                <w:color w:val="auto"/>
              </w:rPr>
            </w:pPr>
            <w:r>
              <w:rPr>
                <w:rFonts w:ascii="Arial" w:cs="Arial" w:eastAsia="Arial" w:hAnsi="Arial"/>
                <w:sz w:val="9"/>
                <w:szCs w:val="9"/>
                <w:b w:val="1"/>
                <w:bCs w:val="1"/>
                <w:color w:val="auto"/>
              </w:rPr>
              <w:t>July 3,</w:t>
            </w: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tcPr>
          <w:p>
            <w:pPr>
              <w:jc w:val="right"/>
              <w:ind w:right="360"/>
              <w:spacing w:after="0" w:line="84" w:lineRule="exact"/>
              <w:rPr>
                <w:sz w:val="20"/>
                <w:szCs w:val="20"/>
                <w:color w:val="auto"/>
              </w:rPr>
            </w:pPr>
            <w:r>
              <w:rPr>
                <w:rFonts w:ascii="Arial" w:cs="Arial" w:eastAsia="Arial" w:hAnsi="Arial"/>
                <w:sz w:val="9"/>
                <w:szCs w:val="9"/>
                <w:b w:val="1"/>
                <w:bCs w:val="1"/>
                <w:color w:val="auto"/>
                <w:w w:val="99"/>
              </w:rPr>
              <w:t>June 27,</w:t>
            </w:r>
          </w:p>
        </w:tc>
        <w:tc>
          <w:tcPr>
            <w:tcW w:w="500" w:type="dxa"/>
            <w:vAlign w:val="bottom"/>
            <w:gridSpan w:val="2"/>
          </w:tcPr>
          <w:p>
            <w:pPr>
              <w:jc w:val="right"/>
              <w:ind w:right="6"/>
              <w:spacing w:after="0" w:line="84" w:lineRule="exact"/>
              <w:rPr>
                <w:sz w:val="20"/>
                <w:szCs w:val="20"/>
                <w:color w:val="auto"/>
              </w:rPr>
            </w:pPr>
            <w:r>
              <w:rPr>
                <w:rFonts w:ascii="Arial" w:cs="Arial" w:eastAsia="Arial" w:hAnsi="Arial"/>
                <w:sz w:val="9"/>
                <w:szCs w:val="9"/>
                <w:b w:val="1"/>
                <w:bCs w:val="1"/>
                <w:color w:val="auto"/>
              </w:rPr>
              <w:t>June 29,</w:t>
            </w:r>
          </w:p>
        </w:tc>
        <w:tc>
          <w:tcPr>
            <w:tcW w:w="80" w:type="dxa"/>
            <w:vAlign w:val="bottom"/>
          </w:tcPr>
          <w:p>
            <w:pPr>
              <w:spacing w:after="0"/>
              <w:rPr>
                <w:sz w:val="7"/>
                <w:szCs w:val="7"/>
                <w:color w:val="auto"/>
              </w:rPr>
            </w:pPr>
          </w:p>
        </w:tc>
      </w:tr>
      <w:tr>
        <w:trPr>
          <w:trHeight w:val="128"/>
        </w:trPr>
        <w:tc>
          <w:tcPr>
            <w:tcW w:w="79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b w:val="1"/>
                <w:bCs w:val="1"/>
                <w:color w:val="auto"/>
                <w:w w:val="81"/>
              </w:rPr>
              <w:t>2009</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2008</w:t>
            </w: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w w:val="97"/>
              </w:rPr>
              <w:t>2007</w:t>
            </w:r>
          </w:p>
        </w:tc>
        <w:tc>
          <w:tcPr>
            <w:tcW w:w="80" w:type="dxa"/>
            <w:vAlign w:val="bottom"/>
          </w:tcPr>
          <w:p>
            <w:pPr>
              <w:spacing w:after="0"/>
              <w:rPr>
                <w:sz w:val="11"/>
                <w:szCs w:val="11"/>
                <w:color w:val="auto"/>
              </w:rPr>
            </w:pPr>
          </w:p>
        </w:tc>
      </w:tr>
      <w:tr>
        <w:trPr>
          <w:trHeight w:val="135"/>
        </w:trPr>
        <w:tc>
          <w:tcPr>
            <w:tcW w:w="7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gridSpan w:val="2"/>
          </w:tcPr>
          <w:p>
            <w:pPr>
              <w:ind w:left="20"/>
              <w:spacing w:after="0"/>
              <w:rPr>
                <w:sz w:val="20"/>
                <w:szCs w:val="20"/>
                <w:color w:val="auto"/>
              </w:rPr>
            </w:pPr>
            <w:r>
              <w:rPr>
                <w:rFonts w:ascii="Arial" w:cs="Arial" w:eastAsia="Arial" w:hAnsi="Arial"/>
                <w:sz w:val="11"/>
                <w:szCs w:val="11"/>
                <w:b w:val="1"/>
                <w:bCs w:val="1"/>
                <w:color w:val="auto"/>
                <w:w w:val="74"/>
              </w:rPr>
              <w:t>(In millions)</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17"/>
        </w:trPr>
        <w:tc>
          <w:tcPr>
            <w:tcW w:w="7900" w:type="dxa"/>
            <w:vAlign w:val="bottom"/>
            <w:shd w:val="clear" w:color="auto" w:fill="CCEEFF"/>
          </w:tcPr>
          <w:p>
            <w:pPr>
              <w:spacing w:after="0" w:line="117" w:lineRule="exact"/>
              <w:rPr>
                <w:sz w:val="20"/>
                <w:szCs w:val="20"/>
                <w:color w:val="auto"/>
              </w:rPr>
            </w:pPr>
            <w:r>
              <w:rPr>
                <w:rFonts w:ascii="Arial" w:cs="Arial" w:eastAsia="Arial" w:hAnsi="Arial"/>
                <w:sz w:val="11"/>
                <w:szCs w:val="11"/>
                <w:b w:val="1"/>
                <w:bCs w:val="1"/>
                <w:color w:val="auto"/>
              </w:rPr>
              <w:t>Operating Activities</w:t>
            </w: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11"/>
        </w:trPr>
        <w:tc>
          <w:tcPr>
            <w:tcW w:w="7900" w:type="dxa"/>
            <w:vAlign w:val="bottom"/>
          </w:tcPr>
          <w:p>
            <w:pPr>
              <w:spacing w:after="0" w:line="111" w:lineRule="exact"/>
              <w:rPr>
                <w:sz w:val="20"/>
                <w:szCs w:val="20"/>
                <w:color w:val="auto"/>
              </w:rPr>
            </w:pPr>
            <w:r>
              <w:rPr>
                <w:rFonts w:ascii="Arial" w:cs="Arial" w:eastAsia="Arial" w:hAnsi="Arial"/>
                <w:sz w:val="11"/>
                <w:szCs w:val="11"/>
                <w:color w:val="auto"/>
              </w:rPr>
              <w:t>Net loss</w:t>
            </w:r>
          </w:p>
        </w:tc>
        <w:tc>
          <w:tcPr>
            <w:tcW w:w="80" w:type="dxa"/>
            <w:vAlign w:val="bottom"/>
          </w:tcPr>
          <w:p>
            <w:pPr>
              <w:jc w:val="right"/>
              <w:spacing w:after="0" w:line="111" w:lineRule="exact"/>
              <w:rPr>
                <w:sz w:val="20"/>
                <w:szCs w:val="20"/>
                <w:color w:val="auto"/>
              </w:rPr>
            </w:pPr>
            <w:r>
              <w:rPr>
                <w:rFonts w:ascii="Arial" w:cs="Arial" w:eastAsia="Arial" w:hAnsi="Arial"/>
                <w:sz w:val="10"/>
                <w:szCs w:val="10"/>
                <w:color w:val="auto"/>
                <w:w w:val="71"/>
              </w:rPr>
              <w:t>$</w:t>
            </w:r>
          </w:p>
        </w:tc>
        <w:tc>
          <w:tcPr>
            <w:tcW w:w="420" w:type="dxa"/>
            <w:vAlign w:val="bottom"/>
            <w:gridSpan w:val="2"/>
          </w:tcPr>
          <w:p>
            <w:pPr>
              <w:jc w:val="right"/>
              <w:ind w:right="60"/>
              <w:spacing w:after="0" w:line="111" w:lineRule="exact"/>
              <w:rPr>
                <w:sz w:val="20"/>
                <w:szCs w:val="20"/>
                <w:color w:val="auto"/>
              </w:rPr>
            </w:pPr>
            <w:r>
              <w:rPr>
                <w:rFonts w:ascii="Arial" w:cs="Arial" w:eastAsia="Arial" w:hAnsi="Arial"/>
                <w:sz w:val="11"/>
                <w:szCs w:val="11"/>
                <w:color w:val="auto"/>
                <w:w w:val="97"/>
              </w:rPr>
              <w:t>(355.0)</w:t>
            </w:r>
          </w:p>
        </w:tc>
        <w:tc>
          <w:tcPr>
            <w:tcW w:w="260" w:type="dxa"/>
            <w:vAlign w:val="bottom"/>
            <w:gridSpan w:val="2"/>
          </w:tcPr>
          <w:p>
            <w:pPr>
              <w:ind w:left="200"/>
              <w:spacing w:after="0" w:line="111" w:lineRule="exact"/>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260"/>
              <w:spacing w:after="0" w:line="111" w:lineRule="exact"/>
              <w:rPr>
                <w:sz w:val="20"/>
                <w:szCs w:val="20"/>
                <w:color w:val="auto"/>
              </w:rPr>
            </w:pPr>
            <w:r>
              <w:rPr>
                <w:rFonts w:ascii="Arial" w:cs="Arial" w:eastAsia="Arial" w:hAnsi="Arial"/>
                <w:sz w:val="11"/>
                <w:szCs w:val="11"/>
                <w:color w:val="auto"/>
              </w:rPr>
              <w:t>(11.9)</w:t>
            </w:r>
          </w:p>
        </w:tc>
        <w:tc>
          <w:tcPr>
            <w:tcW w:w="100" w:type="dxa"/>
            <w:vAlign w:val="bottom"/>
          </w:tcPr>
          <w:p>
            <w:pPr>
              <w:jc w:val="right"/>
              <w:spacing w:after="0" w:line="111" w:lineRule="exact"/>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60"/>
              <w:spacing w:after="0" w:line="111" w:lineRule="exact"/>
              <w:rPr>
                <w:sz w:val="20"/>
                <w:szCs w:val="20"/>
                <w:color w:val="auto"/>
              </w:rPr>
            </w:pPr>
            <w:r>
              <w:rPr>
                <w:rFonts w:ascii="Arial" w:cs="Arial" w:eastAsia="Arial" w:hAnsi="Arial"/>
                <w:sz w:val="11"/>
                <w:szCs w:val="11"/>
                <w:color w:val="auto"/>
              </w:rPr>
              <w:t>(21.8)</w:t>
            </w:r>
          </w:p>
        </w:tc>
      </w:tr>
      <w:tr>
        <w:trPr>
          <w:trHeight w:val="111"/>
        </w:trPr>
        <w:tc>
          <w:tcPr>
            <w:tcW w:w="7900" w:type="dxa"/>
            <w:vAlign w:val="bottom"/>
            <w:shd w:val="clear" w:color="auto" w:fill="CCEEFF"/>
          </w:tcPr>
          <w:p>
            <w:pPr>
              <w:spacing w:after="0" w:line="111" w:lineRule="exact"/>
              <w:rPr>
                <w:sz w:val="20"/>
                <w:szCs w:val="20"/>
                <w:color w:val="auto"/>
              </w:rPr>
            </w:pPr>
            <w:r>
              <w:rPr>
                <w:rFonts w:ascii="Arial" w:cs="Arial" w:eastAsia="Arial" w:hAnsi="Arial"/>
                <w:sz w:val="11"/>
                <w:szCs w:val="11"/>
                <w:color w:val="auto"/>
              </w:rPr>
              <w:t>Adjustments to reconcile net loss to net cash provided by (used in) operating activities:</w:t>
            </w: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r>
      <w:tr>
        <w:trPr>
          <w:trHeight w:val="111"/>
        </w:trPr>
        <w:tc>
          <w:tcPr>
            <w:tcW w:w="7900" w:type="dxa"/>
            <w:vAlign w:val="bottom"/>
          </w:tcPr>
          <w:p>
            <w:pPr>
              <w:ind w:left="120"/>
              <w:spacing w:after="0" w:line="111" w:lineRule="exact"/>
              <w:rPr>
                <w:sz w:val="20"/>
                <w:szCs w:val="20"/>
                <w:color w:val="auto"/>
              </w:rPr>
            </w:pPr>
            <w:r>
              <w:rPr>
                <w:rFonts w:ascii="Arial" w:cs="Arial" w:eastAsia="Arial" w:hAnsi="Arial"/>
                <w:sz w:val="11"/>
                <w:szCs w:val="11"/>
                <w:color w:val="auto"/>
              </w:rPr>
              <w:t>Amortization of identifiable intangible assets acquired in the Stratex acquisition and other</w:t>
            </w:r>
          </w:p>
        </w:tc>
        <w:tc>
          <w:tcPr>
            <w:tcW w:w="80" w:type="dxa"/>
            <w:vAlign w:val="bottom"/>
          </w:tcPr>
          <w:p>
            <w:pPr>
              <w:spacing w:after="0"/>
              <w:rPr>
                <w:sz w:val="9"/>
                <w:szCs w:val="9"/>
                <w:color w:val="auto"/>
              </w:rPr>
            </w:pPr>
          </w:p>
        </w:tc>
        <w:tc>
          <w:tcPr>
            <w:tcW w:w="420" w:type="dxa"/>
            <w:vAlign w:val="bottom"/>
            <w:gridSpan w:val="2"/>
          </w:tcPr>
          <w:p>
            <w:pPr>
              <w:jc w:val="right"/>
              <w:ind w:right="100"/>
              <w:spacing w:after="0" w:line="111" w:lineRule="exact"/>
              <w:rPr>
                <w:sz w:val="20"/>
                <w:szCs w:val="20"/>
                <w:color w:val="auto"/>
              </w:rPr>
            </w:pPr>
            <w:r>
              <w:rPr>
                <w:rFonts w:ascii="Arial" w:cs="Arial" w:eastAsia="Arial" w:hAnsi="Arial"/>
                <w:sz w:val="11"/>
                <w:szCs w:val="11"/>
                <w:color w:val="auto"/>
              </w:rPr>
              <w:t>13.8</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gridSpan w:val="2"/>
          </w:tcPr>
          <w:p>
            <w:pPr>
              <w:jc w:val="right"/>
              <w:ind w:right="300"/>
              <w:spacing w:after="0" w:line="111" w:lineRule="exact"/>
              <w:rPr>
                <w:sz w:val="20"/>
                <w:szCs w:val="20"/>
                <w:color w:val="auto"/>
              </w:rPr>
            </w:pPr>
            <w:r>
              <w:rPr>
                <w:rFonts w:ascii="Arial" w:cs="Arial" w:eastAsia="Arial" w:hAnsi="Arial"/>
                <w:sz w:val="11"/>
                <w:szCs w:val="11"/>
                <w:color w:val="auto"/>
              </w:rPr>
              <w:t>13.9</w:t>
            </w:r>
          </w:p>
        </w:tc>
        <w:tc>
          <w:tcPr>
            <w:tcW w:w="100" w:type="dxa"/>
            <w:vAlign w:val="bottom"/>
          </w:tcPr>
          <w:p>
            <w:pPr>
              <w:spacing w:after="0"/>
              <w:rPr>
                <w:sz w:val="9"/>
                <w:szCs w:val="9"/>
                <w:color w:val="auto"/>
              </w:rPr>
            </w:pPr>
          </w:p>
        </w:tc>
        <w:tc>
          <w:tcPr>
            <w:tcW w:w="480" w:type="dxa"/>
            <w:vAlign w:val="bottom"/>
            <w:gridSpan w:val="2"/>
          </w:tcPr>
          <w:p>
            <w:pPr>
              <w:jc w:val="right"/>
              <w:ind w:right="80"/>
              <w:spacing w:after="0" w:line="111" w:lineRule="exact"/>
              <w:rPr>
                <w:sz w:val="20"/>
                <w:szCs w:val="20"/>
                <w:color w:val="auto"/>
              </w:rPr>
            </w:pPr>
            <w:r>
              <w:rPr>
                <w:rFonts w:ascii="Arial" w:cs="Arial" w:eastAsia="Arial" w:hAnsi="Arial"/>
                <w:sz w:val="11"/>
                <w:szCs w:val="11"/>
                <w:color w:val="auto"/>
              </w:rPr>
              <w:t>25.8</w:t>
            </w:r>
          </w:p>
        </w:tc>
      </w:tr>
      <w:tr>
        <w:trPr>
          <w:trHeight w:val="111"/>
        </w:trPr>
        <w:tc>
          <w:tcPr>
            <w:tcW w:w="7900" w:type="dxa"/>
            <w:vAlign w:val="bottom"/>
            <w:shd w:val="clear" w:color="auto" w:fill="CCEEFF"/>
          </w:tcPr>
          <w:p>
            <w:pPr>
              <w:ind w:left="120"/>
              <w:spacing w:after="0" w:line="111" w:lineRule="exact"/>
              <w:rPr>
                <w:sz w:val="20"/>
                <w:szCs w:val="20"/>
                <w:color w:val="auto"/>
              </w:rPr>
            </w:pPr>
            <w:r>
              <w:rPr>
                <w:rFonts w:ascii="Arial" w:cs="Arial" w:eastAsia="Arial" w:hAnsi="Arial"/>
                <w:sz w:val="11"/>
                <w:szCs w:val="11"/>
                <w:color w:val="auto"/>
              </w:rPr>
              <w:t>Other noncash charges related to the Stratex acquisition</w:t>
            </w:r>
          </w:p>
        </w:tc>
        <w:tc>
          <w:tcPr>
            <w:tcW w:w="8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100"/>
              <w:spacing w:after="0" w:line="111" w:lineRule="exact"/>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300"/>
              <w:spacing w:after="0" w:line="111"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80"/>
              <w:spacing w:after="0" w:line="111" w:lineRule="exact"/>
              <w:rPr>
                <w:sz w:val="20"/>
                <w:szCs w:val="20"/>
                <w:color w:val="auto"/>
              </w:rPr>
            </w:pPr>
            <w:r>
              <w:rPr>
                <w:rFonts w:ascii="Arial" w:cs="Arial" w:eastAsia="Arial" w:hAnsi="Arial"/>
                <w:sz w:val="11"/>
                <w:szCs w:val="11"/>
                <w:color w:val="auto"/>
              </w:rPr>
              <w:t>7.9</w:t>
            </w:r>
          </w:p>
        </w:tc>
      </w:tr>
      <w:tr>
        <w:trPr>
          <w:trHeight w:val="111"/>
        </w:trPr>
        <w:tc>
          <w:tcPr>
            <w:tcW w:w="7900" w:type="dxa"/>
            <w:vAlign w:val="bottom"/>
          </w:tcPr>
          <w:p>
            <w:pPr>
              <w:ind w:left="120"/>
              <w:spacing w:after="0" w:line="111" w:lineRule="exact"/>
              <w:rPr>
                <w:sz w:val="20"/>
                <w:szCs w:val="20"/>
                <w:color w:val="auto"/>
              </w:rPr>
            </w:pPr>
            <w:r>
              <w:rPr>
                <w:rFonts w:ascii="Arial" w:cs="Arial" w:eastAsia="Arial" w:hAnsi="Arial"/>
                <w:sz w:val="11"/>
                <w:szCs w:val="11"/>
                <w:color w:val="auto"/>
              </w:rPr>
              <w:t>Depreciation and amortization of property, plant and equipment and capitalized software</w:t>
            </w:r>
          </w:p>
        </w:tc>
        <w:tc>
          <w:tcPr>
            <w:tcW w:w="80" w:type="dxa"/>
            <w:vAlign w:val="bottom"/>
          </w:tcPr>
          <w:p>
            <w:pPr>
              <w:spacing w:after="0"/>
              <w:rPr>
                <w:sz w:val="9"/>
                <w:szCs w:val="9"/>
                <w:color w:val="auto"/>
              </w:rPr>
            </w:pPr>
          </w:p>
        </w:tc>
        <w:tc>
          <w:tcPr>
            <w:tcW w:w="420" w:type="dxa"/>
            <w:vAlign w:val="bottom"/>
            <w:gridSpan w:val="2"/>
          </w:tcPr>
          <w:p>
            <w:pPr>
              <w:jc w:val="right"/>
              <w:ind w:right="100"/>
              <w:spacing w:after="0" w:line="111" w:lineRule="exact"/>
              <w:rPr>
                <w:sz w:val="20"/>
                <w:szCs w:val="20"/>
                <w:color w:val="auto"/>
              </w:rPr>
            </w:pPr>
            <w:r>
              <w:rPr>
                <w:rFonts w:ascii="Arial" w:cs="Arial" w:eastAsia="Arial" w:hAnsi="Arial"/>
                <w:sz w:val="11"/>
                <w:szCs w:val="11"/>
                <w:color w:val="auto"/>
              </w:rPr>
              <w:t>24.3</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gridSpan w:val="2"/>
          </w:tcPr>
          <w:p>
            <w:pPr>
              <w:jc w:val="right"/>
              <w:ind w:right="300"/>
              <w:spacing w:after="0" w:line="111" w:lineRule="exact"/>
              <w:rPr>
                <w:sz w:val="20"/>
                <w:szCs w:val="20"/>
                <w:color w:val="auto"/>
              </w:rPr>
            </w:pPr>
            <w:r>
              <w:rPr>
                <w:rFonts w:ascii="Arial" w:cs="Arial" w:eastAsia="Arial" w:hAnsi="Arial"/>
                <w:sz w:val="11"/>
                <w:szCs w:val="11"/>
                <w:color w:val="auto"/>
              </w:rPr>
              <w:t>19.8</w:t>
            </w:r>
          </w:p>
        </w:tc>
        <w:tc>
          <w:tcPr>
            <w:tcW w:w="100" w:type="dxa"/>
            <w:vAlign w:val="bottom"/>
          </w:tcPr>
          <w:p>
            <w:pPr>
              <w:spacing w:after="0"/>
              <w:rPr>
                <w:sz w:val="9"/>
                <w:szCs w:val="9"/>
                <w:color w:val="auto"/>
              </w:rPr>
            </w:pPr>
          </w:p>
        </w:tc>
        <w:tc>
          <w:tcPr>
            <w:tcW w:w="480" w:type="dxa"/>
            <w:vAlign w:val="bottom"/>
            <w:gridSpan w:val="2"/>
          </w:tcPr>
          <w:p>
            <w:pPr>
              <w:jc w:val="right"/>
              <w:ind w:right="80"/>
              <w:spacing w:after="0" w:line="111" w:lineRule="exact"/>
              <w:rPr>
                <w:sz w:val="20"/>
                <w:szCs w:val="20"/>
                <w:color w:val="auto"/>
              </w:rPr>
            </w:pPr>
            <w:r>
              <w:rPr>
                <w:rFonts w:ascii="Arial" w:cs="Arial" w:eastAsia="Arial" w:hAnsi="Arial"/>
                <w:sz w:val="11"/>
                <w:szCs w:val="11"/>
                <w:color w:val="auto"/>
              </w:rPr>
              <w:t>14.5</w:t>
            </w:r>
          </w:p>
        </w:tc>
      </w:tr>
      <w:tr>
        <w:trPr>
          <w:trHeight w:val="111"/>
        </w:trPr>
        <w:tc>
          <w:tcPr>
            <w:tcW w:w="7900" w:type="dxa"/>
            <w:vAlign w:val="bottom"/>
            <w:shd w:val="clear" w:color="auto" w:fill="CCEEFF"/>
          </w:tcPr>
          <w:p>
            <w:pPr>
              <w:ind w:left="120"/>
              <w:spacing w:after="0" w:line="111" w:lineRule="exact"/>
              <w:rPr>
                <w:sz w:val="20"/>
                <w:szCs w:val="20"/>
                <w:color w:val="auto"/>
              </w:rPr>
            </w:pPr>
            <w:r>
              <w:rPr>
                <w:rFonts w:ascii="Arial" w:cs="Arial" w:eastAsia="Arial" w:hAnsi="Arial"/>
                <w:sz w:val="11"/>
                <w:szCs w:val="11"/>
                <w:color w:val="auto"/>
              </w:rPr>
              <w:t>Goodwill impairment charges</w:t>
            </w:r>
          </w:p>
        </w:tc>
        <w:tc>
          <w:tcPr>
            <w:tcW w:w="8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100"/>
              <w:spacing w:after="0" w:line="111" w:lineRule="exact"/>
              <w:rPr>
                <w:sz w:val="20"/>
                <w:szCs w:val="20"/>
                <w:color w:val="auto"/>
              </w:rPr>
            </w:pPr>
            <w:r>
              <w:rPr>
                <w:rFonts w:ascii="Arial" w:cs="Arial" w:eastAsia="Arial" w:hAnsi="Arial"/>
                <w:sz w:val="11"/>
                <w:szCs w:val="11"/>
                <w:color w:val="auto"/>
              </w:rPr>
              <w:t>279.0</w:t>
            </w: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300"/>
              <w:spacing w:after="0" w:line="111"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80"/>
              <w:spacing w:after="0" w:line="111" w:lineRule="exact"/>
              <w:rPr>
                <w:sz w:val="20"/>
                <w:szCs w:val="20"/>
                <w:color w:val="auto"/>
              </w:rPr>
            </w:pPr>
            <w:r>
              <w:rPr>
                <w:rFonts w:ascii="Arial" w:cs="Arial" w:eastAsia="Arial" w:hAnsi="Arial"/>
                <w:sz w:val="11"/>
                <w:szCs w:val="11"/>
                <w:color w:val="auto"/>
              </w:rPr>
              <w:t>—</w:t>
            </w:r>
          </w:p>
        </w:tc>
      </w:tr>
      <w:tr>
        <w:trPr>
          <w:trHeight w:val="111"/>
        </w:trPr>
        <w:tc>
          <w:tcPr>
            <w:tcW w:w="7900" w:type="dxa"/>
            <w:vAlign w:val="bottom"/>
          </w:tcPr>
          <w:p>
            <w:pPr>
              <w:ind w:left="120"/>
              <w:spacing w:after="0" w:line="111" w:lineRule="exact"/>
              <w:rPr>
                <w:sz w:val="20"/>
                <w:szCs w:val="20"/>
                <w:color w:val="auto"/>
              </w:rPr>
            </w:pPr>
            <w:r>
              <w:rPr>
                <w:rFonts w:ascii="Arial" w:cs="Arial" w:eastAsia="Arial" w:hAnsi="Arial"/>
                <w:sz w:val="11"/>
                <w:szCs w:val="11"/>
                <w:color w:val="auto"/>
              </w:rPr>
              <w:t>Trade name impairment charges</w:t>
            </w:r>
          </w:p>
        </w:tc>
        <w:tc>
          <w:tcPr>
            <w:tcW w:w="80" w:type="dxa"/>
            <w:vAlign w:val="bottom"/>
          </w:tcPr>
          <w:p>
            <w:pPr>
              <w:spacing w:after="0"/>
              <w:rPr>
                <w:sz w:val="9"/>
                <w:szCs w:val="9"/>
                <w:color w:val="auto"/>
              </w:rPr>
            </w:pPr>
          </w:p>
        </w:tc>
        <w:tc>
          <w:tcPr>
            <w:tcW w:w="420" w:type="dxa"/>
            <w:vAlign w:val="bottom"/>
            <w:gridSpan w:val="2"/>
          </w:tcPr>
          <w:p>
            <w:pPr>
              <w:jc w:val="right"/>
              <w:ind w:right="100"/>
              <w:spacing w:after="0" w:line="111" w:lineRule="exact"/>
              <w:rPr>
                <w:sz w:val="20"/>
                <w:szCs w:val="20"/>
                <w:color w:val="auto"/>
              </w:rPr>
            </w:pPr>
            <w:r>
              <w:rPr>
                <w:rFonts w:ascii="Arial" w:cs="Arial" w:eastAsia="Arial" w:hAnsi="Arial"/>
                <w:sz w:val="11"/>
                <w:szCs w:val="11"/>
                <w:color w:val="auto"/>
              </w:rPr>
              <w:t>32.6</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gridSpan w:val="2"/>
          </w:tcPr>
          <w:p>
            <w:pPr>
              <w:jc w:val="right"/>
              <w:ind w:right="300"/>
              <w:spacing w:after="0" w:line="111"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480" w:type="dxa"/>
            <w:vAlign w:val="bottom"/>
            <w:gridSpan w:val="2"/>
          </w:tcPr>
          <w:p>
            <w:pPr>
              <w:jc w:val="right"/>
              <w:ind w:right="80"/>
              <w:spacing w:after="0" w:line="111" w:lineRule="exact"/>
              <w:rPr>
                <w:sz w:val="20"/>
                <w:szCs w:val="20"/>
                <w:color w:val="auto"/>
              </w:rPr>
            </w:pPr>
            <w:r>
              <w:rPr>
                <w:rFonts w:ascii="Arial" w:cs="Arial" w:eastAsia="Arial" w:hAnsi="Arial"/>
                <w:sz w:val="11"/>
                <w:szCs w:val="11"/>
                <w:color w:val="auto"/>
              </w:rPr>
              <w:t>—</w:t>
            </w:r>
          </w:p>
        </w:tc>
      </w:tr>
      <w:tr>
        <w:trPr>
          <w:trHeight w:val="111"/>
        </w:trPr>
        <w:tc>
          <w:tcPr>
            <w:tcW w:w="7900" w:type="dxa"/>
            <w:vAlign w:val="bottom"/>
            <w:shd w:val="clear" w:color="auto" w:fill="CCEEFF"/>
          </w:tcPr>
          <w:p>
            <w:pPr>
              <w:ind w:left="120"/>
              <w:spacing w:after="0" w:line="111" w:lineRule="exact"/>
              <w:rPr>
                <w:sz w:val="20"/>
                <w:szCs w:val="20"/>
                <w:color w:val="auto"/>
              </w:rPr>
            </w:pPr>
            <w:r>
              <w:rPr>
                <w:rFonts w:ascii="Arial" w:cs="Arial" w:eastAsia="Arial" w:hAnsi="Arial"/>
                <w:sz w:val="11"/>
                <w:szCs w:val="11"/>
                <w:color w:val="auto"/>
              </w:rPr>
              <w:t>Noncash share-based compensation expense</w:t>
            </w:r>
          </w:p>
        </w:tc>
        <w:tc>
          <w:tcPr>
            <w:tcW w:w="8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100"/>
              <w:spacing w:after="0" w:line="111" w:lineRule="exact"/>
              <w:rPr>
                <w:sz w:val="20"/>
                <w:szCs w:val="20"/>
                <w:color w:val="auto"/>
              </w:rPr>
            </w:pPr>
            <w:r>
              <w:rPr>
                <w:rFonts w:ascii="Arial" w:cs="Arial" w:eastAsia="Arial" w:hAnsi="Arial"/>
                <w:sz w:val="11"/>
                <w:szCs w:val="11"/>
                <w:color w:val="auto"/>
              </w:rPr>
              <w:t>2.8</w:t>
            </w: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300"/>
              <w:spacing w:after="0" w:line="111" w:lineRule="exact"/>
              <w:rPr>
                <w:sz w:val="20"/>
                <w:szCs w:val="20"/>
                <w:color w:val="auto"/>
              </w:rPr>
            </w:pPr>
            <w:r>
              <w:rPr>
                <w:rFonts w:ascii="Arial" w:cs="Arial" w:eastAsia="Arial" w:hAnsi="Arial"/>
                <w:sz w:val="11"/>
                <w:szCs w:val="11"/>
                <w:color w:val="auto"/>
              </w:rPr>
              <w:t>6.4</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80"/>
              <w:spacing w:after="0" w:line="111" w:lineRule="exact"/>
              <w:rPr>
                <w:sz w:val="20"/>
                <w:szCs w:val="20"/>
                <w:color w:val="auto"/>
              </w:rPr>
            </w:pPr>
            <w:r>
              <w:rPr>
                <w:rFonts w:ascii="Arial" w:cs="Arial" w:eastAsia="Arial" w:hAnsi="Arial"/>
                <w:sz w:val="11"/>
                <w:szCs w:val="11"/>
                <w:color w:val="auto"/>
              </w:rPr>
              <w:t>3.9</w:t>
            </w:r>
          </w:p>
        </w:tc>
      </w:tr>
      <w:tr>
        <w:trPr>
          <w:trHeight w:val="111"/>
        </w:trPr>
        <w:tc>
          <w:tcPr>
            <w:tcW w:w="7900" w:type="dxa"/>
            <w:vAlign w:val="bottom"/>
          </w:tcPr>
          <w:p>
            <w:pPr>
              <w:ind w:left="120"/>
              <w:spacing w:after="0" w:line="111" w:lineRule="exact"/>
              <w:rPr>
                <w:sz w:val="20"/>
                <w:szCs w:val="20"/>
                <w:color w:val="auto"/>
              </w:rPr>
            </w:pPr>
            <w:r>
              <w:rPr>
                <w:rFonts w:ascii="Arial" w:cs="Arial" w:eastAsia="Arial" w:hAnsi="Arial"/>
                <w:sz w:val="11"/>
                <w:szCs w:val="11"/>
                <w:color w:val="auto"/>
              </w:rPr>
              <w:t>Noncash charges for product transition, restructuring and inventory mark-downs</w:t>
            </w:r>
          </w:p>
        </w:tc>
        <w:tc>
          <w:tcPr>
            <w:tcW w:w="80" w:type="dxa"/>
            <w:vAlign w:val="bottom"/>
          </w:tcPr>
          <w:p>
            <w:pPr>
              <w:spacing w:after="0"/>
              <w:rPr>
                <w:sz w:val="9"/>
                <w:szCs w:val="9"/>
                <w:color w:val="auto"/>
              </w:rPr>
            </w:pPr>
          </w:p>
        </w:tc>
        <w:tc>
          <w:tcPr>
            <w:tcW w:w="420" w:type="dxa"/>
            <w:vAlign w:val="bottom"/>
            <w:gridSpan w:val="2"/>
          </w:tcPr>
          <w:p>
            <w:pPr>
              <w:jc w:val="right"/>
              <w:ind w:right="100"/>
              <w:spacing w:after="0" w:line="111" w:lineRule="exact"/>
              <w:rPr>
                <w:sz w:val="20"/>
                <w:szCs w:val="20"/>
                <w:color w:val="auto"/>
              </w:rPr>
            </w:pPr>
            <w:r>
              <w:rPr>
                <w:rFonts w:ascii="Arial" w:cs="Arial" w:eastAsia="Arial" w:hAnsi="Arial"/>
                <w:sz w:val="11"/>
                <w:szCs w:val="11"/>
                <w:color w:val="auto"/>
              </w:rPr>
              <w:t>29.3</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gridSpan w:val="2"/>
          </w:tcPr>
          <w:p>
            <w:pPr>
              <w:jc w:val="right"/>
              <w:ind w:right="300"/>
              <w:spacing w:after="0" w:line="111" w:lineRule="exact"/>
              <w:rPr>
                <w:sz w:val="20"/>
                <w:szCs w:val="20"/>
                <w:color w:val="auto"/>
              </w:rPr>
            </w:pPr>
            <w:r>
              <w:rPr>
                <w:rFonts w:ascii="Arial" w:cs="Arial" w:eastAsia="Arial" w:hAnsi="Arial"/>
                <w:sz w:val="11"/>
                <w:szCs w:val="11"/>
                <w:color w:val="auto"/>
              </w:rPr>
              <w:t>14.7</w:t>
            </w:r>
          </w:p>
        </w:tc>
        <w:tc>
          <w:tcPr>
            <w:tcW w:w="100" w:type="dxa"/>
            <w:vAlign w:val="bottom"/>
          </w:tcPr>
          <w:p>
            <w:pPr>
              <w:spacing w:after="0"/>
              <w:rPr>
                <w:sz w:val="9"/>
                <w:szCs w:val="9"/>
                <w:color w:val="auto"/>
              </w:rPr>
            </w:pPr>
          </w:p>
        </w:tc>
        <w:tc>
          <w:tcPr>
            <w:tcW w:w="480" w:type="dxa"/>
            <w:vAlign w:val="bottom"/>
            <w:gridSpan w:val="2"/>
          </w:tcPr>
          <w:p>
            <w:pPr>
              <w:jc w:val="right"/>
              <w:ind w:right="80"/>
              <w:spacing w:after="0" w:line="111" w:lineRule="exact"/>
              <w:rPr>
                <w:sz w:val="20"/>
                <w:szCs w:val="20"/>
                <w:color w:val="auto"/>
              </w:rPr>
            </w:pPr>
            <w:r>
              <w:rPr>
                <w:rFonts w:ascii="Arial" w:cs="Arial" w:eastAsia="Arial" w:hAnsi="Arial"/>
                <w:sz w:val="11"/>
                <w:szCs w:val="11"/>
                <w:color w:val="auto"/>
              </w:rPr>
              <w:t>—</w:t>
            </w:r>
          </w:p>
        </w:tc>
      </w:tr>
      <w:tr>
        <w:trPr>
          <w:trHeight w:val="111"/>
        </w:trPr>
        <w:tc>
          <w:tcPr>
            <w:tcW w:w="7900" w:type="dxa"/>
            <w:vAlign w:val="bottom"/>
            <w:shd w:val="clear" w:color="auto" w:fill="CCEEFF"/>
          </w:tcPr>
          <w:p>
            <w:pPr>
              <w:ind w:left="120"/>
              <w:spacing w:after="0" w:line="111" w:lineRule="exact"/>
              <w:rPr>
                <w:sz w:val="20"/>
                <w:szCs w:val="20"/>
                <w:color w:val="auto"/>
              </w:rPr>
            </w:pPr>
            <w:r>
              <w:rPr>
                <w:rFonts w:ascii="Arial" w:cs="Arial" w:eastAsia="Arial" w:hAnsi="Arial"/>
                <w:sz w:val="11"/>
                <w:szCs w:val="11"/>
                <w:color w:val="auto"/>
              </w:rPr>
              <w:t>Acquired in-process research and development</w:t>
            </w:r>
          </w:p>
        </w:tc>
        <w:tc>
          <w:tcPr>
            <w:tcW w:w="8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100"/>
              <w:spacing w:after="0" w:line="111" w:lineRule="exact"/>
              <w:rPr>
                <w:sz w:val="20"/>
                <w:szCs w:val="20"/>
                <w:color w:val="auto"/>
              </w:rPr>
            </w:pPr>
            <w:r>
              <w:rPr>
                <w:rFonts w:ascii="Arial" w:cs="Arial" w:eastAsia="Arial" w:hAnsi="Arial"/>
                <w:sz w:val="11"/>
                <w:szCs w:val="11"/>
                <w:color w:val="auto"/>
              </w:rPr>
              <w:t>2.4</w:t>
            </w: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300"/>
              <w:spacing w:after="0" w:line="111"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80"/>
              <w:spacing w:after="0" w:line="111" w:lineRule="exact"/>
              <w:rPr>
                <w:sz w:val="20"/>
                <w:szCs w:val="20"/>
                <w:color w:val="auto"/>
              </w:rPr>
            </w:pPr>
            <w:r>
              <w:rPr>
                <w:rFonts w:ascii="Arial" w:cs="Arial" w:eastAsia="Arial" w:hAnsi="Arial"/>
                <w:sz w:val="11"/>
                <w:szCs w:val="11"/>
                <w:color w:val="auto"/>
              </w:rPr>
              <w:t>—</w:t>
            </w:r>
          </w:p>
        </w:tc>
      </w:tr>
      <w:tr>
        <w:trPr>
          <w:trHeight w:val="111"/>
        </w:trPr>
        <w:tc>
          <w:tcPr>
            <w:tcW w:w="7900" w:type="dxa"/>
            <w:vAlign w:val="bottom"/>
          </w:tcPr>
          <w:p>
            <w:pPr>
              <w:ind w:left="120"/>
              <w:spacing w:after="0" w:line="111" w:lineRule="exact"/>
              <w:rPr>
                <w:sz w:val="20"/>
                <w:szCs w:val="20"/>
                <w:color w:val="auto"/>
              </w:rPr>
            </w:pPr>
            <w:r>
              <w:rPr>
                <w:rFonts w:ascii="Arial" w:cs="Arial" w:eastAsia="Arial" w:hAnsi="Arial"/>
                <w:sz w:val="11"/>
                <w:szCs w:val="11"/>
                <w:color w:val="auto"/>
              </w:rPr>
              <w:t>Decrease in fair value of warrant liability</w:t>
            </w:r>
          </w:p>
        </w:tc>
        <w:tc>
          <w:tcPr>
            <w:tcW w:w="80" w:type="dxa"/>
            <w:vAlign w:val="bottom"/>
          </w:tcPr>
          <w:p>
            <w:pPr>
              <w:spacing w:after="0"/>
              <w:rPr>
                <w:sz w:val="9"/>
                <w:szCs w:val="9"/>
                <w:color w:val="auto"/>
              </w:rPr>
            </w:pPr>
          </w:p>
        </w:tc>
        <w:tc>
          <w:tcPr>
            <w:tcW w:w="420" w:type="dxa"/>
            <w:vAlign w:val="bottom"/>
            <w:gridSpan w:val="2"/>
          </w:tcPr>
          <w:p>
            <w:pPr>
              <w:jc w:val="right"/>
              <w:ind w:right="60"/>
              <w:spacing w:after="0" w:line="111" w:lineRule="exact"/>
              <w:rPr>
                <w:sz w:val="20"/>
                <w:szCs w:val="20"/>
                <w:color w:val="auto"/>
              </w:rPr>
            </w:pPr>
            <w:r>
              <w:rPr>
                <w:rFonts w:ascii="Arial" w:cs="Arial" w:eastAsia="Arial" w:hAnsi="Arial"/>
                <w:sz w:val="11"/>
                <w:szCs w:val="11"/>
                <w:color w:val="auto"/>
              </w:rPr>
              <w:t>(0.6)</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gridSpan w:val="2"/>
          </w:tcPr>
          <w:p>
            <w:pPr>
              <w:jc w:val="right"/>
              <w:ind w:right="260"/>
              <w:spacing w:after="0" w:line="111" w:lineRule="exact"/>
              <w:rPr>
                <w:sz w:val="20"/>
                <w:szCs w:val="20"/>
                <w:color w:val="auto"/>
              </w:rPr>
            </w:pPr>
            <w:r>
              <w:rPr>
                <w:rFonts w:ascii="Arial" w:cs="Arial" w:eastAsia="Arial" w:hAnsi="Arial"/>
                <w:sz w:val="11"/>
                <w:szCs w:val="11"/>
                <w:color w:val="auto"/>
              </w:rPr>
              <w:t>(3.3)</w:t>
            </w:r>
          </w:p>
        </w:tc>
        <w:tc>
          <w:tcPr>
            <w:tcW w:w="100" w:type="dxa"/>
            <w:vAlign w:val="bottom"/>
          </w:tcPr>
          <w:p>
            <w:pPr>
              <w:spacing w:after="0"/>
              <w:rPr>
                <w:sz w:val="9"/>
                <w:szCs w:val="9"/>
                <w:color w:val="auto"/>
              </w:rPr>
            </w:pPr>
          </w:p>
        </w:tc>
        <w:tc>
          <w:tcPr>
            <w:tcW w:w="480" w:type="dxa"/>
            <w:vAlign w:val="bottom"/>
            <w:gridSpan w:val="2"/>
          </w:tcPr>
          <w:p>
            <w:pPr>
              <w:jc w:val="right"/>
              <w:ind w:right="60"/>
              <w:spacing w:after="0" w:line="111" w:lineRule="exact"/>
              <w:rPr>
                <w:sz w:val="20"/>
                <w:szCs w:val="20"/>
                <w:color w:val="auto"/>
              </w:rPr>
            </w:pPr>
            <w:r>
              <w:rPr>
                <w:rFonts w:ascii="Arial" w:cs="Arial" w:eastAsia="Arial" w:hAnsi="Arial"/>
                <w:sz w:val="11"/>
                <w:szCs w:val="11"/>
                <w:color w:val="auto"/>
              </w:rPr>
              <w:t>(0.6)</w:t>
            </w:r>
          </w:p>
        </w:tc>
      </w:tr>
      <w:tr>
        <w:trPr>
          <w:trHeight w:val="111"/>
        </w:trPr>
        <w:tc>
          <w:tcPr>
            <w:tcW w:w="7900" w:type="dxa"/>
            <w:vAlign w:val="bottom"/>
            <w:shd w:val="clear" w:color="auto" w:fill="CCEEFF"/>
          </w:tcPr>
          <w:p>
            <w:pPr>
              <w:ind w:left="120"/>
              <w:spacing w:after="0" w:line="111" w:lineRule="exact"/>
              <w:rPr>
                <w:sz w:val="20"/>
                <w:szCs w:val="20"/>
                <w:color w:val="auto"/>
              </w:rPr>
            </w:pPr>
            <w:r>
              <w:rPr>
                <w:rFonts w:ascii="Arial" w:cs="Arial" w:eastAsia="Arial" w:hAnsi="Arial"/>
                <w:sz w:val="11"/>
                <w:szCs w:val="11"/>
                <w:color w:val="auto"/>
              </w:rPr>
              <w:t>Deferred income tax (benefit) expense</w:t>
            </w:r>
          </w:p>
        </w:tc>
        <w:tc>
          <w:tcPr>
            <w:tcW w:w="8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100"/>
              <w:spacing w:after="0" w:line="111" w:lineRule="exact"/>
              <w:rPr>
                <w:sz w:val="20"/>
                <w:szCs w:val="20"/>
                <w:color w:val="auto"/>
              </w:rPr>
            </w:pPr>
            <w:r>
              <w:rPr>
                <w:rFonts w:ascii="Arial" w:cs="Arial" w:eastAsia="Arial" w:hAnsi="Arial"/>
                <w:sz w:val="11"/>
                <w:szCs w:val="11"/>
                <w:color w:val="auto"/>
              </w:rPr>
              <w:t>16.0</w:t>
            </w: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260"/>
              <w:spacing w:after="0" w:line="111" w:lineRule="exact"/>
              <w:rPr>
                <w:sz w:val="20"/>
                <w:szCs w:val="20"/>
                <w:color w:val="auto"/>
              </w:rPr>
            </w:pPr>
            <w:r>
              <w:rPr>
                <w:rFonts w:ascii="Arial" w:cs="Arial" w:eastAsia="Arial" w:hAnsi="Arial"/>
                <w:sz w:val="11"/>
                <w:szCs w:val="11"/>
                <w:color w:val="auto"/>
              </w:rPr>
              <w:t>(7.5)</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60"/>
              <w:spacing w:after="0" w:line="111" w:lineRule="exact"/>
              <w:rPr>
                <w:sz w:val="20"/>
                <w:szCs w:val="20"/>
                <w:color w:val="auto"/>
              </w:rPr>
            </w:pPr>
            <w:r>
              <w:rPr>
                <w:rFonts w:ascii="Arial" w:cs="Arial" w:eastAsia="Arial" w:hAnsi="Arial"/>
                <w:sz w:val="11"/>
                <w:szCs w:val="11"/>
                <w:color w:val="auto"/>
              </w:rPr>
              <w:t>(13.0)</w:t>
            </w:r>
          </w:p>
        </w:tc>
      </w:tr>
      <w:tr>
        <w:trPr>
          <w:trHeight w:val="111"/>
        </w:trPr>
        <w:tc>
          <w:tcPr>
            <w:tcW w:w="7900" w:type="dxa"/>
            <w:vAlign w:val="bottom"/>
          </w:tcPr>
          <w:p>
            <w:pPr>
              <w:spacing w:after="0" w:line="111" w:lineRule="exact"/>
              <w:rPr>
                <w:sz w:val="20"/>
                <w:szCs w:val="20"/>
                <w:color w:val="auto"/>
              </w:rPr>
            </w:pPr>
            <w:r>
              <w:rPr>
                <w:rFonts w:ascii="Arial" w:cs="Arial" w:eastAsia="Arial" w:hAnsi="Arial"/>
                <w:sz w:val="11"/>
                <w:szCs w:val="11"/>
                <w:color w:val="auto"/>
              </w:rPr>
              <w:t>Changes in operating assets and liabilities, net of effects from acquisition:</w:t>
            </w: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111"/>
        </w:trPr>
        <w:tc>
          <w:tcPr>
            <w:tcW w:w="7900" w:type="dxa"/>
            <w:vAlign w:val="bottom"/>
            <w:shd w:val="clear" w:color="auto" w:fill="CCEEFF"/>
          </w:tcPr>
          <w:p>
            <w:pPr>
              <w:ind w:left="120"/>
              <w:spacing w:after="0" w:line="111" w:lineRule="exact"/>
              <w:rPr>
                <w:sz w:val="20"/>
                <w:szCs w:val="20"/>
                <w:color w:val="auto"/>
              </w:rPr>
            </w:pPr>
            <w:r>
              <w:rPr>
                <w:rFonts w:ascii="Arial" w:cs="Arial" w:eastAsia="Arial" w:hAnsi="Arial"/>
                <w:sz w:val="11"/>
                <w:szCs w:val="11"/>
                <w:color w:val="auto"/>
              </w:rPr>
              <w:t>Receivables</w:t>
            </w:r>
          </w:p>
        </w:tc>
        <w:tc>
          <w:tcPr>
            <w:tcW w:w="8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100"/>
              <w:spacing w:after="0" w:line="111" w:lineRule="exact"/>
              <w:rPr>
                <w:sz w:val="20"/>
                <w:szCs w:val="20"/>
                <w:color w:val="auto"/>
              </w:rPr>
            </w:pPr>
            <w:r>
              <w:rPr>
                <w:rFonts w:ascii="Arial" w:cs="Arial" w:eastAsia="Arial" w:hAnsi="Arial"/>
                <w:sz w:val="11"/>
                <w:szCs w:val="11"/>
                <w:color w:val="auto"/>
              </w:rPr>
              <w:t>61.1</w:t>
            </w: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260"/>
              <w:spacing w:after="0" w:line="111" w:lineRule="exact"/>
              <w:rPr>
                <w:sz w:val="20"/>
                <w:szCs w:val="20"/>
                <w:color w:val="auto"/>
              </w:rPr>
            </w:pPr>
            <w:r>
              <w:rPr>
                <w:rFonts w:ascii="Arial" w:cs="Arial" w:eastAsia="Arial" w:hAnsi="Arial"/>
                <w:sz w:val="11"/>
                <w:szCs w:val="11"/>
                <w:color w:val="auto"/>
              </w:rPr>
              <w:t>(13.7)</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60"/>
              <w:spacing w:after="0" w:line="111" w:lineRule="exact"/>
              <w:rPr>
                <w:sz w:val="20"/>
                <w:szCs w:val="20"/>
                <w:color w:val="auto"/>
              </w:rPr>
            </w:pPr>
            <w:r>
              <w:rPr>
                <w:rFonts w:ascii="Arial" w:cs="Arial" w:eastAsia="Arial" w:hAnsi="Arial"/>
                <w:sz w:val="11"/>
                <w:szCs w:val="11"/>
                <w:color w:val="auto"/>
              </w:rPr>
              <w:t>(23.8)</w:t>
            </w:r>
          </w:p>
        </w:tc>
      </w:tr>
      <w:tr>
        <w:trPr>
          <w:trHeight w:val="111"/>
        </w:trPr>
        <w:tc>
          <w:tcPr>
            <w:tcW w:w="7900" w:type="dxa"/>
            <w:vAlign w:val="bottom"/>
          </w:tcPr>
          <w:p>
            <w:pPr>
              <w:ind w:left="120"/>
              <w:spacing w:after="0" w:line="111" w:lineRule="exact"/>
              <w:rPr>
                <w:sz w:val="20"/>
                <w:szCs w:val="20"/>
                <w:color w:val="auto"/>
              </w:rPr>
            </w:pPr>
            <w:r>
              <w:rPr>
                <w:rFonts w:ascii="Arial" w:cs="Arial" w:eastAsia="Arial" w:hAnsi="Arial"/>
                <w:sz w:val="11"/>
                <w:szCs w:val="11"/>
                <w:color w:val="auto"/>
              </w:rPr>
              <w:t>Unbilled costs and inventories</w:t>
            </w:r>
          </w:p>
        </w:tc>
        <w:tc>
          <w:tcPr>
            <w:tcW w:w="80" w:type="dxa"/>
            <w:vAlign w:val="bottom"/>
          </w:tcPr>
          <w:p>
            <w:pPr>
              <w:spacing w:after="0"/>
              <w:rPr>
                <w:sz w:val="9"/>
                <w:szCs w:val="9"/>
                <w:color w:val="auto"/>
              </w:rPr>
            </w:pPr>
          </w:p>
        </w:tc>
        <w:tc>
          <w:tcPr>
            <w:tcW w:w="420" w:type="dxa"/>
            <w:vAlign w:val="bottom"/>
            <w:gridSpan w:val="2"/>
          </w:tcPr>
          <w:p>
            <w:pPr>
              <w:jc w:val="right"/>
              <w:ind w:right="60"/>
              <w:spacing w:after="0" w:line="111" w:lineRule="exact"/>
              <w:rPr>
                <w:sz w:val="20"/>
                <w:szCs w:val="20"/>
                <w:color w:val="auto"/>
              </w:rPr>
            </w:pPr>
            <w:r>
              <w:rPr>
                <w:rFonts w:ascii="Arial" w:cs="Arial" w:eastAsia="Arial" w:hAnsi="Arial"/>
                <w:sz w:val="11"/>
                <w:szCs w:val="11"/>
                <w:color w:val="auto"/>
              </w:rPr>
              <w:t>(9.6)</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gridSpan w:val="2"/>
          </w:tcPr>
          <w:p>
            <w:pPr>
              <w:jc w:val="right"/>
              <w:ind w:right="300"/>
              <w:spacing w:after="0" w:line="111" w:lineRule="exact"/>
              <w:rPr>
                <w:sz w:val="20"/>
                <w:szCs w:val="20"/>
                <w:color w:val="auto"/>
              </w:rPr>
            </w:pPr>
            <w:r>
              <w:rPr>
                <w:rFonts w:ascii="Arial" w:cs="Arial" w:eastAsia="Arial" w:hAnsi="Arial"/>
                <w:sz w:val="11"/>
                <w:szCs w:val="11"/>
                <w:color w:val="auto"/>
              </w:rPr>
              <w:t>15.9</w:t>
            </w:r>
          </w:p>
        </w:tc>
        <w:tc>
          <w:tcPr>
            <w:tcW w:w="100" w:type="dxa"/>
            <w:vAlign w:val="bottom"/>
          </w:tcPr>
          <w:p>
            <w:pPr>
              <w:spacing w:after="0"/>
              <w:rPr>
                <w:sz w:val="9"/>
                <w:szCs w:val="9"/>
                <w:color w:val="auto"/>
              </w:rPr>
            </w:pPr>
          </w:p>
        </w:tc>
        <w:tc>
          <w:tcPr>
            <w:tcW w:w="480" w:type="dxa"/>
            <w:vAlign w:val="bottom"/>
            <w:gridSpan w:val="2"/>
          </w:tcPr>
          <w:p>
            <w:pPr>
              <w:jc w:val="right"/>
              <w:ind w:right="60"/>
              <w:spacing w:after="0" w:line="111" w:lineRule="exact"/>
              <w:rPr>
                <w:sz w:val="20"/>
                <w:szCs w:val="20"/>
                <w:color w:val="auto"/>
              </w:rPr>
            </w:pPr>
            <w:r>
              <w:rPr>
                <w:rFonts w:ascii="Arial" w:cs="Arial" w:eastAsia="Arial" w:hAnsi="Arial"/>
                <w:sz w:val="11"/>
                <w:szCs w:val="11"/>
                <w:color w:val="auto"/>
              </w:rPr>
              <w:t>(33.1)</w:t>
            </w:r>
          </w:p>
        </w:tc>
      </w:tr>
      <w:tr>
        <w:trPr>
          <w:trHeight w:val="111"/>
        </w:trPr>
        <w:tc>
          <w:tcPr>
            <w:tcW w:w="7900" w:type="dxa"/>
            <w:vAlign w:val="bottom"/>
            <w:shd w:val="clear" w:color="auto" w:fill="CCEEFF"/>
          </w:tcPr>
          <w:p>
            <w:pPr>
              <w:ind w:left="120"/>
              <w:spacing w:after="0" w:line="111" w:lineRule="exact"/>
              <w:rPr>
                <w:sz w:val="20"/>
                <w:szCs w:val="20"/>
                <w:color w:val="auto"/>
              </w:rPr>
            </w:pPr>
            <w:r>
              <w:rPr>
                <w:rFonts w:ascii="Arial" w:cs="Arial" w:eastAsia="Arial" w:hAnsi="Arial"/>
                <w:sz w:val="11"/>
                <w:szCs w:val="11"/>
                <w:color w:val="auto"/>
              </w:rPr>
              <w:t>Accounts payable and accrued expenses</w:t>
            </w:r>
          </w:p>
        </w:tc>
        <w:tc>
          <w:tcPr>
            <w:tcW w:w="8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60"/>
              <w:spacing w:after="0" w:line="111" w:lineRule="exact"/>
              <w:rPr>
                <w:sz w:val="20"/>
                <w:szCs w:val="20"/>
                <w:color w:val="auto"/>
              </w:rPr>
            </w:pPr>
            <w:r>
              <w:rPr>
                <w:rFonts w:ascii="Arial" w:cs="Arial" w:eastAsia="Arial" w:hAnsi="Arial"/>
                <w:sz w:val="11"/>
                <w:szCs w:val="11"/>
                <w:color w:val="auto"/>
              </w:rPr>
              <w:t>(18.7)</w:t>
            </w: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300"/>
              <w:spacing w:after="0" w:line="111" w:lineRule="exact"/>
              <w:rPr>
                <w:sz w:val="20"/>
                <w:szCs w:val="20"/>
                <w:color w:val="auto"/>
              </w:rPr>
            </w:pPr>
            <w:r>
              <w:rPr>
                <w:rFonts w:ascii="Arial" w:cs="Arial" w:eastAsia="Arial" w:hAnsi="Arial"/>
                <w:sz w:val="11"/>
                <w:szCs w:val="11"/>
                <w:color w:val="auto"/>
              </w:rPr>
              <w:t>1.3</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80"/>
              <w:spacing w:after="0" w:line="111" w:lineRule="exact"/>
              <w:rPr>
                <w:sz w:val="20"/>
                <w:szCs w:val="20"/>
                <w:color w:val="auto"/>
              </w:rPr>
            </w:pPr>
            <w:r>
              <w:rPr>
                <w:rFonts w:ascii="Arial" w:cs="Arial" w:eastAsia="Arial" w:hAnsi="Arial"/>
                <w:sz w:val="11"/>
                <w:szCs w:val="11"/>
                <w:color w:val="auto"/>
              </w:rPr>
              <w:t>10.1</w:t>
            </w:r>
          </w:p>
        </w:tc>
      </w:tr>
      <w:tr>
        <w:trPr>
          <w:trHeight w:val="111"/>
        </w:trPr>
        <w:tc>
          <w:tcPr>
            <w:tcW w:w="7900" w:type="dxa"/>
            <w:vAlign w:val="bottom"/>
          </w:tcPr>
          <w:p>
            <w:pPr>
              <w:ind w:left="120"/>
              <w:spacing w:after="0" w:line="111" w:lineRule="exact"/>
              <w:rPr>
                <w:sz w:val="20"/>
                <w:szCs w:val="20"/>
                <w:color w:val="auto"/>
              </w:rPr>
            </w:pPr>
            <w:r>
              <w:rPr>
                <w:rFonts w:ascii="Arial" w:cs="Arial" w:eastAsia="Arial" w:hAnsi="Arial"/>
                <w:sz w:val="11"/>
                <w:szCs w:val="11"/>
                <w:color w:val="auto"/>
              </w:rPr>
              <w:t>Advance payments and unearned income</w:t>
            </w:r>
          </w:p>
        </w:tc>
        <w:tc>
          <w:tcPr>
            <w:tcW w:w="80" w:type="dxa"/>
            <w:vAlign w:val="bottom"/>
          </w:tcPr>
          <w:p>
            <w:pPr>
              <w:spacing w:after="0"/>
              <w:rPr>
                <w:sz w:val="9"/>
                <w:szCs w:val="9"/>
                <w:color w:val="auto"/>
              </w:rPr>
            </w:pPr>
          </w:p>
        </w:tc>
        <w:tc>
          <w:tcPr>
            <w:tcW w:w="420" w:type="dxa"/>
            <w:vAlign w:val="bottom"/>
            <w:gridSpan w:val="2"/>
          </w:tcPr>
          <w:p>
            <w:pPr>
              <w:jc w:val="right"/>
              <w:ind w:right="100"/>
              <w:spacing w:after="0" w:line="111" w:lineRule="exact"/>
              <w:rPr>
                <w:sz w:val="20"/>
                <w:szCs w:val="20"/>
                <w:color w:val="auto"/>
              </w:rPr>
            </w:pPr>
            <w:r>
              <w:rPr>
                <w:rFonts w:ascii="Arial" w:cs="Arial" w:eastAsia="Arial" w:hAnsi="Arial"/>
                <w:sz w:val="11"/>
                <w:szCs w:val="11"/>
                <w:color w:val="auto"/>
              </w:rPr>
              <w:t>7.2</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gridSpan w:val="2"/>
          </w:tcPr>
          <w:p>
            <w:pPr>
              <w:jc w:val="right"/>
              <w:ind w:right="300"/>
              <w:spacing w:after="0" w:line="111" w:lineRule="exact"/>
              <w:rPr>
                <w:sz w:val="20"/>
                <w:szCs w:val="20"/>
                <w:color w:val="auto"/>
              </w:rPr>
            </w:pPr>
            <w:r>
              <w:rPr>
                <w:rFonts w:ascii="Arial" w:cs="Arial" w:eastAsia="Arial" w:hAnsi="Arial"/>
                <w:sz w:val="11"/>
                <w:szCs w:val="11"/>
                <w:color w:val="auto"/>
              </w:rPr>
              <w:t>7.8</w:t>
            </w:r>
          </w:p>
        </w:tc>
        <w:tc>
          <w:tcPr>
            <w:tcW w:w="100" w:type="dxa"/>
            <w:vAlign w:val="bottom"/>
          </w:tcPr>
          <w:p>
            <w:pPr>
              <w:spacing w:after="0"/>
              <w:rPr>
                <w:sz w:val="9"/>
                <w:szCs w:val="9"/>
                <w:color w:val="auto"/>
              </w:rPr>
            </w:pPr>
          </w:p>
        </w:tc>
        <w:tc>
          <w:tcPr>
            <w:tcW w:w="480" w:type="dxa"/>
            <w:vAlign w:val="bottom"/>
            <w:gridSpan w:val="2"/>
          </w:tcPr>
          <w:p>
            <w:pPr>
              <w:jc w:val="right"/>
              <w:ind w:right="80"/>
              <w:spacing w:after="0" w:line="111" w:lineRule="exact"/>
              <w:rPr>
                <w:sz w:val="20"/>
                <w:szCs w:val="20"/>
                <w:color w:val="auto"/>
              </w:rPr>
            </w:pPr>
            <w:r>
              <w:rPr>
                <w:rFonts w:ascii="Arial" w:cs="Arial" w:eastAsia="Arial" w:hAnsi="Arial"/>
                <w:sz w:val="11"/>
                <w:szCs w:val="11"/>
                <w:color w:val="auto"/>
              </w:rPr>
              <w:t>12.8</w:t>
            </w:r>
          </w:p>
        </w:tc>
      </w:tr>
      <w:tr>
        <w:trPr>
          <w:trHeight w:val="111"/>
        </w:trPr>
        <w:tc>
          <w:tcPr>
            <w:tcW w:w="7900" w:type="dxa"/>
            <w:vAlign w:val="bottom"/>
            <w:shd w:val="clear" w:color="auto" w:fill="CCEEFF"/>
          </w:tcPr>
          <w:p>
            <w:pPr>
              <w:ind w:left="120"/>
              <w:spacing w:after="0" w:line="111" w:lineRule="exact"/>
              <w:rPr>
                <w:sz w:val="20"/>
                <w:szCs w:val="20"/>
                <w:color w:val="auto"/>
              </w:rPr>
            </w:pPr>
            <w:r>
              <w:rPr>
                <w:rFonts w:ascii="Arial" w:cs="Arial" w:eastAsia="Arial" w:hAnsi="Arial"/>
                <w:sz w:val="11"/>
                <w:szCs w:val="11"/>
                <w:color w:val="auto"/>
              </w:rPr>
              <w:t>Due to Harris Corporation</w:t>
            </w:r>
          </w:p>
        </w:tc>
        <w:tc>
          <w:tcPr>
            <w:tcW w:w="8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60"/>
              <w:spacing w:after="0" w:line="111" w:lineRule="exact"/>
              <w:rPr>
                <w:sz w:val="20"/>
                <w:szCs w:val="20"/>
                <w:color w:val="auto"/>
              </w:rPr>
            </w:pPr>
            <w:r>
              <w:rPr>
                <w:rFonts w:ascii="Arial" w:cs="Arial" w:eastAsia="Arial" w:hAnsi="Arial"/>
                <w:sz w:val="11"/>
                <w:szCs w:val="11"/>
                <w:color w:val="auto"/>
              </w:rPr>
              <w:t>(19.9)</w:t>
            </w: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300"/>
              <w:spacing w:after="0" w:line="111" w:lineRule="exact"/>
              <w:rPr>
                <w:sz w:val="20"/>
                <w:szCs w:val="20"/>
                <w:color w:val="auto"/>
              </w:rPr>
            </w:pPr>
            <w:r>
              <w:rPr>
                <w:rFonts w:ascii="Arial" w:cs="Arial" w:eastAsia="Arial" w:hAnsi="Arial"/>
                <w:sz w:val="11"/>
                <w:szCs w:val="11"/>
                <w:color w:val="auto"/>
              </w:rPr>
              <w:t>0.4</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80"/>
              <w:spacing w:after="0" w:line="111" w:lineRule="exact"/>
              <w:rPr>
                <w:sz w:val="20"/>
                <w:szCs w:val="20"/>
                <w:color w:val="auto"/>
              </w:rPr>
            </w:pPr>
            <w:r>
              <w:rPr>
                <w:rFonts w:ascii="Arial" w:cs="Arial" w:eastAsia="Arial" w:hAnsi="Arial"/>
                <w:sz w:val="11"/>
                <w:szCs w:val="11"/>
                <w:color w:val="auto"/>
              </w:rPr>
              <w:t>4.6</w:t>
            </w:r>
          </w:p>
        </w:tc>
      </w:tr>
      <w:tr>
        <w:trPr>
          <w:trHeight w:val="111"/>
        </w:trPr>
        <w:tc>
          <w:tcPr>
            <w:tcW w:w="7900" w:type="dxa"/>
            <w:vAlign w:val="bottom"/>
          </w:tcPr>
          <w:p>
            <w:pPr>
              <w:ind w:left="120"/>
              <w:spacing w:after="0" w:line="111" w:lineRule="exact"/>
              <w:rPr>
                <w:sz w:val="20"/>
                <w:szCs w:val="20"/>
                <w:color w:val="auto"/>
              </w:rPr>
            </w:pPr>
            <w:r>
              <w:rPr>
                <w:rFonts w:ascii="Arial" w:cs="Arial" w:eastAsia="Arial" w:hAnsi="Arial"/>
                <w:sz w:val="11"/>
                <w:szCs w:val="11"/>
                <w:color w:val="auto"/>
              </w:rPr>
              <w:t>Other assets and liabilities, net</w:t>
            </w:r>
          </w:p>
        </w:tc>
        <w:tc>
          <w:tcPr>
            <w:tcW w:w="80" w:type="dxa"/>
            <w:vAlign w:val="bottom"/>
          </w:tcPr>
          <w:p>
            <w:pPr>
              <w:spacing w:after="0"/>
              <w:rPr>
                <w:sz w:val="9"/>
                <w:szCs w:val="9"/>
                <w:color w:val="auto"/>
              </w:rPr>
            </w:pPr>
          </w:p>
        </w:tc>
        <w:tc>
          <w:tcPr>
            <w:tcW w:w="420" w:type="dxa"/>
            <w:vAlign w:val="bottom"/>
            <w:gridSpan w:val="2"/>
          </w:tcPr>
          <w:p>
            <w:pPr>
              <w:jc w:val="right"/>
              <w:ind w:right="100"/>
              <w:spacing w:after="0" w:line="111" w:lineRule="exact"/>
              <w:rPr>
                <w:sz w:val="20"/>
                <w:szCs w:val="20"/>
                <w:color w:val="auto"/>
              </w:rPr>
            </w:pPr>
            <w:r>
              <w:rPr>
                <w:rFonts w:ascii="Arial" w:cs="Arial" w:eastAsia="Arial" w:hAnsi="Arial"/>
                <w:sz w:val="11"/>
                <w:szCs w:val="11"/>
                <w:color w:val="auto"/>
              </w:rPr>
              <w:t>6.6</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gridSpan w:val="2"/>
          </w:tcPr>
          <w:p>
            <w:pPr>
              <w:jc w:val="right"/>
              <w:ind w:right="260"/>
              <w:spacing w:after="0" w:line="111" w:lineRule="exact"/>
              <w:rPr>
                <w:sz w:val="20"/>
                <w:szCs w:val="20"/>
                <w:color w:val="auto"/>
              </w:rPr>
            </w:pPr>
            <w:r>
              <w:rPr>
                <w:rFonts w:ascii="Arial" w:cs="Arial" w:eastAsia="Arial" w:hAnsi="Arial"/>
                <w:sz w:val="11"/>
                <w:szCs w:val="11"/>
                <w:color w:val="auto"/>
              </w:rPr>
              <w:t>(3.8)</w:t>
            </w:r>
          </w:p>
        </w:tc>
        <w:tc>
          <w:tcPr>
            <w:tcW w:w="100" w:type="dxa"/>
            <w:vAlign w:val="bottom"/>
          </w:tcPr>
          <w:p>
            <w:pPr>
              <w:spacing w:after="0"/>
              <w:rPr>
                <w:sz w:val="9"/>
                <w:szCs w:val="9"/>
                <w:color w:val="auto"/>
              </w:rPr>
            </w:pPr>
          </w:p>
        </w:tc>
        <w:tc>
          <w:tcPr>
            <w:tcW w:w="480" w:type="dxa"/>
            <w:vAlign w:val="bottom"/>
            <w:gridSpan w:val="2"/>
          </w:tcPr>
          <w:p>
            <w:pPr>
              <w:jc w:val="right"/>
              <w:ind w:right="60"/>
              <w:spacing w:after="0" w:line="111" w:lineRule="exact"/>
              <w:rPr>
                <w:sz w:val="20"/>
                <w:szCs w:val="20"/>
                <w:color w:val="auto"/>
              </w:rPr>
            </w:pPr>
            <w:r>
              <w:rPr>
                <w:rFonts w:ascii="Arial" w:cs="Arial" w:eastAsia="Arial" w:hAnsi="Arial"/>
                <w:sz w:val="11"/>
                <w:szCs w:val="11"/>
                <w:color w:val="auto"/>
              </w:rPr>
              <w:t>(0.4)</w:t>
            </w:r>
          </w:p>
        </w:tc>
      </w:tr>
      <w:tr>
        <w:trPr>
          <w:trHeight w:val="20"/>
        </w:trPr>
        <w:tc>
          <w:tcPr>
            <w:tcW w:w="79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11"/>
        </w:trPr>
        <w:tc>
          <w:tcPr>
            <w:tcW w:w="7900" w:type="dxa"/>
            <w:vAlign w:val="bottom"/>
            <w:shd w:val="clear" w:color="auto" w:fill="CCEEFF"/>
          </w:tcPr>
          <w:p>
            <w:pPr>
              <w:spacing w:after="0" w:line="111" w:lineRule="exact"/>
              <w:rPr>
                <w:sz w:val="20"/>
                <w:szCs w:val="20"/>
                <w:color w:val="auto"/>
              </w:rPr>
            </w:pPr>
            <w:r>
              <w:rPr>
                <w:rFonts w:ascii="Arial" w:cs="Arial" w:eastAsia="Arial" w:hAnsi="Arial"/>
                <w:sz w:val="11"/>
                <w:szCs w:val="11"/>
                <w:color w:val="auto"/>
              </w:rPr>
              <w:t>Net cash provided by (used in) operating activities</w:t>
            </w:r>
          </w:p>
        </w:tc>
        <w:tc>
          <w:tcPr>
            <w:tcW w:w="8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100"/>
              <w:spacing w:after="0" w:line="111" w:lineRule="exact"/>
              <w:rPr>
                <w:sz w:val="20"/>
                <w:szCs w:val="20"/>
                <w:color w:val="auto"/>
              </w:rPr>
            </w:pPr>
            <w:r>
              <w:rPr>
                <w:rFonts w:ascii="Arial" w:cs="Arial" w:eastAsia="Arial" w:hAnsi="Arial"/>
                <w:sz w:val="11"/>
                <w:szCs w:val="11"/>
                <w:color w:val="auto"/>
              </w:rPr>
              <w:t>71.3</w:t>
            </w: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300"/>
              <w:spacing w:after="0" w:line="111" w:lineRule="exact"/>
              <w:rPr>
                <w:sz w:val="20"/>
                <w:szCs w:val="20"/>
                <w:color w:val="auto"/>
              </w:rPr>
            </w:pPr>
            <w:r>
              <w:rPr>
                <w:rFonts w:ascii="Arial" w:cs="Arial" w:eastAsia="Arial" w:hAnsi="Arial"/>
                <w:sz w:val="11"/>
                <w:szCs w:val="11"/>
                <w:color w:val="auto"/>
              </w:rPr>
              <w:t>40.0</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60"/>
              <w:spacing w:after="0" w:line="111" w:lineRule="exact"/>
              <w:rPr>
                <w:sz w:val="20"/>
                <w:szCs w:val="20"/>
                <w:color w:val="auto"/>
              </w:rPr>
            </w:pPr>
            <w:r>
              <w:rPr>
                <w:rFonts w:ascii="Arial" w:cs="Arial" w:eastAsia="Arial" w:hAnsi="Arial"/>
                <w:sz w:val="11"/>
                <w:szCs w:val="11"/>
                <w:color w:val="auto"/>
              </w:rPr>
              <w:t>(13.1)</w:t>
            </w:r>
          </w:p>
        </w:tc>
      </w:tr>
      <w:tr>
        <w:trPr>
          <w:trHeight w:val="111"/>
        </w:trPr>
        <w:tc>
          <w:tcPr>
            <w:tcW w:w="7900" w:type="dxa"/>
            <w:vAlign w:val="bottom"/>
          </w:tcPr>
          <w:p>
            <w:pPr>
              <w:spacing w:after="0" w:line="111" w:lineRule="exact"/>
              <w:rPr>
                <w:sz w:val="20"/>
                <w:szCs w:val="20"/>
                <w:color w:val="auto"/>
              </w:rPr>
            </w:pPr>
            <w:r>
              <w:rPr>
                <w:rFonts w:ascii="Arial" w:cs="Arial" w:eastAsia="Arial" w:hAnsi="Arial"/>
                <w:sz w:val="11"/>
                <w:szCs w:val="11"/>
                <w:b w:val="1"/>
                <w:bCs w:val="1"/>
                <w:color w:val="auto"/>
              </w:rPr>
              <w:t>Investing Activities</w:t>
            </w:r>
          </w:p>
        </w:tc>
        <w:tc>
          <w:tcPr>
            <w:tcW w:w="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r>
      <w:tr>
        <w:trPr>
          <w:trHeight w:val="111"/>
        </w:trPr>
        <w:tc>
          <w:tcPr>
            <w:tcW w:w="7900" w:type="dxa"/>
            <w:vAlign w:val="bottom"/>
            <w:shd w:val="clear" w:color="auto" w:fill="CCEEFF"/>
          </w:tcPr>
          <w:p>
            <w:pPr>
              <w:ind w:left="120"/>
              <w:spacing w:after="0" w:line="111" w:lineRule="exact"/>
              <w:rPr>
                <w:sz w:val="20"/>
                <w:szCs w:val="20"/>
                <w:color w:val="auto"/>
              </w:rPr>
            </w:pPr>
            <w:r>
              <w:rPr>
                <w:rFonts w:ascii="Arial" w:cs="Arial" w:eastAsia="Arial" w:hAnsi="Arial"/>
                <w:sz w:val="11"/>
                <w:szCs w:val="11"/>
                <w:color w:val="auto"/>
              </w:rPr>
              <w:t>Cash payments for Telsima acquisition, net of $1.0 million acquisition costs and cash acquired</w:t>
            </w:r>
          </w:p>
        </w:tc>
        <w:tc>
          <w:tcPr>
            <w:tcW w:w="8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60"/>
              <w:spacing w:after="0" w:line="111" w:lineRule="exact"/>
              <w:rPr>
                <w:sz w:val="20"/>
                <w:szCs w:val="20"/>
                <w:color w:val="auto"/>
              </w:rPr>
            </w:pPr>
            <w:r>
              <w:rPr>
                <w:rFonts w:ascii="Arial" w:cs="Arial" w:eastAsia="Arial" w:hAnsi="Arial"/>
                <w:sz w:val="11"/>
                <w:szCs w:val="11"/>
                <w:color w:val="auto"/>
              </w:rPr>
              <w:t>(4.3)</w:t>
            </w: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300"/>
              <w:spacing w:after="0" w:line="111"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80"/>
              <w:spacing w:after="0" w:line="111" w:lineRule="exact"/>
              <w:rPr>
                <w:sz w:val="20"/>
                <w:szCs w:val="20"/>
                <w:color w:val="auto"/>
              </w:rPr>
            </w:pPr>
            <w:r>
              <w:rPr>
                <w:rFonts w:ascii="Arial" w:cs="Arial" w:eastAsia="Arial" w:hAnsi="Arial"/>
                <w:sz w:val="11"/>
                <w:szCs w:val="11"/>
                <w:color w:val="auto"/>
              </w:rPr>
              <w:t>—</w:t>
            </w:r>
          </w:p>
        </w:tc>
      </w:tr>
      <w:tr>
        <w:trPr>
          <w:trHeight w:val="111"/>
        </w:trPr>
        <w:tc>
          <w:tcPr>
            <w:tcW w:w="7900" w:type="dxa"/>
            <w:vAlign w:val="bottom"/>
          </w:tcPr>
          <w:p>
            <w:pPr>
              <w:ind w:left="120"/>
              <w:spacing w:after="0" w:line="111" w:lineRule="exact"/>
              <w:rPr>
                <w:sz w:val="20"/>
                <w:szCs w:val="20"/>
                <w:color w:val="auto"/>
              </w:rPr>
            </w:pPr>
            <w:r>
              <w:rPr>
                <w:rFonts w:ascii="Arial" w:cs="Arial" w:eastAsia="Arial" w:hAnsi="Arial"/>
                <w:sz w:val="11"/>
                <w:szCs w:val="11"/>
                <w:color w:val="auto"/>
              </w:rPr>
              <w:t>Cash acquired from the Stratex acquisition, net of acquisition costs of $12.7 million</w:t>
            </w:r>
          </w:p>
        </w:tc>
        <w:tc>
          <w:tcPr>
            <w:tcW w:w="80" w:type="dxa"/>
            <w:vAlign w:val="bottom"/>
          </w:tcPr>
          <w:p>
            <w:pPr>
              <w:spacing w:after="0"/>
              <w:rPr>
                <w:sz w:val="9"/>
                <w:szCs w:val="9"/>
                <w:color w:val="auto"/>
              </w:rPr>
            </w:pPr>
          </w:p>
        </w:tc>
        <w:tc>
          <w:tcPr>
            <w:tcW w:w="420" w:type="dxa"/>
            <w:vAlign w:val="bottom"/>
            <w:gridSpan w:val="2"/>
          </w:tcPr>
          <w:p>
            <w:pPr>
              <w:jc w:val="right"/>
              <w:ind w:right="100"/>
              <w:spacing w:after="0" w:line="111" w:lineRule="exact"/>
              <w:rPr>
                <w:sz w:val="20"/>
                <w:szCs w:val="20"/>
                <w:color w:val="auto"/>
              </w:rPr>
            </w:pPr>
            <w:r>
              <w:rPr>
                <w:rFonts w:ascii="Arial" w:cs="Arial" w:eastAsia="Arial" w:hAnsi="Arial"/>
                <w:sz w:val="11"/>
                <w:szCs w:val="11"/>
                <w:color w:val="auto"/>
              </w:rPr>
              <w:t>—</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gridSpan w:val="2"/>
          </w:tcPr>
          <w:p>
            <w:pPr>
              <w:jc w:val="right"/>
              <w:ind w:right="300"/>
              <w:spacing w:after="0" w:line="111"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480" w:type="dxa"/>
            <w:vAlign w:val="bottom"/>
            <w:gridSpan w:val="2"/>
          </w:tcPr>
          <w:p>
            <w:pPr>
              <w:jc w:val="right"/>
              <w:ind w:right="80"/>
              <w:spacing w:after="0" w:line="111" w:lineRule="exact"/>
              <w:rPr>
                <w:sz w:val="20"/>
                <w:szCs w:val="20"/>
                <w:color w:val="auto"/>
              </w:rPr>
            </w:pPr>
            <w:r>
              <w:rPr>
                <w:rFonts w:ascii="Arial" w:cs="Arial" w:eastAsia="Arial" w:hAnsi="Arial"/>
                <w:sz w:val="11"/>
                <w:szCs w:val="11"/>
                <w:color w:val="auto"/>
              </w:rPr>
              <w:t>20.4</w:t>
            </w:r>
          </w:p>
        </w:tc>
      </w:tr>
      <w:tr>
        <w:trPr>
          <w:trHeight w:val="111"/>
        </w:trPr>
        <w:tc>
          <w:tcPr>
            <w:tcW w:w="7900" w:type="dxa"/>
            <w:vAlign w:val="bottom"/>
            <w:shd w:val="clear" w:color="auto" w:fill="CCEEFF"/>
          </w:tcPr>
          <w:p>
            <w:pPr>
              <w:ind w:left="120"/>
              <w:spacing w:after="0" w:line="111" w:lineRule="exact"/>
              <w:rPr>
                <w:sz w:val="20"/>
                <w:szCs w:val="20"/>
                <w:color w:val="auto"/>
              </w:rPr>
            </w:pPr>
            <w:r>
              <w:rPr>
                <w:rFonts w:ascii="Arial" w:cs="Arial" w:eastAsia="Arial" w:hAnsi="Arial"/>
                <w:sz w:val="11"/>
                <w:szCs w:val="11"/>
                <w:color w:val="auto"/>
              </w:rPr>
              <w:t>Purchases of short-term investments</w:t>
            </w:r>
          </w:p>
        </w:tc>
        <w:tc>
          <w:tcPr>
            <w:tcW w:w="8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60"/>
              <w:spacing w:after="0" w:line="111" w:lineRule="exact"/>
              <w:rPr>
                <w:sz w:val="20"/>
                <w:szCs w:val="20"/>
                <w:color w:val="auto"/>
              </w:rPr>
            </w:pPr>
            <w:r>
              <w:rPr>
                <w:rFonts w:ascii="Arial" w:cs="Arial" w:eastAsia="Arial" w:hAnsi="Arial"/>
                <w:sz w:val="11"/>
                <w:szCs w:val="11"/>
                <w:color w:val="auto"/>
              </w:rPr>
              <w:t>(1.2)</w:t>
            </w: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260"/>
              <w:spacing w:after="0" w:line="111" w:lineRule="exact"/>
              <w:rPr>
                <w:sz w:val="20"/>
                <w:szCs w:val="20"/>
                <w:color w:val="auto"/>
              </w:rPr>
            </w:pPr>
            <w:r>
              <w:rPr>
                <w:rFonts w:ascii="Arial" w:cs="Arial" w:eastAsia="Arial" w:hAnsi="Arial"/>
                <w:sz w:val="11"/>
                <w:szCs w:val="11"/>
                <w:color w:val="auto"/>
              </w:rPr>
              <w:t>(9.2)</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60"/>
              <w:spacing w:after="0" w:line="111" w:lineRule="exact"/>
              <w:rPr>
                <w:sz w:val="20"/>
                <w:szCs w:val="20"/>
                <w:color w:val="auto"/>
              </w:rPr>
            </w:pPr>
            <w:r>
              <w:rPr>
                <w:rFonts w:ascii="Arial" w:cs="Arial" w:eastAsia="Arial" w:hAnsi="Arial"/>
                <w:sz w:val="11"/>
                <w:szCs w:val="11"/>
                <w:color w:val="auto"/>
              </w:rPr>
              <w:t>(30.7)</w:t>
            </w:r>
          </w:p>
        </w:tc>
      </w:tr>
      <w:tr>
        <w:trPr>
          <w:trHeight w:val="111"/>
        </w:trPr>
        <w:tc>
          <w:tcPr>
            <w:tcW w:w="7900" w:type="dxa"/>
            <w:vAlign w:val="bottom"/>
          </w:tcPr>
          <w:p>
            <w:pPr>
              <w:ind w:left="120"/>
              <w:spacing w:after="0" w:line="111" w:lineRule="exact"/>
              <w:rPr>
                <w:sz w:val="20"/>
                <w:szCs w:val="20"/>
                <w:color w:val="auto"/>
              </w:rPr>
            </w:pPr>
            <w:r>
              <w:rPr>
                <w:rFonts w:ascii="Arial" w:cs="Arial" w:eastAsia="Arial" w:hAnsi="Arial"/>
                <w:sz w:val="11"/>
                <w:szCs w:val="11"/>
                <w:color w:val="auto"/>
              </w:rPr>
              <w:t>Sales and maturities of short-term investments</w:t>
            </w:r>
          </w:p>
        </w:tc>
        <w:tc>
          <w:tcPr>
            <w:tcW w:w="80" w:type="dxa"/>
            <w:vAlign w:val="bottom"/>
          </w:tcPr>
          <w:p>
            <w:pPr>
              <w:spacing w:after="0"/>
              <w:rPr>
                <w:sz w:val="9"/>
                <w:szCs w:val="9"/>
                <w:color w:val="auto"/>
              </w:rPr>
            </w:pPr>
          </w:p>
        </w:tc>
        <w:tc>
          <w:tcPr>
            <w:tcW w:w="420" w:type="dxa"/>
            <w:vAlign w:val="bottom"/>
            <w:gridSpan w:val="2"/>
          </w:tcPr>
          <w:p>
            <w:pPr>
              <w:jc w:val="right"/>
              <w:ind w:right="100"/>
              <w:spacing w:after="0" w:line="111" w:lineRule="exact"/>
              <w:rPr>
                <w:sz w:val="20"/>
                <w:szCs w:val="20"/>
                <w:color w:val="auto"/>
              </w:rPr>
            </w:pPr>
            <w:r>
              <w:rPr>
                <w:rFonts w:ascii="Arial" w:cs="Arial" w:eastAsia="Arial" w:hAnsi="Arial"/>
                <w:sz w:val="11"/>
                <w:szCs w:val="11"/>
                <w:color w:val="auto"/>
              </w:rPr>
              <w:t>4.0</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gridSpan w:val="2"/>
          </w:tcPr>
          <w:p>
            <w:pPr>
              <w:jc w:val="right"/>
              <w:ind w:right="300"/>
              <w:spacing w:after="0" w:line="111" w:lineRule="exact"/>
              <w:rPr>
                <w:sz w:val="20"/>
                <w:szCs w:val="20"/>
                <w:color w:val="auto"/>
              </w:rPr>
            </w:pPr>
            <w:r>
              <w:rPr>
                <w:rFonts w:ascii="Arial" w:cs="Arial" w:eastAsia="Arial" w:hAnsi="Arial"/>
                <w:sz w:val="11"/>
                <w:szCs w:val="11"/>
                <w:color w:val="auto"/>
              </w:rPr>
              <w:t>26.6</w:t>
            </w:r>
          </w:p>
        </w:tc>
        <w:tc>
          <w:tcPr>
            <w:tcW w:w="100" w:type="dxa"/>
            <w:vAlign w:val="bottom"/>
          </w:tcPr>
          <w:p>
            <w:pPr>
              <w:spacing w:after="0"/>
              <w:rPr>
                <w:sz w:val="9"/>
                <w:szCs w:val="9"/>
                <w:color w:val="auto"/>
              </w:rPr>
            </w:pPr>
          </w:p>
        </w:tc>
        <w:tc>
          <w:tcPr>
            <w:tcW w:w="480" w:type="dxa"/>
            <w:vAlign w:val="bottom"/>
            <w:gridSpan w:val="2"/>
          </w:tcPr>
          <w:p>
            <w:pPr>
              <w:jc w:val="right"/>
              <w:ind w:right="80"/>
              <w:spacing w:after="0" w:line="111" w:lineRule="exact"/>
              <w:rPr>
                <w:sz w:val="20"/>
                <w:szCs w:val="20"/>
                <w:color w:val="auto"/>
              </w:rPr>
            </w:pPr>
            <w:r>
              <w:rPr>
                <w:rFonts w:ascii="Arial" w:cs="Arial" w:eastAsia="Arial" w:hAnsi="Arial"/>
                <w:sz w:val="11"/>
                <w:szCs w:val="11"/>
                <w:color w:val="auto"/>
              </w:rPr>
              <w:t>35.8</w:t>
            </w:r>
          </w:p>
        </w:tc>
      </w:tr>
      <w:tr>
        <w:trPr>
          <w:trHeight w:val="111"/>
        </w:trPr>
        <w:tc>
          <w:tcPr>
            <w:tcW w:w="7900" w:type="dxa"/>
            <w:vAlign w:val="bottom"/>
            <w:shd w:val="clear" w:color="auto" w:fill="CCEEFF"/>
          </w:tcPr>
          <w:p>
            <w:pPr>
              <w:ind w:left="120"/>
              <w:spacing w:after="0" w:line="111" w:lineRule="exact"/>
              <w:rPr>
                <w:sz w:val="20"/>
                <w:szCs w:val="20"/>
                <w:color w:val="auto"/>
              </w:rPr>
            </w:pPr>
            <w:r>
              <w:rPr>
                <w:rFonts w:ascii="Arial" w:cs="Arial" w:eastAsia="Arial" w:hAnsi="Arial"/>
                <w:sz w:val="11"/>
                <w:szCs w:val="11"/>
                <w:color w:val="auto"/>
              </w:rPr>
              <w:t>Additions of property, plant and equipment</w:t>
            </w:r>
          </w:p>
        </w:tc>
        <w:tc>
          <w:tcPr>
            <w:tcW w:w="8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60"/>
              <w:spacing w:after="0" w:line="111" w:lineRule="exact"/>
              <w:rPr>
                <w:sz w:val="20"/>
                <w:szCs w:val="20"/>
                <w:color w:val="auto"/>
              </w:rPr>
            </w:pPr>
            <w:r>
              <w:rPr>
                <w:rFonts w:ascii="Arial" w:cs="Arial" w:eastAsia="Arial" w:hAnsi="Arial"/>
                <w:sz w:val="11"/>
                <w:szCs w:val="11"/>
                <w:color w:val="auto"/>
              </w:rPr>
              <w:t>(15.8)</w:t>
            </w: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260"/>
              <w:spacing w:after="0" w:line="111" w:lineRule="exact"/>
              <w:rPr>
                <w:sz w:val="20"/>
                <w:szCs w:val="20"/>
                <w:color w:val="auto"/>
              </w:rPr>
            </w:pPr>
            <w:r>
              <w:rPr>
                <w:rFonts w:ascii="Arial" w:cs="Arial" w:eastAsia="Arial" w:hAnsi="Arial"/>
                <w:sz w:val="11"/>
                <w:szCs w:val="11"/>
                <w:color w:val="auto"/>
              </w:rPr>
              <w:t>(9.2)</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60"/>
              <w:spacing w:after="0" w:line="111" w:lineRule="exact"/>
              <w:rPr>
                <w:sz w:val="20"/>
                <w:szCs w:val="20"/>
                <w:color w:val="auto"/>
              </w:rPr>
            </w:pPr>
            <w:r>
              <w:rPr>
                <w:rFonts w:ascii="Arial" w:cs="Arial" w:eastAsia="Arial" w:hAnsi="Arial"/>
                <w:sz w:val="11"/>
                <w:szCs w:val="11"/>
                <w:color w:val="auto"/>
              </w:rPr>
              <w:t>(8.3)</w:t>
            </w:r>
          </w:p>
        </w:tc>
      </w:tr>
      <w:tr>
        <w:trPr>
          <w:trHeight w:val="111"/>
        </w:trPr>
        <w:tc>
          <w:tcPr>
            <w:tcW w:w="7900" w:type="dxa"/>
            <w:vAlign w:val="bottom"/>
          </w:tcPr>
          <w:p>
            <w:pPr>
              <w:ind w:left="120"/>
              <w:spacing w:after="0" w:line="111" w:lineRule="exact"/>
              <w:rPr>
                <w:sz w:val="20"/>
                <w:szCs w:val="20"/>
                <w:color w:val="auto"/>
              </w:rPr>
            </w:pPr>
            <w:r>
              <w:rPr>
                <w:rFonts w:ascii="Arial" w:cs="Arial" w:eastAsia="Arial" w:hAnsi="Arial"/>
                <w:sz w:val="11"/>
                <w:szCs w:val="11"/>
                <w:color w:val="auto"/>
              </w:rPr>
              <w:t>Additions of capitalized software</w:t>
            </w:r>
          </w:p>
        </w:tc>
        <w:tc>
          <w:tcPr>
            <w:tcW w:w="80" w:type="dxa"/>
            <w:vAlign w:val="bottom"/>
          </w:tcPr>
          <w:p>
            <w:pPr>
              <w:spacing w:after="0"/>
              <w:rPr>
                <w:sz w:val="9"/>
                <w:szCs w:val="9"/>
                <w:color w:val="auto"/>
              </w:rPr>
            </w:pPr>
          </w:p>
        </w:tc>
        <w:tc>
          <w:tcPr>
            <w:tcW w:w="420" w:type="dxa"/>
            <w:vAlign w:val="bottom"/>
            <w:gridSpan w:val="2"/>
          </w:tcPr>
          <w:p>
            <w:pPr>
              <w:jc w:val="right"/>
              <w:ind w:right="60"/>
              <w:spacing w:after="0" w:line="111" w:lineRule="exact"/>
              <w:rPr>
                <w:sz w:val="20"/>
                <w:szCs w:val="20"/>
                <w:color w:val="auto"/>
              </w:rPr>
            </w:pPr>
            <w:r>
              <w:rPr>
                <w:rFonts w:ascii="Arial" w:cs="Arial" w:eastAsia="Arial" w:hAnsi="Arial"/>
                <w:sz w:val="11"/>
                <w:szCs w:val="11"/>
                <w:color w:val="auto"/>
              </w:rPr>
              <w:t>(5.8)</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gridSpan w:val="2"/>
          </w:tcPr>
          <w:p>
            <w:pPr>
              <w:jc w:val="right"/>
              <w:ind w:right="260"/>
              <w:spacing w:after="0" w:line="111" w:lineRule="exact"/>
              <w:rPr>
                <w:sz w:val="20"/>
                <w:szCs w:val="20"/>
                <w:color w:val="auto"/>
              </w:rPr>
            </w:pPr>
            <w:r>
              <w:rPr>
                <w:rFonts w:ascii="Arial" w:cs="Arial" w:eastAsia="Arial" w:hAnsi="Arial"/>
                <w:sz w:val="11"/>
                <w:szCs w:val="11"/>
                <w:color w:val="auto"/>
              </w:rPr>
              <w:t>(10.3)</w:t>
            </w:r>
          </w:p>
        </w:tc>
        <w:tc>
          <w:tcPr>
            <w:tcW w:w="100" w:type="dxa"/>
            <w:vAlign w:val="bottom"/>
          </w:tcPr>
          <w:p>
            <w:pPr>
              <w:spacing w:after="0"/>
              <w:rPr>
                <w:sz w:val="9"/>
                <w:szCs w:val="9"/>
                <w:color w:val="auto"/>
              </w:rPr>
            </w:pPr>
          </w:p>
        </w:tc>
        <w:tc>
          <w:tcPr>
            <w:tcW w:w="480" w:type="dxa"/>
            <w:vAlign w:val="bottom"/>
            <w:gridSpan w:val="2"/>
          </w:tcPr>
          <w:p>
            <w:pPr>
              <w:jc w:val="right"/>
              <w:ind w:right="60"/>
              <w:spacing w:after="0" w:line="111" w:lineRule="exact"/>
              <w:rPr>
                <w:sz w:val="20"/>
                <w:szCs w:val="20"/>
                <w:color w:val="auto"/>
              </w:rPr>
            </w:pPr>
            <w:r>
              <w:rPr>
                <w:rFonts w:ascii="Arial" w:cs="Arial" w:eastAsia="Arial" w:hAnsi="Arial"/>
                <w:sz w:val="11"/>
                <w:szCs w:val="11"/>
                <w:color w:val="auto"/>
              </w:rPr>
              <w:t>(2.9)</w:t>
            </w:r>
          </w:p>
        </w:tc>
      </w:tr>
      <w:tr>
        <w:trPr>
          <w:trHeight w:val="20"/>
        </w:trPr>
        <w:tc>
          <w:tcPr>
            <w:tcW w:w="79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11"/>
        </w:trPr>
        <w:tc>
          <w:tcPr>
            <w:tcW w:w="7900" w:type="dxa"/>
            <w:vAlign w:val="bottom"/>
            <w:shd w:val="clear" w:color="auto" w:fill="CCEEFF"/>
          </w:tcPr>
          <w:p>
            <w:pPr>
              <w:spacing w:after="0" w:line="111" w:lineRule="exact"/>
              <w:rPr>
                <w:sz w:val="20"/>
                <w:szCs w:val="20"/>
                <w:color w:val="auto"/>
              </w:rPr>
            </w:pPr>
            <w:r>
              <w:rPr>
                <w:rFonts w:ascii="Arial" w:cs="Arial" w:eastAsia="Arial" w:hAnsi="Arial"/>
                <w:sz w:val="11"/>
                <w:szCs w:val="11"/>
                <w:color w:val="auto"/>
              </w:rPr>
              <w:t>Net cash (used in) provided by investing activities</w:t>
            </w:r>
          </w:p>
        </w:tc>
        <w:tc>
          <w:tcPr>
            <w:tcW w:w="8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60"/>
              <w:spacing w:after="0" w:line="111" w:lineRule="exact"/>
              <w:rPr>
                <w:sz w:val="20"/>
                <w:szCs w:val="20"/>
                <w:color w:val="auto"/>
              </w:rPr>
            </w:pPr>
            <w:r>
              <w:rPr>
                <w:rFonts w:ascii="Arial" w:cs="Arial" w:eastAsia="Arial" w:hAnsi="Arial"/>
                <w:sz w:val="11"/>
                <w:szCs w:val="11"/>
                <w:color w:val="auto"/>
              </w:rPr>
              <w:t>(23.1)</w:t>
            </w: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260"/>
              <w:spacing w:after="0" w:line="111" w:lineRule="exact"/>
              <w:rPr>
                <w:sz w:val="20"/>
                <w:szCs w:val="20"/>
                <w:color w:val="auto"/>
              </w:rPr>
            </w:pPr>
            <w:r>
              <w:rPr>
                <w:rFonts w:ascii="Arial" w:cs="Arial" w:eastAsia="Arial" w:hAnsi="Arial"/>
                <w:sz w:val="11"/>
                <w:szCs w:val="11"/>
                <w:color w:val="auto"/>
              </w:rPr>
              <w:t>(2.1)</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80"/>
              <w:spacing w:after="0" w:line="111" w:lineRule="exact"/>
              <w:rPr>
                <w:sz w:val="20"/>
                <w:szCs w:val="20"/>
                <w:color w:val="auto"/>
              </w:rPr>
            </w:pPr>
            <w:r>
              <w:rPr>
                <w:rFonts w:ascii="Arial" w:cs="Arial" w:eastAsia="Arial" w:hAnsi="Arial"/>
                <w:sz w:val="11"/>
                <w:szCs w:val="11"/>
                <w:color w:val="auto"/>
              </w:rPr>
              <w:t>14.3</w:t>
            </w:r>
          </w:p>
        </w:tc>
      </w:tr>
      <w:tr>
        <w:trPr>
          <w:trHeight w:val="111"/>
        </w:trPr>
        <w:tc>
          <w:tcPr>
            <w:tcW w:w="7900" w:type="dxa"/>
            <w:vAlign w:val="bottom"/>
          </w:tcPr>
          <w:p>
            <w:pPr>
              <w:spacing w:after="0" w:line="111" w:lineRule="exact"/>
              <w:rPr>
                <w:sz w:val="20"/>
                <w:szCs w:val="20"/>
                <w:color w:val="auto"/>
              </w:rPr>
            </w:pPr>
            <w:r>
              <w:rPr>
                <w:rFonts w:ascii="Arial" w:cs="Arial" w:eastAsia="Arial" w:hAnsi="Arial"/>
                <w:sz w:val="11"/>
                <w:szCs w:val="11"/>
                <w:b w:val="1"/>
                <w:bCs w:val="1"/>
                <w:color w:val="auto"/>
              </w:rPr>
              <w:t>Financing Activities</w:t>
            </w:r>
          </w:p>
        </w:tc>
        <w:tc>
          <w:tcPr>
            <w:tcW w:w="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r>
      <w:tr>
        <w:trPr>
          <w:trHeight w:val="111"/>
        </w:trPr>
        <w:tc>
          <w:tcPr>
            <w:tcW w:w="7900" w:type="dxa"/>
            <w:vAlign w:val="bottom"/>
            <w:shd w:val="clear" w:color="auto" w:fill="CCEEFF"/>
          </w:tcPr>
          <w:p>
            <w:pPr>
              <w:ind w:left="120"/>
              <w:spacing w:after="0" w:line="111" w:lineRule="exact"/>
              <w:rPr>
                <w:sz w:val="20"/>
                <w:szCs w:val="20"/>
                <w:color w:val="auto"/>
              </w:rPr>
            </w:pPr>
            <w:r>
              <w:rPr>
                <w:rFonts w:ascii="Arial" w:cs="Arial" w:eastAsia="Arial" w:hAnsi="Arial"/>
                <w:sz w:val="11"/>
                <w:szCs w:val="11"/>
                <w:color w:val="auto"/>
              </w:rPr>
              <w:t>Proceeds from issuance of short-term debt</w:t>
            </w:r>
          </w:p>
        </w:tc>
        <w:tc>
          <w:tcPr>
            <w:tcW w:w="8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100"/>
              <w:spacing w:after="0" w:line="111" w:lineRule="exact"/>
              <w:rPr>
                <w:sz w:val="20"/>
                <w:szCs w:val="20"/>
                <w:color w:val="auto"/>
              </w:rPr>
            </w:pPr>
            <w:r>
              <w:rPr>
                <w:rFonts w:ascii="Arial" w:cs="Arial" w:eastAsia="Arial" w:hAnsi="Arial"/>
                <w:sz w:val="11"/>
                <w:szCs w:val="11"/>
                <w:color w:val="auto"/>
              </w:rPr>
              <w:t>10.0</w:t>
            </w: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300"/>
              <w:spacing w:after="0" w:line="111" w:lineRule="exact"/>
              <w:rPr>
                <w:sz w:val="20"/>
                <w:szCs w:val="20"/>
                <w:color w:val="auto"/>
              </w:rPr>
            </w:pPr>
            <w:r>
              <w:rPr>
                <w:rFonts w:ascii="Arial" w:cs="Arial" w:eastAsia="Arial" w:hAnsi="Arial"/>
                <w:sz w:val="11"/>
                <w:szCs w:val="11"/>
                <w:color w:val="auto"/>
              </w:rPr>
              <w:t>1.2</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80"/>
              <w:spacing w:after="0" w:line="111" w:lineRule="exact"/>
              <w:rPr>
                <w:sz w:val="20"/>
                <w:szCs w:val="20"/>
                <w:color w:val="auto"/>
              </w:rPr>
            </w:pPr>
            <w:r>
              <w:rPr>
                <w:rFonts w:ascii="Arial" w:cs="Arial" w:eastAsia="Arial" w:hAnsi="Arial"/>
                <w:sz w:val="11"/>
                <w:szCs w:val="11"/>
                <w:color w:val="auto"/>
              </w:rPr>
              <w:t>10.8</w:t>
            </w:r>
          </w:p>
        </w:tc>
      </w:tr>
      <w:tr>
        <w:trPr>
          <w:trHeight w:val="111"/>
        </w:trPr>
        <w:tc>
          <w:tcPr>
            <w:tcW w:w="7900" w:type="dxa"/>
            <w:vAlign w:val="bottom"/>
          </w:tcPr>
          <w:p>
            <w:pPr>
              <w:ind w:left="120"/>
              <w:spacing w:after="0" w:line="111" w:lineRule="exact"/>
              <w:rPr>
                <w:sz w:val="20"/>
                <w:szCs w:val="20"/>
                <w:color w:val="auto"/>
              </w:rPr>
            </w:pPr>
            <w:r>
              <w:rPr>
                <w:rFonts w:ascii="Arial" w:cs="Arial" w:eastAsia="Arial" w:hAnsi="Arial"/>
                <w:sz w:val="11"/>
                <w:szCs w:val="11"/>
                <w:color w:val="auto"/>
              </w:rPr>
              <w:t>Payments on short-term debt</w:t>
            </w:r>
          </w:p>
        </w:tc>
        <w:tc>
          <w:tcPr>
            <w:tcW w:w="80" w:type="dxa"/>
            <w:vAlign w:val="bottom"/>
          </w:tcPr>
          <w:p>
            <w:pPr>
              <w:spacing w:after="0"/>
              <w:rPr>
                <w:sz w:val="9"/>
                <w:szCs w:val="9"/>
                <w:color w:val="auto"/>
              </w:rPr>
            </w:pPr>
          </w:p>
        </w:tc>
        <w:tc>
          <w:tcPr>
            <w:tcW w:w="420" w:type="dxa"/>
            <w:vAlign w:val="bottom"/>
            <w:gridSpan w:val="2"/>
          </w:tcPr>
          <w:p>
            <w:pPr>
              <w:jc w:val="right"/>
              <w:ind w:right="100"/>
              <w:spacing w:after="0" w:line="111" w:lineRule="exact"/>
              <w:rPr>
                <w:sz w:val="20"/>
                <w:szCs w:val="20"/>
                <w:color w:val="auto"/>
              </w:rPr>
            </w:pPr>
            <w:r>
              <w:rPr>
                <w:rFonts w:ascii="Arial" w:cs="Arial" w:eastAsia="Arial" w:hAnsi="Arial"/>
                <w:sz w:val="11"/>
                <w:szCs w:val="11"/>
                <w:color w:val="auto"/>
              </w:rPr>
              <w:t>—</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gridSpan w:val="2"/>
          </w:tcPr>
          <w:p>
            <w:pPr>
              <w:jc w:val="right"/>
              <w:ind w:right="260"/>
              <w:spacing w:after="0" w:line="111" w:lineRule="exact"/>
              <w:rPr>
                <w:sz w:val="20"/>
                <w:szCs w:val="20"/>
                <w:color w:val="auto"/>
              </w:rPr>
            </w:pPr>
            <w:r>
              <w:rPr>
                <w:rFonts w:ascii="Arial" w:cs="Arial" w:eastAsia="Arial" w:hAnsi="Arial"/>
                <w:sz w:val="11"/>
                <w:szCs w:val="11"/>
                <w:color w:val="auto"/>
              </w:rPr>
              <w:t>(2.4)</w:t>
            </w:r>
          </w:p>
        </w:tc>
        <w:tc>
          <w:tcPr>
            <w:tcW w:w="100" w:type="dxa"/>
            <w:vAlign w:val="bottom"/>
          </w:tcPr>
          <w:p>
            <w:pPr>
              <w:spacing w:after="0"/>
              <w:rPr>
                <w:sz w:val="9"/>
                <w:szCs w:val="9"/>
                <w:color w:val="auto"/>
              </w:rPr>
            </w:pPr>
          </w:p>
        </w:tc>
        <w:tc>
          <w:tcPr>
            <w:tcW w:w="480" w:type="dxa"/>
            <w:vAlign w:val="bottom"/>
            <w:gridSpan w:val="2"/>
          </w:tcPr>
          <w:p>
            <w:pPr>
              <w:jc w:val="right"/>
              <w:ind w:right="60"/>
              <w:spacing w:after="0" w:line="111" w:lineRule="exact"/>
              <w:rPr>
                <w:sz w:val="20"/>
                <w:szCs w:val="20"/>
                <w:color w:val="auto"/>
              </w:rPr>
            </w:pPr>
            <w:r>
              <w:rPr>
                <w:rFonts w:ascii="Arial" w:cs="Arial" w:eastAsia="Arial" w:hAnsi="Arial"/>
                <w:sz w:val="11"/>
                <w:szCs w:val="11"/>
                <w:color w:val="auto"/>
              </w:rPr>
              <w:t>(9.8)</w:t>
            </w:r>
          </w:p>
        </w:tc>
      </w:tr>
      <w:tr>
        <w:trPr>
          <w:trHeight w:val="111"/>
        </w:trPr>
        <w:tc>
          <w:tcPr>
            <w:tcW w:w="7900" w:type="dxa"/>
            <w:vAlign w:val="bottom"/>
            <w:shd w:val="clear" w:color="auto" w:fill="CCEEFF"/>
          </w:tcPr>
          <w:p>
            <w:pPr>
              <w:ind w:left="120"/>
              <w:spacing w:after="0" w:line="111" w:lineRule="exact"/>
              <w:rPr>
                <w:sz w:val="20"/>
                <w:szCs w:val="20"/>
                <w:color w:val="auto"/>
              </w:rPr>
            </w:pPr>
            <w:r>
              <w:rPr>
                <w:rFonts w:ascii="Arial" w:cs="Arial" w:eastAsia="Arial" w:hAnsi="Arial"/>
                <w:sz w:val="11"/>
                <w:szCs w:val="11"/>
                <w:color w:val="auto"/>
              </w:rPr>
              <w:t>Payments on long-term debt</w:t>
            </w:r>
          </w:p>
        </w:tc>
        <w:tc>
          <w:tcPr>
            <w:tcW w:w="8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60"/>
              <w:spacing w:after="0" w:line="111" w:lineRule="exact"/>
              <w:rPr>
                <w:sz w:val="20"/>
                <w:szCs w:val="20"/>
                <w:color w:val="auto"/>
              </w:rPr>
            </w:pPr>
            <w:r>
              <w:rPr>
                <w:rFonts w:ascii="Arial" w:cs="Arial" w:eastAsia="Arial" w:hAnsi="Arial"/>
                <w:sz w:val="11"/>
                <w:szCs w:val="11"/>
                <w:color w:val="auto"/>
              </w:rPr>
              <w:t>(9.8)</w:t>
            </w: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260"/>
              <w:spacing w:after="0" w:line="111" w:lineRule="exact"/>
              <w:rPr>
                <w:sz w:val="20"/>
                <w:szCs w:val="20"/>
                <w:color w:val="auto"/>
              </w:rPr>
            </w:pPr>
            <w:r>
              <w:rPr>
                <w:rFonts w:ascii="Arial" w:cs="Arial" w:eastAsia="Arial" w:hAnsi="Arial"/>
                <w:sz w:val="11"/>
                <w:szCs w:val="11"/>
                <w:color w:val="auto"/>
              </w:rPr>
              <w:t>(10.7)</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60"/>
              <w:spacing w:after="0" w:line="111" w:lineRule="exact"/>
              <w:rPr>
                <w:sz w:val="20"/>
                <w:szCs w:val="20"/>
                <w:color w:val="auto"/>
              </w:rPr>
            </w:pPr>
            <w:r>
              <w:rPr>
                <w:rFonts w:ascii="Arial" w:cs="Arial" w:eastAsia="Arial" w:hAnsi="Arial"/>
                <w:sz w:val="11"/>
                <w:szCs w:val="11"/>
                <w:color w:val="auto"/>
              </w:rPr>
              <w:t>(5.2)</w:t>
            </w:r>
          </w:p>
        </w:tc>
      </w:tr>
      <w:tr>
        <w:trPr>
          <w:trHeight w:val="111"/>
        </w:trPr>
        <w:tc>
          <w:tcPr>
            <w:tcW w:w="7900" w:type="dxa"/>
            <w:vAlign w:val="bottom"/>
          </w:tcPr>
          <w:p>
            <w:pPr>
              <w:ind w:left="120"/>
              <w:spacing w:after="0" w:line="111" w:lineRule="exact"/>
              <w:rPr>
                <w:sz w:val="20"/>
                <w:szCs w:val="20"/>
                <w:color w:val="auto"/>
              </w:rPr>
            </w:pPr>
            <w:r>
              <w:rPr>
                <w:rFonts w:ascii="Arial" w:cs="Arial" w:eastAsia="Arial" w:hAnsi="Arial"/>
                <w:sz w:val="11"/>
                <w:szCs w:val="11"/>
                <w:color w:val="auto"/>
              </w:rPr>
              <w:t>Payments on long-term capital lease obligation to Harris Corporation and others</w:t>
            </w:r>
          </w:p>
        </w:tc>
        <w:tc>
          <w:tcPr>
            <w:tcW w:w="80" w:type="dxa"/>
            <w:vAlign w:val="bottom"/>
          </w:tcPr>
          <w:p>
            <w:pPr>
              <w:spacing w:after="0"/>
              <w:rPr>
                <w:sz w:val="9"/>
                <w:szCs w:val="9"/>
                <w:color w:val="auto"/>
              </w:rPr>
            </w:pPr>
          </w:p>
        </w:tc>
        <w:tc>
          <w:tcPr>
            <w:tcW w:w="420" w:type="dxa"/>
            <w:vAlign w:val="bottom"/>
            <w:gridSpan w:val="2"/>
          </w:tcPr>
          <w:p>
            <w:pPr>
              <w:jc w:val="right"/>
              <w:ind w:right="60"/>
              <w:spacing w:after="0" w:line="111" w:lineRule="exact"/>
              <w:rPr>
                <w:sz w:val="20"/>
                <w:szCs w:val="20"/>
                <w:color w:val="auto"/>
              </w:rPr>
            </w:pPr>
            <w:r>
              <w:rPr>
                <w:rFonts w:ascii="Arial" w:cs="Arial" w:eastAsia="Arial" w:hAnsi="Arial"/>
                <w:sz w:val="11"/>
                <w:szCs w:val="11"/>
                <w:color w:val="auto"/>
              </w:rPr>
              <w:t>(1.3)</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gridSpan w:val="2"/>
          </w:tcPr>
          <w:p>
            <w:pPr>
              <w:jc w:val="right"/>
              <w:ind w:right="260"/>
              <w:spacing w:after="0" w:line="111" w:lineRule="exact"/>
              <w:rPr>
                <w:sz w:val="20"/>
                <w:szCs w:val="20"/>
                <w:color w:val="auto"/>
              </w:rPr>
            </w:pPr>
            <w:r>
              <w:rPr>
                <w:rFonts w:ascii="Arial" w:cs="Arial" w:eastAsia="Arial" w:hAnsi="Arial"/>
                <w:sz w:val="11"/>
                <w:szCs w:val="11"/>
                <w:color w:val="auto"/>
              </w:rPr>
              <w:t>(3.7)</w:t>
            </w:r>
          </w:p>
        </w:tc>
        <w:tc>
          <w:tcPr>
            <w:tcW w:w="100" w:type="dxa"/>
            <w:vAlign w:val="bottom"/>
          </w:tcPr>
          <w:p>
            <w:pPr>
              <w:spacing w:after="0"/>
              <w:rPr>
                <w:sz w:val="9"/>
                <w:szCs w:val="9"/>
                <w:color w:val="auto"/>
              </w:rPr>
            </w:pPr>
          </w:p>
        </w:tc>
        <w:tc>
          <w:tcPr>
            <w:tcW w:w="480" w:type="dxa"/>
            <w:vAlign w:val="bottom"/>
            <w:gridSpan w:val="2"/>
          </w:tcPr>
          <w:p>
            <w:pPr>
              <w:jc w:val="right"/>
              <w:ind w:right="80"/>
              <w:spacing w:after="0" w:line="111" w:lineRule="exact"/>
              <w:rPr>
                <w:sz w:val="20"/>
                <w:szCs w:val="20"/>
                <w:color w:val="auto"/>
              </w:rPr>
            </w:pPr>
            <w:r>
              <w:rPr>
                <w:rFonts w:ascii="Arial" w:cs="Arial" w:eastAsia="Arial" w:hAnsi="Arial"/>
                <w:sz w:val="11"/>
                <w:szCs w:val="11"/>
                <w:color w:val="auto"/>
              </w:rPr>
              <w:t>—</w:t>
            </w:r>
          </w:p>
        </w:tc>
      </w:tr>
      <w:tr>
        <w:trPr>
          <w:trHeight w:val="111"/>
        </w:trPr>
        <w:tc>
          <w:tcPr>
            <w:tcW w:w="7900" w:type="dxa"/>
            <w:vAlign w:val="bottom"/>
            <w:shd w:val="clear" w:color="auto" w:fill="CCEEFF"/>
          </w:tcPr>
          <w:p>
            <w:pPr>
              <w:ind w:left="120"/>
              <w:spacing w:after="0" w:line="111" w:lineRule="exact"/>
              <w:rPr>
                <w:sz w:val="20"/>
                <w:szCs w:val="20"/>
                <w:color w:val="auto"/>
              </w:rPr>
            </w:pPr>
            <w:r>
              <w:rPr>
                <w:rFonts w:ascii="Arial" w:cs="Arial" w:eastAsia="Arial" w:hAnsi="Arial"/>
                <w:sz w:val="11"/>
                <w:szCs w:val="11"/>
                <w:color w:val="auto"/>
              </w:rPr>
              <w:t>Proceeds from exercise of former Stratex stock options</w:t>
            </w:r>
          </w:p>
        </w:tc>
        <w:tc>
          <w:tcPr>
            <w:tcW w:w="8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100"/>
              <w:spacing w:after="0" w:line="111" w:lineRule="exact"/>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300"/>
              <w:spacing w:after="0" w:line="111" w:lineRule="exact"/>
              <w:rPr>
                <w:sz w:val="20"/>
                <w:szCs w:val="20"/>
                <w:color w:val="auto"/>
              </w:rPr>
            </w:pPr>
            <w:r>
              <w:rPr>
                <w:rFonts w:ascii="Arial" w:cs="Arial" w:eastAsia="Arial" w:hAnsi="Arial"/>
                <w:sz w:val="11"/>
                <w:szCs w:val="11"/>
                <w:color w:val="auto"/>
              </w:rPr>
              <w:t>1.5</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80"/>
              <w:spacing w:after="0" w:line="111" w:lineRule="exact"/>
              <w:rPr>
                <w:sz w:val="20"/>
                <w:szCs w:val="20"/>
                <w:color w:val="auto"/>
              </w:rPr>
            </w:pPr>
            <w:r>
              <w:rPr>
                <w:rFonts w:ascii="Arial" w:cs="Arial" w:eastAsia="Arial" w:hAnsi="Arial"/>
                <w:sz w:val="11"/>
                <w:szCs w:val="11"/>
                <w:color w:val="auto"/>
              </w:rPr>
              <w:t>3.1</w:t>
            </w:r>
          </w:p>
        </w:tc>
      </w:tr>
      <w:tr>
        <w:trPr>
          <w:trHeight w:val="111"/>
        </w:trPr>
        <w:tc>
          <w:tcPr>
            <w:tcW w:w="7900" w:type="dxa"/>
            <w:vAlign w:val="bottom"/>
          </w:tcPr>
          <w:p>
            <w:pPr>
              <w:ind w:left="120"/>
              <w:spacing w:after="0" w:line="111" w:lineRule="exact"/>
              <w:rPr>
                <w:sz w:val="20"/>
                <w:szCs w:val="20"/>
                <w:color w:val="auto"/>
              </w:rPr>
            </w:pPr>
            <w:r>
              <w:rPr>
                <w:rFonts w:ascii="Arial" w:cs="Arial" w:eastAsia="Arial" w:hAnsi="Arial"/>
                <w:sz w:val="11"/>
                <w:szCs w:val="11"/>
                <w:color w:val="auto"/>
              </w:rPr>
              <w:t>Excess tax benefits from share-based compensation</w:t>
            </w:r>
          </w:p>
        </w:tc>
        <w:tc>
          <w:tcPr>
            <w:tcW w:w="80" w:type="dxa"/>
            <w:vAlign w:val="bottom"/>
          </w:tcPr>
          <w:p>
            <w:pPr>
              <w:spacing w:after="0"/>
              <w:rPr>
                <w:sz w:val="9"/>
                <w:szCs w:val="9"/>
                <w:color w:val="auto"/>
              </w:rPr>
            </w:pPr>
          </w:p>
        </w:tc>
        <w:tc>
          <w:tcPr>
            <w:tcW w:w="420" w:type="dxa"/>
            <w:vAlign w:val="bottom"/>
            <w:gridSpan w:val="2"/>
          </w:tcPr>
          <w:p>
            <w:pPr>
              <w:jc w:val="right"/>
              <w:ind w:right="100"/>
              <w:spacing w:after="0" w:line="111" w:lineRule="exact"/>
              <w:rPr>
                <w:sz w:val="20"/>
                <w:szCs w:val="20"/>
                <w:color w:val="auto"/>
              </w:rPr>
            </w:pPr>
            <w:r>
              <w:rPr>
                <w:rFonts w:ascii="Arial" w:cs="Arial" w:eastAsia="Arial" w:hAnsi="Arial"/>
                <w:sz w:val="11"/>
                <w:szCs w:val="11"/>
                <w:color w:val="auto"/>
              </w:rPr>
              <w:t>—</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gridSpan w:val="2"/>
          </w:tcPr>
          <w:p>
            <w:pPr>
              <w:jc w:val="right"/>
              <w:ind w:right="300"/>
              <w:spacing w:after="0" w:line="111" w:lineRule="exact"/>
              <w:rPr>
                <w:sz w:val="20"/>
                <w:szCs w:val="20"/>
                <w:color w:val="auto"/>
              </w:rPr>
            </w:pPr>
            <w:r>
              <w:rPr>
                <w:rFonts w:ascii="Arial" w:cs="Arial" w:eastAsia="Arial" w:hAnsi="Arial"/>
                <w:sz w:val="11"/>
                <w:szCs w:val="11"/>
                <w:color w:val="auto"/>
              </w:rPr>
              <w:t>0.7</w:t>
            </w:r>
          </w:p>
        </w:tc>
        <w:tc>
          <w:tcPr>
            <w:tcW w:w="100" w:type="dxa"/>
            <w:vAlign w:val="bottom"/>
          </w:tcPr>
          <w:p>
            <w:pPr>
              <w:spacing w:after="0"/>
              <w:rPr>
                <w:sz w:val="9"/>
                <w:szCs w:val="9"/>
                <w:color w:val="auto"/>
              </w:rPr>
            </w:pPr>
          </w:p>
        </w:tc>
        <w:tc>
          <w:tcPr>
            <w:tcW w:w="480" w:type="dxa"/>
            <w:vAlign w:val="bottom"/>
            <w:gridSpan w:val="2"/>
          </w:tcPr>
          <w:p>
            <w:pPr>
              <w:jc w:val="right"/>
              <w:ind w:right="80"/>
              <w:spacing w:after="0" w:line="111" w:lineRule="exact"/>
              <w:rPr>
                <w:sz w:val="20"/>
                <w:szCs w:val="20"/>
                <w:color w:val="auto"/>
              </w:rPr>
            </w:pPr>
            <w:r>
              <w:rPr>
                <w:rFonts w:ascii="Arial" w:cs="Arial" w:eastAsia="Arial" w:hAnsi="Arial"/>
                <w:sz w:val="11"/>
                <w:szCs w:val="11"/>
                <w:color w:val="auto"/>
              </w:rPr>
              <w:t>—</w:t>
            </w:r>
          </w:p>
        </w:tc>
      </w:tr>
      <w:tr>
        <w:trPr>
          <w:trHeight w:val="111"/>
        </w:trPr>
        <w:tc>
          <w:tcPr>
            <w:tcW w:w="7900" w:type="dxa"/>
            <w:vAlign w:val="bottom"/>
            <w:shd w:val="clear" w:color="auto" w:fill="CCEEFF"/>
          </w:tcPr>
          <w:p>
            <w:pPr>
              <w:ind w:left="120"/>
              <w:spacing w:after="0" w:line="111" w:lineRule="exact"/>
              <w:rPr>
                <w:sz w:val="20"/>
                <w:szCs w:val="20"/>
                <w:color w:val="auto"/>
              </w:rPr>
            </w:pPr>
            <w:r>
              <w:rPr>
                <w:rFonts w:ascii="Arial" w:cs="Arial" w:eastAsia="Arial" w:hAnsi="Arial"/>
                <w:sz w:val="11"/>
                <w:szCs w:val="11"/>
                <w:color w:val="auto"/>
              </w:rPr>
              <w:t>Proceeds from issuance of redeemable preference shares</w:t>
            </w:r>
          </w:p>
        </w:tc>
        <w:tc>
          <w:tcPr>
            <w:tcW w:w="8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100"/>
              <w:spacing w:after="0" w:line="111" w:lineRule="exact"/>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300"/>
              <w:spacing w:after="0" w:line="111"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80"/>
              <w:spacing w:after="0" w:line="111" w:lineRule="exact"/>
              <w:rPr>
                <w:sz w:val="20"/>
                <w:szCs w:val="20"/>
                <w:color w:val="auto"/>
              </w:rPr>
            </w:pPr>
            <w:r>
              <w:rPr>
                <w:rFonts w:ascii="Arial" w:cs="Arial" w:eastAsia="Arial" w:hAnsi="Arial"/>
                <w:sz w:val="11"/>
                <w:szCs w:val="11"/>
                <w:color w:val="auto"/>
              </w:rPr>
              <w:t>8.3</w:t>
            </w:r>
          </w:p>
        </w:tc>
      </w:tr>
      <w:tr>
        <w:trPr>
          <w:trHeight w:val="111"/>
        </w:trPr>
        <w:tc>
          <w:tcPr>
            <w:tcW w:w="7900" w:type="dxa"/>
            <w:vAlign w:val="bottom"/>
          </w:tcPr>
          <w:p>
            <w:pPr>
              <w:ind w:left="120"/>
              <w:spacing w:after="0" w:line="111" w:lineRule="exact"/>
              <w:rPr>
                <w:sz w:val="20"/>
                <w:szCs w:val="20"/>
                <w:color w:val="auto"/>
              </w:rPr>
            </w:pPr>
            <w:r>
              <w:rPr>
                <w:rFonts w:ascii="Arial" w:cs="Arial" w:eastAsia="Arial" w:hAnsi="Arial"/>
                <w:sz w:val="11"/>
                <w:szCs w:val="11"/>
                <w:color w:val="auto"/>
              </w:rPr>
              <w:t>Proceeds from issuance of Class B Common Stock to Harris Corporation</w:t>
            </w:r>
          </w:p>
        </w:tc>
        <w:tc>
          <w:tcPr>
            <w:tcW w:w="80" w:type="dxa"/>
            <w:vAlign w:val="bottom"/>
          </w:tcPr>
          <w:p>
            <w:pPr>
              <w:spacing w:after="0"/>
              <w:rPr>
                <w:sz w:val="9"/>
                <w:szCs w:val="9"/>
                <w:color w:val="auto"/>
              </w:rPr>
            </w:pPr>
          </w:p>
        </w:tc>
        <w:tc>
          <w:tcPr>
            <w:tcW w:w="420" w:type="dxa"/>
            <w:vAlign w:val="bottom"/>
            <w:gridSpan w:val="2"/>
          </w:tcPr>
          <w:p>
            <w:pPr>
              <w:jc w:val="right"/>
              <w:ind w:right="100"/>
              <w:spacing w:after="0" w:line="111" w:lineRule="exact"/>
              <w:rPr>
                <w:sz w:val="20"/>
                <w:szCs w:val="20"/>
                <w:color w:val="auto"/>
              </w:rPr>
            </w:pPr>
            <w:r>
              <w:rPr>
                <w:rFonts w:ascii="Arial" w:cs="Arial" w:eastAsia="Arial" w:hAnsi="Arial"/>
                <w:sz w:val="11"/>
                <w:szCs w:val="11"/>
                <w:color w:val="auto"/>
              </w:rPr>
              <w:t>—</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gridSpan w:val="2"/>
          </w:tcPr>
          <w:p>
            <w:pPr>
              <w:jc w:val="right"/>
              <w:ind w:right="300"/>
              <w:spacing w:after="0" w:line="111"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480" w:type="dxa"/>
            <w:vAlign w:val="bottom"/>
            <w:gridSpan w:val="2"/>
          </w:tcPr>
          <w:p>
            <w:pPr>
              <w:jc w:val="right"/>
              <w:ind w:right="80"/>
              <w:spacing w:after="0" w:line="111" w:lineRule="exact"/>
              <w:rPr>
                <w:sz w:val="20"/>
                <w:szCs w:val="20"/>
                <w:color w:val="auto"/>
              </w:rPr>
            </w:pPr>
            <w:r>
              <w:rPr>
                <w:rFonts w:ascii="Arial" w:cs="Arial" w:eastAsia="Arial" w:hAnsi="Arial"/>
                <w:sz w:val="11"/>
                <w:szCs w:val="11"/>
                <w:color w:val="auto"/>
              </w:rPr>
              <w:t>26.9</w:t>
            </w:r>
          </w:p>
        </w:tc>
      </w:tr>
      <w:tr>
        <w:trPr>
          <w:trHeight w:val="111"/>
        </w:trPr>
        <w:tc>
          <w:tcPr>
            <w:tcW w:w="7900" w:type="dxa"/>
            <w:vAlign w:val="bottom"/>
            <w:shd w:val="clear" w:color="auto" w:fill="CCEEFF"/>
          </w:tcPr>
          <w:p>
            <w:pPr>
              <w:ind w:left="120"/>
              <w:spacing w:after="0" w:line="111" w:lineRule="exact"/>
              <w:rPr>
                <w:sz w:val="20"/>
                <w:szCs w:val="20"/>
                <w:color w:val="auto"/>
              </w:rPr>
            </w:pPr>
            <w:r>
              <w:rPr>
                <w:rFonts w:ascii="Arial" w:cs="Arial" w:eastAsia="Arial" w:hAnsi="Arial"/>
                <w:sz w:val="11"/>
                <w:szCs w:val="11"/>
                <w:color w:val="auto"/>
              </w:rPr>
              <w:t>Registration costs for Class A common stock issued in Stratex acquisition</w:t>
            </w:r>
          </w:p>
        </w:tc>
        <w:tc>
          <w:tcPr>
            <w:tcW w:w="8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100"/>
              <w:spacing w:after="0" w:line="111" w:lineRule="exact"/>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300"/>
              <w:spacing w:after="0" w:line="111"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60"/>
              <w:spacing w:after="0" w:line="111" w:lineRule="exact"/>
              <w:rPr>
                <w:sz w:val="20"/>
                <w:szCs w:val="20"/>
                <w:color w:val="auto"/>
              </w:rPr>
            </w:pPr>
            <w:r>
              <w:rPr>
                <w:rFonts w:ascii="Arial" w:cs="Arial" w:eastAsia="Arial" w:hAnsi="Arial"/>
                <w:sz w:val="11"/>
                <w:szCs w:val="11"/>
                <w:color w:val="auto"/>
              </w:rPr>
              <w:t>(1.1)</w:t>
            </w:r>
          </w:p>
        </w:tc>
      </w:tr>
      <w:tr>
        <w:trPr>
          <w:trHeight w:val="111"/>
        </w:trPr>
        <w:tc>
          <w:tcPr>
            <w:tcW w:w="7900" w:type="dxa"/>
            <w:vAlign w:val="bottom"/>
          </w:tcPr>
          <w:p>
            <w:pPr>
              <w:ind w:left="120"/>
              <w:spacing w:after="0" w:line="111" w:lineRule="exact"/>
              <w:rPr>
                <w:sz w:val="20"/>
                <w:szCs w:val="20"/>
                <w:color w:val="auto"/>
              </w:rPr>
            </w:pPr>
            <w:r>
              <w:rPr>
                <w:rFonts w:ascii="Arial" w:cs="Arial" w:eastAsia="Arial" w:hAnsi="Arial"/>
                <w:sz w:val="11"/>
                <w:szCs w:val="11"/>
                <w:color w:val="auto"/>
              </w:rPr>
              <w:t>Proceeds from exercise of former Stratex warrants</w:t>
            </w:r>
          </w:p>
        </w:tc>
        <w:tc>
          <w:tcPr>
            <w:tcW w:w="80" w:type="dxa"/>
            <w:vAlign w:val="bottom"/>
          </w:tcPr>
          <w:p>
            <w:pPr>
              <w:spacing w:after="0"/>
              <w:rPr>
                <w:sz w:val="9"/>
                <w:szCs w:val="9"/>
                <w:color w:val="auto"/>
              </w:rPr>
            </w:pPr>
          </w:p>
        </w:tc>
        <w:tc>
          <w:tcPr>
            <w:tcW w:w="420" w:type="dxa"/>
            <w:vAlign w:val="bottom"/>
            <w:gridSpan w:val="2"/>
          </w:tcPr>
          <w:p>
            <w:pPr>
              <w:jc w:val="right"/>
              <w:ind w:right="100"/>
              <w:spacing w:after="0" w:line="111" w:lineRule="exact"/>
              <w:rPr>
                <w:sz w:val="20"/>
                <w:szCs w:val="20"/>
                <w:color w:val="auto"/>
              </w:rPr>
            </w:pPr>
            <w:r>
              <w:rPr>
                <w:rFonts w:ascii="Arial" w:cs="Arial" w:eastAsia="Arial" w:hAnsi="Arial"/>
                <w:sz w:val="11"/>
                <w:szCs w:val="11"/>
                <w:color w:val="auto"/>
              </w:rPr>
              <w:t>—</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gridSpan w:val="2"/>
          </w:tcPr>
          <w:p>
            <w:pPr>
              <w:jc w:val="right"/>
              <w:ind w:right="300"/>
              <w:spacing w:after="0" w:line="111"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480" w:type="dxa"/>
            <w:vAlign w:val="bottom"/>
            <w:gridSpan w:val="2"/>
          </w:tcPr>
          <w:p>
            <w:pPr>
              <w:jc w:val="right"/>
              <w:ind w:right="80"/>
              <w:spacing w:after="0" w:line="111" w:lineRule="exact"/>
              <w:rPr>
                <w:sz w:val="20"/>
                <w:szCs w:val="20"/>
                <w:color w:val="auto"/>
              </w:rPr>
            </w:pPr>
            <w:r>
              <w:rPr>
                <w:rFonts w:ascii="Arial" w:cs="Arial" w:eastAsia="Arial" w:hAnsi="Arial"/>
                <w:sz w:val="11"/>
                <w:szCs w:val="11"/>
                <w:color w:val="auto"/>
              </w:rPr>
              <w:t>0.2</w:t>
            </w:r>
          </w:p>
        </w:tc>
      </w:tr>
      <w:tr>
        <w:trPr>
          <w:trHeight w:val="111"/>
        </w:trPr>
        <w:tc>
          <w:tcPr>
            <w:tcW w:w="7900" w:type="dxa"/>
            <w:vAlign w:val="bottom"/>
            <w:shd w:val="clear" w:color="auto" w:fill="CCEEFF"/>
          </w:tcPr>
          <w:p>
            <w:pPr>
              <w:ind w:left="120"/>
              <w:spacing w:after="0" w:line="111" w:lineRule="exact"/>
              <w:rPr>
                <w:sz w:val="20"/>
                <w:szCs w:val="20"/>
                <w:color w:val="auto"/>
              </w:rPr>
            </w:pPr>
            <w:r>
              <w:rPr>
                <w:rFonts w:ascii="Arial" w:cs="Arial" w:eastAsia="Arial" w:hAnsi="Arial"/>
                <w:sz w:val="11"/>
                <w:szCs w:val="11"/>
                <w:color w:val="auto"/>
              </w:rPr>
              <w:t>Net cash and other transfers from (to) Harris Corporation prior to the Stratex acquisition</w:t>
            </w:r>
          </w:p>
        </w:tc>
        <w:tc>
          <w:tcPr>
            <w:tcW w:w="8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100"/>
              <w:spacing w:after="0" w:line="111" w:lineRule="exact"/>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300"/>
              <w:spacing w:after="0" w:line="111"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80"/>
              <w:spacing w:after="0" w:line="111" w:lineRule="exact"/>
              <w:rPr>
                <w:sz w:val="20"/>
                <w:szCs w:val="20"/>
                <w:color w:val="auto"/>
              </w:rPr>
            </w:pPr>
            <w:r>
              <w:rPr>
                <w:rFonts w:ascii="Arial" w:cs="Arial" w:eastAsia="Arial" w:hAnsi="Arial"/>
                <w:sz w:val="11"/>
                <w:szCs w:val="11"/>
                <w:color w:val="auto"/>
              </w:rPr>
              <w:t>24.1</w:t>
            </w:r>
          </w:p>
        </w:tc>
      </w:tr>
      <w:tr>
        <w:trPr>
          <w:trHeight w:val="111"/>
        </w:trPr>
        <w:tc>
          <w:tcPr>
            <w:tcW w:w="7900" w:type="dxa"/>
            <w:vAlign w:val="bottom"/>
          </w:tcPr>
          <w:p>
            <w:pPr>
              <w:ind w:left="120"/>
              <w:spacing w:after="0" w:line="111" w:lineRule="exact"/>
              <w:rPr>
                <w:sz w:val="20"/>
                <w:szCs w:val="20"/>
                <w:color w:val="auto"/>
              </w:rPr>
            </w:pPr>
            <w:r>
              <w:rPr>
                <w:rFonts w:ascii="Arial" w:cs="Arial" w:eastAsia="Arial" w:hAnsi="Arial"/>
                <w:sz w:val="11"/>
                <w:szCs w:val="11"/>
                <w:color w:val="auto"/>
              </w:rPr>
              <w:t>Net cash (used in) provided by financing activities</w:t>
            </w:r>
          </w:p>
        </w:tc>
        <w:tc>
          <w:tcPr>
            <w:tcW w:w="80" w:type="dxa"/>
            <w:vAlign w:val="bottom"/>
            <w:tcBorders>
              <w:top w:val="single" w:sz="8" w:color="auto"/>
              <w:bottom w:val="single" w:sz="8" w:color="auto"/>
            </w:tcBorders>
          </w:tcPr>
          <w:p>
            <w:pPr>
              <w:spacing w:after="0"/>
              <w:rPr>
                <w:sz w:val="9"/>
                <w:szCs w:val="9"/>
                <w:color w:val="auto"/>
              </w:rPr>
            </w:pPr>
          </w:p>
        </w:tc>
        <w:tc>
          <w:tcPr>
            <w:tcW w:w="320" w:type="dxa"/>
            <w:vAlign w:val="bottom"/>
            <w:tcBorders>
              <w:top w:val="single" w:sz="8" w:color="auto"/>
              <w:bottom w:val="single" w:sz="8" w:color="auto"/>
            </w:tcBorders>
          </w:tcPr>
          <w:p>
            <w:pPr>
              <w:jc w:val="right"/>
              <w:spacing w:after="0" w:line="111" w:lineRule="exact"/>
              <w:rPr>
                <w:sz w:val="20"/>
                <w:szCs w:val="20"/>
                <w:color w:val="auto"/>
              </w:rPr>
            </w:pPr>
            <w:r>
              <w:rPr>
                <w:rFonts w:ascii="Arial" w:cs="Arial" w:eastAsia="Arial" w:hAnsi="Arial"/>
                <w:sz w:val="11"/>
                <w:szCs w:val="11"/>
                <w:color w:val="auto"/>
              </w:rPr>
              <w:t>(1.1)</w:t>
            </w: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440" w:type="dxa"/>
            <w:vAlign w:val="bottom"/>
            <w:tcBorders>
              <w:top w:val="single" w:sz="8" w:color="auto"/>
              <w:bottom w:val="single" w:sz="8" w:color="auto"/>
            </w:tcBorders>
          </w:tcPr>
          <w:p>
            <w:pPr>
              <w:jc w:val="right"/>
              <w:spacing w:after="0" w:line="111" w:lineRule="exact"/>
              <w:rPr>
                <w:sz w:val="20"/>
                <w:szCs w:val="20"/>
                <w:color w:val="auto"/>
              </w:rPr>
            </w:pPr>
            <w:r>
              <w:rPr>
                <w:rFonts w:ascii="Arial" w:cs="Arial" w:eastAsia="Arial" w:hAnsi="Arial"/>
                <w:sz w:val="11"/>
                <w:szCs w:val="11"/>
                <w:color w:val="auto"/>
              </w:rPr>
              <w:t>(13.4)</w:t>
            </w:r>
          </w:p>
        </w:tc>
        <w:tc>
          <w:tcPr>
            <w:tcW w:w="300" w:type="dxa"/>
            <w:vAlign w:val="bottom"/>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400" w:type="dxa"/>
            <w:vAlign w:val="bottom"/>
            <w:tcBorders>
              <w:top w:val="single" w:sz="8" w:color="auto"/>
              <w:bottom w:val="single" w:sz="8" w:color="auto"/>
            </w:tcBorders>
          </w:tcPr>
          <w:p>
            <w:pPr>
              <w:jc w:val="right"/>
              <w:spacing w:after="0" w:line="111" w:lineRule="exact"/>
              <w:rPr>
                <w:sz w:val="20"/>
                <w:szCs w:val="20"/>
                <w:color w:val="auto"/>
              </w:rPr>
            </w:pPr>
            <w:r>
              <w:rPr>
                <w:rFonts w:ascii="Arial" w:cs="Arial" w:eastAsia="Arial" w:hAnsi="Arial"/>
                <w:sz w:val="11"/>
                <w:szCs w:val="11"/>
                <w:color w:val="auto"/>
              </w:rPr>
              <w:t>57.3</w:t>
            </w:r>
          </w:p>
        </w:tc>
        <w:tc>
          <w:tcPr>
            <w:tcW w:w="80" w:type="dxa"/>
            <w:vAlign w:val="bottom"/>
          </w:tcPr>
          <w:p>
            <w:pPr>
              <w:spacing w:after="0"/>
              <w:rPr>
                <w:sz w:val="9"/>
                <w:szCs w:val="9"/>
                <w:color w:val="auto"/>
              </w:rPr>
            </w:pPr>
          </w:p>
        </w:tc>
      </w:tr>
      <w:tr>
        <w:trPr>
          <w:trHeight w:val="111"/>
        </w:trPr>
        <w:tc>
          <w:tcPr>
            <w:tcW w:w="7900" w:type="dxa"/>
            <w:vAlign w:val="bottom"/>
            <w:shd w:val="clear" w:color="auto" w:fill="CCEEFF"/>
          </w:tcPr>
          <w:p>
            <w:pPr>
              <w:ind w:left="120"/>
              <w:spacing w:after="0" w:line="111" w:lineRule="exact"/>
              <w:rPr>
                <w:sz w:val="20"/>
                <w:szCs w:val="20"/>
                <w:color w:val="auto"/>
              </w:rPr>
            </w:pPr>
            <w:r>
              <w:rPr>
                <w:rFonts w:ascii="Arial" w:cs="Arial" w:eastAsia="Arial" w:hAnsi="Arial"/>
                <w:sz w:val="11"/>
                <w:szCs w:val="11"/>
                <w:color w:val="auto"/>
              </w:rPr>
              <w:t>Effect of exchange rate changes on cash and cash equivalents</w:t>
            </w:r>
          </w:p>
        </w:tc>
        <w:tc>
          <w:tcPr>
            <w:tcW w:w="8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60"/>
              <w:spacing w:after="0" w:line="111" w:lineRule="exact"/>
              <w:rPr>
                <w:sz w:val="20"/>
                <w:szCs w:val="20"/>
                <w:color w:val="auto"/>
              </w:rPr>
            </w:pPr>
            <w:r>
              <w:rPr>
                <w:rFonts w:ascii="Arial" w:cs="Arial" w:eastAsia="Arial" w:hAnsi="Arial"/>
                <w:sz w:val="11"/>
                <w:szCs w:val="11"/>
                <w:color w:val="auto"/>
              </w:rPr>
              <w:t>(5.3)</w:t>
            </w: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300"/>
              <w:spacing w:after="0" w:line="111" w:lineRule="exact"/>
              <w:rPr>
                <w:sz w:val="20"/>
                <w:szCs w:val="20"/>
                <w:color w:val="auto"/>
              </w:rPr>
            </w:pPr>
            <w:r>
              <w:rPr>
                <w:rFonts w:ascii="Arial" w:cs="Arial" w:eastAsia="Arial" w:hAnsi="Arial"/>
                <w:sz w:val="11"/>
                <w:szCs w:val="11"/>
                <w:color w:val="auto"/>
              </w:rPr>
              <w:t>1.3</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60"/>
              <w:spacing w:after="0" w:line="111" w:lineRule="exact"/>
              <w:rPr>
                <w:sz w:val="20"/>
                <w:szCs w:val="20"/>
                <w:color w:val="auto"/>
              </w:rPr>
            </w:pPr>
            <w:r>
              <w:rPr>
                <w:rFonts w:ascii="Arial" w:cs="Arial" w:eastAsia="Arial" w:hAnsi="Arial"/>
                <w:sz w:val="11"/>
                <w:szCs w:val="11"/>
                <w:color w:val="auto"/>
              </w:rPr>
              <w:t>(3.1)</w:t>
            </w:r>
          </w:p>
        </w:tc>
      </w:tr>
      <w:tr>
        <w:trPr>
          <w:trHeight w:val="111"/>
        </w:trPr>
        <w:tc>
          <w:tcPr>
            <w:tcW w:w="7900" w:type="dxa"/>
            <w:vAlign w:val="bottom"/>
          </w:tcPr>
          <w:p>
            <w:pPr>
              <w:spacing w:after="0" w:line="111" w:lineRule="exact"/>
              <w:rPr>
                <w:sz w:val="20"/>
                <w:szCs w:val="20"/>
                <w:color w:val="auto"/>
              </w:rPr>
            </w:pPr>
            <w:r>
              <w:rPr>
                <w:rFonts w:ascii="Arial" w:cs="Arial" w:eastAsia="Arial" w:hAnsi="Arial"/>
                <w:sz w:val="11"/>
                <w:szCs w:val="11"/>
                <w:b w:val="1"/>
                <w:bCs w:val="1"/>
                <w:color w:val="auto"/>
              </w:rPr>
              <w:t>Net increase in cash and cash equivalents</w:t>
            </w:r>
          </w:p>
        </w:tc>
        <w:tc>
          <w:tcPr>
            <w:tcW w:w="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jc w:val="right"/>
              <w:spacing w:after="0" w:line="111" w:lineRule="exact"/>
              <w:rPr>
                <w:sz w:val="20"/>
                <w:szCs w:val="20"/>
                <w:color w:val="auto"/>
              </w:rPr>
            </w:pPr>
            <w:r>
              <w:rPr>
                <w:rFonts w:ascii="Arial" w:cs="Arial" w:eastAsia="Arial" w:hAnsi="Arial"/>
                <w:sz w:val="11"/>
                <w:szCs w:val="11"/>
                <w:color w:val="auto"/>
              </w:rPr>
              <w:t>41.8</w:t>
            </w: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jc w:val="right"/>
              <w:spacing w:after="0" w:line="111" w:lineRule="exact"/>
              <w:rPr>
                <w:sz w:val="20"/>
                <w:szCs w:val="20"/>
                <w:color w:val="auto"/>
              </w:rPr>
            </w:pPr>
            <w:r>
              <w:rPr>
                <w:rFonts w:ascii="Arial" w:cs="Arial" w:eastAsia="Arial" w:hAnsi="Arial"/>
                <w:sz w:val="11"/>
                <w:szCs w:val="11"/>
                <w:color w:val="auto"/>
              </w:rPr>
              <w:t>25.8</w:t>
            </w:r>
          </w:p>
        </w:tc>
        <w:tc>
          <w:tcPr>
            <w:tcW w:w="3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jc w:val="right"/>
              <w:spacing w:after="0" w:line="111" w:lineRule="exact"/>
              <w:rPr>
                <w:sz w:val="20"/>
                <w:szCs w:val="20"/>
                <w:color w:val="auto"/>
              </w:rPr>
            </w:pPr>
            <w:r>
              <w:rPr>
                <w:rFonts w:ascii="Arial" w:cs="Arial" w:eastAsia="Arial" w:hAnsi="Arial"/>
                <w:sz w:val="11"/>
                <w:szCs w:val="11"/>
                <w:color w:val="auto"/>
              </w:rPr>
              <w:t>55.4</w:t>
            </w:r>
          </w:p>
        </w:tc>
        <w:tc>
          <w:tcPr>
            <w:tcW w:w="80" w:type="dxa"/>
            <w:vAlign w:val="bottom"/>
          </w:tcPr>
          <w:p>
            <w:pPr>
              <w:spacing w:after="0"/>
              <w:rPr>
                <w:sz w:val="9"/>
                <w:szCs w:val="9"/>
                <w:color w:val="auto"/>
              </w:rPr>
            </w:pPr>
          </w:p>
        </w:tc>
      </w:tr>
      <w:tr>
        <w:trPr>
          <w:trHeight w:val="111"/>
        </w:trPr>
        <w:tc>
          <w:tcPr>
            <w:tcW w:w="7900" w:type="dxa"/>
            <w:vAlign w:val="bottom"/>
            <w:shd w:val="clear" w:color="auto" w:fill="CCEEFF"/>
          </w:tcPr>
          <w:p>
            <w:pPr>
              <w:spacing w:after="0" w:line="111" w:lineRule="exact"/>
              <w:rPr>
                <w:sz w:val="20"/>
                <w:szCs w:val="20"/>
                <w:color w:val="auto"/>
              </w:rPr>
            </w:pPr>
            <w:r>
              <w:rPr>
                <w:rFonts w:ascii="Arial" w:cs="Arial" w:eastAsia="Arial" w:hAnsi="Arial"/>
                <w:sz w:val="11"/>
                <w:szCs w:val="11"/>
                <w:b w:val="1"/>
                <w:bCs w:val="1"/>
                <w:color w:val="auto"/>
              </w:rPr>
              <w:t>Cash and cash equivalents, beginning of year</w:t>
            </w:r>
          </w:p>
        </w:tc>
        <w:tc>
          <w:tcPr>
            <w:tcW w:w="8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100"/>
              <w:spacing w:after="0" w:line="111" w:lineRule="exact"/>
              <w:rPr>
                <w:sz w:val="20"/>
                <w:szCs w:val="20"/>
                <w:color w:val="auto"/>
              </w:rPr>
            </w:pPr>
            <w:r>
              <w:rPr>
                <w:rFonts w:ascii="Arial" w:cs="Arial" w:eastAsia="Arial" w:hAnsi="Arial"/>
                <w:sz w:val="11"/>
                <w:szCs w:val="11"/>
                <w:color w:val="auto"/>
              </w:rPr>
              <w:t>95.0</w:t>
            </w: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300"/>
              <w:spacing w:after="0" w:line="111" w:lineRule="exact"/>
              <w:rPr>
                <w:sz w:val="20"/>
                <w:szCs w:val="20"/>
                <w:color w:val="auto"/>
              </w:rPr>
            </w:pPr>
            <w:r>
              <w:rPr>
                <w:rFonts w:ascii="Arial" w:cs="Arial" w:eastAsia="Arial" w:hAnsi="Arial"/>
                <w:sz w:val="11"/>
                <w:szCs w:val="11"/>
                <w:color w:val="auto"/>
              </w:rPr>
              <w:t>69.2</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80"/>
              <w:spacing w:after="0" w:line="111" w:lineRule="exact"/>
              <w:rPr>
                <w:sz w:val="20"/>
                <w:szCs w:val="20"/>
                <w:color w:val="auto"/>
              </w:rPr>
            </w:pPr>
            <w:r>
              <w:rPr>
                <w:rFonts w:ascii="Arial" w:cs="Arial" w:eastAsia="Arial" w:hAnsi="Arial"/>
                <w:sz w:val="11"/>
                <w:szCs w:val="11"/>
                <w:color w:val="auto"/>
              </w:rPr>
              <w:t>13.8</w:t>
            </w:r>
          </w:p>
        </w:tc>
      </w:tr>
      <w:tr>
        <w:trPr>
          <w:trHeight w:val="111"/>
        </w:trPr>
        <w:tc>
          <w:tcPr>
            <w:tcW w:w="7900" w:type="dxa"/>
            <w:vAlign w:val="bottom"/>
          </w:tcPr>
          <w:p>
            <w:pPr>
              <w:spacing w:after="0" w:line="111" w:lineRule="exact"/>
              <w:rPr>
                <w:sz w:val="20"/>
                <w:szCs w:val="20"/>
                <w:color w:val="auto"/>
              </w:rPr>
            </w:pPr>
            <w:r>
              <w:rPr>
                <w:rFonts w:ascii="Arial" w:cs="Arial" w:eastAsia="Arial" w:hAnsi="Arial"/>
                <w:sz w:val="11"/>
                <w:szCs w:val="11"/>
                <w:b w:val="1"/>
                <w:bCs w:val="1"/>
                <w:color w:val="auto"/>
              </w:rPr>
              <w:t>Cash and cash equivalents, end of year</w:t>
            </w:r>
          </w:p>
        </w:tc>
        <w:tc>
          <w:tcPr>
            <w:tcW w:w="80" w:type="dxa"/>
            <w:vAlign w:val="bottom"/>
            <w:tcBorders>
              <w:top w:val="single" w:sz="8" w:color="auto"/>
              <w:bottom w:val="single" w:sz="8" w:color="auto"/>
            </w:tcBorders>
          </w:tcPr>
          <w:p>
            <w:pPr>
              <w:jc w:val="right"/>
              <w:spacing w:after="0" w:line="111" w:lineRule="exact"/>
              <w:rPr>
                <w:sz w:val="20"/>
                <w:szCs w:val="20"/>
                <w:color w:val="auto"/>
              </w:rPr>
            </w:pPr>
            <w:r>
              <w:rPr>
                <w:rFonts w:ascii="Arial" w:cs="Arial" w:eastAsia="Arial" w:hAnsi="Arial"/>
                <w:sz w:val="10"/>
                <w:szCs w:val="10"/>
                <w:color w:val="auto"/>
                <w:w w:val="71"/>
              </w:rPr>
              <w:t>$</w:t>
            </w:r>
          </w:p>
        </w:tc>
        <w:tc>
          <w:tcPr>
            <w:tcW w:w="320" w:type="dxa"/>
            <w:vAlign w:val="bottom"/>
            <w:tcBorders>
              <w:top w:val="single" w:sz="8" w:color="auto"/>
              <w:bottom w:val="single" w:sz="8" w:color="auto"/>
            </w:tcBorders>
          </w:tcPr>
          <w:p>
            <w:pPr>
              <w:jc w:val="right"/>
              <w:spacing w:after="0" w:line="111" w:lineRule="exact"/>
              <w:rPr>
                <w:sz w:val="20"/>
                <w:szCs w:val="20"/>
                <w:color w:val="auto"/>
              </w:rPr>
            </w:pPr>
            <w:r>
              <w:rPr>
                <w:rFonts w:ascii="Arial" w:cs="Arial" w:eastAsia="Arial" w:hAnsi="Arial"/>
                <w:sz w:val="11"/>
                <w:szCs w:val="11"/>
                <w:color w:val="auto"/>
              </w:rPr>
              <w:t>136.8</w:t>
            </w: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Borders>
              <w:top w:val="single" w:sz="8" w:color="auto"/>
              <w:bottom w:val="single" w:sz="8" w:color="auto"/>
            </w:tcBorders>
          </w:tcPr>
          <w:p>
            <w:pPr>
              <w:spacing w:after="0" w:line="111" w:lineRule="exact"/>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tcPr>
          <w:p>
            <w:pPr>
              <w:jc w:val="right"/>
              <w:spacing w:after="0" w:line="111" w:lineRule="exact"/>
              <w:rPr>
                <w:sz w:val="20"/>
                <w:szCs w:val="20"/>
                <w:color w:val="auto"/>
              </w:rPr>
            </w:pPr>
            <w:r>
              <w:rPr>
                <w:rFonts w:ascii="Arial" w:cs="Arial" w:eastAsia="Arial" w:hAnsi="Arial"/>
                <w:sz w:val="11"/>
                <w:szCs w:val="11"/>
                <w:color w:val="auto"/>
              </w:rPr>
              <w:t>95.0</w:t>
            </w:r>
          </w:p>
        </w:tc>
        <w:tc>
          <w:tcPr>
            <w:tcW w:w="300" w:type="dxa"/>
            <w:vAlign w:val="bottom"/>
          </w:tcPr>
          <w:p>
            <w:pPr>
              <w:spacing w:after="0"/>
              <w:rPr>
                <w:sz w:val="9"/>
                <w:szCs w:val="9"/>
                <w:color w:val="auto"/>
              </w:rPr>
            </w:pPr>
          </w:p>
        </w:tc>
        <w:tc>
          <w:tcPr>
            <w:tcW w:w="100" w:type="dxa"/>
            <w:vAlign w:val="bottom"/>
            <w:tcBorders>
              <w:top w:val="single" w:sz="8" w:color="auto"/>
              <w:bottom w:val="single" w:sz="8" w:color="auto"/>
            </w:tcBorders>
          </w:tcPr>
          <w:p>
            <w:pPr>
              <w:jc w:val="right"/>
              <w:spacing w:after="0" w:line="111" w:lineRule="exact"/>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bottom w:val="single" w:sz="8" w:color="auto"/>
            </w:tcBorders>
          </w:tcPr>
          <w:p>
            <w:pPr>
              <w:jc w:val="right"/>
              <w:spacing w:after="0" w:line="111" w:lineRule="exact"/>
              <w:rPr>
                <w:sz w:val="20"/>
                <w:szCs w:val="20"/>
                <w:color w:val="auto"/>
              </w:rPr>
            </w:pPr>
            <w:r>
              <w:rPr>
                <w:rFonts w:ascii="Arial" w:cs="Arial" w:eastAsia="Arial" w:hAnsi="Arial"/>
                <w:sz w:val="11"/>
                <w:szCs w:val="11"/>
                <w:color w:val="auto"/>
              </w:rPr>
              <w:t>69.2</w:t>
            </w:r>
          </w:p>
        </w:tc>
        <w:tc>
          <w:tcPr>
            <w:tcW w:w="80" w:type="dxa"/>
            <w:vAlign w:val="bottom"/>
          </w:tcPr>
          <w:p>
            <w:pPr>
              <w:spacing w:after="0"/>
              <w:rPr>
                <w:sz w:val="9"/>
                <w:szCs w:val="9"/>
                <w:color w:val="auto"/>
              </w:rPr>
            </w:pPr>
          </w:p>
        </w:tc>
      </w:tr>
      <w:tr>
        <w:trPr>
          <w:trHeight w:val="20"/>
        </w:trPr>
        <w:tc>
          <w:tcPr>
            <w:tcW w:w="79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91"/>
        </w:trPr>
        <w:tc>
          <w:tcPr>
            <w:tcW w:w="7900" w:type="dxa"/>
            <w:vAlign w:val="bottom"/>
            <w:shd w:val="clear" w:color="auto" w:fill="CCEEFF"/>
          </w:tcPr>
          <w:p>
            <w:pPr>
              <w:spacing w:after="0" w:line="92" w:lineRule="exact"/>
              <w:rPr>
                <w:sz w:val="20"/>
                <w:szCs w:val="20"/>
                <w:color w:val="auto"/>
              </w:rPr>
            </w:pPr>
            <w:r>
              <w:rPr>
                <w:rFonts w:ascii="Arial" w:cs="Arial" w:eastAsia="Arial" w:hAnsi="Arial"/>
                <w:sz w:val="10"/>
                <w:szCs w:val="10"/>
                <w:b w:val="1"/>
                <w:bCs w:val="1"/>
                <w:color w:val="auto"/>
              </w:rPr>
              <w:t>Supplemental disclosure of cash flow information:</w:t>
            </w:r>
          </w:p>
        </w:tc>
        <w:tc>
          <w:tcPr>
            <w:tcW w:w="8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r>
      <w:tr>
        <w:trPr>
          <w:trHeight w:val="111"/>
        </w:trPr>
        <w:tc>
          <w:tcPr>
            <w:tcW w:w="7900" w:type="dxa"/>
            <w:vAlign w:val="bottom"/>
          </w:tcPr>
          <w:p>
            <w:pPr>
              <w:spacing w:after="0" w:line="111" w:lineRule="exact"/>
              <w:rPr>
                <w:sz w:val="20"/>
                <w:szCs w:val="20"/>
                <w:color w:val="auto"/>
              </w:rPr>
            </w:pPr>
            <w:r>
              <w:rPr>
                <w:rFonts w:ascii="Arial" w:cs="Arial" w:eastAsia="Arial" w:hAnsi="Arial"/>
                <w:sz w:val="11"/>
                <w:szCs w:val="11"/>
                <w:b w:val="1"/>
                <w:bCs w:val="1"/>
                <w:color w:val="auto"/>
              </w:rPr>
              <w:t>Cash paid during the year for:</w:t>
            </w: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111"/>
        </w:trPr>
        <w:tc>
          <w:tcPr>
            <w:tcW w:w="7900" w:type="dxa"/>
            <w:vAlign w:val="bottom"/>
            <w:shd w:val="clear" w:color="auto" w:fill="CCEEFF"/>
          </w:tcPr>
          <w:p>
            <w:pPr>
              <w:spacing w:after="0" w:line="111" w:lineRule="exact"/>
              <w:rPr>
                <w:sz w:val="20"/>
                <w:szCs w:val="20"/>
                <w:color w:val="auto"/>
              </w:rPr>
            </w:pPr>
            <w:r>
              <w:rPr>
                <w:rFonts w:ascii="Arial" w:cs="Arial" w:eastAsia="Arial" w:hAnsi="Arial"/>
                <w:sz w:val="11"/>
                <w:szCs w:val="11"/>
                <w:color w:val="auto"/>
              </w:rPr>
              <w:t>Interest</w:t>
            </w:r>
          </w:p>
        </w:tc>
        <w:tc>
          <w:tcPr>
            <w:tcW w:w="8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w w:val="71"/>
              </w:rPr>
              <w:t>$</w:t>
            </w:r>
          </w:p>
        </w:tc>
        <w:tc>
          <w:tcPr>
            <w:tcW w:w="420" w:type="dxa"/>
            <w:vAlign w:val="bottom"/>
            <w:gridSpan w:val="2"/>
            <w:shd w:val="clear" w:color="auto" w:fill="CCEEFF"/>
          </w:tcPr>
          <w:p>
            <w:pPr>
              <w:jc w:val="right"/>
              <w:ind w:right="100"/>
              <w:spacing w:after="0" w:line="111" w:lineRule="exact"/>
              <w:rPr>
                <w:sz w:val="20"/>
                <w:szCs w:val="20"/>
                <w:color w:val="auto"/>
              </w:rPr>
            </w:pPr>
            <w:r>
              <w:rPr>
                <w:rFonts w:ascii="Arial" w:cs="Arial" w:eastAsia="Arial" w:hAnsi="Arial"/>
                <w:sz w:val="11"/>
                <w:szCs w:val="11"/>
                <w:color w:val="auto"/>
              </w:rPr>
              <w:t>2.8</w:t>
            </w:r>
          </w:p>
        </w:tc>
        <w:tc>
          <w:tcPr>
            <w:tcW w:w="260" w:type="dxa"/>
            <w:vAlign w:val="bottom"/>
            <w:gridSpan w:val="2"/>
            <w:shd w:val="clear" w:color="auto" w:fill="CCEEFF"/>
          </w:tcPr>
          <w:p>
            <w:pPr>
              <w:ind w:left="200"/>
              <w:spacing w:after="0" w:line="111" w:lineRule="exact"/>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300"/>
              <w:spacing w:after="0" w:line="111" w:lineRule="exact"/>
              <w:rPr>
                <w:sz w:val="20"/>
                <w:szCs w:val="20"/>
                <w:color w:val="auto"/>
              </w:rPr>
            </w:pPr>
            <w:r>
              <w:rPr>
                <w:rFonts w:ascii="Arial" w:cs="Arial" w:eastAsia="Arial" w:hAnsi="Arial"/>
                <w:sz w:val="11"/>
                <w:szCs w:val="11"/>
                <w:color w:val="auto"/>
              </w:rPr>
              <w:t>2.7</w:t>
            </w:r>
          </w:p>
        </w:tc>
        <w:tc>
          <w:tcPr>
            <w:tcW w:w="10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80"/>
              <w:spacing w:after="0" w:line="111" w:lineRule="exact"/>
              <w:rPr>
                <w:sz w:val="20"/>
                <w:szCs w:val="20"/>
                <w:color w:val="auto"/>
              </w:rPr>
            </w:pPr>
            <w:r>
              <w:rPr>
                <w:rFonts w:ascii="Arial" w:cs="Arial" w:eastAsia="Arial" w:hAnsi="Arial"/>
                <w:sz w:val="11"/>
                <w:szCs w:val="11"/>
                <w:color w:val="auto"/>
              </w:rPr>
              <w:t>2.0</w:t>
            </w:r>
          </w:p>
        </w:tc>
      </w:tr>
      <w:tr>
        <w:trPr>
          <w:trHeight w:val="136"/>
        </w:trPr>
        <w:tc>
          <w:tcPr>
            <w:tcW w:w="7900" w:type="dxa"/>
            <w:vAlign w:val="bottom"/>
          </w:tcPr>
          <w:p>
            <w:pPr>
              <w:spacing w:after="0"/>
              <w:rPr>
                <w:sz w:val="20"/>
                <w:szCs w:val="20"/>
                <w:color w:val="auto"/>
              </w:rPr>
            </w:pPr>
            <w:r>
              <w:rPr>
                <w:rFonts w:ascii="Arial" w:cs="Arial" w:eastAsia="Arial" w:hAnsi="Arial"/>
                <w:sz w:val="11"/>
                <w:szCs w:val="11"/>
                <w:color w:val="auto"/>
              </w:rPr>
              <w:t>Income taxes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gridSpan w:val="2"/>
          </w:tcPr>
          <w:p>
            <w:pPr>
              <w:jc w:val="right"/>
              <w:ind w:right="100"/>
              <w:spacing w:after="0"/>
              <w:rPr>
                <w:sz w:val="20"/>
                <w:szCs w:val="20"/>
                <w:color w:val="auto"/>
              </w:rPr>
            </w:pPr>
            <w:r>
              <w:rPr>
                <w:rFonts w:ascii="Arial" w:cs="Arial" w:eastAsia="Arial" w:hAnsi="Arial"/>
                <w:sz w:val="11"/>
                <w:szCs w:val="11"/>
                <w:color w:val="auto"/>
              </w:rPr>
              <w:t>2.6</w:t>
            </w:r>
          </w:p>
        </w:tc>
        <w:tc>
          <w:tcPr>
            <w:tcW w:w="260" w:type="dxa"/>
            <w:vAlign w:val="bottom"/>
            <w:gridSpan w:val="2"/>
          </w:tcPr>
          <w:p>
            <w:pPr>
              <w:ind w:left="200"/>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300"/>
              <w:spacing w:after="0"/>
              <w:rPr>
                <w:sz w:val="20"/>
                <w:szCs w:val="20"/>
                <w:color w:val="auto"/>
              </w:rPr>
            </w:pPr>
            <w:r>
              <w:rPr>
                <w:rFonts w:ascii="Arial" w:cs="Arial" w:eastAsia="Arial" w:hAnsi="Arial"/>
                <w:sz w:val="11"/>
                <w:szCs w:val="11"/>
                <w:color w:val="auto"/>
              </w:rPr>
              <w:t>2.2</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80"/>
              <w:spacing w:after="0"/>
              <w:rPr>
                <w:sz w:val="20"/>
                <w:szCs w:val="20"/>
                <w:color w:val="auto"/>
              </w:rPr>
            </w:pPr>
            <w:r>
              <w:rPr>
                <w:rFonts w:ascii="Arial" w:cs="Arial" w:eastAsia="Arial" w:hAnsi="Arial"/>
                <w:sz w:val="11"/>
                <w:szCs w:val="11"/>
                <w:color w:val="auto"/>
              </w:rPr>
              <w:t>6.6</w:t>
            </w:r>
          </w:p>
        </w:tc>
      </w:tr>
    </w:tbl>
    <w:p>
      <w:pPr>
        <w:spacing w:after="0" w:line="15" w:lineRule="exact"/>
        <w:rPr>
          <w:sz w:val="20"/>
          <w:szCs w:val="20"/>
          <w:color w:val="auto"/>
        </w:rPr>
      </w:pPr>
    </w:p>
    <w:p>
      <w:pPr>
        <w:ind w:left="3980"/>
        <w:spacing w:after="0"/>
        <w:rPr>
          <w:sz w:val="20"/>
          <w:szCs w:val="20"/>
          <w:color w:val="auto"/>
        </w:rPr>
      </w:pPr>
      <w:r>
        <w:rPr>
          <w:rFonts w:ascii="Arial" w:cs="Arial" w:eastAsia="Arial" w:hAnsi="Arial"/>
          <w:sz w:val="13"/>
          <w:szCs w:val="13"/>
          <w:color w:val="auto"/>
        </w:rPr>
        <w:t>See accompanying Notes to Consolidated Financial Statements</w:t>
      </w:r>
    </w:p>
    <w:p>
      <w:pPr>
        <w:spacing w:after="0" w:line="31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64" w:name="page65"/>
    <w:bookmarkEnd w:id="6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HARRIS STRATEX NETWORKS, INC. AND SUBSIDIARIES</w:t>
      </w:r>
    </w:p>
    <w:p>
      <w:pPr>
        <w:spacing w:after="0" w:line="17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CONSOLIDATED STATEMENTS OF SHAREHOLDERS’</w:t>
      </w:r>
    </w:p>
    <w:p>
      <w:pPr>
        <w:spacing w:after="0" w:line="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EQUITY AND COMPREHENSIVE LOSS</w:t>
      </w:r>
    </w:p>
    <w:p>
      <w:pPr>
        <w:spacing w:after="0" w:line="178" w:lineRule="exact"/>
        <w:rPr>
          <w:sz w:val="20"/>
          <w:szCs w:val="20"/>
          <w:color w:val="auto"/>
        </w:rPr>
      </w:pPr>
    </w:p>
    <w:tbl>
      <w:tblPr>
        <w:tblLayout w:type="fixed"/>
        <w:tblInd w:w="680" w:type="dxa"/>
        <w:tblCellMar>
          <w:top w:w="0" w:type="dxa"/>
          <w:left w:w="0" w:type="dxa"/>
          <w:bottom w:w="0" w:type="dxa"/>
          <w:right w:w="0" w:type="dxa"/>
        </w:tblCellMar>
      </w:tblPr>
      <w:tr>
        <w:trPr>
          <w:trHeight w:val="103"/>
        </w:trPr>
        <w:tc>
          <w:tcPr>
            <w:tcW w:w="40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9"/>
                <w:szCs w:val="9"/>
                <w:b w:val="1"/>
                <w:bCs w:val="1"/>
                <w:color w:val="auto"/>
                <w:w w:val="91"/>
              </w:rPr>
              <w:t>Accumulated</w:t>
            </w: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4000" w:type="dxa"/>
            <w:vAlign w:val="bottom"/>
          </w:tcPr>
          <w:p>
            <w:pPr>
              <w:spacing w:after="0"/>
              <w:rPr>
                <w:sz w:val="8"/>
                <w:szCs w:val="8"/>
                <w:color w:val="auto"/>
              </w:rPr>
            </w:pPr>
          </w:p>
        </w:tc>
        <w:tc>
          <w:tcPr>
            <w:tcW w:w="720" w:type="dxa"/>
            <w:vAlign w:val="bottom"/>
            <w:gridSpan w:val="3"/>
          </w:tcPr>
          <w:p>
            <w:pPr>
              <w:jc w:val="center"/>
              <w:ind w:right="300"/>
              <w:spacing w:after="0" w:line="101" w:lineRule="exact"/>
              <w:rPr>
                <w:sz w:val="20"/>
                <w:szCs w:val="20"/>
                <w:color w:val="auto"/>
              </w:rPr>
            </w:pPr>
            <w:r>
              <w:rPr>
                <w:rFonts w:ascii="Arial" w:cs="Arial" w:eastAsia="Arial" w:hAnsi="Arial"/>
                <w:sz w:val="9"/>
                <w:szCs w:val="9"/>
                <w:b w:val="1"/>
                <w:bCs w:val="1"/>
                <w:color w:val="auto"/>
                <w:w w:val="97"/>
              </w:rPr>
              <w:t>Common</w:t>
            </w:r>
          </w:p>
        </w:tc>
        <w:tc>
          <w:tcPr>
            <w:tcW w:w="700" w:type="dxa"/>
            <w:vAlign w:val="bottom"/>
            <w:gridSpan w:val="3"/>
          </w:tcPr>
          <w:p>
            <w:pPr>
              <w:ind w:left="20"/>
              <w:spacing w:after="0" w:line="101" w:lineRule="exact"/>
              <w:rPr>
                <w:sz w:val="20"/>
                <w:szCs w:val="20"/>
                <w:color w:val="auto"/>
              </w:rPr>
            </w:pPr>
            <w:r>
              <w:rPr>
                <w:rFonts w:ascii="Arial" w:cs="Arial" w:eastAsia="Arial" w:hAnsi="Arial"/>
                <w:sz w:val="9"/>
                <w:szCs w:val="9"/>
                <w:b w:val="1"/>
                <w:bCs w:val="1"/>
                <w:color w:val="auto"/>
              </w:rPr>
              <w:t>Common</w:t>
            </w:r>
          </w:p>
        </w:tc>
        <w:tc>
          <w:tcPr>
            <w:tcW w:w="800" w:type="dxa"/>
            <w:vAlign w:val="bottom"/>
            <w:gridSpan w:val="3"/>
          </w:tcPr>
          <w:p>
            <w:pPr>
              <w:jc w:val="right"/>
              <w:ind w:right="340"/>
              <w:spacing w:after="0" w:line="101" w:lineRule="exact"/>
              <w:rPr>
                <w:sz w:val="20"/>
                <w:szCs w:val="20"/>
                <w:color w:val="auto"/>
              </w:rPr>
            </w:pPr>
            <w:r>
              <w:rPr>
                <w:rFonts w:ascii="Arial" w:cs="Arial" w:eastAsia="Arial" w:hAnsi="Arial"/>
                <w:sz w:val="9"/>
                <w:szCs w:val="9"/>
                <w:b w:val="1"/>
                <w:bCs w:val="1"/>
                <w:color w:val="auto"/>
                <w:w w:val="99"/>
              </w:rPr>
              <w:t>Additional</w:t>
            </w: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gridSpan w:val="2"/>
          </w:tcPr>
          <w:p>
            <w:pPr>
              <w:jc w:val="center"/>
              <w:ind w:right="380"/>
              <w:spacing w:after="0" w:line="101" w:lineRule="exact"/>
              <w:rPr>
                <w:sz w:val="20"/>
                <w:szCs w:val="20"/>
                <w:color w:val="auto"/>
              </w:rPr>
            </w:pPr>
            <w:r>
              <w:rPr>
                <w:rFonts w:ascii="Arial" w:cs="Arial" w:eastAsia="Arial" w:hAnsi="Arial"/>
                <w:sz w:val="9"/>
                <w:szCs w:val="9"/>
                <w:b w:val="1"/>
                <w:bCs w:val="1"/>
                <w:color w:val="auto"/>
                <w:w w:val="99"/>
              </w:rPr>
              <w:t>Other</w:t>
            </w:r>
          </w:p>
        </w:tc>
        <w:tc>
          <w:tcPr>
            <w:tcW w:w="100" w:type="dxa"/>
            <w:vAlign w:val="bottom"/>
          </w:tcPr>
          <w:p>
            <w:pPr>
              <w:spacing w:after="0"/>
              <w:rPr>
                <w:sz w:val="8"/>
                <w:szCs w:val="8"/>
                <w:color w:val="auto"/>
              </w:rPr>
            </w:pPr>
          </w:p>
        </w:tc>
        <w:tc>
          <w:tcPr>
            <w:tcW w:w="780" w:type="dxa"/>
            <w:vAlign w:val="bottom"/>
            <w:gridSpan w:val="2"/>
          </w:tcPr>
          <w:p>
            <w:pPr>
              <w:jc w:val="center"/>
              <w:ind w:right="180"/>
              <w:spacing w:after="0" w:line="101" w:lineRule="exact"/>
              <w:rPr>
                <w:sz w:val="20"/>
                <w:szCs w:val="20"/>
                <w:color w:val="auto"/>
              </w:rPr>
            </w:pPr>
            <w:r>
              <w:rPr>
                <w:rFonts w:ascii="Arial" w:cs="Arial" w:eastAsia="Arial" w:hAnsi="Arial"/>
                <w:sz w:val="9"/>
                <w:szCs w:val="9"/>
                <w:b w:val="1"/>
                <w:bCs w:val="1"/>
                <w:color w:val="auto"/>
                <w:w w:val="92"/>
              </w:rPr>
              <w:t>Total</w:t>
            </w:r>
          </w:p>
        </w:tc>
        <w:tc>
          <w:tcPr>
            <w:tcW w:w="0" w:type="dxa"/>
            <w:vAlign w:val="bottom"/>
          </w:tcPr>
          <w:p>
            <w:pPr>
              <w:spacing w:after="0"/>
              <w:rPr>
                <w:sz w:val="1"/>
                <w:szCs w:val="1"/>
                <w:color w:val="auto"/>
              </w:rPr>
            </w:pPr>
          </w:p>
        </w:tc>
      </w:tr>
      <w:tr>
        <w:trPr>
          <w:trHeight w:val="101"/>
        </w:trPr>
        <w:tc>
          <w:tcPr>
            <w:tcW w:w="40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gridSpan w:val="2"/>
          </w:tcPr>
          <w:p>
            <w:pPr>
              <w:jc w:val="center"/>
              <w:ind w:right="380"/>
              <w:spacing w:after="0" w:line="101" w:lineRule="exact"/>
              <w:rPr>
                <w:sz w:val="20"/>
                <w:szCs w:val="20"/>
                <w:color w:val="auto"/>
              </w:rPr>
            </w:pPr>
            <w:r>
              <w:rPr>
                <w:rFonts w:ascii="Arial" w:cs="Arial" w:eastAsia="Arial" w:hAnsi="Arial"/>
                <w:sz w:val="9"/>
                <w:szCs w:val="9"/>
                <w:b w:val="1"/>
                <w:bCs w:val="1"/>
                <w:color w:val="auto"/>
                <w:w w:val="89"/>
              </w:rPr>
              <w:t>Stock</w:t>
            </w:r>
          </w:p>
        </w:tc>
        <w:tc>
          <w:tcPr>
            <w:tcW w:w="60" w:type="dxa"/>
            <w:vAlign w:val="bottom"/>
          </w:tcPr>
          <w:p>
            <w:pPr>
              <w:spacing w:after="0"/>
              <w:rPr>
                <w:sz w:val="8"/>
                <w:szCs w:val="8"/>
                <w:color w:val="auto"/>
              </w:rPr>
            </w:pPr>
          </w:p>
        </w:tc>
        <w:tc>
          <w:tcPr>
            <w:tcW w:w="640" w:type="dxa"/>
            <w:vAlign w:val="bottom"/>
            <w:gridSpan w:val="2"/>
          </w:tcPr>
          <w:p>
            <w:pPr>
              <w:jc w:val="right"/>
              <w:ind w:right="400"/>
              <w:spacing w:after="0" w:line="101" w:lineRule="exact"/>
              <w:rPr>
                <w:sz w:val="20"/>
                <w:szCs w:val="20"/>
                <w:color w:val="auto"/>
              </w:rPr>
            </w:pPr>
            <w:r>
              <w:rPr>
                <w:rFonts w:ascii="Arial" w:cs="Arial" w:eastAsia="Arial" w:hAnsi="Arial"/>
                <w:sz w:val="9"/>
                <w:szCs w:val="9"/>
                <w:b w:val="1"/>
                <w:bCs w:val="1"/>
                <w:color w:val="auto"/>
                <w:w w:val="89"/>
              </w:rPr>
              <w:t>Stock</w:t>
            </w:r>
          </w:p>
        </w:tc>
        <w:tc>
          <w:tcPr>
            <w:tcW w:w="80" w:type="dxa"/>
            <w:vAlign w:val="bottom"/>
          </w:tcPr>
          <w:p>
            <w:pPr>
              <w:spacing w:after="0"/>
              <w:rPr>
                <w:sz w:val="8"/>
                <w:szCs w:val="8"/>
                <w:color w:val="auto"/>
              </w:rPr>
            </w:pPr>
          </w:p>
        </w:tc>
        <w:tc>
          <w:tcPr>
            <w:tcW w:w="720" w:type="dxa"/>
            <w:vAlign w:val="bottom"/>
            <w:gridSpan w:val="2"/>
          </w:tcPr>
          <w:p>
            <w:pPr>
              <w:jc w:val="right"/>
              <w:ind w:right="400"/>
              <w:spacing w:after="0" w:line="101" w:lineRule="exact"/>
              <w:rPr>
                <w:sz w:val="20"/>
                <w:szCs w:val="20"/>
                <w:color w:val="auto"/>
              </w:rPr>
            </w:pPr>
            <w:r>
              <w:rPr>
                <w:rFonts w:ascii="Arial" w:cs="Arial" w:eastAsia="Arial" w:hAnsi="Arial"/>
                <w:sz w:val="9"/>
                <w:szCs w:val="9"/>
                <w:b w:val="1"/>
                <w:bCs w:val="1"/>
                <w:color w:val="auto"/>
                <w:w w:val="99"/>
              </w:rPr>
              <w:t>Paid-in</w:t>
            </w:r>
          </w:p>
        </w:tc>
        <w:tc>
          <w:tcPr>
            <w:tcW w:w="700" w:type="dxa"/>
            <w:vAlign w:val="bottom"/>
            <w:gridSpan w:val="3"/>
          </w:tcPr>
          <w:p>
            <w:pPr>
              <w:jc w:val="center"/>
              <w:ind w:right="280"/>
              <w:spacing w:after="0" w:line="101" w:lineRule="exact"/>
              <w:rPr>
                <w:sz w:val="20"/>
                <w:szCs w:val="20"/>
                <w:color w:val="auto"/>
              </w:rPr>
            </w:pPr>
            <w:r>
              <w:rPr>
                <w:rFonts w:ascii="Arial" w:cs="Arial" w:eastAsia="Arial" w:hAnsi="Arial"/>
                <w:sz w:val="9"/>
                <w:szCs w:val="9"/>
                <w:b w:val="1"/>
                <w:bCs w:val="1"/>
                <w:color w:val="auto"/>
                <w:w w:val="96"/>
              </w:rPr>
              <w:t>Division</w:t>
            </w:r>
          </w:p>
        </w:tc>
        <w:tc>
          <w:tcPr>
            <w:tcW w:w="80" w:type="dxa"/>
            <w:vAlign w:val="bottom"/>
          </w:tcPr>
          <w:p>
            <w:pPr>
              <w:spacing w:after="0"/>
              <w:rPr>
                <w:sz w:val="8"/>
                <w:szCs w:val="8"/>
                <w:color w:val="auto"/>
              </w:rPr>
            </w:pPr>
          </w:p>
        </w:tc>
        <w:tc>
          <w:tcPr>
            <w:tcW w:w="940" w:type="dxa"/>
            <w:vAlign w:val="bottom"/>
            <w:gridSpan w:val="2"/>
          </w:tcPr>
          <w:p>
            <w:pPr>
              <w:jc w:val="right"/>
              <w:ind w:right="380"/>
              <w:spacing w:after="0" w:line="101" w:lineRule="exact"/>
              <w:rPr>
                <w:sz w:val="20"/>
                <w:szCs w:val="20"/>
                <w:color w:val="auto"/>
              </w:rPr>
            </w:pPr>
            <w:r>
              <w:rPr>
                <w:rFonts w:ascii="Arial" w:cs="Arial" w:eastAsia="Arial" w:hAnsi="Arial"/>
                <w:sz w:val="9"/>
                <w:szCs w:val="9"/>
                <w:b w:val="1"/>
                <w:bCs w:val="1"/>
                <w:color w:val="auto"/>
                <w:w w:val="95"/>
              </w:rPr>
              <w:t>Accumulated</w:t>
            </w:r>
          </w:p>
        </w:tc>
        <w:tc>
          <w:tcPr>
            <w:tcW w:w="100" w:type="dxa"/>
            <w:vAlign w:val="bottom"/>
          </w:tcPr>
          <w:p>
            <w:pPr>
              <w:spacing w:after="0"/>
              <w:rPr>
                <w:sz w:val="8"/>
                <w:szCs w:val="8"/>
                <w:color w:val="auto"/>
              </w:rPr>
            </w:pPr>
          </w:p>
        </w:tc>
        <w:tc>
          <w:tcPr>
            <w:tcW w:w="1060" w:type="dxa"/>
            <w:vAlign w:val="bottom"/>
            <w:gridSpan w:val="2"/>
          </w:tcPr>
          <w:p>
            <w:pPr>
              <w:jc w:val="center"/>
              <w:ind w:right="380"/>
              <w:spacing w:after="0" w:line="101" w:lineRule="exact"/>
              <w:rPr>
                <w:sz w:val="20"/>
                <w:szCs w:val="20"/>
                <w:color w:val="auto"/>
              </w:rPr>
            </w:pPr>
            <w:r>
              <w:rPr>
                <w:rFonts w:ascii="Arial" w:cs="Arial" w:eastAsia="Arial" w:hAnsi="Arial"/>
                <w:sz w:val="9"/>
                <w:szCs w:val="9"/>
                <w:b w:val="1"/>
                <w:bCs w:val="1"/>
                <w:color w:val="auto"/>
                <w:w w:val="94"/>
              </w:rPr>
              <w:t>Comprehensive</w:t>
            </w:r>
          </w:p>
        </w:tc>
        <w:tc>
          <w:tcPr>
            <w:tcW w:w="100" w:type="dxa"/>
            <w:vAlign w:val="bottom"/>
          </w:tcPr>
          <w:p>
            <w:pPr>
              <w:spacing w:after="0"/>
              <w:rPr>
                <w:sz w:val="8"/>
                <w:szCs w:val="8"/>
                <w:color w:val="auto"/>
              </w:rPr>
            </w:pPr>
          </w:p>
        </w:tc>
        <w:tc>
          <w:tcPr>
            <w:tcW w:w="780" w:type="dxa"/>
            <w:vAlign w:val="bottom"/>
            <w:gridSpan w:val="2"/>
          </w:tcPr>
          <w:p>
            <w:pPr>
              <w:jc w:val="center"/>
              <w:ind w:right="180"/>
              <w:spacing w:after="0" w:line="101" w:lineRule="exact"/>
              <w:rPr>
                <w:sz w:val="20"/>
                <w:szCs w:val="20"/>
                <w:color w:val="auto"/>
              </w:rPr>
            </w:pPr>
            <w:r>
              <w:rPr>
                <w:rFonts w:ascii="Arial" w:cs="Arial" w:eastAsia="Arial" w:hAnsi="Arial"/>
                <w:sz w:val="9"/>
                <w:szCs w:val="9"/>
                <w:b w:val="1"/>
                <w:bCs w:val="1"/>
                <w:color w:val="auto"/>
                <w:w w:val="93"/>
              </w:rPr>
              <w:t>Shareholders’</w:t>
            </w:r>
          </w:p>
        </w:tc>
        <w:tc>
          <w:tcPr>
            <w:tcW w:w="0" w:type="dxa"/>
            <w:vAlign w:val="bottom"/>
          </w:tcPr>
          <w:p>
            <w:pPr>
              <w:spacing w:after="0"/>
              <w:rPr>
                <w:sz w:val="1"/>
                <w:szCs w:val="1"/>
                <w:color w:val="auto"/>
              </w:rPr>
            </w:pPr>
          </w:p>
        </w:tc>
      </w:tr>
      <w:tr>
        <w:trPr>
          <w:trHeight w:val="114"/>
        </w:trPr>
        <w:tc>
          <w:tcPr>
            <w:tcW w:w="4000" w:type="dxa"/>
            <w:vAlign w:val="bottom"/>
          </w:tcPr>
          <w:p>
            <w:pPr>
              <w:spacing w:after="0"/>
              <w:rPr>
                <w:sz w:val="9"/>
                <w:szCs w:val="9"/>
                <w:color w:val="auto"/>
              </w:rPr>
            </w:pPr>
          </w:p>
        </w:tc>
        <w:tc>
          <w:tcPr>
            <w:tcW w:w="400" w:type="dxa"/>
            <w:vAlign w:val="bottom"/>
            <w:tcBorders>
              <w:bottom w:val="single" w:sz="8" w:color="auto"/>
            </w:tcBorders>
            <w:gridSpan w:val="2"/>
          </w:tcPr>
          <w:p>
            <w:pPr>
              <w:jc w:val="center"/>
              <w:spacing w:after="0"/>
              <w:rPr>
                <w:sz w:val="20"/>
                <w:szCs w:val="20"/>
                <w:color w:val="auto"/>
              </w:rPr>
            </w:pPr>
            <w:r>
              <w:rPr>
                <w:rFonts w:ascii="Arial" w:cs="Arial" w:eastAsia="Arial" w:hAnsi="Arial"/>
                <w:sz w:val="9"/>
                <w:szCs w:val="9"/>
                <w:b w:val="1"/>
                <w:bCs w:val="1"/>
                <w:color w:val="auto"/>
                <w:w w:val="90"/>
              </w:rPr>
              <w:t>Class A</w:t>
            </w:r>
          </w:p>
        </w:tc>
        <w:tc>
          <w:tcPr>
            <w:tcW w:w="320" w:type="dxa"/>
            <w:vAlign w:val="bottom"/>
          </w:tcPr>
          <w:p>
            <w:pPr>
              <w:spacing w:after="0"/>
              <w:rPr>
                <w:sz w:val="9"/>
                <w:szCs w:val="9"/>
                <w:color w:val="auto"/>
              </w:rPr>
            </w:pPr>
          </w:p>
        </w:tc>
        <w:tc>
          <w:tcPr>
            <w:tcW w:w="400" w:type="dxa"/>
            <w:vAlign w:val="bottom"/>
            <w:tcBorders>
              <w:bottom w:val="single" w:sz="8" w:color="auto"/>
            </w:tcBorders>
            <w:gridSpan w:val="2"/>
          </w:tcPr>
          <w:p>
            <w:pPr>
              <w:jc w:val="right"/>
              <w:ind w:right="6"/>
              <w:spacing w:after="0"/>
              <w:rPr>
                <w:sz w:val="20"/>
                <w:szCs w:val="20"/>
                <w:color w:val="auto"/>
              </w:rPr>
            </w:pPr>
            <w:r>
              <w:rPr>
                <w:rFonts w:ascii="Arial" w:cs="Arial" w:eastAsia="Arial" w:hAnsi="Arial"/>
                <w:sz w:val="9"/>
                <w:szCs w:val="9"/>
                <w:b w:val="1"/>
                <w:bCs w:val="1"/>
                <w:color w:val="auto"/>
                <w:w w:val="96"/>
              </w:rPr>
              <w:t>Class B</w:t>
            </w:r>
          </w:p>
        </w:tc>
        <w:tc>
          <w:tcPr>
            <w:tcW w:w="3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jc w:val="right"/>
              <w:ind w:right="47"/>
              <w:spacing w:after="0"/>
              <w:rPr>
                <w:sz w:val="20"/>
                <w:szCs w:val="20"/>
                <w:color w:val="auto"/>
              </w:rPr>
            </w:pPr>
            <w:r>
              <w:rPr>
                <w:rFonts w:ascii="Arial" w:cs="Arial" w:eastAsia="Arial" w:hAnsi="Arial"/>
                <w:sz w:val="9"/>
                <w:szCs w:val="9"/>
                <w:b w:val="1"/>
                <w:bCs w:val="1"/>
                <w:color w:val="auto"/>
                <w:w w:val="99"/>
              </w:rPr>
              <w:t>Capital</w:t>
            </w:r>
          </w:p>
        </w:tc>
        <w:tc>
          <w:tcPr>
            <w:tcW w:w="3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4"/>
              </w:rPr>
              <w:t>Equity</w:t>
            </w:r>
          </w:p>
        </w:tc>
        <w:tc>
          <w:tcPr>
            <w:tcW w:w="3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jc w:val="right"/>
              <w:ind w:right="167"/>
              <w:spacing w:after="0"/>
              <w:rPr>
                <w:sz w:val="20"/>
                <w:szCs w:val="20"/>
                <w:color w:val="auto"/>
              </w:rPr>
            </w:pPr>
            <w:r>
              <w:rPr>
                <w:rFonts w:ascii="Arial" w:cs="Arial" w:eastAsia="Arial" w:hAnsi="Arial"/>
                <w:sz w:val="9"/>
                <w:szCs w:val="9"/>
                <w:b w:val="1"/>
                <w:bCs w:val="1"/>
                <w:color w:val="auto"/>
              </w:rPr>
              <w:t>Deficit</w:t>
            </w: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jc w:val="center"/>
              <w:ind w:right="47"/>
              <w:spacing w:after="0"/>
              <w:rPr>
                <w:sz w:val="20"/>
                <w:szCs w:val="20"/>
                <w:color w:val="auto"/>
              </w:rPr>
            </w:pPr>
            <w:r>
              <w:rPr>
                <w:rFonts w:ascii="Arial" w:cs="Arial" w:eastAsia="Arial" w:hAnsi="Arial"/>
                <w:sz w:val="9"/>
                <w:szCs w:val="9"/>
                <w:b w:val="1"/>
                <w:bCs w:val="1"/>
                <w:color w:val="auto"/>
                <w:w w:val="91"/>
              </w:rPr>
              <w:t>(Loss) Income</w:t>
            </w: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jc w:val="center"/>
              <w:ind w:right="47"/>
              <w:spacing w:after="0"/>
              <w:rPr>
                <w:sz w:val="20"/>
                <w:szCs w:val="20"/>
                <w:color w:val="auto"/>
              </w:rPr>
            </w:pPr>
            <w:r>
              <w:rPr>
                <w:rFonts w:ascii="Arial" w:cs="Arial" w:eastAsia="Arial" w:hAnsi="Arial"/>
                <w:sz w:val="9"/>
                <w:szCs w:val="9"/>
                <w:b w:val="1"/>
                <w:bCs w:val="1"/>
                <w:color w:val="auto"/>
              </w:rPr>
              <w:t>Equity</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4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720" w:type="dxa"/>
            <w:vAlign w:val="bottom"/>
            <w:gridSpan w:val="6"/>
          </w:tcPr>
          <w:p>
            <w:pPr>
              <w:jc w:val="center"/>
              <w:ind w:right="260"/>
              <w:spacing w:after="0"/>
              <w:rPr>
                <w:sz w:val="20"/>
                <w:szCs w:val="20"/>
                <w:color w:val="auto"/>
              </w:rPr>
            </w:pPr>
            <w:r>
              <w:rPr>
                <w:rFonts w:ascii="Arial" w:cs="Arial" w:eastAsia="Arial" w:hAnsi="Arial"/>
                <w:sz w:val="9"/>
                <w:szCs w:val="9"/>
                <w:b w:val="1"/>
                <w:bCs w:val="1"/>
                <w:color w:val="auto"/>
                <w:w w:val="94"/>
              </w:rPr>
              <w:t>(In millions, except share amounts)</w:t>
            </w: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4000" w:type="dxa"/>
            <w:vAlign w:val="bottom"/>
            <w:shd w:val="clear" w:color="auto" w:fill="CCEEFF"/>
          </w:tcPr>
          <w:p>
            <w:pPr>
              <w:spacing w:after="0" w:line="121" w:lineRule="exact"/>
              <w:rPr>
                <w:sz w:val="20"/>
                <w:szCs w:val="20"/>
                <w:color w:val="auto"/>
              </w:rPr>
            </w:pPr>
            <w:r>
              <w:rPr>
                <w:rFonts w:ascii="Arial" w:cs="Arial" w:eastAsia="Arial" w:hAnsi="Arial"/>
                <w:sz w:val="11"/>
                <w:szCs w:val="11"/>
                <w:color w:val="auto"/>
              </w:rPr>
              <w:t>Balance as of June 30, 2006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300"/>
              <w:spacing w:after="0" w:line="121"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300"/>
              <w:spacing w:after="0" w:line="121"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300"/>
              <w:spacing w:after="0" w:line="121"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300"/>
              <w:spacing w:after="0" w:line="121" w:lineRule="exact"/>
              <w:rPr>
                <w:sz w:val="20"/>
                <w:szCs w:val="20"/>
                <w:color w:val="auto"/>
              </w:rPr>
            </w:pPr>
            <w:r>
              <w:rPr>
                <w:rFonts w:ascii="Arial" w:cs="Arial" w:eastAsia="Arial" w:hAnsi="Arial"/>
                <w:sz w:val="11"/>
                <w:szCs w:val="11"/>
                <w:color w:val="auto"/>
              </w:rPr>
              <w:t>245.7</w:t>
            </w:r>
          </w:p>
        </w:tc>
        <w:tc>
          <w:tcPr>
            <w:tcW w:w="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300"/>
              <w:spacing w:after="0" w:line="121"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240"/>
              <w:spacing w:after="0" w:line="121" w:lineRule="exact"/>
              <w:rPr>
                <w:sz w:val="20"/>
                <w:szCs w:val="20"/>
                <w:color w:val="auto"/>
              </w:rPr>
            </w:pPr>
            <w:r>
              <w:rPr>
                <w:rFonts w:ascii="Arial" w:cs="Arial" w:eastAsia="Arial" w:hAnsi="Arial"/>
                <w:sz w:val="11"/>
                <w:szCs w:val="11"/>
                <w:color w:val="auto"/>
              </w:rPr>
              <w:t>(1.4)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1"/>
                <w:szCs w:val="11"/>
                <w:color w:val="auto"/>
              </w:rPr>
              <w:t>244.3</w:t>
            </w:r>
          </w:p>
        </w:tc>
        <w:tc>
          <w:tcPr>
            <w:tcW w:w="0" w:type="dxa"/>
            <w:vAlign w:val="bottom"/>
          </w:tcPr>
          <w:p>
            <w:pPr>
              <w:spacing w:after="0"/>
              <w:rPr>
                <w:sz w:val="1"/>
                <w:szCs w:val="1"/>
                <w:color w:val="auto"/>
              </w:rPr>
            </w:pPr>
          </w:p>
        </w:tc>
      </w:tr>
      <w:tr>
        <w:trPr>
          <w:trHeight w:val="111"/>
        </w:trPr>
        <w:tc>
          <w:tcPr>
            <w:tcW w:w="4000" w:type="dxa"/>
            <w:vAlign w:val="bottom"/>
          </w:tcPr>
          <w:p>
            <w:pPr>
              <w:spacing w:after="0" w:line="111" w:lineRule="exact"/>
              <w:rPr>
                <w:sz w:val="20"/>
                <w:szCs w:val="20"/>
                <w:color w:val="auto"/>
              </w:rPr>
            </w:pPr>
            <w:r>
              <w:rPr>
                <w:rFonts w:ascii="Arial" w:cs="Arial" w:eastAsia="Arial" w:hAnsi="Arial"/>
                <w:sz w:val="11"/>
                <w:szCs w:val="11"/>
                <w:color w:val="auto"/>
              </w:rPr>
              <w:t>Net income for the period from July 1, 2006 through January 26, 2007</w:t>
            </w:r>
          </w:p>
        </w:tc>
        <w:tc>
          <w:tcPr>
            <w:tcW w:w="80" w:type="dxa"/>
            <w:vAlign w:val="bottom"/>
          </w:tcPr>
          <w:p>
            <w:pPr>
              <w:spacing w:after="0"/>
              <w:rPr>
                <w:sz w:val="9"/>
                <w:szCs w:val="9"/>
                <w:color w:val="auto"/>
              </w:rPr>
            </w:pPr>
          </w:p>
        </w:tc>
        <w:tc>
          <w:tcPr>
            <w:tcW w:w="640" w:type="dxa"/>
            <w:vAlign w:val="bottom"/>
            <w:gridSpan w:val="2"/>
          </w:tcPr>
          <w:p>
            <w:pPr>
              <w:jc w:val="right"/>
              <w:ind w:right="300"/>
              <w:spacing w:after="0" w:line="111"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640" w:type="dxa"/>
            <w:vAlign w:val="bottom"/>
            <w:gridSpan w:val="2"/>
          </w:tcPr>
          <w:p>
            <w:pPr>
              <w:jc w:val="right"/>
              <w:ind w:right="300"/>
              <w:spacing w:after="0" w:line="111"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720" w:type="dxa"/>
            <w:vAlign w:val="bottom"/>
            <w:gridSpan w:val="2"/>
          </w:tcPr>
          <w:p>
            <w:pPr>
              <w:jc w:val="right"/>
              <w:ind w:right="300"/>
              <w:spacing w:after="0" w:line="111"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640" w:type="dxa"/>
            <w:vAlign w:val="bottom"/>
            <w:gridSpan w:val="2"/>
          </w:tcPr>
          <w:p>
            <w:pPr>
              <w:jc w:val="right"/>
              <w:ind w:right="300"/>
              <w:spacing w:after="0" w:line="111" w:lineRule="exact"/>
              <w:rPr>
                <w:sz w:val="20"/>
                <w:szCs w:val="20"/>
                <w:color w:val="auto"/>
              </w:rPr>
            </w:pPr>
            <w:r>
              <w:rPr>
                <w:rFonts w:ascii="Arial" w:cs="Arial" w:eastAsia="Arial" w:hAnsi="Arial"/>
                <w:sz w:val="11"/>
                <w:szCs w:val="11"/>
                <w:color w:val="auto"/>
              </w:rPr>
              <w:t>2.4</w:t>
            </w:r>
          </w:p>
        </w:tc>
        <w:tc>
          <w:tcPr>
            <w:tcW w:w="80" w:type="dxa"/>
            <w:vAlign w:val="bottom"/>
          </w:tcPr>
          <w:p>
            <w:pPr>
              <w:spacing w:after="0"/>
              <w:rPr>
                <w:sz w:val="9"/>
                <w:szCs w:val="9"/>
                <w:color w:val="auto"/>
              </w:rPr>
            </w:pPr>
          </w:p>
        </w:tc>
        <w:tc>
          <w:tcPr>
            <w:tcW w:w="940" w:type="dxa"/>
            <w:vAlign w:val="bottom"/>
            <w:gridSpan w:val="2"/>
          </w:tcPr>
          <w:p>
            <w:pPr>
              <w:jc w:val="right"/>
              <w:ind w:right="300"/>
              <w:spacing w:after="0" w:line="111"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1060" w:type="dxa"/>
            <w:vAlign w:val="bottom"/>
            <w:gridSpan w:val="2"/>
          </w:tcPr>
          <w:p>
            <w:pPr>
              <w:jc w:val="right"/>
              <w:ind w:right="280"/>
              <w:spacing w:after="0" w:line="111"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780" w:type="dxa"/>
            <w:vAlign w:val="bottom"/>
            <w:gridSpan w:val="2"/>
          </w:tcPr>
          <w:p>
            <w:pPr>
              <w:jc w:val="right"/>
              <w:ind w:right="80"/>
              <w:spacing w:after="0" w:line="111" w:lineRule="exact"/>
              <w:rPr>
                <w:sz w:val="20"/>
                <w:szCs w:val="20"/>
                <w:color w:val="auto"/>
              </w:rPr>
            </w:pPr>
            <w:r>
              <w:rPr>
                <w:rFonts w:ascii="Arial" w:cs="Arial" w:eastAsia="Arial" w:hAnsi="Arial"/>
                <w:sz w:val="11"/>
                <w:szCs w:val="11"/>
                <w:color w:val="auto"/>
              </w:rPr>
              <w:t>2.4</w:t>
            </w:r>
          </w:p>
        </w:tc>
        <w:tc>
          <w:tcPr>
            <w:tcW w:w="0" w:type="dxa"/>
            <w:vAlign w:val="bottom"/>
          </w:tcPr>
          <w:p>
            <w:pPr>
              <w:spacing w:after="0"/>
              <w:rPr>
                <w:sz w:val="1"/>
                <w:szCs w:val="1"/>
                <w:color w:val="auto"/>
              </w:rPr>
            </w:pPr>
          </w:p>
        </w:tc>
      </w:tr>
      <w:tr>
        <w:trPr>
          <w:trHeight w:val="111"/>
        </w:trPr>
        <w:tc>
          <w:tcPr>
            <w:tcW w:w="4000" w:type="dxa"/>
            <w:vAlign w:val="bottom"/>
            <w:shd w:val="clear" w:color="auto" w:fill="CCEEFF"/>
          </w:tcPr>
          <w:p>
            <w:pPr>
              <w:spacing w:after="0" w:line="111" w:lineRule="exact"/>
              <w:rPr>
                <w:sz w:val="20"/>
                <w:szCs w:val="20"/>
                <w:color w:val="auto"/>
              </w:rPr>
            </w:pPr>
            <w:r>
              <w:rPr>
                <w:rFonts w:ascii="Arial" w:cs="Arial" w:eastAsia="Arial" w:hAnsi="Arial"/>
                <w:sz w:val="11"/>
                <w:szCs w:val="11"/>
                <w:color w:val="auto"/>
              </w:rPr>
              <w:t>Net loss for the period from January 27, 2007 through June 29, 2007</w:t>
            </w:r>
          </w:p>
        </w:tc>
        <w:tc>
          <w:tcPr>
            <w:tcW w:w="8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300"/>
              <w:spacing w:after="0" w:line="111"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300"/>
              <w:spacing w:after="0" w:line="111"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300"/>
              <w:spacing w:after="0" w:line="111"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300"/>
              <w:spacing w:after="0" w:line="111"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940" w:type="dxa"/>
            <w:vAlign w:val="bottom"/>
            <w:gridSpan w:val="2"/>
            <w:shd w:val="clear" w:color="auto" w:fill="CCEEFF"/>
          </w:tcPr>
          <w:p>
            <w:pPr>
              <w:jc w:val="right"/>
              <w:ind w:right="260"/>
              <w:spacing w:after="0" w:line="111" w:lineRule="exact"/>
              <w:rPr>
                <w:sz w:val="20"/>
                <w:szCs w:val="20"/>
                <w:color w:val="auto"/>
              </w:rPr>
            </w:pPr>
            <w:r>
              <w:rPr>
                <w:rFonts w:ascii="Arial" w:cs="Arial" w:eastAsia="Arial" w:hAnsi="Arial"/>
                <w:sz w:val="11"/>
                <w:szCs w:val="11"/>
                <w:color w:val="auto"/>
              </w:rPr>
              <w:t>(24.2)</w:t>
            </w:r>
          </w:p>
        </w:tc>
        <w:tc>
          <w:tcPr>
            <w:tcW w:w="100" w:type="dxa"/>
            <w:vAlign w:val="bottom"/>
            <w:shd w:val="clear" w:color="auto" w:fill="CCEEFF"/>
          </w:tcPr>
          <w:p>
            <w:pPr>
              <w:spacing w:after="0"/>
              <w:rPr>
                <w:sz w:val="9"/>
                <w:szCs w:val="9"/>
                <w:color w:val="auto"/>
              </w:rPr>
            </w:pPr>
          </w:p>
        </w:tc>
        <w:tc>
          <w:tcPr>
            <w:tcW w:w="1060" w:type="dxa"/>
            <w:vAlign w:val="bottom"/>
            <w:gridSpan w:val="2"/>
            <w:shd w:val="clear" w:color="auto" w:fill="CCEEFF"/>
          </w:tcPr>
          <w:p>
            <w:pPr>
              <w:jc w:val="right"/>
              <w:ind w:right="280"/>
              <w:spacing w:after="0" w:line="111"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780" w:type="dxa"/>
            <w:vAlign w:val="bottom"/>
            <w:gridSpan w:val="2"/>
            <w:shd w:val="clear" w:color="auto" w:fill="CCEEFF"/>
          </w:tcPr>
          <w:p>
            <w:pPr>
              <w:jc w:val="right"/>
              <w:ind w:right="60"/>
              <w:spacing w:after="0" w:line="111" w:lineRule="exact"/>
              <w:rPr>
                <w:sz w:val="20"/>
                <w:szCs w:val="20"/>
                <w:color w:val="auto"/>
              </w:rPr>
            </w:pPr>
            <w:r>
              <w:rPr>
                <w:rFonts w:ascii="Arial" w:cs="Arial" w:eastAsia="Arial" w:hAnsi="Arial"/>
                <w:sz w:val="11"/>
                <w:szCs w:val="11"/>
                <w:color w:val="auto"/>
              </w:rPr>
              <w:t>(24.2)</w:t>
            </w:r>
          </w:p>
        </w:tc>
        <w:tc>
          <w:tcPr>
            <w:tcW w:w="0" w:type="dxa"/>
            <w:vAlign w:val="bottom"/>
          </w:tcPr>
          <w:p>
            <w:pPr>
              <w:spacing w:after="0"/>
              <w:rPr>
                <w:sz w:val="1"/>
                <w:szCs w:val="1"/>
                <w:color w:val="auto"/>
              </w:rPr>
            </w:pPr>
          </w:p>
        </w:tc>
      </w:tr>
      <w:tr>
        <w:trPr>
          <w:trHeight w:val="111"/>
        </w:trPr>
        <w:tc>
          <w:tcPr>
            <w:tcW w:w="4000" w:type="dxa"/>
            <w:vAlign w:val="bottom"/>
          </w:tcPr>
          <w:p>
            <w:pPr>
              <w:spacing w:after="0" w:line="111" w:lineRule="exact"/>
              <w:rPr>
                <w:sz w:val="20"/>
                <w:szCs w:val="20"/>
                <w:color w:val="auto"/>
              </w:rPr>
            </w:pPr>
            <w:r>
              <w:rPr>
                <w:rFonts w:ascii="Arial" w:cs="Arial" w:eastAsia="Arial" w:hAnsi="Arial"/>
                <w:sz w:val="11"/>
                <w:szCs w:val="11"/>
                <w:color w:val="auto"/>
              </w:rPr>
              <w:t>Foreign currency translation</w:t>
            </w:r>
          </w:p>
        </w:tc>
        <w:tc>
          <w:tcPr>
            <w:tcW w:w="80" w:type="dxa"/>
            <w:vAlign w:val="bottom"/>
          </w:tcPr>
          <w:p>
            <w:pPr>
              <w:spacing w:after="0"/>
              <w:rPr>
                <w:sz w:val="9"/>
                <w:szCs w:val="9"/>
                <w:color w:val="auto"/>
              </w:rPr>
            </w:pPr>
          </w:p>
        </w:tc>
        <w:tc>
          <w:tcPr>
            <w:tcW w:w="640" w:type="dxa"/>
            <w:vAlign w:val="bottom"/>
            <w:gridSpan w:val="2"/>
          </w:tcPr>
          <w:p>
            <w:pPr>
              <w:jc w:val="right"/>
              <w:ind w:right="300"/>
              <w:spacing w:after="0" w:line="111"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640" w:type="dxa"/>
            <w:vAlign w:val="bottom"/>
            <w:gridSpan w:val="2"/>
          </w:tcPr>
          <w:p>
            <w:pPr>
              <w:jc w:val="right"/>
              <w:ind w:right="300"/>
              <w:spacing w:after="0" w:line="111"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720" w:type="dxa"/>
            <w:vAlign w:val="bottom"/>
            <w:gridSpan w:val="2"/>
          </w:tcPr>
          <w:p>
            <w:pPr>
              <w:jc w:val="right"/>
              <w:ind w:right="300"/>
              <w:spacing w:after="0" w:line="111"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640" w:type="dxa"/>
            <w:vAlign w:val="bottom"/>
            <w:gridSpan w:val="2"/>
          </w:tcPr>
          <w:p>
            <w:pPr>
              <w:jc w:val="right"/>
              <w:ind w:right="300"/>
              <w:spacing w:after="0" w:line="111"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940" w:type="dxa"/>
            <w:vAlign w:val="bottom"/>
            <w:gridSpan w:val="2"/>
          </w:tcPr>
          <w:p>
            <w:pPr>
              <w:jc w:val="right"/>
              <w:ind w:right="300"/>
              <w:spacing w:after="0" w:line="111"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1060" w:type="dxa"/>
            <w:vAlign w:val="bottom"/>
            <w:gridSpan w:val="2"/>
          </w:tcPr>
          <w:p>
            <w:pPr>
              <w:jc w:val="right"/>
              <w:ind w:right="280"/>
              <w:spacing w:after="0" w:line="111" w:lineRule="exact"/>
              <w:rPr>
                <w:sz w:val="20"/>
                <w:szCs w:val="20"/>
                <w:color w:val="auto"/>
              </w:rPr>
            </w:pPr>
            <w:r>
              <w:rPr>
                <w:rFonts w:ascii="Arial" w:cs="Arial" w:eastAsia="Arial" w:hAnsi="Arial"/>
                <w:sz w:val="11"/>
                <w:szCs w:val="11"/>
                <w:color w:val="auto"/>
              </w:rPr>
              <w:t>1.5</w:t>
            </w:r>
          </w:p>
        </w:tc>
        <w:tc>
          <w:tcPr>
            <w:tcW w:w="100" w:type="dxa"/>
            <w:vAlign w:val="bottom"/>
          </w:tcPr>
          <w:p>
            <w:pPr>
              <w:spacing w:after="0"/>
              <w:rPr>
                <w:sz w:val="9"/>
                <w:szCs w:val="9"/>
                <w:color w:val="auto"/>
              </w:rPr>
            </w:pPr>
          </w:p>
        </w:tc>
        <w:tc>
          <w:tcPr>
            <w:tcW w:w="780" w:type="dxa"/>
            <w:vAlign w:val="bottom"/>
            <w:gridSpan w:val="2"/>
          </w:tcPr>
          <w:p>
            <w:pPr>
              <w:jc w:val="right"/>
              <w:ind w:right="80"/>
              <w:spacing w:after="0" w:line="111" w:lineRule="exact"/>
              <w:rPr>
                <w:sz w:val="20"/>
                <w:szCs w:val="20"/>
                <w:color w:val="auto"/>
              </w:rPr>
            </w:pPr>
            <w:r>
              <w:rPr>
                <w:rFonts w:ascii="Arial" w:cs="Arial" w:eastAsia="Arial" w:hAnsi="Arial"/>
                <w:sz w:val="11"/>
                <w:szCs w:val="11"/>
                <w:color w:val="auto"/>
              </w:rPr>
              <w:t>1.5</w:t>
            </w:r>
          </w:p>
        </w:tc>
        <w:tc>
          <w:tcPr>
            <w:tcW w:w="0" w:type="dxa"/>
            <w:vAlign w:val="bottom"/>
          </w:tcPr>
          <w:p>
            <w:pPr>
              <w:spacing w:after="0"/>
              <w:rPr>
                <w:sz w:val="1"/>
                <w:szCs w:val="1"/>
                <w:color w:val="auto"/>
              </w:rPr>
            </w:pPr>
          </w:p>
        </w:tc>
      </w:tr>
      <w:tr>
        <w:trPr>
          <w:trHeight w:val="111"/>
        </w:trPr>
        <w:tc>
          <w:tcPr>
            <w:tcW w:w="4000" w:type="dxa"/>
            <w:vAlign w:val="bottom"/>
            <w:shd w:val="clear" w:color="auto" w:fill="CCEEFF"/>
          </w:tcPr>
          <w:p>
            <w:pPr>
              <w:spacing w:after="0" w:line="111" w:lineRule="exact"/>
              <w:rPr>
                <w:sz w:val="20"/>
                <w:szCs w:val="20"/>
                <w:color w:val="auto"/>
              </w:rPr>
            </w:pPr>
            <w:r>
              <w:rPr>
                <w:rFonts w:ascii="Arial" w:cs="Arial" w:eastAsia="Arial" w:hAnsi="Arial"/>
                <w:sz w:val="11"/>
                <w:szCs w:val="11"/>
                <w:color w:val="auto"/>
              </w:rPr>
              <w:t>Net unrealized loss on hedging activities</w:t>
            </w:r>
          </w:p>
        </w:tc>
        <w:tc>
          <w:tcPr>
            <w:tcW w:w="8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300"/>
              <w:spacing w:after="0" w:line="111"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300"/>
              <w:spacing w:after="0" w:line="111"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300"/>
              <w:spacing w:after="0" w:line="111"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300"/>
              <w:spacing w:after="0" w:line="111"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940" w:type="dxa"/>
            <w:vAlign w:val="bottom"/>
            <w:gridSpan w:val="2"/>
            <w:shd w:val="clear" w:color="auto" w:fill="CCEEFF"/>
          </w:tcPr>
          <w:p>
            <w:pPr>
              <w:jc w:val="right"/>
              <w:ind w:right="300"/>
              <w:spacing w:after="0" w:line="111"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1060" w:type="dxa"/>
            <w:vAlign w:val="bottom"/>
            <w:gridSpan w:val="2"/>
            <w:shd w:val="clear" w:color="auto" w:fill="CCEEFF"/>
          </w:tcPr>
          <w:p>
            <w:pPr>
              <w:jc w:val="right"/>
              <w:ind w:right="240"/>
              <w:spacing w:after="0" w:line="111" w:lineRule="exact"/>
              <w:rPr>
                <w:sz w:val="20"/>
                <w:szCs w:val="20"/>
                <w:color w:val="auto"/>
              </w:rPr>
            </w:pPr>
            <w:r>
              <w:rPr>
                <w:rFonts w:ascii="Arial" w:cs="Arial" w:eastAsia="Arial" w:hAnsi="Arial"/>
                <w:sz w:val="11"/>
                <w:szCs w:val="11"/>
                <w:color w:val="auto"/>
              </w:rPr>
              <w:t>(0.1)</w:t>
            </w:r>
          </w:p>
        </w:tc>
        <w:tc>
          <w:tcPr>
            <w:tcW w:w="100" w:type="dxa"/>
            <w:vAlign w:val="bottom"/>
            <w:shd w:val="clear" w:color="auto" w:fill="CCEEFF"/>
          </w:tcPr>
          <w:p>
            <w:pPr>
              <w:spacing w:after="0"/>
              <w:rPr>
                <w:sz w:val="9"/>
                <w:szCs w:val="9"/>
                <w:color w:val="auto"/>
              </w:rPr>
            </w:pPr>
          </w:p>
        </w:tc>
        <w:tc>
          <w:tcPr>
            <w:tcW w:w="780" w:type="dxa"/>
            <w:vAlign w:val="bottom"/>
            <w:gridSpan w:val="2"/>
            <w:shd w:val="clear" w:color="auto" w:fill="CCEEFF"/>
          </w:tcPr>
          <w:p>
            <w:pPr>
              <w:jc w:val="right"/>
              <w:ind w:right="60"/>
              <w:spacing w:after="0" w:line="111" w:lineRule="exact"/>
              <w:rPr>
                <w:sz w:val="20"/>
                <w:szCs w:val="20"/>
                <w:color w:val="auto"/>
              </w:rPr>
            </w:pPr>
            <w:r>
              <w:rPr>
                <w:rFonts w:ascii="Arial" w:cs="Arial" w:eastAsia="Arial" w:hAnsi="Arial"/>
                <w:sz w:val="11"/>
                <w:szCs w:val="11"/>
                <w:color w:val="auto"/>
              </w:rPr>
              <w:t>(0.1)</w:t>
            </w:r>
          </w:p>
        </w:tc>
        <w:tc>
          <w:tcPr>
            <w:tcW w:w="0" w:type="dxa"/>
            <w:vAlign w:val="bottom"/>
          </w:tcPr>
          <w:p>
            <w:pPr>
              <w:spacing w:after="0"/>
              <w:rPr>
                <w:sz w:val="1"/>
                <w:szCs w:val="1"/>
                <w:color w:val="auto"/>
              </w:rPr>
            </w:pPr>
          </w:p>
        </w:tc>
      </w:tr>
      <w:tr>
        <w:trPr>
          <w:trHeight w:val="20"/>
        </w:trPr>
        <w:tc>
          <w:tcPr>
            <w:tcW w:w="4000" w:type="dxa"/>
            <w:vAlign w:val="bottom"/>
            <w:vMerge w:val="restart"/>
          </w:tcPr>
          <w:p>
            <w:pPr>
              <w:spacing w:after="0"/>
              <w:rPr>
                <w:sz w:val="20"/>
                <w:szCs w:val="20"/>
                <w:color w:val="auto"/>
              </w:rPr>
            </w:pPr>
            <w:r>
              <w:rPr>
                <w:rFonts w:ascii="Arial" w:cs="Arial" w:eastAsia="Arial" w:hAnsi="Arial"/>
                <w:sz w:val="11"/>
                <w:szCs w:val="11"/>
                <w:color w:val="auto"/>
              </w:rPr>
              <w:t>Comprehensive loss</w:t>
            </w: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40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2"/>
          </w:tcPr>
          <w:p>
            <w:pPr>
              <w:jc w:val="right"/>
              <w:ind w:right="60"/>
              <w:spacing w:after="0" w:line="111" w:lineRule="exact"/>
              <w:rPr>
                <w:sz w:val="20"/>
                <w:szCs w:val="20"/>
                <w:color w:val="auto"/>
              </w:rPr>
            </w:pPr>
            <w:r>
              <w:rPr>
                <w:rFonts w:ascii="Arial" w:cs="Arial" w:eastAsia="Arial" w:hAnsi="Arial"/>
                <w:sz w:val="11"/>
                <w:szCs w:val="11"/>
                <w:color w:val="auto"/>
              </w:rPr>
              <w:t>(20.4)</w:t>
            </w:r>
          </w:p>
        </w:tc>
        <w:tc>
          <w:tcPr>
            <w:tcW w:w="0" w:type="dxa"/>
            <w:vAlign w:val="bottom"/>
          </w:tcPr>
          <w:p>
            <w:pPr>
              <w:spacing w:after="0"/>
              <w:rPr>
                <w:sz w:val="1"/>
                <w:szCs w:val="1"/>
                <w:color w:val="auto"/>
              </w:rPr>
            </w:pPr>
          </w:p>
        </w:tc>
      </w:tr>
      <w:tr>
        <w:trPr>
          <w:trHeight w:val="111"/>
        </w:trPr>
        <w:tc>
          <w:tcPr>
            <w:tcW w:w="4000" w:type="dxa"/>
            <w:vAlign w:val="bottom"/>
            <w:shd w:val="clear" w:color="auto" w:fill="CCEEFF"/>
          </w:tcPr>
          <w:p>
            <w:pPr>
              <w:spacing w:after="0" w:line="111" w:lineRule="exact"/>
              <w:rPr>
                <w:sz w:val="20"/>
                <w:szCs w:val="20"/>
                <w:color w:val="auto"/>
              </w:rPr>
            </w:pPr>
            <w:r>
              <w:rPr>
                <w:rFonts w:ascii="Arial" w:cs="Arial" w:eastAsia="Arial" w:hAnsi="Arial"/>
                <w:sz w:val="11"/>
                <w:szCs w:val="11"/>
                <w:color w:val="auto"/>
              </w:rPr>
              <w:t>Net increase in investment from Harris Corporation</w:t>
            </w:r>
          </w:p>
        </w:tc>
        <w:tc>
          <w:tcPr>
            <w:tcW w:w="8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300"/>
              <w:spacing w:after="0" w:line="111"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300"/>
              <w:spacing w:after="0" w:line="111"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300"/>
              <w:spacing w:after="0" w:line="111"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300"/>
              <w:spacing w:after="0" w:line="111" w:lineRule="exact"/>
              <w:rPr>
                <w:sz w:val="20"/>
                <w:szCs w:val="20"/>
                <w:color w:val="auto"/>
              </w:rPr>
            </w:pPr>
            <w:r>
              <w:rPr>
                <w:rFonts w:ascii="Arial" w:cs="Arial" w:eastAsia="Arial" w:hAnsi="Arial"/>
                <w:sz w:val="11"/>
                <w:szCs w:val="11"/>
                <w:color w:val="auto"/>
              </w:rPr>
              <w:t>8.5</w:t>
            </w:r>
          </w:p>
        </w:tc>
        <w:tc>
          <w:tcPr>
            <w:tcW w:w="80" w:type="dxa"/>
            <w:vAlign w:val="bottom"/>
            <w:shd w:val="clear" w:color="auto" w:fill="CCEEFF"/>
          </w:tcPr>
          <w:p>
            <w:pPr>
              <w:spacing w:after="0"/>
              <w:rPr>
                <w:sz w:val="9"/>
                <w:szCs w:val="9"/>
                <w:color w:val="auto"/>
              </w:rPr>
            </w:pPr>
          </w:p>
        </w:tc>
        <w:tc>
          <w:tcPr>
            <w:tcW w:w="940" w:type="dxa"/>
            <w:vAlign w:val="bottom"/>
            <w:gridSpan w:val="2"/>
            <w:shd w:val="clear" w:color="auto" w:fill="CCEEFF"/>
          </w:tcPr>
          <w:p>
            <w:pPr>
              <w:jc w:val="right"/>
              <w:ind w:right="300"/>
              <w:spacing w:after="0" w:line="111"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1060" w:type="dxa"/>
            <w:vAlign w:val="bottom"/>
            <w:gridSpan w:val="2"/>
            <w:shd w:val="clear" w:color="auto" w:fill="CCEEFF"/>
          </w:tcPr>
          <w:p>
            <w:pPr>
              <w:jc w:val="right"/>
              <w:ind w:right="280"/>
              <w:spacing w:after="0" w:line="111"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780" w:type="dxa"/>
            <w:vAlign w:val="bottom"/>
            <w:gridSpan w:val="2"/>
            <w:shd w:val="clear" w:color="auto" w:fill="CCEEFF"/>
          </w:tcPr>
          <w:p>
            <w:pPr>
              <w:jc w:val="right"/>
              <w:ind w:right="80"/>
              <w:spacing w:after="0" w:line="111" w:lineRule="exact"/>
              <w:rPr>
                <w:sz w:val="20"/>
                <w:szCs w:val="20"/>
                <w:color w:val="auto"/>
              </w:rPr>
            </w:pPr>
            <w:r>
              <w:rPr>
                <w:rFonts w:ascii="Arial" w:cs="Arial" w:eastAsia="Arial" w:hAnsi="Arial"/>
                <w:sz w:val="11"/>
                <w:szCs w:val="11"/>
                <w:color w:val="auto"/>
              </w:rPr>
              <w:t>8.5</w:t>
            </w:r>
          </w:p>
        </w:tc>
        <w:tc>
          <w:tcPr>
            <w:tcW w:w="0" w:type="dxa"/>
            <w:vAlign w:val="bottom"/>
          </w:tcPr>
          <w:p>
            <w:pPr>
              <w:spacing w:after="0"/>
              <w:rPr>
                <w:sz w:val="1"/>
                <w:szCs w:val="1"/>
                <w:color w:val="auto"/>
              </w:rPr>
            </w:pPr>
          </w:p>
        </w:tc>
      </w:tr>
      <w:tr>
        <w:trPr>
          <w:trHeight w:val="111"/>
        </w:trPr>
        <w:tc>
          <w:tcPr>
            <w:tcW w:w="4000" w:type="dxa"/>
            <w:vAlign w:val="bottom"/>
          </w:tcPr>
          <w:p>
            <w:pPr>
              <w:spacing w:after="0" w:line="111" w:lineRule="exact"/>
              <w:rPr>
                <w:sz w:val="20"/>
                <w:szCs w:val="20"/>
                <w:color w:val="auto"/>
              </w:rPr>
            </w:pPr>
            <w:r>
              <w:rPr>
                <w:rFonts w:ascii="Arial" w:cs="Arial" w:eastAsia="Arial" w:hAnsi="Arial"/>
                <w:sz w:val="11"/>
                <w:szCs w:val="11"/>
                <w:color w:val="auto"/>
              </w:rPr>
              <w:t>Return of capital to Harris Corporation</w:t>
            </w:r>
          </w:p>
        </w:tc>
        <w:tc>
          <w:tcPr>
            <w:tcW w:w="80" w:type="dxa"/>
            <w:vAlign w:val="bottom"/>
          </w:tcPr>
          <w:p>
            <w:pPr>
              <w:spacing w:after="0"/>
              <w:rPr>
                <w:sz w:val="9"/>
                <w:szCs w:val="9"/>
                <w:color w:val="auto"/>
              </w:rPr>
            </w:pPr>
          </w:p>
        </w:tc>
        <w:tc>
          <w:tcPr>
            <w:tcW w:w="640" w:type="dxa"/>
            <w:vAlign w:val="bottom"/>
            <w:gridSpan w:val="2"/>
          </w:tcPr>
          <w:p>
            <w:pPr>
              <w:jc w:val="right"/>
              <w:ind w:right="300"/>
              <w:spacing w:after="0" w:line="111"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640" w:type="dxa"/>
            <w:vAlign w:val="bottom"/>
            <w:gridSpan w:val="2"/>
          </w:tcPr>
          <w:p>
            <w:pPr>
              <w:jc w:val="right"/>
              <w:ind w:right="300"/>
              <w:spacing w:after="0" w:line="111"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720" w:type="dxa"/>
            <w:vAlign w:val="bottom"/>
            <w:gridSpan w:val="2"/>
          </w:tcPr>
          <w:p>
            <w:pPr>
              <w:jc w:val="right"/>
              <w:ind w:right="300"/>
              <w:spacing w:after="0" w:line="111"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640" w:type="dxa"/>
            <w:vAlign w:val="bottom"/>
            <w:gridSpan w:val="2"/>
          </w:tcPr>
          <w:p>
            <w:pPr>
              <w:jc w:val="right"/>
              <w:ind w:right="260"/>
              <w:spacing w:after="0" w:line="111" w:lineRule="exact"/>
              <w:rPr>
                <w:sz w:val="20"/>
                <w:szCs w:val="20"/>
                <w:color w:val="auto"/>
              </w:rPr>
            </w:pPr>
            <w:r>
              <w:rPr>
                <w:rFonts w:ascii="Arial" w:cs="Arial" w:eastAsia="Arial" w:hAnsi="Arial"/>
                <w:sz w:val="11"/>
                <w:szCs w:val="11"/>
                <w:color w:val="auto"/>
              </w:rPr>
              <w:t>(14.4)</w:t>
            </w:r>
          </w:p>
        </w:tc>
        <w:tc>
          <w:tcPr>
            <w:tcW w:w="80" w:type="dxa"/>
            <w:vAlign w:val="bottom"/>
          </w:tcPr>
          <w:p>
            <w:pPr>
              <w:spacing w:after="0"/>
              <w:rPr>
                <w:sz w:val="9"/>
                <w:szCs w:val="9"/>
                <w:color w:val="auto"/>
              </w:rPr>
            </w:pPr>
          </w:p>
        </w:tc>
        <w:tc>
          <w:tcPr>
            <w:tcW w:w="940" w:type="dxa"/>
            <w:vAlign w:val="bottom"/>
            <w:gridSpan w:val="2"/>
          </w:tcPr>
          <w:p>
            <w:pPr>
              <w:jc w:val="right"/>
              <w:ind w:right="300"/>
              <w:spacing w:after="0" w:line="111"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1060" w:type="dxa"/>
            <w:vAlign w:val="bottom"/>
            <w:gridSpan w:val="2"/>
          </w:tcPr>
          <w:p>
            <w:pPr>
              <w:jc w:val="right"/>
              <w:ind w:right="280"/>
              <w:spacing w:after="0" w:line="111"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780" w:type="dxa"/>
            <w:vAlign w:val="bottom"/>
            <w:gridSpan w:val="2"/>
          </w:tcPr>
          <w:p>
            <w:pPr>
              <w:jc w:val="right"/>
              <w:ind w:right="60"/>
              <w:spacing w:after="0" w:line="111" w:lineRule="exact"/>
              <w:rPr>
                <w:sz w:val="20"/>
                <w:szCs w:val="20"/>
                <w:color w:val="auto"/>
              </w:rPr>
            </w:pPr>
            <w:r>
              <w:rPr>
                <w:rFonts w:ascii="Arial" w:cs="Arial" w:eastAsia="Arial" w:hAnsi="Arial"/>
                <w:sz w:val="11"/>
                <w:szCs w:val="11"/>
                <w:color w:val="auto"/>
              </w:rPr>
              <w:t>(14.4)</w:t>
            </w:r>
          </w:p>
        </w:tc>
        <w:tc>
          <w:tcPr>
            <w:tcW w:w="0" w:type="dxa"/>
            <w:vAlign w:val="bottom"/>
          </w:tcPr>
          <w:p>
            <w:pPr>
              <w:spacing w:after="0"/>
              <w:rPr>
                <w:sz w:val="1"/>
                <w:szCs w:val="1"/>
                <w:color w:val="auto"/>
              </w:rPr>
            </w:pPr>
          </w:p>
        </w:tc>
      </w:tr>
      <w:tr>
        <w:trPr>
          <w:trHeight w:val="111"/>
        </w:trPr>
        <w:tc>
          <w:tcPr>
            <w:tcW w:w="4000" w:type="dxa"/>
            <w:vAlign w:val="bottom"/>
            <w:shd w:val="clear" w:color="auto" w:fill="CCEEFF"/>
          </w:tcPr>
          <w:p>
            <w:pPr>
              <w:spacing w:after="0" w:line="111" w:lineRule="exact"/>
              <w:rPr>
                <w:sz w:val="20"/>
                <w:szCs w:val="20"/>
                <w:color w:val="auto"/>
              </w:rPr>
            </w:pPr>
            <w:r>
              <w:rPr>
                <w:rFonts w:ascii="Arial" w:cs="Arial" w:eastAsia="Arial" w:hAnsi="Arial"/>
                <w:sz w:val="11"/>
                <w:szCs w:val="11"/>
                <w:color w:val="auto"/>
              </w:rPr>
              <w:t>Reclassification of division equity to additional paid-in capital on January 26, 2007</w:t>
            </w:r>
          </w:p>
        </w:tc>
        <w:tc>
          <w:tcPr>
            <w:tcW w:w="8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300"/>
              <w:spacing w:after="0" w:line="111"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300"/>
              <w:spacing w:after="0" w:line="111"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300"/>
              <w:spacing w:after="0" w:line="111" w:lineRule="exact"/>
              <w:rPr>
                <w:sz w:val="20"/>
                <w:szCs w:val="20"/>
                <w:color w:val="auto"/>
              </w:rPr>
            </w:pPr>
            <w:r>
              <w:rPr>
                <w:rFonts w:ascii="Arial" w:cs="Arial" w:eastAsia="Arial" w:hAnsi="Arial"/>
                <w:sz w:val="11"/>
                <w:szCs w:val="11"/>
                <w:color w:val="auto"/>
              </w:rPr>
              <w:t>242.2</w:t>
            </w:r>
          </w:p>
        </w:tc>
        <w:tc>
          <w:tcPr>
            <w:tcW w:w="6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260"/>
              <w:spacing w:after="0" w:line="111" w:lineRule="exact"/>
              <w:rPr>
                <w:sz w:val="20"/>
                <w:szCs w:val="20"/>
                <w:color w:val="auto"/>
              </w:rPr>
            </w:pPr>
            <w:r>
              <w:rPr>
                <w:rFonts w:ascii="Arial" w:cs="Arial" w:eastAsia="Arial" w:hAnsi="Arial"/>
                <w:sz w:val="11"/>
                <w:szCs w:val="11"/>
                <w:color w:val="auto"/>
              </w:rPr>
              <w:t>(242.2)</w:t>
            </w:r>
          </w:p>
        </w:tc>
        <w:tc>
          <w:tcPr>
            <w:tcW w:w="80" w:type="dxa"/>
            <w:vAlign w:val="bottom"/>
            <w:shd w:val="clear" w:color="auto" w:fill="CCEEFF"/>
          </w:tcPr>
          <w:p>
            <w:pPr>
              <w:spacing w:after="0"/>
              <w:rPr>
                <w:sz w:val="9"/>
                <w:szCs w:val="9"/>
                <w:color w:val="auto"/>
              </w:rPr>
            </w:pPr>
          </w:p>
        </w:tc>
        <w:tc>
          <w:tcPr>
            <w:tcW w:w="940" w:type="dxa"/>
            <w:vAlign w:val="bottom"/>
            <w:gridSpan w:val="2"/>
            <w:shd w:val="clear" w:color="auto" w:fill="CCEEFF"/>
          </w:tcPr>
          <w:p>
            <w:pPr>
              <w:jc w:val="right"/>
              <w:ind w:right="300"/>
              <w:spacing w:after="0" w:line="111"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1060" w:type="dxa"/>
            <w:vAlign w:val="bottom"/>
            <w:gridSpan w:val="2"/>
            <w:shd w:val="clear" w:color="auto" w:fill="CCEEFF"/>
          </w:tcPr>
          <w:p>
            <w:pPr>
              <w:jc w:val="right"/>
              <w:ind w:right="280"/>
              <w:spacing w:after="0" w:line="111"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780" w:type="dxa"/>
            <w:vAlign w:val="bottom"/>
            <w:gridSpan w:val="2"/>
            <w:shd w:val="clear" w:color="auto" w:fill="CCEEFF"/>
          </w:tcPr>
          <w:p>
            <w:pPr>
              <w:jc w:val="right"/>
              <w:ind w:right="80"/>
              <w:spacing w:after="0" w:line="111"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1"/>
        </w:trPr>
        <w:tc>
          <w:tcPr>
            <w:tcW w:w="4000" w:type="dxa"/>
            <w:vAlign w:val="bottom"/>
          </w:tcPr>
          <w:p>
            <w:pPr>
              <w:spacing w:after="0" w:line="111" w:lineRule="exact"/>
              <w:rPr>
                <w:sz w:val="20"/>
                <w:szCs w:val="20"/>
                <w:color w:val="auto"/>
              </w:rPr>
            </w:pPr>
            <w:r>
              <w:rPr>
                <w:rFonts w:ascii="Arial" w:cs="Arial" w:eastAsia="Arial" w:hAnsi="Arial"/>
                <w:sz w:val="11"/>
                <w:szCs w:val="11"/>
                <w:color w:val="auto"/>
              </w:rPr>
              <w:t>Issuance of Class B Common Stock to Harris Corporation (32,913,377 shares)</w:t>
            </w:r>
          </w:p>
        </w:tc>
        <w:tc>
          <w:tcPr>
            <w:tcW w:w="80" w:type="dxa"/>
            <w:vAlign w:val="bottom"/>
          </w:tcPr>
          <w:p>
            <w:pPr>
              <w:spacing w:after="0"/>
              <w:rPr>
                <w:sz w:val="9"/>
                <w:szCs w:val="9"/>
                <w:color w:val="auto"/>
              </w:rPr>
            </w:pPr>
          </w:p>
        </w:tc>
        <w:tc>
          <w:tcPr>
            <w:tcW w:w="640" w:type="dxa"/>
            <w:vAlign w:val="bottom"/>
            <w:gridSpan w:val="2"/>
          </w:tcPr>
          <w:p>
            <w:pPr>
              <w:jc w:val="right"/>
              <w:ind w:right="300"/>
              <w:spacing w:after="0" w:line="111"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640" w:type="dxa"/>
            <w:vAlign w:val="bottom"/>
            <w:gridSpan w:val="2"/>
          </w:tcPr>
          <w:p>
            <w:pPr>
              <w:jc w:val="right"/>
              <w:ind w:right="300"/>
              <w:spacing w:after="0" w:line="111" w:lineRule="exact"/>
              <w:rPr>
                <w:sz w:val="20"/>
                <w:szCs w:val="20"/>
                <w:color w:val="auto"/>
              </w:rPr>
            </w:pPr>
            <w:r>
              <w:rPr>
                <w:rFonts w:ascii="Arial" w:cs="Arial" w:eastAsia="Arial" w:hAnsi="Arial"/>
                <w:sz w:val="11"/>
                <w:szCs w:val="11"/>
                <w:color w:val="auto"/>
              </w:rPr>
              <w:t>0.3</w:t>
            </w:r>
          </w:p>
        </w:tc>
        <w:tc>
          <w:tcPr>
            <w:tcW w:w="80" w:type="dxa"/>
            <w:vAlign w:val="bottom"/>
          </w:tcPr>
          <w:p>
            <w:pPr>
              <w:spacing w:after="0"/>
              <w:rPr>
                <w:sz w:val="9"/>
                <w:szCs w:val="9"/>
                <w:color w:val="auto"/>
              </w:rPr>
            </w:pPr>
          </w:p>
        </w:tc>
        <w:tc>
          <w:tcPr>
            <w:tcW w:w="720" w:type="dxa"/>
            <w:vAlign w:val="bottom"/>
            <w:gridSpan w:val="2"/>
          </w:tcPr>
          <w:p>
            <w:pPr>
              <w:jc w:val="right"/>
              <w:ind w:right="300"/>
              <w:spacing w:after="0" w:line="111" w:lineRule="exact"/>
              <w:rPr>
                <w:sz w:val="20"/>
                <w:szCs w:val="20"/>
                <w:color w:val="auto"/>
              </w:rPr>
            </w:pPr>
            <w:r>
              <w:rPr>
                <w:rFonts w:ascii="Arial" w:cs="Arial" w:eastAsia="Arial" w:hAnsi="Arial"/>
                <w:sz w:val="11"/>
                <w:szCs w:val="11"/>
                <w:color w:val="auto"/>
              </w:rPr>
              <w:t>26.6</w:t>
            </w:r>
          </w:p>
        </w:tc>
        <w:tc>
          <w:tcPr>
            <w:tcW w:w="60" w:type="dxa"/>
            <w:vAlign w:val="bottom"/>
          </w:tcPr>
          <w:p>
            <w:pPr>
              <w:spacing w:after="0"/>
              <w:rPr>
                <w:sz w:val="9"/>
                <w:szCs w:val="9"/>
                <w:color w:val="auto"/>
              </w:rPr>
            </w:pPr>
          </w:p>
        </w:tc>
        <w:tc>
          <w:tcPr>
            <w:tcW w:w="640" w:type="dxa"/>
            <w:vAlign w:val="bottom"/>
            <w:gridSpan w:val="2"/>
          </w:tcPr>
          <w:p>
            <w:pPr>
              <w:jc w:val="right"/>
              <w:ind w:right="300"/>
              <w:spacing w:after="0" w:line="111"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940" w:type="dxa"/>
            <w:vAlign w:val="bottom"/>
            <w:gridSpan w:val="2"/>
          </w:tcPr>
          <w:p>
            <w:pPr>
              <w:jc w:val="right"/>
              <w:ind w:right="300"/>
              <w:spacing w:after="0" w:line="111"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1060" w:type="dxa"/>
            <w:vAlign w:val="bottom"/>
            <w:gridSpan w:val="2"/>
          </w:tcPr>
          <w:p>
            <w:pPr>
              <w:jc w:val="right"/>
              <w:ind w:right="280"/>
              <w:spacing w:after="0" w:line="111"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780" w:type="dxa"/>
            <w:vAlign w:val="bottom"/>
            <w:gridSpan w:val="2"/>
          </w:tcPr>
          <w:p>
            <w:pPr>
              <w:jc w:val="right"/>
              <w:ind w:right="80"/>
              <w:spacing w:after="0" w:line="111" w:lineRule="exact"/>
              <w:rPr>
                <w:sz w:val="20"/>
                <w:szCs w:val="20"/>
                <w:color w:val="auto"/>
              </w:rPr>
            </w:pPr>
            <w:r>
              <w:rPr>
                <w:rFonts w:ascii="Arial" w:cs="Arial" w:eastAsia="Arial" w:hAnsi="Arial"/>
                <w:sz w:val="11"/>
                <w:szCs w:val="11"/>
                <w:color w:val="auto"/>
              </w:rPr>
              <w:t>26.9</w:t>
            </w:r>
          </w:p>
        </w:tc>
        <w:tc>
          <w:tcPr>
            <w:tcW w:w="0" w:type="dxa"/>
            <w:vAlign w:val="bottom"/>
          </w:tcPr>
          <w:p>
            <w:pPr>
              <w:spacing w:after="0"/>
              <w:rPr>
                <w:sz w:val="1"/>
                <w:szCs w:val="1"/>
                <w:color w:val="auto"/>
              </w:rPr>
            </w:pPr>
          </w:p>
        </w:tc>
      </w:tr>
      <w:tr>
        <w:trPr>
          <w:trHeight w:val="111"/>
        </w:trPr>
        <w:tc>
          <w:tcPr>
            <w:tcW w:w="4000" w:type="dxa"/>
            <w:vAlign w:val="bottom"/>
            <w:shd w:val="clear" w:color="auto" w:fill="CCEEFF"/>
          </w:tcPr>
          <w:p>
            <w:pPr>
              <w:spacing w:after="0" w:line="111" w:lineRule="exact"/>
              <w:rPr>
                <w:sz w:val="20"/>
                <w:szCs w:val="20"/>
                <w:color w:val="auto"/>
              </w:rPr>
            </w:pPr>
            <w:r>
              <w:rPr>
                <w:rFonts w:ascii="Arial" w:cs="Arial" w:eastAsia="Arial" w:hAnsi="Arial"/>
                <w:sz w:val="11"/>
                <w:szCs w:val="11"/>
                <w:color w:val="auto"/>
                <w:w w:val="92"/>
              </w:rPr>
              <w:t>Issuance of Class A Common Stock to former Stratex shareholders (24,782,153 shares)</w:t>
            </w:r>
          </w:p>
        </w:tc>
        <w:tc>
          <w:tcPr>
            <w:tcW w:w="8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300"/>
              <w:spacing w:after="0" w:line="111" w:lineRule="exact"/>
              <w:rPr>
                <w:sz w:val="20"/>
                <w:szCs w:val="20"/>
                <w:color w:val="auto"/>
              </w:rPr>
            </w:pPr>
            <w:r>
              <w:rPr>
                <w:rFonts w:ascii="Arial" w:cs="Arial" w:eastAsia="Arial" w:hAnsi="Arial"/>
                <w:sz w:val="11"/>
                <w:szCs w:val="11"/>
                <w:color w:val="auto"/>
              </w:rPr>
              <w:t>0.3</w:t>
            </w:r>
          </w:p>
        </w:tc>
        <w:tc>
          <w:tcPr>
            <w:tcW w:w="6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300"/>
              <w:spacing w:after="0" w:line="111"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300"/>
              <w:spacing w:after="0" w:line="111" w:lineRule="exact"/>
              <w:rPr>
                <w:sz w:val="20"/>
                <w:szCs w:val="20"/>
                <w:color w:val="auto"/>
              </w:rPr>
            </w:pPr>
            <w:r>
              <w:rPr>
                <w:rFonts w:ascii="Arial" w:cs="Arial" w:eastAsia="Arial" w:hAnsi="Arial"/>
                <w:sz w:val="11"/>
                <w:szCs w:val="11"/>
                <w:color w:val="auto"/>
              </w:rPr>
              <w:t>477.3</w:t>
            </w:r>
          </w:p>
        </w:tc>
        <w:tc>
          <w:tcPr>
            <w:tcW w:w="6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300"/>
              <w:spacing w:after="0" w:line="111"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940" w:type="dxa"/>
            <w:vAlign w:val="bottom"/>
            <w:gridSpan w:val="2"/>
            <w:shd w:val="clear" w:color="auto" w:fill="CCEEFF"/>
          </w:tcPr>
          <w:p>
            <w:pPr>
              <w:jc w:val="right"/>
              <w:ind w:right="300"/>
              <w:spacing w:after="0" w:line="111"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1060" w:type="dxa"/>
            <w:vAlign w:val="bottom"/>
            <w:gridSpan w:val="2"/>
            <w:shd w:val="clear" w:color="auto" w:fill="CCEEFF"/>
          </w:tcPr>
          <w:p>
            <w:pPr>
              <w:jc w:val="right"/>
              <w:ind w:right="280"/>
              <w:spacing w:after="0" w:line="111"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780" w:type="dxa"/>
            <w:vAlign w:val="bottom"/>
            <w:gridSpan w:val="2"/>
            <w:shd w:val="clear" w:color="auto" w:fill="CCEEFF"/>
          </w:tcPr>
          <w:p>
            <w:pPr>
              <w:jc w:val="right"/>
              <w:ind w:right="80"/>
              <w:spacing w:after="0" w:line="111" w:lineRule="exact"/>
              <w:rPr>
                <w:sz w:val="20"/>
                <w:szCs w:val="20"/>
                <w:color w:val="auto"/>
              </w:rPr>
            </w:pPr>
            <w:r>
              <w:rPr>
                <w:rFonts w:ascii="Arial" w:cs="Arial" w:eastAsia="Arial" w:hAnsi="Arial"/>
                <w:sz w:val="11"/>
                <w:szCs w:val="11"/>
                <w:color w:val="auto"/>
              </w:rPr>
              <w:t>477.6</w:t>
            </w:r>
          </w:p>
        </w:tc>
        <w:tc>
          <w:tcPr>
            <w:tcW w:w="0" w:type="dxa"/>
            <w:vAlign w:val="bottom"/>
          </w:tcPr>
          <w:p>
            <w:pPr>
              <w:spacing w:after="0"/>
              <w:rPr>
                <w:sz w:val="1"/>
                <w:szCs w:val="1"/>
                <w:color w:val="auto"/>
              </w:rPr>
            </w:pPr>
          </w:p>
        </w:tc>
      </w:tr>
      <w:tr>
        <w:trPr>
          <w:trHeight w:val="111"/>
        </w:trPr>
        <w:tc>
          <w:tcPr>
            <w:tcW w:w="4000" w:type="dxa"/>
            <w:vAlign w:val="bottom"/>
          </w:tcPr>
          <w:p>
            <w:pPr>
              <w:spacing w:after="0" w:line="111" w:lineRule="exact"/>
              <w:rPr>
                <w:sz w:val="20"/>
                <w:szCs w:val="20"/>
                <w:color w:val="auto"/>
              </w:rPr>
            </w:pPr>
            <w:r>
              <w:rPr>
                <w:rFonts w:ascii="Arial" w:cs="Arial" w:eastAsia="Arial" w:hAnsi="Arial"/>
                <w:sz w:val="11"/>
                <w:szCs w:val="11"/>
                <w:color w:val="auto"/>
              </w:rPr>
              <w:t>Vested Stratex equity awards</w:t>
            </w:r>
          </w:p>
        </w:tc>
        <w:tc>
          <w:tcPr>
            <w:tcW w:w="80" w:type="dxa"/>
            <w:vAlign w:val="bottom"/>
          </w:tcPr>
          <w:p>
            <w:pPr>
              <w:spacing w:after="0"/>
              <w:rPr>
                <w:sz w:val="9"/>
                <w:szCs w:val="9"/>
                <w:color w:val="auto"/>
              </w:rPr>
            </w:pPr>
          </w:p>
        </w:tc>
        <w:tc>
          <w:tcPr>
            <w:tcW w:w="640" w:type="dxa"/>
            <w:vAlign w:val="bottom"/>
            <w:gridSpan w:val="2"/>
          </w:tcPr>
          <w:p>
            <w:pPr>
              <w:jc w:val="right"/>
              <w:ind w:right="300"/>
              <w:spacing w:after="0" w:line="111"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640" w:type="dxa"/>
            <w:vAlign w:val="bottom"/>
            <w:gridSpan w:val="2"/>
          </w:tcPr>
          <w:p>
            <w:pPr>
              <w:jc w:val="right"/>
              <w:ind w:right="300"/>
              <w:spacing w:after="0" w:line="111"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720" w:type="dxa"/>
            <w:vAlign w:val="bottom"/>
            <w:gridSpan w:val="2"/>
          </w:tcPr>
          <w:p>
            <w:pPr>
              <w:jc w:val="right"/>
              <w:ind w:right="300"/>
              <w:spacing w:after="0" w:line="111" w:lineRule="exact"/>
              <w:rPr>
                <w:sz w:val="20"/>
                <w:szCs w:val="20"/>
                <w:color w:val="auto"/>
              </w:rPr>
            </w:pPr>
            <w:r>
              <w:rPr>
                <w:rFonts w:ascii="Arial" w:cs="Arial" w:eastAsia="Arial" w:hAnsi="Arial"/>
                <w:sz w:val="11"/>
                <w:szCs w:val="11"/>
                <w:color w:val="auto"/>
              </w:rPr>
              <w:t>15.5</w:t>
            </w:r>
          </w:p>
        </w:tc>
        <w:tc>
          <w:tcPr>
            <w:tcW w:w="60" w:type="dxa"/>
            <w:vAlign w:val="bottom"/>
          </w:tcPr>
          <w:p>
            <w:pPr>
              <w:spacing w:after="0"/>
              <w:rPr>
                <w:sz w:val="9"/>
                <w:szCs w:val="9"/>
                <w:color w:val="auto"/>
              </w:rPr>
            </w:pPr>
          </w:p>
        </w:tc>
        <w:tc>
          <w:tcPr>
            <w:tcW w:w="640" w:type="dxa"/>
            <w:vAlign w:val="bottom"/>
            <w:gridSpan w:val="2"/>
          </w:tcPr>
          <w:p>
            <w:pPr>
              <w:jc w:val="right"/>
              <w:ind w:right="300"/>
              <w:spacing w:after="0" w:line="111"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940" w:type="dxa"/>
            <w:vAlign w:val="bottom"/>
            <w:gridSpan w:val="2"/>
          </w:tcPr>
          <w:p>
            <w:pPr>
              <w:jc w:val="right"/>
              <w:ind w:right="300"/>
              <w:spacing w:after="0" w:line="111"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1060" w:type="dxa"/>
            <w:vAlign w:val="bottom"/>
            <w:gridSpan w:val="2"/>
          </w:tcPr>
          <w:p>
            <w:pPr>
              <w:jc w:val="right"/>
              <w:ind w:right="280"/>
              <w:spacing w:after="0" w:line="111"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780" w:type="dxa"/>
            <w:vAlign w:val="bottom"/>
            <w:gridSpan w:val="2"/>
          </w:tcPr>
          <w:p>
            <w:pPr>
              <w:jc w:val="right"/>
              <w:ind w:right="80"/>
              <w:spacing w:after="0" w:line="111" w:lineRule="exact"/>
              <w:rPr>
                <w:sz w:val="20"/>
                <w:szCs w:val="20"/>
                <w:color w:val="auto"/>
              </w:rPr>
            </w:pPr>
            <w:r>
              <w:rPr>
                <w:rFonts w:ascii="Arial" w:cs="Arial" w:eastAsia="Arial" w:hAnsi="Arial"/>
                <w:sz w:val="11"/>
                <w:szCs w:val="11"/>
                <w:color w:val="auto"/>
              </w:rPr>
              <w:t>15.5</w:t>
            </w:r>
          </w:p>
        </w:tc>
        <w:tc>
          <w:tcPr>
            <w:tcW w:w="0" w:type="dxa"/>
            <w:vAlign w:val="bottom"/>
          </w:tcPr>
          <w:p>
            <w:pPr>
              <w:spacing w:after="0"/>
              <w:rPr>
                <w:sz w:val="1"/>
                <w:szCs w:val="1"/>
                <w:color w:val="auto"/>
              </w:rPr>
            </w:pPr>
          </w:p>
        </w:tc>
      </w:tr>
      <w:tr>
        <w:trPr>
          <w:trHeight w:val="111"/>
        </w:trPr>
        <w:tc>
          <w:tcPr>
            <w:tcW w:w="4000" w:type="dxa"/>
            <w:vAlign w:val="bottom"/>
            <w:shd w:val="clear" w:color="auto" w:fill="CCEEFF"/>
          </w:tcPr>
          <w:p>
            <w:pPr>
              <w:spacing w:after="0" w:line="111" w:lineRule="exact"/>
              <w:rPr>
                <w:sz w:val="20"/>
                <w:szCs w:val="20"/>
                <w:color w:val="auto"/>
              </w:rPr>
            </w:pPr>
            <w:r>
              <w:rPr>
                <w:rFonts w:ascii="Arial" w:cs="Arial" w:eastAsia="Arial" w:hAnsi="Arial"/>
                <w:sz w:val="11"/>
                <w:szCs w:val="11"/>
                <w:color w:val="auto"/>
              </w:rPr>
              <w:t>Employee stock option exercises, net of tax (324,181 shares)</w:t>
            </w:r>
          </w:p>
        </w:tc>
        <w:tc>
          <w:tcPr>
            <w:tcW w:w="8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300"/>
              <w:spacing w:after="0" w:line="111"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300"/>
              <w:spacing w:after="0" w:line="111"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300"/>
              <w:spacing w:after="0" w:line="111" w:lineRule="exact"/>
              <w:rPr>
                <w:sz w:val="20"/>
                <w:szCs w:val="20"/>
                <w:color w:val="auto"/>
              </w:rPr>
            </w:pPr>
            <w:r>
              <w:rPr>
                <w:rFonts w:ascii="Arial" w:cs="Arial" w:eastAsia="Arial" w:hAnsi="Arial"/>
                <w:sz w:val="11"/>
                <w:szCs w:val="11"/>
                <w:color w:val="auto"/>
              </w:rPr>
              <w:t>3.1</w:t>
            </w:r>
          </w:p>
        </w:tc>
        <w:tc>
          <w:tcPr>
            <w:tcW w:w="6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300"/>
              <w:spacing w:after="0" w:line="111"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940" w:type="dxa"/>
            <w:vAlign w:val="bottom"/>
            <w:gridSpan w:val="2"/>
            <w:shd w:val="clear" w:color="auto" w:fill="CCEEFF"/>
          </w:tcPr>
          <w:p>
            <w:pPr>
              <w:jc w:val="right"/>
              <w:ind w:right="300"/>
              <w:spacing w:after="0" w:line="111"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1060" w:type="dxa"/>
            <w:vAlign w:val="bottom"/>
            <w:gridSpan w:val="2"/>
            <w:shd w:val="clear" w:color="auto" w:fill="CCEEFF"/>
          </w:tcPr>
          <w:p>
            <w:pPr>
              <w:jc w:val="right"/>
              <w:ind w:right="280"/>
              <w:spacing w:after="0" w:line="111"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780" w:type="dxa"/>
            <w:vAlign w:val="bottom"/>
            <w:gridSpan w:val="2"/>
            <w:shd w:val="clear" w:color="auto" w:fill="CCEEFF"/>
          </w:tcPr>
          <w:p>
            <w:pPr>
              <w:jc w:val="right"/>
              <w:ind w:right="80"/>
              <w:spacing w:after="0" w:line="111" w:lineRule="exact"/>
              <w:rPr>
                <w:sz w:val="20"/>
                <w:szCs w:val="20"/>
                <w:color w:val="auto"/>
              </w:rPr>
            </w:pPr>
            <w:r>
              <w:rPr>
                <w:rFonts w:ascii="Arial" w:cs="Arial" w:eastAsia="Arial" w:hAnsi="Arial"/>
                <w:sz w:val="11"/>
                <w:szCs w:val="11"/>
                <w:color w:val="auto"/>
              </w:rPr>
              <w:t>3.1</w:t>
            </w:r>
          </w:p>
        </w:tc>
        <w:tc>
          <w:tcPr>
            <w:tcW w:w="0" w:type="dxa"/>
            <w:vAlign w:val="bottom"/>
          </w:tcPr>
          <w:p>
            <w:pPr>
              <w:spacing w:after="0"/>
              <w:rPr>
                <w:sz w:val="1"/>
                <w:szCs w:val="1"/>
                <w:color w:val="auto"/>
              </w:rPr>
            </w:pPr>
          </w:p>
        </w:tc>
      </w:tr>
      <w:tr>
        <w:trPr>
          <w:trHeight w:val="111"/>
        </w:trPr>
        <w:tc>
          <w:tcPr>
            <w:tcW w:w="4000" w:type="dxa"/>
            <w:vAlign w:val="bottom"/>
          </w:tcPr>
          <w:p>
            <w:pPr>
              <w:spacing w:after="0" w:line="111" w:lineRule="exact"/>
              <w:rPr>
                <w:sz w:val="20"/>
                <w:szCs w:val="20"/>
                <w:color w:val="auto"/>
              </w:rPr>
            </w:pPr>
            <w:r>
              <w:rPr>
                <w:rFonts w:ascii="Arial" w:cs="Arial" w:eastAsia="Arial" w:hAnsi="Arial"/>
                <w:sz w:val="11"/>
                <w:szCs w:val="11"/>
                <w:color w:val="auto"/>
              </w:rPr>
              <w:t>Stock option tax benefits</w:t>
            </w:r>
          </w:p>
        </w:tc>
        <w:tc>
          <w:tcPr>
            <w:tcW w:w="80" w:type="dxa"/>
            <w:vAlign w:val="bottom"/>
          </w:tcPr>
          <w:p>
            <w:pPr>
              <w:spacing w:after="0"/>
              <w:rPr>
                <w:sz w:val="9"/>
                <w:szCs w:val="9"/>
                <w:color w:val="auto"/>
              </w:rPr>
            </w:pPr>
          </w:p>
        </w:tc>
        <w:tc>
          <w:tcPr>
            <w:tcW w:w="640" w:type="dxa"/>
            <w:vAlign w:val="bottom"/>
            <w:gridSpan w:val="2"/>
          </w:tcPr>
          <w:p>
            <w:pPr>
              <w:jc w:val="right"/>
              <w:ind w:right="300"/>
              <w:spacing w:after="0" w:line="111"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640" w:type="dxa"/>
            <w:vAlign w:val="bottom"/>
            <w:gridSpan w:val="2"/>
          </w:tcPr>
          <w:p>
            <w:pPr>
              <w:jc w:val="right"/>
              <w:ind w:right="300"/>
              <w:spacing w:after="0" w:line="111"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720" w:type="dxa"/>
            <w:vAlign w:val="bottom"/>
            <w:gridSpan w:val="2"/>
          </w:tcPr>
          <w:p>
            <w:pPr>
              <w:jc w:val="right"/>
              <w:ind w:right="300"/>
              <w:spacing w:after="0" w:line="111" w:lineRule="exact"/>
              <w:rPr>
                <w:sz w:val="20"/>
                <w:szCs w:val="20"/>
                <w:color w:val="auto"/>
              </w:rPr>
            </w:pPr>
            <w:r>
              <w:rPr>
                <w:rFonts w:ascii="Arial" w:cs="Arial" w:eastAsia="Arial" w:hAnsi="Arial"/>
                <w:sz w:val="11"/>
                <w:szCs w:val="11"/>
                <w:color w:val="auto"/>
              </w:rPr>
              <w:t>0.3</w:t>
            </w:r>
          </w:p>
        </w:tc>
        <w:tc>
          <w:tcPr>
            <w:tcW w:w="60" w:type="dxa"/>
            <w:vAlign w:val="bottom"/>
          </w:tcPr>
          <w:p>
            <w:pPr>
              <w:spacing w:after="0"/>
              <w:rPr>
                <w:sz w:val="9"/>
                <w:szCs w:val="9"/>
                <w:color w:val="auto"/>
              </w:rPr>
            </w:pPr>
          </w:p>
        </w:tc>
        <w:tc>
          <w:tcPr>
            <w:tcW w:w="640" w:type="dxa"/>
            <w:vAlign w:val="bottom"/>
            <w:gridSpan w:val="2"/>
          </w:tcPr>
          <w:p>
            <w:pPr>
              <w:jc w:val="right"/>
              <w:ind w:right="300"/>
              <w:spacing w:after="0" w:line="111"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940" w:type="dxa"/>
            <w:vAlign w:val="bottom"/>
            <w:gridSpan w:val="2"/>
          </w:tcPr>
          <w:p>
            <w:pPr>
              <w:jc w:val="right"/>
              <w:ind w:right="300"/>
              <w:spacing w:after="0" w:line="111"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1060" w:type="dxa"/>
            <w:vAlign w:val="bottom"/>
            <w:gridSpan w:val="2"/>
          </w:tcPr>
          <w:p>
            <w:pPr>
              <w:jc w:val="right"/>
              <w:ind w:right="280"/>
              <w:spacing w:after="0" w:line="111"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780" w:type="dxa"/>
            <w:vAlign w:val="bottom"/>
            <w:gridSpan w:val="2"/>
          </w:tcPr>
          <w:p>
            <w:pPr>
              <w:jc w:val="right"/>
              <w:ind w:right="80"/>
              <w:spacing w:after="0" w:line="111" w:lineRule="exact"/>
              <w:rPr>
                <w:sz w:val="20"/>
                <w:szCs w:val="20"/>
                <w:color w:val="auto"/>
              </w:rPr>
            </w:pPr>
            <w:r>
              <w:rPr>
                <w:rFonts w:ascii="Arial" w:cs="Arial" w:eastAsia="Arial" w:hAnsi="Arial"/>
                <w:sz w:val="11"/>
                <w:szCs w:val="11"/>
                <w:color w:val="auto"/>
              </w:rPr>
              <w:t>0.3</w:t>
            </w:r>
          </w:p>
        </w:tc>
        <w:tc>
          <w:tcPr>
            <w:tcW w:w="0" w:type="dxa"/>
            <w:vAlign w:val="bottom"/>
          </w:tcPr>
          <w:p>
            <w:pPr>
              <w:spacing w:after="0"/>
              <w:rPr>
                <w:sz w:val="1"/>
                <w:szCs w:val="1"/>
                <w:color w:val="auto"/>
              </w:rPr>
            </w:pPr>
          </w:p>
        </w:tc>
      </w:tr>
      <w:tr>
        <w:trPr>
          <w:trHeight w:val="111"/>
        </w:trPr>
        <w:tc>
          <w:tcPr>
            <w:tcW w:w="4000" w:type="dxa"/>
            <w:vAlign w:val="bottom"/>
            <w:shd w:val="clear" w:color="auto" w:fill="CCEEFF"/>
          </w:tcPr>
          <w:p>
            <w:pPr>
              <w:spacing w:after="0" w:line="111" w:lineRule="exact"/>
              <w:rPr>
                <w:sz w:val="20"/>
                <w:szCs w:val="20"/>
                <w:color w:val="auto"/>
              </w:rPr>
            </w:pPr>
            <w:r>
              <w:rPr>
                <w:rFonts w:ascii="Arial" w:cs="Arial" w:eastAsia="Arial" w:hAnsi="Arial"/>
                <w:sz w:val="11"/>
                <w:szCs w:val="11"/>
                <w:color w:val="auto"/>
              </w:rPr>
              <w:t>Exercise of warrants</w:t>
            </w:r>
          </w:p>
        </w:tc>
        <w:tc>
          <w:tcPr>
            <w:tcW w:w="8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300"/>
              <w:spacing w:after="0" w:line="111"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300"/>
              <w:spacing w:after="0" w:line="111"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300"/>
              <w:spacing w:after="0" w:line="111" w:lineRule="exact"/>
              <w:rPr>
                <w:sz w:val="20"/>
                <w:szCs w:val="20"/>
                <w:color w:val="auto"/>
              </w:rPr>
            </w:pPr>
            <w:r>
              <w:rPr>
                <w:rFonts w:ascii="Arial" w:cs="Arial" w:eastAsia="Arial" w:hAnsi="Arial"/>
                <w:sz w:val="11"/>
                <w:szCs w:val="11"/>
                <w:color w:val="auto"/>
              </w:rPr>
              <w:t>0.2</w:t>
            </w:r>
          </w:p>
        </w:tc>
        <w:tc>
          <w:tcPr>
            <w:tcW w:w="6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300"/>
              <w:spacing w:after="0" w:line="111"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940" w:type="dxa"/>
            <w:vAlign w:val="bottom"/>
            <w:gridSpan w:val="2"/>
            <w:shd w:val="clear" w:color="auto" w:fill="CCEEFF"/>
          </w:tcPr>
          <w:p>
            <w:pPr>
              <w:jc w:val="right"/>
              <w:ind w:right="300"/>
              <w:spacing w:after="0" w:line="111"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1060" w:type="dxa"/>
            <w:vAlign w:val="bottom"/>
            <w:gridSpan w:val="2"/>
            <w:shd w:val="clear" w:color="auto" w:fill="CCEEFF"/>
          </w:tcPr>
          <w:p>
            <w:pPr>
              <w:jc w:val="right"/>
              <w:ind w:right="280"/>
              <w:spacing w:after="0" w:line="111"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780" w:type="dxa"/>
            <w:vAlign w:val="bottom"/>
            <w:gridSpan w:val="2"/>
            <w:shd w:val="clear" w:color="auto" w:fill="CCEEFF"/>
          </w:tcPr>
          <w:p>
            <w:pPr>
              <w:jc w:val="right"/>
              <w:ind w:right="80"/>
              <w:spacing w:after="0" w:line="111" w:lineRule="exact"/>
              <w:rPr>
                <w:sz w:val="20"/>
                <w:szCs w:val="20"/>
                <w:color w:val="auto"/>
              </w:rPr>
            </w:pPr>
            <w:r>
              <w:rPr>
                <w:rFonts w:ascii="Arial" w:cs="Arial" w:eastAsia="Arial" w:hAnsi="Arial"/>
                <w:sz w:val="11"/>
                <w:szCs w:val="11"/>
                <w:color w:val="auto"/>
              </w:rPr>
              <w:t>0.2</w:t>
            </w:r>
          </w:p>
        </w:tc>
        <w:tc>
          <w:tcPr>
            <w:tcW w:w="0" w:type="dxa"/>
            <w:vAlign w:val="bottom"/>
          </w:tcPr>
          <w:p>
            <w:pPr>
              <w:spacing w:after="0"/>
              <w:rPr>
                <w:sz w:val="1"/>
                <w:szCs w:val="1"/>
                <w:color w:val="auto"/>
              </w:rPr>
            </w:pPr>
          </w:p>
        </w:tc>
      </w:tr>
      <w:tr>
        <w:trPr>
          <w:trHeight w:val="111"/>
        </w:trPr>
        <w:tc>
          <w:tcPr>
            <w:tcW w:w="4000" w:type="dxa"/>
            <w:vAlign w:val="bottom"/>
          </w:tcPr>
          <w:p>
            <w:pPr>
              <w:spacing w:after="0" w:line="111" w:lineRule="exact"/>
              <w:rPr>
                <w:sz w:val="20"/>
                <w:szCs w:val="20"/>
                <w:color w:val="auto"/>
              </w:rPr>
            </w:pPr>
            <w:r>
              <w:rPr>
                <w:rFonts w:ascii="Arial" w:cs="Arial" w:eastAsia="Arial" w:hAnsi="Arial"/>
                <w:sz w:val="11"/>
                <w:szCs w:val="11"/>
                <w:color w:val="auto"/>
              </w:rPr>
              <w:t>Compensatory stock awards (294,522 shares)</w:t>
            </w:r>
          </w:p>
        </w:tc>
        <w:tc>
          <w:tcPr>
            <w:tcW w:w="80" w:type="dxa"/>
            <w:vAlign w:val="bottom"/>
          </w:tcPr>
          <w:p>
            <w:pPr>
              <w:spacing w:after="0"/>
              <w:rPr>
                <w:sz w:val="9"/>
                <w:szCs w:val="9"/>
                <w:color w:val="auto"/>
              </w:rPr>
            </w:pPr>
          </w:p>
        </w:tc>
        <w:tc>
          <w:tcPr>
            <w:tcW w:w="640" w:type="dxa"/>
            <w:vAlign w:val="bottom"/>
            <w:gridSpan w:val="2"/>
          </w:tcPr>
          <w:p>
            <w:pPr>
              <w:jc w:val="right"/>
              <w:ind w:right="300"/>
              <w:spacing w:after="0" w:line="111"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640" w:type="dxa"/>
            <w:vAlign w:val="bottom"/>
            <w:gridSpan w:val="2"/>
          </w:tcPr>
          <w:p>
            <w:pPr>
              <w:jc w:val="right"/>
              <w:ind w:right="300"/>
              <w:spacing w:after="0" w:line="111"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720" w:type="dxa"/>
            <w:vAlign w:val="bottom"/>
            <w:gridSpan w:val="2"/>
          </w:tcPr>
          <w:p>
            <w:pPr>
              <w:jc w:val="right"/>
              <w:ind w:right="300"/>
              <w:spacing w:after="0" w:line="111" w:lineRule="exact"/>
              <w:rPr>
                <w:sz w:val="20"/>
                <w:szCs w:val="20"/>
                <w:color w:val="auto"/>
              </w:rPr>
            </w:pPr>
            <w:r>
              <w:rPr>
                <w:rFonts w:ascii="Arial" w:cs="Arial" w:eastAsia="Arial" w:hAnsi="Arial"/>
                <w:sz w:val="11"/>
                <w:szCs w:val="11"/>
                <w:color w:val="auto"/>
              </w:rPr>
              <w:t>4.8</w:t>
            </w:r>
          </w:p>
        </w:tc>
        <w:tc>
          <w:tcPr>
            <w:tcW w:w="60" w:type="dxa"/>
            <w:vAlign w:val="bottom"/>
          </w:tcPr>
          <w:p>
            <w:pPr>
              <w:spacing w:after="0"/>
              <w:rPr>
                <w:sz w:val="9"/>
                <w:szCs w:val="9"/>
                <w:color w:val="auto"/>
              </w:rPr>
            </w:pPr>
          </w:p>
        </w:tc>
        <w:tc>
          <w:tcPr>
            <w:tcW w:w="640" w:type="dxa"/>
            <w:vAlign w:val="bottom"/>
            <w:gridSpan w:val="2"/>
          </w:tcPr>
          <w:p>
            <w:pPr>
              <w:jc w:val="right"/>
              <w:ind w:right="300"/>
              <w:spacing w:after="0" w:line="111"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940" w:type="dxa"/>
            <w:vAlign w:val="bottom"/>
            <w:gridSpan w:val="2"/>
          </w:tcPr>
          <w:p>
            <w:pPr>
              <w:jc w:val="right"/>
              <w:ind w:right="300"/>
              <w:spacing w:after="0" w:line="111"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1060" w:type="dxa"/>
            <w:vAlign w:val="bottom"/>
            <w:gridSpan w:val="2"/>
          </w:tcPr>
          <w:p>
            <w:pPr>
              <w:jc w:val="right"/>
              <w:ind w:right="280"/>
              <w:spacing w:after="0" w:line="111"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780" w:type="dxa"/>
            <w:vAlign w:val="bottom"/>
            <w:gridSpan w:val="2"/>
          </w:tcPr>
          <w:p>
            <w:pPr>
              <w:jc w:val="right"/>
              <w:ind w:right="80"/>
              <w:spacing w:after="0" w:line="111" w:lineRule="exact"/>
              <w:rPr>
                <w:sz w:val="20"/>
                <w:szCs w:val="20"/>
                <w:color w:val="auto"/>
              </w:rPr>
            </w:pPr>
            <w:r>
              <w:rPr>
                <w:rFonts w:ascii="Arial" w:cs="Arial" w:eastAsia="Arial" w:hAnsi="Arial"/>
                <w:sz w:val="11"/>
                <w:szCs w:val="11"/>
                <w:color w:val="auto"/>
              </w:rPr>
              <w:t>4.8</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4000" w:type="dxa"/>
            <w:vAlign w:val="bottom"/>
            <w:shd w:val="clear" w:color="auto" w:fill="CCEEFF"/>
          </w:tcPr>
          <w:p>
            <w:pPr>
              <w:spacing w:after="0" w:line="111" w:lineRule="exact"/>
              <w:rPr>
                <w:sz w:val="20"/>
                <w:szCs w:val="20"/>
                <w:color w:val="auto"/>
              </w:rPr>
            </w:pPr>
            <w:r>
              <w:rPr>
                <w:rFonts w:ascii="Arial" w:cs="Arial" w:eastAsia="Arial" w:hAnsi="Arial"/>
                <w:sz w:val="11"/>
                <w:szCs w:val="11"/>
                <w:color w:val="auto"/>
              </w:rPr>
              <w:t>Balance as of June 29, 2007</w:t>
            </w:r>
          </w:p>
        </w:tc>
        <w:tc>
          <w:tcPr>
            <w:tcW w:w="8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300"/>
              <w:spacing w:after="0" w:line="111" w:lineRule="exact"/>
              <w:rPr>
                <w:sz w:val="20"/>
                <w:szCs w:val="20"/>
                <w:color w:val="auto"/>
              </w:rPr>
            </w:pPr>
            <w:r>
              <w:rPr>
                <w:rFonts w:ascii="Arial" w:cs="Arial" w:eastAsia="Arial" w:hAnsi="Arial"/>
                <w:sz w:val="11"/>
                <w:szCs w:val="11"/>
                <w:color w:val="auto"/>
              </w:rPr>
              <w:t>0.3</w:t>
            </w:r>
          </w:p>
        </w:tc>
        <w:tc>
          <w:tcPr>
            <w:tcW w:w="6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300"/>
              <w:spacing w:after="0" w:line="111" w:lineRule="exact"/>
              <w:rPr>
                <w:sz w:val="20"/>
                <w:szCs w:val="20"/>
                <w:color w:val="auto"/>
              </w:rPr>
            </w:pPr>
            <w:r>
              <w:rPr>
                <w:rFonts w:ascii="Arial" w:cs="Arial" w:eastAsia="Arial" w:hAnsi="Arial"/>
                <w:sz w:val="11"/>
                <w:szCs w:val="11"/>
                <w:color w:val="auto"/>
              </w:rPr>
              <w:t>0.3</w:t>
            </w:r>
          </w:p>
        </w:tc>
        <w:tc>
          <w:tcPr>
            <w:tcW w:w="8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300"/>
              <w:spacing w:after="0" w:line="111" w:lineRule="exact"/>
              <w:rPr>
                <w:sz w:val="20"/>
                <w:szCs w:val="20"/>
                <w:color w:val="auto"/>
              </w:rPr>
            </w:pPr>
            <w:r>
              <w:rPr>
                <w:rFonts w:ascii="Arial" w:cs="Arial" w:eastAsia="Arial" w:hAnsi="Arial"/>
                <w:sz w:val="11"/>
                <w:szCs w:val="11"/>
                <w:color w:val="auto"/>
              </w:rPr>
              <w:t>770.0</w:t>
            </w:r>
          </w:p>
        </w:tc>
        <w:tc>
          <w:tcPr>
            <w:tcW w:w="6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300"/>
              <w:spacing w:after="0" w:line="111"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940" w:type="dxa"/>
            <w:vAlign w:val="bottom"/>
            <w:gridSpan w:val="2"/>
            <w:shd w:val="clear" w:color="auto" w:fill="CCEEFF"/>
          </w:tcPr>
          <w:p>
            <w:pPr>
              <w:jc w:val="right"/>
              <w:ind w:right="260"/>
              <w:spacing w:after="0" w:line="111" w:lineRule="exact"/>
              <w:rPr>
                <w:sz w:val="20"/>
                <w:szCs w:val="20"/>
                <w:color w:val="auto"/>
              </w:rPr>
            </w:pPr>
            <w:r>
              <w:rPr>
                <w:rFonts w:ascii="Arial" w:cs="Arial" w:eastAsia="Arial" w:hAnsi="Arial"/>
                <w:sz w:val="11"/>
                <w:szCs w:val="11"/>
                <w:color w:val="auto"/>
              </w:rPr>
              <w:t>(24.2)</w:t>
            </w:r>
          </w:p>
        </w:tc>
        <w:tc>
          <w:tcPr>
            <w:tcW w:w="100" w:type="dxa"/>
            <w:vAlign w:val="bottom"/>
            <w:shd w:val="clear" w:color="auto" w:fill="CCEEFF"/>
          </w:tcPr>
          <w:p>
            <w:pPr>
              <w:spacing w:after="0"/>
              <w:rPr>
                <w:sz w:val="9"/>
                <w:szCs w:val="9"/>
                <w:color w:val="auto"/>
              </w:rPr>
            </w:pPr>
          </w:p>
        </w:tc>
        <w:tc>
          <w:tcPr>
            <w:tcW w:w="1060" w:type="dxa"/>
            <w:vAlign w:val="bottom"/>
            <w:gridSpan w:val="2"/>
            <w:shd w:val="clear" w:color="auto" w:fill="CCEEFF"/>
          </w:tcPr>
          <w:p>
            <w:pPr>
              <w:jc w:val="right"/>
              <w:ind w:right="280"/>
              <w:spacing w:after="0" w:line="111"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780" w:type="dxa"/>
            <w:vAlign w:val="bottom"/>
            <w:gridSpan w:val="2"/>
            <w:shd w:val="clear" w:color="auto" w:fill="CCEEFF"/>
          </w:tcPr>
          <w:p>
            <w:pPr>
              <w:jc w:val="right"/>
              <w:ind w:right="80"/>
              <w:spacing w:after="0" w:line="111" w:lineRule="exact"/>
              <w:rPr>
                <w:sz w:val="20"/>
                <w:szCs w:val="20"/>
                <w:color w:val="auto"/>
              </w:rPr>
            </w:pPr>
            <w:r>
              <w:rPr>
                <w:rFonts w:ascii="Arial" w:cs="Arial" w:eastAsia="Arial" w:hAnsi="Arial"/>
                <w:sz w:val="11"/>
                <w:szCs w:val="11"/>
                <w:color w:val="auto"/>
              </w:rPr>
              <w:t>746.4</w:t>
            </w:r>
          </w:p>
        </w:tc>
        <w:tc>
          <w:tcPr>
            <w:tcW w:w="0" w:type="dxa"/>
            <w:vAlign w:val="bottom"/>
          </w:tcPr>
          <w:p>
            <w:pPr>
              <w:spacing w:after="0"/>
              <w:rPr>
                <w:sz w:val="1"/>
                <w:szCs w:val="1"/>
                <w:color w:val="auto"/>
              </w:rPr>
            </w:pPr>
          </w:p>
        </w:tc>
      </w:tr>
      <w:tr>
        <w:trPr>
          <w:trHeight w:val="111"/>
        </w:trPr>
        <w:tc>
          <w:tcPr>
            <w:tcW w:w="4000" w:type="dxa"/>
            <w:vAlign w:val="bottom"/>
          </w:tcPr>
          <w:p>
            <w:pPr>
              <w:spacing w:after="0" w:line="111" w:lineRule="exact"/>
              <w:rPr>
                <w:sz w:val="20"/>
                <w:szCs w:val="20"/>
                <w:color w:val="auto"/>
              </w:rPr>
            </w:pPr>
            <w:r>
              <w:rPr>
                <w:rFonts w:ascii="Arial" w:cs="Arial" w:eastAsia="Arial" w:hAnsi="Arial"/>
                <w:sz w:val="11"/>
                <w:szCs w:val="11"/>
                <w:color w:val="auto"/>
              </w:rPr>
              <w:t>Net loss</w:t>
            </w:r>
          </w:p>
        </w:tc>
        <w:tc>
          <w:tcPr>
            <w:tcW w:w="80" w:type="dxa"/>
            <w:vAlign w:val="bottom"/>
          </w:tcPr>
          <w:p>
            <w:pPr>
              <w:spacing w:after="0"/>
              <w:rPr>
                <w:sz w:val="9"/>
                <w:szCs w:val="9"/>
                <w:color w:val="auto"/>
              </w:rPr>
            </w:pPr>
          </w:p>
        </w:tc>
        <w:tc>
          <w:tcPr>
            <w:tcW w:w="640" w:type="dxa"/>
            <w:vAlign w:val="bottom"/>
            <w:gridSpan w:val="2"/>
          </w:tcPr>
          <w:p>
            <w:pPr>
              <w:jc w:val="right"/>
              <w:ind w:right="300"/>
              <w:spacing w:after="0" w:line="111"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640" w:type="dxa"/>
            <w:vAlign w:val="bottom"/>
            <w:gridSpan w:val="2"/>
          </w:tcPr>
          <w:p>
            <w:pPr>
              <w:jc w:val="right"/>
              <w:ind w:right="300"/>
              <w:spacing w:after="0" w:line="111"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720" w:type="dxa"/>
            <w:vAlign w:val="bottom"/>
            <w:gridSpan w:val="2"/>
          </w:tcPr>
          <w:p>
            <w:pPr>
              <w:jc w:val="right"/>
              <w:ind w:right="300"/>
              <w:spacing w:after="0" w:line="111"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640" w:type="dxa"/>
            <w:vAlign w:val="bottom"/>
            <w:gridSpan w:val="2"/>
          </w:tcPr>
          <w:p>
            <w:pPr>
              <w:jc w:val="right"/>
              <w:ind w:right="300"/>
              <w:spacing w:after="0" w:line="111"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940" w:type="dxa"/>
            <w:vAlign w:val="bottom"/>
            <w:gridSpan w:val="2"/>
          </w:tcPr>
          <w:p>
            <w:pPr>
              <w:jc w:val="right"/>
              <w:ind w:right="260"/>
              <w:spacing w:after="0" w:line="111" w:lineRule="exact"/>
              <w:rPr>
                <w:sz w:val="20"/>
                <w:szCs w:val="20"/>
                <w:color w:val="auto"/>
              </w:rPr>
            </w:pPr>
            <w:r>
              <w:rPr>
                <w:rFonts w:ascii="Arial" w:cs="Arial" w:eastAsia="Arial" w:hAnsi="Arial"/>
                <w:sz w:val="11"/>
                <w:szCs w:val="11"/>
                <w:color w:val="auto"/>
              </w:rPr>
              <w:t>(11.9)</w:t>
            </w:r>
          </w:p>
        </w:tc>
        <w:tc>
          <w:tcPr>
            <w:tcW w:w="100" w:type="dxa"/>
            <w:vAlign w:val="bottom"/>
          </w:tcPr>
          <w:p>
            <w:pPr>
              <w:spacing w:after="0"/>
              <w:rPr>
                <w:sz w:val="9"/>
                <w:szCs w:val="9"/>
                <w:color w:val="auto"/>
              </w:rPr>
            </w:pPr>
          </w:p>
        </w:tc>
        <w:tc>
          <w:tcPr>
            <w:tcW w:w="1060" w:type="dxa"/>
            <w:vAlign w:val="bottom"/>
            <w:gridSpan w:val="2"/>
          </w:tcPr>
          <w:p>
            <w:pPr>
              <w:jc w:val="right"/>
              <w:ind w:right="280"/>
              <w:spacing w:after="0" w:line="111"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780" w:type="dxa"/>
            <w:vAlign w:val="bottom"/>
            <w:gridSpan w:val="2"/>
          </w:tcPr>
          <w:p>
            <w:pPr>
              <w:jc w:val="right"/>
              <w:ind w:right="60"/>
              <w:spacing w:after="0" w:line="111" w:lineRule="exact"/>
              <w:rPr>
                <w:sz w:val="20"/>
                <w:szCs w:val="20"/>
                <w:color w:val="auto"/>
              </w:rPr>
            </w:pPr>
            <w:r>
              <w:rPr>
                <w:rFonts w:ascii="Arial" w:cs="Arial" w:eastAsia="Arial" w:hAnsi="Arial"/>
                <w:sz w:val="11"/>
                <w:szCs w:val="11"/>
                <w:color w:val="auto"/>
              </w:rPr>
              <w:t>(11.9)</w:t>
            </w:r>
          </w:p>
        </w:tc>
        <w:tc>
          <w:tcPr>
            <w:tcW w:w="0" w:type="dxa"/>
            <w:vAlign w:val="bottom"/>
          </w:tcPr>
          <w:p>
            <w:pPr>
              <w:spacing w:after="0"/>
              <w:rPr>
                <w:sz w:val="1"/>
                <w:szCs w:val="1"/>
                <w:color w:val="auto"/>
              </w:rPr>
            </w:pPr>
          </w:p>
        </w:tc>
      </w:tr>
      <w:tr>
        <w:trPr>
          <w:trHeight w:val="111"/>
        </w:trPr>
        <w:tc>
          <w:tcPr>
            <w:tcW w:w="4000" w:type="dxa"/>
            <w:vAlign w:val="bottom"/>
            <w:shd w:val="clear" w:color="auto" w:fill="CCEEFF"/>
          </w:tcPr>
          <w:p>
            <w:pPr>
              <w:spacing w:after="0" w:line="111" w:lineRule="exact"/>
              <w:rPr>
                <w:sz w:val="20"/>
                <w:szCs w:val="20"/>
                <w:color w:val="auto"/>
              </w:rPr>
            </w:pPr>
            <w:r>
              <w:rPr>
                <w:rFonts w:ascii="Arial" w:cs="Arial" w:eastAsia="Arial" w:hAnsi="Arial"/>
                <w:sz w:val="11"/>
                <w:szCs w:val="11"/>
                <w:color w:val="auto"/>
              </w:rPr>
              <w:t>Foreign currency translation</w:t>
            </w:r>
          </w:p>
        </w:tc>
        <w:tc>
          <w:tcPr>
            <w:tcW w:w="8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300"/>
              <w:spacing w:after="0" w:line="111"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300"/>
              <w:spacing w:after="0" w:line="111"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300"/>
              <w:spacing w:after="0" w:line="111"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300"/>
              <w:spacing w:after="0" w:line="111"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940" w:type="dxa"/>
            <w:vAlign w:val="bottom"/>
            <w:gridSpan w:val="2"/>
            <w:shd w:val="clear" w:color="auto" w:fill="CCEEFF"/>
          </w:tcPr>
          <w:p>
            <w:pPr>
              <w:jc w:val="right"/>
              <w:ind w:right="300"/>
              <w:spacing w:after="0" w:line="111"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1060" w:type="dxa"/>
            <w:vAlign w:val="bottom"/>
            <w:gridSpan w:val="2"/>
            <w:shd w:val="clear" w:color="auto" w:fill="CCEEFF"/>
          </w:tcPr>
          <w:p>
            <w:pPr>
              <w:jc w:val="right"/>
              <w:ind w:right="280"/>
              <w:spacing w:after="0" w:line="111" w:lineRule="exact"/>
              <w:rPr>
                <w:sz w:val="20"/>
                <w:szCs w:val="20"/>
                <w:color w:val="auto"/>
              </w:rPr>
            </w:pPr>
            <w:r>
              <w:rPr>
                <w:rFonts w:ascii="Arial" w:cs="Arial" w:eastAsia="Arial" w:hAnsi="Arial"/>
                <w:sz w:val="11"/>
                <w:szCs w:val="11"/>
                <w:color w:val="auto"/>
              </w:rPr>
              <w:t>4.1</w:t>
            </w:r>
          </w:p>
        </w:tc>
        <w:tc>
          <w:tcPr>
            <w:tcW w:w="100" w:type="dxa"/>
            <w:vAlign w:val="bottom"/>
            <w:shd w:val="clear" w:color="auto" w:fill="CCEEFF"/>
          </w:tcPr>
          <w:p>
            <w:pPr>
              <w:spacing w:after="0"/>
              <w:rPr>
                <w:sz w:val="9"/>
                <w:szCs w:val="9"/>
                <w:color w:val="auto"/>
              </w:rPr>
            </w:pPr>
          </w:p>
        </w:tc>
        <w:tc>
          <w:tcPr>
            <w:tcW w:w="780" w:type="dxa"/>
            <w:vAlign w:val="bottom"/>
            <w:gridSpan w:val="2"/>
            <w:shd w:val="clear" w:color="auto" w:fill="CCEEFF"/>
          </w:tcPr>
          <w:p>
            <w:pPr>
              <w:jc w:val="right"/>
              <w:ind w:right="80"/>
              <w:spacing w:after="0" w:line="111" w:lineRule="exact"/>
              <w:rPr>
                <w:sz w:val="20"/>
                <w:szCs w:val="20"/>
                <w:color w:val="auto"/>
              </w:rPr>
            </w:pPr>
            <w:r>
              <w:rPr>
                <w:rFonts w:ascii="Arial" w:cs="Arial" w:eastAsia="Arial" w:hAnsi="Arial"/>
                <w:sz w:val="11"/>
                <w:szCs w:val="11"/>
                <w:color w:val="auto"/>
              </w:rPr>
              <w:t>4.1</w:t>
            </w:r>
          </w:p>
        </w:tc>
        <w:tc>
          <w:tcPr>
            <w:tcW w:w="0" w:type="dxa"/>
            <w:vAlign w:val="bottom"/>
          </w:tcPr>
          <w:p>
            <w:pPr>
              <w:spacing w:after="0"/>
              <w:rPr>
                <w:sz w:val="1"/>
                <w:szCs w:val="1"/>
                <w:color w:val="auto"/>
              </w:rPr>
            </w:pPr>
          </w:p>
        </w:tc>
      </w:tr>
      <w:tr>
        <w:trPr>
          <w:trHeight w:val="111"/>
        </w:trPr>
        <w:tc>
          <w:tcPr>
            <w:tcW w:w="4000" w:type="dxa"/>
            <w:vAlign w:val="bottom"/>
          </w:tcPr>
          <w:p>
            <w:pPr>
              <w:spacing w:after="0" w:line="111" w:lineRule="exact"/>
              <w:rPr>
                <w:sz w:val="20"/>
                <w:szCs w:val="20"/>
                <w:color w:val="auto"/>
              </w:rPr>
            </w:pPr>
            <w:r>
              <w:rPr>
                <w:rFonts w:ascii="Arial" w:cs="Arial" w:eastAsia="Arial" w:hAnsi="Arial"/>
                <w:sz w:val="11"/>
                <w:szCs w:val="11"/>
                <w:color w:val="auto"/>
              </w:rPr>
              <w:t>Net unrealized loss on hedging activities</w:t>
            </w:r>
          </w:p>
        </w:tc>
        <w:tc>
          <w:tcPr>
            <w:tcW w:w="80" w:type="dxa"/>
            <w:vAlign w:val="bottom"/>
          </w:tcPr>
          <w:p>
            <w:pPr>
              <w:spacing w:after="0"/>
              <w:rPr>
                <w:sz w:val="9"/>
                <w:szCs w:val="9"/>
                <w:color w:val="auto"/>
              </w:rPr>
            </w:pPr>
          </w:p>
        </w:tc>
        <w:tc>
          <w:tcPr>
            <w:tcW w:w="640" w:type="dxa"/>
            <w:vAlign w:val="bottom"/>
            <w:gridSpan w:val="2"/>
          </w:tcPr>
          <w:p>
            <w:pPr>
              <w:jc w:val="right"/>
              <w:ind w:right="300"/>
              <w:spacing w:after="0" w:line="111"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640" w:type="dxa"/>
            <w:vAlign w:val="bottom"/>
            <w:gridSpan w:val="2"/>
          </w:tcPr>
          <w:p>
            <w:pPr>
              <w:jc w:val="right"/>
              <w:ind w:right="300"/>
              <w:spacing w:after="0" w:line="111"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720" w:type="dxa"/>
            <w:vAlign w:val="bottom"/>
            <w:gridSpan w:val="2"/>
          </w:tcPr>
          <w:p>
            <w:pPr>
              <w:jc w:val="right"/>
              <w:ind w:right="300"/>
              <w:spacing w:after="0" w:line="111"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640" w:type="dxa"/>
            <w:vAlign w:val="bottom"/>
            <w:gridSpan w:val="2"/>
          </w:tcPr>
          <w:p>
            <w:pPr>
              <w:jc w:val="right"/>
              <w:ind w:right="300"/>
              <w:spacing w:after="0" w:line="111"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940" w:type="dxa"/>
            <w:vAlign w:val="bottom"/>
            <w:gridSpan w:val="2"/>
          </w:tcPr>
          <w:p>
            <w:pPr>
              <w:jc w:val="right"/>
              <w:ind w:right="300"/>
              <w:spacing w:after="0" w:line="111"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1060" w:type="dxa"/>
            <w:vAlign w:val="bottom"/>
            <w:gridSpan w:val="2"/>
          </w:tcPr>
          <w:p>
            <w:pPr>
              <w:jc w:val="right"/>
              <w:ind w:right="240"/>
              <w:spacing w:after="0" w:line="111" w:lineRule="exact"/>
              <w:rPr>
                <w:sz w:val="20"/>
                <w:szCs w:val="20"/>
                <w:color w:val="auto"/>
              </w:rPr>
            </w:pPr>
            <w:r>
              <w:rPr>
                <w:rFonts w:ascii="Arial" w:cs="Arial" w:eastAsia="Arial" w:hAnsi="Arial"/>
                <w:sz w:val="11"/>
                <w:szCs w:val="11"/>
                <w:color w:val="auto"/>
              </w:rPr>
              <w:t>(0.3)</w:t>
            </w:r>
          </w:p>
        </w:tc>
        <w:tc>
          <w:tcPr>
            <w:tcW w:w="100" w:type="dxa"/>
            <w:vAlign w:val="bottom"/>
          </w:tcPr>
          <w:p>
            <w:pPr>
              <w:spacing w:after="0"/>
              <w:rPr>
                <w:sz w:val="9"/>
                <w:szCs w:val="9"/>
                <w:color w:val="auto"/>
              </w:rPr>
            </w:pPr>
          </w:p>
        </w:tc>
        <w:tc>
          <w:tcPr>
            <w:tcW w:w="780" w:type="dxa"/>
            <w:vAlign w:val="bottom"/>
            <w:gridSpan w:val="2"/>
          </w:tcPr>
          <w:p>
            <w:pPr>
              <w:jc w:val="right"/>
              <w:ind w:right="60"/>
              <w:spacing w:after="0" w:line="111" w:lineRule="exact"/>
              <w:rPr>
                <w:sz w:val="20"/>
                <w:szCs w:val="20"/>
                <w:color w:val="auto"/>
              </w:rPr>
            </w:pPr>
            <w:r>
              <w:rPr>
                <w:rFonts w:ascii="Arial" w:cs="Arial" w:eastAsia="Arial" w:hAnsi="Arial"/>
                <w:sz w:val="11"/>
                <w:szCs w:val="11"/>
                <w:color w:val="auto"/>
              </w:rPr>
              <w:t>(0.3)</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4000" w:type="dxa"/>
            <w:vAlign w:val="bottom"/>
            <w:shd w:val="clear" w:color="auto" w:fill="CCEEFF"/>
          </w:tcPr>
          <w:p>
            <w:pPr>
              <w:spacing w:after="0" w:line="111" w:lineRule="exact"/>
              <w:rPr>
                <w:sz w:val="20"/>
                <w:szCs w:val="20"/>
                <w:color w:val="auto"/>
              </w:rPr>
            </w:pPr>
            <w:r>
              <w:rPr>
                <w:rFonts w:ascii="Arial" w:cs="Arial" w:eastAsia="Arial" w:hAnsi="Arial"/>
                <w:sz w:val="11"/>
                <w:szCs w:val="11"/>
                <w:color w:val="auto"/>
              </w:rPr>
              <w:t>Comprehensive loss</w:t>
            </w: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80" w:type="dxa"/>
            <w:vAlign w:val="bottom"/>
            <w:gridSpan w:val="2"/>
            <w:shd w:val="clear" w:color="auto" w:fill="CCEEFF"/>
          </w:tcPr>
          <w:p>
            <w:pPr>
              <w:jc w:val="right"/>
              <w:ind w:right="60"/>
              <w:spacing w:after="0" w:line="111" w:lineRule="exact"/>
              <w:rPr>
                <w:sz w:val="20"/>
                <w:szCs w:val="20"/>
                <w:color w:val="auto"/>
              </w:rPr>
            </w:pPr>
            <w:r>
              <w:rPr>
                <w:rFonts w:ascii="Arial" w:cs="Arial" w:eastAsia="Arial" w:hAnsi="Arial"/>
                <w:sz w:val="11"/>
                <w:szCs w:val="11"/>
                <w:color w:val="auto"/>
              </w:rPr>
              <w:t>(8.1)</w:t>
            </w:r>
          </w:p>
        </w:tc>
        <w:tc>
          <w:tcPr>
            <w:tcW w:w="0" w:type="dxa"/>
            <w:vAlign w:val="bottom"/>
          </w:tcPr>
          <w:p>
            <w:pPr>
              <w:spacing w:after="0"/>
              <w:rPr>
                <w:sz w:val="1"/>
                <w:szCs w:val="1"/>
                <w:color w:val="auto"/>
              </w:rPr>
            </w:pPr>
          </w:p>
        </w:tc>
      </w:tr>
      <w:tr>
        <w:trPr>
          <w:trHeight w:val="111"/>
        </w:trPr>
        <w:tc>
          <w:tcPr>
            <w:tcW w:w="4000" w:type="dxa"/>
            <w:vAlign w:val="bottom"/>
          </w:tcPr>
          <w:p>
            <w:pPr>
              <w:spacing w:after="0" w:line="111" w:lineRule="exact"/>
              <w:rPr>
                <w:sz w:val="20"/>
                <w:szCs w:val="20"/>
                <w:color w:val="auto"/>
              </w:rPr>
            </w:pPr>
            <w:r>
              <w:rPr>
                <w:rFonts w:ascii="Arial" w:cs="Arial" w:eastAsia="Arial" w:hAnsi="Arial"/>
                <w:sz w:val="11"/>
                <w:szCs w:val="11"/>
                <w:color w:val="auto"/>
              </w:rPr>
              <w:t>Adjustment to capital from Harris Corporation</w:t>
            </w:r>
          </w:p>
        </w:tc>
        <w:tc>
          <w:tcPr>
            <w:tcW w:w="80" w:type="dxa"/>
            <w:vAlign w:val="bottom"/>
          </w:tcPr>
          <w:p>
            <w:pPr>
              <w:spacing w:after="0"/>
              <w:rPr>
                <w:sz w:val="9"/>
                <w:szCs w:val="9"/>
                <w:color w:val="auto"/>
              </w:rPr>
            </w:pPr>
          </w:p>
        </w:tc>
        <w:tc>
          <w:tcPr>
            <w:tcW w:w="640" w:type="dxa"/>
            <w:vAlign w:val="bottom"/>
            <w:gridSpan w:val="2"/>
          </w:tcPr>
          <w:p>
            <w:pPr>
              <w:jc w:val="right"/>
              <w:ind w:right="300"/>
              <w:spacing w:after="0" w:line="111"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640" w:type="dxa"/>
            <w:vAlign w:val="bottom"/>
            <w:gridSpan w:val="2"/>
          </w:tcPr>
          <w:p>
            <w:pPr>
              <w:jc w:val="right"/>
              <w:ind w:right="300"/>
              <w:spacing w:after="0" w:line="111"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720" w:type="dxa"/>
            <w:vAlign w:val="bottom"/>
            <w:gridSpan w:val="2"/>
          </w:tcPr>
          <w:p>
            <w:pPr>
              <w:jc w:val="right"/>
              <w:ind w:right="300"/>
              <w:spacing w:after="0" w:line="111" w:lineRule="exact"/>
              <w:rPr>
                <w:sz w:val="20"/>
                <w:szCs w:val="20"/>
                <w:color w:val="auto"/>
              </w:rPr>
            </w:pPr>
            <w:r>
              <w:rPr>
                <w:rFonts w:ascii="Arial" w:cs="Arial" w:eastAsia="Arial" w:hAnsi="Arial"/>
                <w:sz w:val="11"/>
                <w:szCs w:val="11"/>
                <w:color w:val="auto"/>
              </w:rPr>
              <w:t>1.3</w:t>
            </w:r>
          </w:p>
        </w:tc>
        <w:tc>
          <w:tcPr>
            <w:tcW w:w="60" w:type="dxa"/>
            <w:vAlign w:val="bottom"/>
          </w:tcPr>
          <w:p>
            <w:pPr>
              <w:spacing w:after="0"/>
              <w:rPr>
                <w:sz w:val="9"/>
                <w:szCs w:val="9"/>
                <w:color w:val="auto"/>
              </w:rPr>
            </w:pPr>
          </w:p>
        </w:tc>
        <w:tc>
          <w:tcPr>
            <w:tcW w:w="640" w:type="dxa"/>
            <w:vAlign w:val="bottom"/>
            <w:gridSpan w:val="2"/>
          </w:tcPr>
          <w:p>
            <w:pPr>
              <w:jc w:val="right"/>
              <w:ind w:right="300"/>
              <w:spacing w:after="0" w:line="111"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940" w:type="dxa"/>
            <w:vAlign w:val="bottom"/>
            <w:gridSpan w:val="2"/>
          </w:tcPr>
          <w:p>
            <w:pPr>
              <w:jc w:val="right"/>
              <w:ind w:right="300"/>
              <w:spacing w:after="0" w:line="111"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1060" w:type="dxa"/>
            <w:vAlign w:val="bottom"/>
            <w:gridSpan w:val="2"/>
          </w:tcPr>
          <w:p>
            <w:pPr>
              <w:jc w:val="right"/>
              <w:ind w:right="280"/>
              <w:spacing w:after="0" w:line="111"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780" w:type="dxa"/>
            <w:vAlign w:val="bottom"/>
            <w:gridSpan w:val="2"/>
          </w:tcPr>
          <w:p>
            <w:pPr>
              <w:jc w:val="right"/>
              <w:ind w:right="80"/>
              <w:spacing w:after="0" w:line="111" w:lineRule="exact"/>
              <w:rPr>
                <w:sz w:val="20"/>
                <w:szCs w:val="20"/>
                <w:color w:val="auto"/>
              </w:rPr>
            </w:pPr>
            <w:r>
              <w:rPr>
                <w:rFonts w:ascii="Arial" w:cs="Arial" w:eastAsia="Arial" w:hAnsi="Arial"/>
                <w:sz w:val="11"/>
                <w:szCs w:val="11"/>
                <w:color w:val="auto"/>
              </w:rPr>
              <w:t>1.3</w:t>
            </w:r>
          </w:p>
        </w:tc>
        <w:tc>
          <w:tcPr>
            <w:tcW w:w="0" w:type="dxa"/>
            <w:vAlign w:val="bottom"/>
          </w:tcPr>
          <w:p>
            <w:pPr>
              <w:spacing w:after="0"/>
              <w:rPr>
                <w:sz w:val="1"/>
                <w:szCs w:val="1"/>
                <w:color w:val="auto"/>
              </w:rPr>
            </w:pPr>
          </w:p>
        </w:tc>
      </w:tr>
      <w:tr>
        <w:trPr>
          <w:trHeight w:val="111"/>
        </w:trPr>
        <w:tc>
          <w:tcPr>
            <w:tcW w:w="4000" w:type="dxa"/>
            <w:vAlign w:val="bottom"/>
            <w:shd w:val="clear" w:color="auto" w:fill="CCEEFF"/>
          </w:tcPr>
          <w:p>
            <w:pPr>
              <w:spacing w:after="0" w:line="111" w:lineRule="exact"/>
              <w:rPr>
                <w:sz w:val="20"/>
                <w:szCs w:val="20"/>
                <w:color w:val="auto"/>
              </w:rPr>
            </w:pPr>
            <w:r>
              <w:rPr>
                <w:rFonts w:ascii="Arial" w:cs="Arial" w:eastAsia="Arial" w:hAnsi="Arial"/>
                <w:sz w:val="11"/>
                <w:szCs w:val="11"/>
                <w:color w:val="auto"/>
              </w:rPr>
              <w:t>Employee stock option exercises, net of tax (129,038 shares)</w:t>
            </w:r>
          </w:p>
        </w:tc>
        <w:tc>
          <w:tcPr>
            <w:tcW w:w="8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300"/>
              <w:spacing w:after="0" w:line="111"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300"/>
              <w:spacing w:after="0" w:line="111"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300"/>
              <w:spacing w:after="0" w:line="111" w:lineRule="exact"/>
              <w:rPr>
                <w:sz w:val="20"/>
                <w:szCs w:val="20"/>
                <w:color w:val="auto"/>
              </w:rPr>
            </w:pPr>
            <w:r>
              <w:rPr>
                <w:rFonts w:ascii="Arial" w:cs="Arial" w:eastAsia="Arial" w:hAnsi="Arial"/>
                <w:sz w:val="11"/>
                <w:szCs w:val="11"/>
                <w:color w:val="auto"/>
              </w:rPr>
              <w:t>1.5</w:t>
            </w:r>
          </w:p>
        </w:tc>
        <w:tc>
          <w:tcPr>
            <w:tcW w:w="6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300"/>
              <w:spacing w:after="0" w:line="111"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940" w:type="dxa"/>
            <w:vAlign w:val="bottom"/>
            <w:gridSpan w:val="2"/>
            <w:shd w:val="clear" w:color="auto" w:fill="CCEEFF"/>
          </w:tcPr>
          <w:p>
            <w:pPr>
              <w:jc w:val="right"/>
              <w:ind w:right="300"/>
              <w:spacing w:after="0" w:line="111"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1060" w:type="dxa"/>
            <w:vAlign w:val="bottom"/>
            <w:gridSpan w:val="2"/>
            <w:shd w:val="clear" w:color="auto" w:fill="CCEEFF"/>
          </w:tcPr>
          <w:p>
            <w:pPr>
              <w:jc w:val="right"/>
              <w:ind w:right="280"/>
              <w:spacing w:after="0" w:line="111"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780" w:type="dxa"/>
            <w:vAlign w:val="bottom"/>
            <w:gridSpan w:val="2"/>
            <w:shd w:val="clear" w:color="auto" w:fill="CCEEFF"/>
          </w:tcPr>
          <w:p>
            <w:pPr>
              <w:jc w:val="right"/>
              <w:ind w:right="80"/>
              <w:spacing w:after="0" w:line="111" w:lineRule="exact"/>
              <w:rPr>
                <w:sz w:val="20"/>
                <w:szCs w:val="20"/>
                <w:color w:val="auto"/>
              </w:rPr>
            </w:pPr>
            <w:r>
              <w:rPr>
                <w:rFonts w:ascii="Arial" w:cs="Arial" w:eastAsia="Arial" w:hAnsi="Arial"/>
                <w:sz w:val="11"/>
                <w:szCs w:val="11"/>
                <w:color w:val="auto"/>
              </w:rPr>
              <w:t>1.5</w:t>
            </w:r>
          </w:p>
        </w:tc>
        <w:tc>
          <w:tcPr>
            <w:tcW w:w="0" w:type="dxa"/>
            <w:vAlign w:val="bottom"/>
          </w:tcPr>
          <w:p>
            <w:pPr>
              <w:spacing w:after="0"/>
              <w:rPr>
                <w:sz w:val="1"/>
                <w:szCs w:val="1"/>
                <w:color w:val="auto"/>
              </w:rPr>
            </w:pPr>
          </w:p>
        </w:tc>
      </w:tr>
      <w:tr>
        <w:trPr>
          <w:trHeight w:val="111"/>
        </w:trPr>
        <w:tc>
          <w:tcPr>
            <w:tcW w:w="4000" w:type="dxa"/>
            <w:vAlign w:val="bottom"/>
          </w:tcPr>
          <w:p>
            <w:pPr>
              <w:spacing w:after="0" w:line="111" w:lineRule="exact"/>
              <w:rPr>
                <w:sz w:val="20"/>
                <w:szCs w:val="20"/>
                <w:color w:val="auto"/>
              </w:rPr>
            </w:pPr>
            <w:r>
              <w:rPr>
                <w:rFonts w:ascii="Arial" w:cs="Arial" w:eastAsia="Arial" w:hAnsi="Arial"/>
                <w:sz w:val="11"/>
                <w:szCs w:val="11"/>
                <w:color w:val="auto"/>
              </w:rPr>
              <w:t>Stock option tax benefits</w:t>
            </w:r>
          </w:p>
        </w:tc>
        <w:tc>
          <w:tcPr>
            <w:tcW w:w="80" w:type="dxa"/>
            <w:vAlign w:val="bottom"/>
          </w:tcPr>
          <w:p>
            <w:pPr>
              <w:spacing w:after="0"/>
              <w:rPr>
                <w:sz w:val="9"/>
                <w:szCs w:val="9"/>
                <w:color w:val="auto"/>
              </w:rPr>
            </w:pPr>
          </w:p>
        </w:tc>
        <w:tc>
          <w:tcPr>
            <w:tcW w:w="640" w:type="dxa"/>
            <w:vAlign w:val="bottom"/>
            <w:gridSpan w:val="2"/>
          </w:tcPr>
          <w:p>
            <w:pPr>
              <w:jc w:val="right"/>
              <w:ind w:right="300"/>
              <w:spacing w:after="0" w:line="111"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640" w:type="dxa"/>
            <w:vAlign w:val="bottom"/>
            <w:gridSpan w:val="2"/>
          </w:tcPr>
          <w:p>
            <w:pPr>
              <w:jc w:val="right"/>
              <w:ind w:right="300"/>
              <w:spacing w:after="0" w:line="111"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720" w:type="dxa"/>
            <w:vAlign w:val="bottom"/>
            <w:gridSpan w:val="2"/>
          </w:tcPr>
          <w:p>
            <w:pPr>
              <w:jc w:val="right"/>
              <w:ind w:right="300"/>
              <w:spacing w:after="0" w:line="111" w:lineRule="exact"/>
              <w:rPr>
                <w:sz w:val="20"/>
                <w:szCs w:val="20"/>
                <w:color w:val="auto"/>
              </w:rPr>
            </w:pPr>
            <w:r>
              <w:rPr>
                <w:rFonts w:ascii="Arial" w:cs="Arial" w:eastAsia="Arial" w:hAnsi="Arial"/>
                <w:sz w:val="11"/>
                <w:szCs w:val="11"/>
                <w:color w:val="auto"/>
              </w:rPr>
              <w:t>0.7</w:t>
            </w:r>
          </w:p>
        </w:tc>
        <w:tc>
          <w:tcPr>
            <w:tcW w:w="60" w:type="dxa"/>
            <w:vAlign w:val="bottom"/>
          </w:tcPr>
          <w:p>
            <w:pPr>
              <w:spacing w:after="0"/>
              <w:rPr>
                <w:sz w:val="9"/>
                <w:szCs w:val="9"/>
                <w:color w:val="auto"/>
              </w:rPr>
            </w:pPr>
          </w:p>
        </w:tc>
        <w:tc>
          <w:tcPr>
            <w:tcW w:w="640" w:type="dxa"/>
            <w:vAlign w:val="bottom"/>
            <w:gridSpan w:val="2"/>
          </w:tcPr>
          <w:p>
            <w:pPr>
              <w:jc w:val="right"/>
              <w:ind w:right="300"/>
              <w:spacing w:after="0" w:line="111"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940" w:type="dxa"/>
            <w:vAlign w:val="bottom"/>
            <w:gridSpan w:val="2"/>
          </w:tcPr>
          <w:p>
            <w:pPr>
              <w:jc w:val="right"/>
              <w:ind w:right="300"/>
              <w:spacing w:after="0" w:line="111"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1060" w:type="dxa"/>
            <w:vAlign w:val="bottom"/>
            <w:gridSpan w:val="2"/>
          </w:tcPr>
          <w:p>
            <w:pPr>
              <w:jc w:val="right"/>
              <w:ind w:right="280"/>
              <w:spacing w:after="0" w:line="111"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780" w:type="dxa"/>
            <w:vAlign w:val="bottom"/>
            <w:gridSpan w:val="2"/>
          </w:tcPr>
          <w:p>
            <w:pPr>
              <w:jc w:val="right"/>
              <w:ind w:right="80"/>
              <w:spacing w:after="0" w:line="111" w:lineRule="exact"/>
              <w:rPr>
                <w:sz w:val="20"/>
                <w:szCs w:val="20"/>
                <w:color w:val="auto"/>
              </w:rPr>
            </w:pPr>
            <w:r>
              <w:rPr>
                <w:rFonts w:ascii="Arial" w:cs="Arial" w:eastAsia="Arial" w:hAnsi="Arial"/>
                <w:sz w:val="11"/>
                <w:szCs w:val="11"/>
                <w:color w:val="auto"/>
              </w:rPr>
              <w:t>0.7</w:t>
            </w:r>
          </w:p>
        </w:tc>
        <w:tc>
          <w:tcPr>
            <w:tcW w:w="0" w:type="dxa"/>
            <w:vAlign w:val="bottom"/>
          </w:tcPr>
          <w:p>
            <w:pPr>
              <w:spacing w:after="0"/>
              <w:rPr>
                <w:sz w:val="1"/>
                <w:szCs w:val="1"/>
                <w:color w:val="auto"/>
              </w:rPr>
            </w:pPr>
          </w:p>
        </w:tc>
      </w:tr>
      <w:tr>
        <w:trPr>
          <w:trHeight w:val="111"/>
        </w:trPr>
        <w:tc>
          <w:tcPr>
            <w:tcW w:w="4000" w:type="dxa"/>
            <w:vAlign w:val="bottom"/>
            <w:shd w:val="clear" w:color="auto" w:fill="CCEEFF"/>
          </w:tcPr>
          <w:p>
            <w:pPr>
              <w:spacing w:after="0" w:line="111" w:lineRule="exact"/>
              <w:rPr>
                <w:sz w:val="20"/>
                <w:szCs w:val="20"/>
                <w:color w:val="auto"/>
              </w:rPr>
            </w:pPr>
            <w:r>
              <w:rPr>
                <w:rFonts w:ascii="Arial" w:cs="Arial" w:eastAsia="Arial" w:hAnsi="Arial"/>
                <w:sz w:val="11"/>
                <w:szCs w:val="11"/>
                <w:color w:val="auto"/>
              </w:rPr>
              <w:t>Compensatory stock awards (73,740 shares)</w:t>
            </w:r>
          </w:p>
        </w:tc>
        <w:tc>
          <w:tcPr>
            <w:tcW w:w="8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300"/>
              <w:spacing w:after="0" w:line="111"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300"/>
              <w:spacing w:after="0" w:line="111"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300"/>
              <w:spacing w:after="0" w:line="111" w:lineRule="exact"/>
              <w:rPr>
                <w:sz w:val="20"/>
                <w:szCs w:val="20"/>
                <w:color w:val="auto"/>
              </w:rPr>
            </w:pPr>
            <w:r>
              <w:rPr>
                <w:rFonts w:ascii="Arial" w:cs="Arial" w:eastAsia="Arial" w:hAnsi="Arial"/>
                <w:sz w:val="11"/>
                <w:szCs w:val="11"/>
                <w:color w:val="auto"/>
              </w:rPr>
              <w:t>6.4</w:t>
            </w:r>
          </w:p>
        </w:tc>
        <w:tc>
          <w:tcPr>
            <w:tcW w:w="6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300"/>
              <w:spacing w:after="0" w:line="111"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940" w:type="dxa"/>
            <w:vAlign w:val="bottom"/>
            <w:gridSpan w:val="2"/>
            <w:shd w:val="clear" w:color="auto" w:fill="CCEEFF"/>
          </w:tcPr>
          <w:p>
            <w:pPr>
              <w:jc w:val="right"/>
              <w:ind w:right="300"/>
              <w:spacing w:after="0" w:line="111"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1060" w:type="dxa"/>
            <w:vAlign w:val="bottom"/>
            <w:gridSpan w:val="2"/>
            <w:shd w:val="clear" w:color="auto" w:fill="CCEEFF"/>
          </w:tcPr>
          <w:p>
            <w:pPr>
              <w:jc w:val="right"/>
              <w:ind w:right="280"/>
              <w:spacing w:after="0" w:line="111"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780" w:type="dxa"/>
            <w:vAlign w:val="bottom"/>
            <w:gridSpan w:val="2"/>
            <w:shd w:val="clear" w:color="auto" w:fill="CCEEFF"/>
          </w:tcPr>
          <w:p>
            <w:pPr>
              <w:jc w:val="right"/>
              <w:ind w:right="80"/>
              <w:spacing w:after="0" w:line="111" w:lineRule="exact"/>
              <w:rPr>
                <w:sz w:val="20"/>
                <w:szCs w:val="20"/>
                <w:color w:val="auto"/>
              </w:rPr>
            </w:pPr>
            <w:r>
              <w:rPr>
                <w:rFonts w:ascii="Arial" w:cs="Arial" w:eastAsia="Arial" w:hAnsi="Arial"/>
                <w:sz w:val="11"/>
                <w:szCs w:val="11"/>
                <w:color w:val="auto"/>
              </w:rPr>
              <w:t>6.4</w:t>
            </w:r>
          </w:p>
        </w:tc>
        <w:tc>
          <w:tcPr>
            <w:tcW w:w="0" w:type="dxa"/>
            <w:vAlign w:val="bottom"/>
          </w:tcPr>
          <w:p>
            <w:pPr>
              <w:spacing w:after="0"/>
              <w:rPr>
                <w:sz w:val="1"/>
                <w:szCs w:val="1"/>
                <w:color w:val="auto"/>
              </w:rPr>
            </w:pPr>
          </w:p>
        </w:tc>
      </w:tr>
      <w:tr>
        <w:trPr>
          <w:trHeight w:val="20"/>
        </w:trPr>
        <w:tc>
          <w:tcPr>
            <w:tcW w:w="4000" w:type="dxa"/>
            <w:vAlign w:val="bottom"/>
            <w:vMerge w:val="restart"/>
          </w:tcPr>
          <w:p>
            <w:pPr>
              <w:spacing w:after="0"/>
              <w:rPr>
                <w:sz w:val="20"/>
                <w:szCs w:val="20"/>
                <w:color w:val="auto"/>
              </w:rPr>
            </w:pPr>
            <w:r>
              <w:rPr>
                <w:rFonts w:ascii="Arial" w:cs="Arial" w:eastAsia="Arial" w:hAnsi="Arial"/>
                <w:sz w:val="11"/>
                <w:szCs w:val="11"/>
                <w:color w:val="auto"/>
              </w:rPr>
              <w:t>Balance as of June 27, 2008</w:t>
            </w: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40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jc w:val="right"/>
              <w:spacing w:after="0" w:line="111" w:lineRule="exact"/>
              <w:rPr>
                <w:sz w:val="20"/>
                <w:szCs w:val="20"/>
                <w:color w:val="auto"/>
              </w:rPr>
            </w:pPr>
            <w:r>
              <w:rPr>
                <w:rFonts w:ascii="Arial" w:cs="Arial" w:eastAsia="Arial" w:hAnsi="Arial"/>
                <w:sz w:val="11"/>
                <w:szCs w:val="11"/>
                <w:color w:val="auto"/>
              </w:rPr>
              <w:t>0.3</w:t>
            </w:r>
          </w:p>
        </w:tc>
        <w:tc>
          <w:tcPr>
            <w:tcW w:w="3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jc w:val="right"/>
              <w:spacing w:after="0" w:line="111" w:lineRule="exact"/>
              <w:rPr>
                <w:sz w:val="20"/>
                <w:szCs w:val="20"/>
                <w:color w:val="auto"/>
              </w:rPr>
            </w:pPr>
            <w:r>
              <w:rPr>
                <w:rFonts w:ascii="Arial" w:cs="Arial" w:eastAsia="Arial" w:hAnsi="Arial"/>
                <w:sz w:val="11"/>
                <w:szCs w:val="11"/>
                <w:color w:val="auto"/>
              </w:rPr>
              <w:t>0.3</w:t>
            </w:r>
          </w:p>
        </w:tc>
        <w:tc>
          <w:tcPr>
            <w:tcW w:w="3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jc w:val="right"/>
              <w:spacing w:after="0" w:line="111" w:lineRule="exact"/>
              <w:rPr>
                <w:sz w:val="20"/>
                <w:szCs w:val="20"/>
                <w:color w:val="auto"/>
              </w:rPr>
            </w:pPr>
            <w:r>
              <w:rPr>
                <w:rFonts w:ascii="Arial" w:cs="Arial" w:eastAsia="Arial" w:hAnsi="Arial"/>
                <w:sz w:val="11"/>
                <w:szCs w:val="11"/>
                <w:color w:val="auto"/>
              </w:rPr>
              <w:t>779.9</w:t>
            </w:r>
          </w:p>
        </w:tc>
        <w:tc>
          <w:tcPr>
            <w:tcW w:w="3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ind w:left="240"/>
              <w:spacing w:after="0" w:line="111" w:lineRule="exact"/>
              <w:rPr>
                <w:sz w:val="20"/>
                <w:szCs w:val="20"/>
                <w:color w:val="auto"/>
              </w:rPr>
            </w:pPr>
            <w:r>
              <w:rPr>
                <w:rFonts w:ascii="Arial" w:cs="Arial" w:eastAsia="Arial" w:hAnsi="Arial"/>
                <w:sz w:val="11"/>
                <w:szCs w:val="11"/>
                <w:color w:val="auto"/>
                <w:w w:val="72"/>
              </w:rPr>
              <w:t>—</w:t>
            </w:r>
          </w:p>
        </w:tc>
        <w:tc>
          <w:tcPr>
            <w:tcW w:w="3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gridSpan w:val="2"/>
          </w:tcPr>
          <w:p>
            <w:pPr>
              <w:jc w:val="right"/>
              <w:ind w:right="260"/>
              <w:spacing w:after="0" w:line="111" w:lineRule="exact"/>
              <w:rPr>
                <w:sz w:val="20"/>
                <w:szCs w:val="20"/>
                <w:color w:val="auto"/>
              </w:rPr>
            </w:pPr>
            <w:r>
              <w:rPr>
                <w:rFonts w:ascii="Arial" w:cs="Arial" w:eastAsia="Arial" w:hAnsi="Arial"/>
                <w:sz w:val="11"/>
                <w:szCs w:val="11"/>
                <w:color w:val="auto"/>
              </w:rPr>
              <w:t>(36.1)</w:t>
            </w:r>
          </w:p>
        </w:tc>
        <w:tc>
          <w:tcPr>
            <w:tcW w:w="100" w:type="dxa"/>
            <w:vAlign w:val="bottom"/>
          </w:tcPr>
          <w:p>
            <w:pPr>
              <w:spacing w:after="0"/>
              <w:rPr>
                <w:sz w:val="9"/>
                <w:szCs w:val="9"/>
                <w:color w:val="auto"/>
              </w:rPr>
            </w:pPr>
          </w:p>
        </w:tc>
        <w:tc>
          <w:tcPr>
            <w:tcW w:w="780" w:type="dxa"/>
            <w:vAlign w:val="bottom"/>
          </w:tcPr>
          <w:p>
            <w:pPr>
              <w:jc w:val="right"/>
              <w:spacing w:after="0" w:line="111" w:lineRule="exact"/>
              <w:rPr>
                <w:sz w:val="20"/>
                <w:szCs w:val="20"/>
                <w:color w:val="auto"/>
              </w:rPr>
            </w:pPr>
            <w:r>
              <w:rPr>
                <w:rFonts w:ascii="Arial" w:cs="Arial" w:eastAsia="Arial" w:hAnsi="Arial"/>
                <w:sz w:val="11"/>
                <w:szCs w:val="11"/>
                <w:color w:val="auto"/>
              </w:rPr>
              <w:t>3.8</w:t>
            </w:r>
          </w:p>
        </w:tc>
        <w:tc>
          <w:tcPr>
            <w:tcW w:w="2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jc w:val="right"/>
              <w:spacing w:after="0" w:line="111" w:lineRule="exact"/>
              <w:rPr>
                <w:sz w:val="20"/>
                <w:szCs w:val="20"/>
                <w:color w:val="auto"/>
              </w:rPr>
            </w:pPr>
            <w:r>
              <w:rPr>
                <w:rFonts w:ascii="Arial" w:cs="Arial" w:eastAsia="Arial" w:hAnsi="Arial"/>
                <w:sz w:val="11"/>
                <w:szCs w:val="11"/>
                <w:color w:val="auto"/>
              </w:rPr>
              <w:t>748.2</w:t>
            </w:r>
          </w:p>
        </w:tc>
        <w:tc>
          <w:tcPr>
            <w:tcW w:w="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4000" w:type="dxa"/>
            <w:vAlign w:val="bottom"/>
            <w:shd w:val="clear" w:color="auto" w:fill="CCEEFF"/>
          </w:tcPr>
          <w:p>
            <w:pPr>
              <w:spacing w:after="0" w:line="111" w:lineRule="exact"/>
              <w:rPr>
                <w:sz w:val="20"/>
                <w:szCs w:val="20"/>
                <w:color w:val="auto"/>
              </w:rPr>
            </w:pPr>
            <w:r>
              <w:rPr>
                <w:rFonts w:ascii="Arial" w:cs="Arial" w:eastAsia="Arial" w:hAnsi="Arial"/>
                <w:sz w:val="11"/>
                <w:szCs w:val="11"/>
                <w:color w:val="auto"/>
              </w:rPr>
              <w:t>Net loss</w:t>
            </w:r>
          </w:p>
        </w:tc>
        <w:tc>
          <w:tcPr>
            <w:tcW w:w="8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300"/>
              <w:spacing w:after="0" w:line="111"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300"/>
              <w:spacing w:after="0" w:line="111"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300"/>
              <w:spacing w:after="0" w:line="111"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300"/>
              <w:spacing w:after="0" w:line="111"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940" w:type="dxa"/>
            <w:vAlign w:val="bottom"/>
            <w:gridSpan w:val="2"/>
            <w:shd w:val="clear" w:color="auto" w:fill="CCEEFF"/>
          </w:tcPr>
          <w:p>
            <w:pPr>
              <w:jc w:val="right"/>
              <w:ind w:right="260"/>
              <w:spacing w:after="0" w:line="111" w:lineRule="exact"/>
              <w:rPr>
                <w:sz w:val="20"/>
                <w:szCs w:val="20"/>
                <w:color w:val="auto"/>
              </w:rPr>
            </w:pPr>
            <w:r>
              <w:rPr>
                <w:rFonts w:ascii="Arial" w:cs="Arial" w:eastAsia="Arial" w:hAnsi="Arial"/>
                <w:sz w:val="11"/>
                <w:szCs w:val="11"/>
                <w:color w:val="auto"/>
              </w:rPr>
              <w:t>(355.0)</w:t>
            </w:r>
          </w:p>
        </w:tc>
        <w:tc>
          <w:tcPr>
            <w:tcW w:w="100" w:type="dxa"/>
            <w:vAlign w:val="bottom"/>
            <w:shd w:val="clear" w:color="auto" w:fill="CCEEFF"/>
          </w:tcPr>
          <w:p>
            <w:pPr>
              <w:spacing w:after="0"/>
              <w:rPr>
                <w:sz w:val="9"/>
                <w:szCs w:val="9"/>
                <w:color w:val="auto"/>
              </w:rPr>
            </w:pPr>
          </w:p>
        </w:tc>
        <w:tc>
          <w:tcPr>
            <w:tcW w:w="1060" w:type="dxa"/>
            <w:vAlign w:val="bottom"/>
            <w:gridSpan w:val="2"/>
            <w:shd w:val="clear" w:color="auto" w:fill="CCEEFF"/>
          </w:tcPr>
          <w:p>
            <w:pPr>
              <w:jc w:val="right"/>
              <w:ind w:right="280"/>
              <w:spacing w:after="0" w:line="111"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780" w:type="dxa"/>
            <w:vAlign w:val="bottom"/>
            <w:gridSpan w:val="2"/>
            <w:shd w:val="clear" w:color="auto" w:fill="CCEEFF"/>
          </w:tcPr>
          <w:p>
            <w:pPr>
              <w:jc w:val="right"/>
              <w:ind w:right="60"/>
              <w:spacing w:after="0" w:line="111" w:lineRule="exact"/>
              <w:rPr>
                <w:sz w:val="20"/>
                <w:szCs w:val="20"/>
                <w:color w:val="auto"/>
              </w:rPr>
            </w:pPr>
            <w:r>
              <w:rPr>
                <w:rFonts w:ascii="Arial" w:cs="Arial" w:eastAsia="Arial" w:hAnsi="Arial"/>
                <w:sz w:val="11"/>
                <w:szCs w:val="11"/>
                <w:color w:val="auto"/>
              </w:rPr>
              <w:t>(355.0)</w:t>
            </w:r>
          </w:p>
        </w:tc>
        <w:tc>
          <w:tcPr>
            <w:tcW w:w="0" w:type="dxa"/>
            <w:vAlign w:val="bottom"/>
          </w:tcPr>
          <w:p>
            <w:pPr>
              <w:spacing w:after="0"/>
              <w:rPr>
                <w:sz w:val="1"/>
                <w:szCs w:val="1"/>
                <w:color w:val="auto"/>
              </w:rPr>
            </w:pPr>
          </w:p>
        </w:tc>
      </w:tr>
      <w:tr>
        <w:trPr>
          <w:trHeight w:val="111"/>
        </w:trPr>
        <w:tc>
          <w:tcPr>
            <w:tcW w:w="4000" w:type="dxa"/>
            <w:vAlign w:val="bottom"/>
          </w:tcPr>
          <w:p>
            <w:pPr>
              <w:spacing w:after="0" w:line="111" w:lineRule="exact"/>
              <w:rPr>
                <w:sz w:val="20"/>
                <w:szCs w:val="20"/>
                <w:color w:val="auto"/>
              </w:rPr>
            </w:pPr>
            <w:r>
              <w:rPr>
                <w:rFonts w:ascii="Arial" w:cs="Arial" w:eastAsia="Arial" w:hAnsi="Arial"/>
                <w:sz w:val="11"/>
                <w:szCs w:val="11"/>
                <w:color w:val="auto"/>
              </w:rPr>
              <w:t>Foreign currency translation</w:t>
            </w:r>
          </w:p>
        </w:tc>
        <w:tc>
          <w:tcPr>
            <w:tcW w:w="80" w:type="dxa"/>
            <w:vAlign w:val="bottom"/>
          </w:tcPr>
          <w:p>
            <w:pPr>
              <w:spacing w:after="0"/>
              <w:rPr>
                <w:sz w:val="9"/>
                <w:szCs w:val="9"/>
                <w:color w:val="auto"/>
              </w:rPr>
            </w:pPr>
          </w:p>
        </w:tc>
        <w:tc>
          <w:tcPr>
            <w:tcW w:w="640" w:type="dxa"/>
            <w:vAlign w:val="bottom"/>
            <w:gridSpan w:val="2"/>
          </w:tcPr>
          <w:p>
            <w:pPr>
              <w:jc w:val="right"/>
              <w:ind w:right="300"/>
              <w:spacing w:after="0" w:line="111"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640" w:type="dxa"/>
            <w:vAlign w:val="bottom"/>
            <w:gridSpan w:val="2"/>
          </w:tcPr>
          <w:p>
            <w:pPr>
              <w:jc w:val="right"/>
              <w:ind w:right="300"/>
              <w:spacing w:after="0" w:line="111"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720" w:type="dxa"/>
            <w:vAlign w:val="bottom"/>
            <w:gridSpan w:val="2"/>
          </w:tcPr>
          <w:p>
            <w:pPr>
              <w:jc w:val="right"/>
              <w:ind w:right="300"/>
              <w:spacing w:after="0" w:line="111"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640" w:type="dxa"/>
            <w:vAlign w:val="bottom"/>
            <w:gridSpan w:val="2"/>
          </w:tcPr>
          <w:p>
            <w:pPr>
              <w:jc w:val="right"/>
              <w:ind w:right="300"/>
              <w:spacing w:after="0" w:line="111"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940" w:type="dxa"/>
            <w:vAlign w:val="bottom"/>
            <w:gridSpan w:val="2"/>
          </w:tcPr>
          <w:p>
            <w:pPr>
              <w:jc w:val="right"/>
              <w:ind w:right="300"/>
              <w:spacing w:after="0" w:line="111"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1060" w:type="dxa"/>
            <w:vAlign w:val="bottom"/>
            <w:gridSpan w:val="2"/>
          </w:tcPr>
          <w:p>
            <w:pPr>
              <w:jc w:val="right"/>
              <w:ind w:right="240"/>
              <w:spacing w:after="0" w:line="111" w:lineRule="exact"/>
              <w:rPr>
                <w:sz w:val="20"/>
                <w:szCs w:val="20"/>
                <w:color w:val="auto"/>
              </w:rPr>
            </w:pPr>
            <w:r>
              <w:rPr>
                <w:rFonts w:ascii="Arial" w:cs="Arial" w:eastAsia="Arial" w:hAnsi="Arial"/>
                <w:sz w:val="11"/>
                <w:szCs w:val="11"/>
                <w:color w:val="auto"/>
              </w:rPr>
              <w:t>(8.5)</w:t>
            </w:r>
          </w:p>
        </w:tc>
        <w:tc>
          <w:tcPr>
            <w:tcW w:w="100" w:type="dxa"/>
            <w:vAlign w:val="bottom"/>
          </w:tcPr>
          <w:p>
            <w:pPr>
              <w:spacing w:after="0"/>
              <w:rPr>
                <w:sz w:val="9"/>
                <w:szCs w:val="9"/>
                <w:color w:val="auto"/>
              </w:rPr>
            </w:pPr>
          </w:p>
        </w:tc>
        <w:tc>
          <w:tcPr>
            <w:tcW w:w="780" w:type="dxa"/>
            <w:vAlign w:val="bottom"/>
            <w:gridSpan w:val="2"/>
          </w:tcPr>
          <w:p>
            <w:pPr>
              <w:jc w:val="right"/>
              <w:ind w:right="60"/>
              <w:spacing w:after="0" w:line="111" w:lineRule="exact"/>
              <w:rPr>
                <w:sz w:val="20"/>
                <w:szCs w:val="20"/>
                <w:color w:val="auto"/>
              </w:rPr>
            </w:pPr>
            <w:r>
              <w:rPr>
                <w:rFonts w:ascii="Arial" w:cs="Arial" w:eastAsia="Arial" w:hAnsi="Arial"/>
                <w:sz w:val="11"/>
                <w:szCs w:val="11"/>
                <w:color w:val="auto"/>
              </w:rPr>
              <w:t>(8.5)</w:t>
            </w:r>
          </w:p>
        </w:tc>
        <w:tc>
          <w:tcPr>
            <w:tcW w:w="0" w:type="dxa"/>
            <w:vAlign w:val="bottom"/>
          </w:tcPr>
          <w:p>
            <w:pPr>
              <w:spacing w:after="0"/>
              <w:rPr>
                <w:sz w:val="1"/>
                <w:szCs w:val="1"/>
                <w:color w:val="auto"/>
              </w:rPr>
            </w:pPr>
          </w:p>
        </w:tc>
      </w:tr>
      <w:tr>
        <w:trPr>
          <w:trHeight w:val="111"/>
        </w:trPr>
        <w:tc>
          <w:tcPr>
            <w:tcW w:w="4000" w:type="dxa"/>
            <w:vAlign w:val="bottom"/>
            <w:shd w:val="clear" w:color="auto" w:fill="CCEEFF"/>
          </w:tcPr>
          <w:p>
            <w:pPr>
              <w:spacing w:after="0" w:line="111" w:lineRule="exact"/>
              <w:rPr>
                <w:sz w:val="20"/>
                <w:szCs w:val="20"/>
                <w:color w:val="auto"/>
              </w:rPr>
            </w:pPr>
            <w:r>
              <w:rPr>
                <w:rFonts w:ascii="Arial" w:cs="Arial" w:eastAsia="Arial" w:hAnsi="Arial"/>
                <w:sz w:val="11"/>
                <w:szCs w:val="11"/>
                <w:color w:val="auto"/>
              </w:rPr>
              <w:t>Net unrealized loss on hedging activities</w:t>
            </w:r>
          </w:p>
        </w:tc>
        <w:tc>
          <w:tcPr>
            <w:tcW w:w="8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300"/>
              <w:spacing w:after="0" w:line="111"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300"/>
              <w:spacing w:after="0" w:line="111"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300"/>
              <w:spacing w:after="0" w:line="111"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300"/>
              <w:spacing w:after="0" w:line="111"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940" w:type="dxa"/>
            <w:vAlign w:val="bottom"/>
            <w:gridSpan w:val="2"/>
            <w:shd w:val="clear" w:color="auto" w:fill="CCEEFF"/>
          </w:tcPr>
          <w:p>
            <w:pPr>
              <w:jc w:val="right"/>
              <w:ind w:right="300"/>
              <w:spacing w:after="0" w:line="111"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1060" w:type="dxa"/>
            <w:vAlign w:val="bottom"/>
            <w:gridSpan w:val="2"/>
            <w:shd w:val="clear" w:color="auto" w:fill="CCEEFF"/>
          </w:tcPr>
          <w:p>
            <w:pPr>
              <w:jc w:val="right"/>
              <w:ind w:right="240"/>
              <w:spacing w:after="0" w:line="111" w:lineRule="exact"/>
              <w:rPr>
                <w:sz w:val="20"/>
                <w:szCs w:val="20"/>
                <w:color w:val="auto"/>
              </w:rPr>
            </w:pPr>
            <w:r>
              <w:rPr>
                <w:rFonts w:ascii="Arial" w:cs="Arial" w:eastAsia="Arial" w:hAnsi="Arial"/>
                <w:sz w:val="11"/>
                <w:szCs w:val="11"/>
                <w:color w:val="auto"/>
              </w:rPr>
              <w:t>(0.1)</w:t>
            </w:r>
          </w:p>
        </w:tc>
        <w:tc>
          <w:tcPr>
            <w:tcW w:w="100" w:type="dxa"/>
            <w:vAlign w:val="bottom"/>
            <w:shd w:val="clear" w:color="auto" w:fill="CCEEFF"/>
          </w:tcPr>
          <w:p>
            <w:pPr>
              <w:spacing w:after="0"/>
              <w:rPr>
                <w:sz w:val="9"/>
                <w:szCs w:val="9"/>
                <w:color w:val="auto"/>
              </w:rPr>
            </w:pPr>
          </w:p>
        </w:tc>
        <w:tc>
          <w:tcPr>
            <w:tcW w:w="780" w:type="dxa"/>
            <w:vAlign w:val="bottom"/>
            <w:gridSpan w:val="2"/>
            <w:shd w:val="clear" w:color="auto" w:fill="CCEEFF"/>
          </w:tcPr>
          <w:p>
            <w:pPr>
              <w:jc w:val="right"/>
              <w:ind w:right="60"/>
              <w:spacing w:after="0" w:line="111" w:lineRule="exact"/>
              <w:rPr>
                <w:sz w:val="20"/>
                <w:szCs w:val="20"/>
                <w:color w:val="auto"/>
              </w:rPr>
            </w:pPr>
            <w:r>
              <w:rPr>
                <w:rFonts w:ascii="Arial" w:cs="Arial" w:eastAsia="Arial" w:hAnsi="Arial"/>
                <w:sz w:val="11"/>
                <w:szCs w:val="11"/>
                <w:color w:val="auto"/>
              </w:rPr>
              <w:t>(0.1)</w:t>
            </w:r>
          </w:p>
        </w:tc>
        <w:tc>
          <w:tcPr>
            <w:tcW w:w="0" w:type="dxa"/>
            <w:vAlign w:val="bottom"/>
          </w:tcPr>
          <w:p>
            <w:pPr>
              <w:spacing w:after="0"/>
              <w:rPr>
                <w:sz w:val="1"/>
                <w:szCs w:val="1"/>
                <w:color w:val="auto"/>
              </w:rPr>
            </w:pPr>
          </w:p>
        </w:tc>
      </w:tr>
      <w:tr>
        <w:trPr>
          <w:trHeight w:val="20"/>
        </w:trPr>
        <w:tc>
          <w:tcPr>
            <w:tcW w:w="4000" w:type="dxa"/>
            <w:vAlign w:val="bottom"/>
            <w:vMerge w:val="restart"/>
          </w:tcPr>
          <w:p>
            <w:pPr>
              <w:spacing w:after="0"/>
              <w:rPr>
                <w:sz w:val="20"/>
                <w:szCs w:val="20"/>
                <w:color w:val="auto"/>
              </w:rPr>
            </w:pPr>
            <w:r>
              <w:rPr>
                <w:rFonts w:ascii="Arial" w:cs="Arial" w:eastAsia="Arial" w:hAnsi="Arial"/>
                <w:sz w:val="11"/>
                <w:szCs w:val="11"/>
                <w:color w:val="auto"/>
              </w:rPr>
              <w:t>Comprehensive loss</w:t>
            </w: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40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2"/>
          </w:tcPr>
          <w:p>
            <w:pPr>
              <w:jc w:val="right"/>
              <w:ind w:right="60"/>
              <w:spacing w:after="0" w:line="111" w:lineRule="exact"/>
              <w:rPr>
                <w:sz w:val="20"/>
                <w:szCs w:val="20"/>
                <w:color w:val="auto"/>
              </w:rPr>
            </w:pPr>
            <w:r>
              <w:rPr>
                <w:rFonts w:ascii="Arial" w:cs="Arial" w:eastAsia="Arial" w:hAnsi="Arial"/>
                <w:sz w:val="11"/>
                <w:szCs w:val="11"/>
                <w:color w:val="auto"/>
              </w:rPr>
              <w:t>(363.6)</w:t>
            </w:r>
          </w:p>
        </w:tc>
        <w:tc>
          <w:tcPr>
            <w:tcW w:w="0" w:type="dxa"/>
            <w:vAlign w:val="bottom"/>
          </w:tcPr>
          <w:p>
            <w:pPr>
              <w:spacing w:after="0"/>
              <w:rPr>
                <w:sz w:val="1"/>
                <w:szCs w:val="1"/>
                <w:color w:val="auto"/>
              </w:rPr>
            </w:pPr>
          </w:p>
        </w:tc>
      </w:tr>
      <w:tr>
        <w:trPr>
          <w:trHeight w:val="111"/>
        </w:trPr>
        <w:tc>
          <w:tcPr>
            <w:tcW w:w="4000" w:type="dxa"/>
            <w:vAlign w:val="bottom"/>
            <w:shd w:val="clear" w:color="auto" w:fill="CCEEFF"/>
          </w:tcPr>
          <w:p>
            <w:pPr>
              <w:spacing w:after="0" w:line="111" w:lineRule="exact"/>
              <w:rPr>
                <w:sz w:val="20"/>
                <w:szCs w:val="20"/>
                <w:color w:val="auto"/>
              </w:rPr>
            </w:pPr>
            <w:r>
              <w:rPr>
                <w:rFonts w:ascii="Arial" w:cs="Arial" w:eastAsia="Arial" w:hAnsi="Arial"/>
                <w:sz w:val="11"/>
                <w:szCs w:val="11"/>
                <w:color w:val="auto"/>
              </w:rPr>
              <w:t>Adjustment to capital from Harris Corporation</w:t>
            </w:r>
          </w:p>
        </w:tc>
        <w:tc>
          <w:tcPr>
            <w:tcW w:w="8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300"/>
              <w:spacing w:after="0" w:line="111"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300"/>
              <w:spacing w:after="0" w:line="111"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300"/>
              <w:spacing w:after="0" w:line="111" w:lineRule="exact"/>
              <w:rPr>
                <w:sz w:val="20"/>
                <w:szCs w:val="20"/>
                <w:color w:val="auto"/>
              </w:rPr>
            </w:pPr>
            <w:r>
              <w:rPr>
                <w:rFonts w:ascii="Arial" w:cs="Arial" w:eastAsia="Arial" w:hAnsi="Arial"/>
                <w:sz w:val="11"/>
                <w:szCs w:val="11"/>
                <w:color w:val="auto"/>
              </w:rPr>
              <w:t>0.5</w:t>
            </w:r>
          </w:p>
        </w:tc>
        <w:tc>
          <w:tcPr>
            <w:tcW w:w="6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300"/>
              <w:spacing w:after="0" w:line="111"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940" w:type="dxa"/>
            <w:vAlign w:val="bottom"/>
            <w:gridSpan w:val="2"/>
            <w:shd w:val="clear" w:color="auto" w:fill="CCEEFF"/>
          </w:tcPr>
          <w:p>
            <w:pPr>
              <w:jc w:val="right"/>
              <w:ind w:right="300"/>
              <w:spacing w:after="0" w:line="111"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1060" w:type="dxa"/>
            <w:vAlign w:val="bottom"/>
            <w:gridSpan w:val="2"/>
            <w:shd w:val="clear" w:color="auto" w:fill="CCEEFF"/>
          </w:tcPr>
          <w:p>
            <w:pPr>
              <w:jc w:val="right"/>
              <w:ind w:right="280"/>
              <w:spacing w:after="0" w:line="111"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780" w:type="dxa"/>
            <w:vAlign w:val="bottom"/>
            <w:gridSpan w:val="2"/>
            <w:shd w:val="clear" w:color="auto" w:fill="CCEEFF"/>
          </w:tcPr>
          <w:p>
            <w:pPr>
              <w:jc w:val="right"/>
              <w:ind w:right="80"/>
              <w:spacing w:after="0" w:line="111" w:lineRule="exact"/>
              <w:rPr>
                <w:sz w:val="20"/>
                <w:szCs w:val="20"/>
                <w:color w:val="auto"/>
              </w:rPr>
            </w:pPr>
            <w:r>
              <w:rPr>
                <w:rFonts w:ascii="Arial" w:cs="Arial" w:eastAsia="Arial" w:hAnsi="Arial"/>
                <w:sz w:val="11"/>
                <w:szCs w:val="11"/>
                <w:color w:val="auto"/>
              </w:rPr>
              <w:t>0.5</w:t>
            </w:r>
          </w:p>
        </w:tc>
        <w:tc>
          <w:tcPr>
            <w:tcW w:w="0" w:type="dxa"/>
            <w:vAlign w:val="bottom"/>
          </w:tcPr>
          <w:p>
            <w:pPr>
              <w:spacing w:after="0"/>
              <w:rPr>
                <w:sz w:val="1"/>
                <w:szCs w:val="1"/>
                <w:color w:val="auto"/>
              </w:rPr>
            </w:pPr>
          </w:p>
        </w:tc>
      </w:tr>
      <w:tr>
        <w:trPr>
          <w:trHeight w:val="111"/>
        </w:trPr>
        <w:tc>
          <w:tcPr>
            <w:tcW w:w="4000" w:type="dxa"/>
            <w:vAlign w:val="bottom"/>
          </w:tcPr>
          <w:p>
            <w:pPr>
              <w:spacing w:after="0" w:line="111" w:lineRule="exact"/>
              <w:rPr>
                <w:sz w:val="20"/>
                <w:szCs w:val="20"/>
                <w:color w:val="auto"/>
              </w:rPr>
            </w:pPr>
            <w:r>
              <w:rPr>
                <w:rFonts w:ascii="Arial" w:cs="Arial" w:eastAsia="Arial" w:hAnsi="Arial"/>
                <w:sz w:val="11"/>
                <w:szCs w:val="11"/>
                <w:color w:val="auto"/>
              </w:rPr>
              <w:t>Employee stock option exercises, net of tax (688 shares)</w:t>
            </w:r>
          </w:p>
        </w:tc>
        <w:tc>
          <w:tcPr>
            <w:tcW w:w="80" w:type="dxa"/>
            <w:vAlign w:val="bottom"/>
          </w:tcPr>
          <w:p>
            <w:pPr>
              <w:spacing w:after="0"/>
              <w:rPr>
                <w:sz w:val="9"/>
                <w:szCs w:val="9"/>
                <w:color w:val="auto"/>
              </w:rPr>
            </w:pPr>
          </w:p>
        </w:tc>
        <w:tc>
          <w:tcPr>
            <w:tcW w:w="640" w:type="dxa"/>
            <w:vAlign w:val="bottom"/>
            <w:gridSpan w:val="2"/>
          </w:tcPr>
          <w:p>
            <w:pPr>
              <w:jc w:val="right"/>
              <w:ind w:right="300"/>
              <w:spacing w:after="0" w:line="111"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640" w:type="dxa"/>
            <w:vAlign w:val="bottom"/>
            <w:gridSpan w:val="2"/>
          </w:tcPr>
          <w:p>
            <w:pPr>
              <w:jc w:val="right"/>
              <w:ind w:right="300"/>
              <w:spacing w:after="0" w:line="111"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720" w:type="dxa"/>
            <w:vAlign w:val="bottom"/>
            <w:gridSpan w:val="2"/>
          </w:tcPr>
          <w:p>
            <w:pPr>
              <w:jc w:val="right"/>
              <w:ind w:right="300"/>
              <w:spacing w:after="0" w:line="111"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640" w:type="dxa"/>
            <w:vAlign w:val="bottom"/>
            <w:gridSpan w:val="2"/>
          </w:tcPr>
          <w:p>
            <w:pPr>
              <w:jc w:val="right"/>
              <w:ind w:right="300"/>
              <w:spacing w:after="0" w:line="111"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940" w:type="dxa"/>
            <w:vAlign w:val="bottom"/>
            <w:gridSpan w:val="2"/>
          </w:tcPr>
          <w:p>
            <w:pPr>
              <w:jc w:val="right"/>
              <w:ind w:right="300"/>
              <w:spacing w:after="0" w:line="111"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1060" w:type="dxa"/>
            <w:vAlign w:val="bottom"/>
            <w:gridSpan w:val="2"/>
          </w:tcPr>
          <w:p>
            <w:pPr>
              <w:jc w:val="right"/>
              <w:ind w:right="280"/>
              <w:spacing w:after="0" w:line="111"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780" w:type="dxa"/>
            <w:vAlign w:val="bottom"/>
            <w:gridSpan w:val="2"/>
          </w:tcPr>
          <w:p>
            <w:pPr>
              <w:jc w:val="right"/>
              <w:ind w:right="80"/>
              <w:spacing w:after="0" w:line="111"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1"/>
        </w:trPr>
        <w:tc>
          <w:tcPr>
            <w:tcW w:w="4000" w:type="dxa"/>
            <w:vAlign w:val="bottom"/>
            <w:shd w:val="clear" w:color="auto" w:fill="CCEEFF"/>
          </w:tcPr>
          <w:p>
            <w:pPr>
              <w:spacing w:after="0" w:line="111" w:lineRule="exact"/>
              <w:rPr>
                <w:sz w:val="20"/>
                <w:szCs w:val="20"/>
                <w:color w:val="auto"/>
              </w:rPr>
            </w:pPr>
            <w:r>
              <w:rPr>
                <w:rFonts w:ascii="Arial" w:cs="Arial" w:eastAsia="Arial" w:hAnsi="Arial"/>
                <w:sz w:val="11"/>
                <w:szCs w:val="11"/>
                <w:color w:val="auto"/>
              </w:rPr>
              <w:t>Conversion of 32,913,377 Class B shares to Class A shares</w:t>
            </w:r>
          </w:p>
        </w:tc>
        <w:tc>
          <w:tcPr>
            <w:tcW w:w="8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300"/>
              <w:spacing w:after="0" w:line="111" w:lineRule="exact"/>
              <w:rPr>
                <w:sz w:val="20"/>
                <w:szCs w:val="20"/>
                <w:color w:val="auto"/>
              </w:rPr>
            </w:pPr>
            <w:r>
              <w:rPr>
                <w:rFonts w:ascii="Arial" w:cs="Arial" w:eastAsia="Arial" w:hAnsi="Arial"/>
                <w:sz w:val="11"/>
                <w:szCs w:val="11"/>
                <w:color w:val="auto"/>
              </w:rPr>
              <w:t>0.3</w:t>
            </w:r>
          </w:p>
        </w:tc>
        <w:tc>
          <w:tcPr>
            <w:tcW w:w="6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260"/>
              <w:spacing w:after="0" w:line="111" w:lineRule="exact"/>
              <w:rPr>
                <w:sz w:val="20"/>
                <w:szCs w:val="20"/>
                <w:color w:val="auto"/>
              </w:rPr>
            </w:pPr>
            <w:r>
              <w:rPr>
                <w:rFonts w:ascii="Arial" w:cs="Arial" w:eastAsia="Arial" w:hAnsi="Arial"/>
                <w:sz w:val="11"/>
                <w:szCs w:val="11"/>
                <w:color w:val="auto"/>
              </w:rPr>
              <w:t>(0.3)</w:t>
            </w:r>
          </w:p>
        </w:tc>
        <w:tc>
          <w:tcPr>
            <w:tcW w:w="8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300"/>
              <w:spacing w:after="0" w:line="111"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300"/>
              <w:spacing w:after="0" w:line="111"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940" w:type="dxa"/>
            <w:vAlign w:val="bottom"/>
            <w:gridSpan w:val="2"/>
            <w:shd w:val="clear" w:color="auto" w:fill="CCEEFF"/>
          </w:tcPr>
          <w:p>
            <w:pPr>
              <w:jc w:val="right"/>
              <w:ind w:right="300"/>
              <w:spacing w:after="0" w:line="111"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1060" w:type="dxa"/>
            <w:vAlign w:val="bottom"/>
            <w:gridSpan w:val="2"/>
            <w:shd w:val="clear" w:color="auto" w:fill="CCEEFF"/>
          </w:tcPr>
          <w:p>
            <w:pPr>
              <w:jc w:val="right"/>
              <w:ind w:right="280"/>
              <w:spacing w:after="0" w:line="111"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780" w:type="dxa"/>
            <w:vAlign w:val="bottom"/>
            <w:gridSpan w:val="2"/>
            <w:shd w:val="clear" w:color="auto" w:fill="CCEEFF"/>
          </w:tcPr>
          <w:p>
            <w:pPr>
              <w:jc w:val="right"/>
              <w:ind w:right="80"/>
              <w:spacing w:after="0" w:line="111"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1"/>
        </w:trPr>
        <w:tc>
          <w:tcPr>
            <w:tcW w:w="4000" w:type="dxa"/>
            <w:vAlign w:val="bottom"/>
          </w:tcPr>
          <w:p>
            <w:pPr>
              <w:spacing w:after="0" w:line="111" w:lineRule="exact"/>
              <w:rPr>
                <w:sz w:val="20"/>
                <w:szCs w:val="20"/>
                <w:color w:val="auto"/>
              </w:rPr>
            </w:pPr>
            <w:r>
              <w:rPr>
                <w:rFonts w:ascii="Arial" w:cs="Arial" w:eastAsia="Arial" w:hAnsi="Arial"/>
                <w:sz w:val="11"/>
                <w:szCs w:val="11"/>
                <w:color w:val="auto"/>
              </w:rPr>
              <w:t>Compensatory stock awards (432,978 shares)</w:t>
            </w:r>
          </w:p>
        </w:tc>
        <w:tc>
          <w:tcPr>
            <w:tcW w:w="80" w:type="dxa"/>
            <w:vAlign w:val="bottom"/>
          </w:tcPr>
          <w:p>
            <w:pPr>
              <w:spacing w:after="0"/>
              <w:rPr>
                <w:sz w:val="9"/>
                <w:szCs w:val="9"/>
                <w:color w:val="auto"/>
              </w:rPr>
            </w:pPr>
          </w:p>
        </w:tc>
        <w:tc>
          <w:tcPr>
            <w:tcW w:w="640" w:type="dxa"/>
            <w:vAlign w:val="bottom"/>
            <w:gridSpan w:val="2"/>
          </w:tcPr>
          <w:p>
            <w:pPr>
              <w:jc w:val="right"/>
              <w:ind w:right="300"/>
              <w:spacing w:after="0" w:line="111"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640" w:type="dxa"/>
            <w:vAlign w:val="bottom"/>
            <w:gridSpan w:val="2"/>
          </w:tcPr>
          <w:p>
            <w:pPr>
              <w:jc w:val="right"/>
              <w:ind w:right="300"/>
              <w:spacing w:after="0" w:line="111"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720" w:type="dxa"/>
            <w:vAlign w:val="bottom"/>
            <w:gridSpan w:val="2"/>
          </w:tcPr>
          <w:p>
            <w:pPr>
              <w:jc w:val="right"/>
              <w:ind w:right="300"/>
              <w:spacing w:after="0" w:line="111" w:lineRule="exact"/>
              <w:rPr>
                <w:sz w:val="20"/>
                <w:szCs w:val="20"/>
                <w:color w:val="auto"/>
              </w:rPr>
            </w:pPr>
            <w:r>
              <w:rPr>
                <w:rFonts w:ascii="Arial" w:cs="Arial" w:eastAsia="Arial" w:hAnsi="Arial"/>
                <w:sz w:val="11"/>
                <w:szCs w:val="11"/>
                <w:color w:val="auto"/>
              </w:rPr>
              <w:t>2.8</w:t>
            </w:r>
          </w:p>
        </w:tc>
        <w:tc>
          <w:tcPr>
            <w:tcW w:w="60" w:type="dxa"/>
            <w:vAlign w:val="bottom"/>
          </w:tcPr>
          <w:p>
            <w:pPr>
              <w:spacing w:after="0"/>
              <w:rPr>
                <w:sz w:val="9"/>
                <w:szCs w:val="9"/>
                <w:color w:val="auto"/>
              </w:rPr>
            </w:pPr>
          </w:p>
        </w:tc>
        <w:tc>
          <w:tcPr>
            <w:tcW w:w="640" w:type="dxa"/>
            <w:vAlign w:val="bottom"/>
            <w:gridSpan w:val="2"/>
          </w:tcPr>
          <w:p>
            <w:pPr>
              <w:jc w:val="right"/>
              <w:ind w:right="300"/>
              <w:spacing w:after="0" w:line="111"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940" w:type="dxa"/>
            <w:vAlign w:val="bottom"/>
            <w:gridSpan w:val="2"/>
          </w:tcPr>
          <w:p>
            <w:pPr>
              <w:jc w:val="right"/>
              <w:ind w:right="300"/>
              <w:spacing w:after="0" w:line="111"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1060" w:type="dxa"/>
            <w:vAlign w:val="bottom"/>
            <w:gridSpan w:val="2"/>
          </w:tcPr>
          <w:p>
            <w:pPr>
              <w:jc w:val="right"/>
              <w:ind w:right="280"/>
              <w:spacing w:after="0" w:line="111"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780" w:type="dxa"/>
            <w:vAlign w:val="bottom"/>
            <w:gridSpan w:val="2"/>
          </w:tcPr>
          <w:p>
            <w:pPr>
              <w:jc w:val="right"/>
              <w:ind w:right="80"/>
              <w:spacing w:after="0" w:line="111" w:lineRule="exact"/>
              <w:rPr>
                <w:sz w:val="20"/>
                <w:szCs w:val="20"/>
                <w:color w:val="auto"/>
              </w:rPr>
            </w:pPr>
            <w:r>
              <w:rPr>
                <w:rFonts w:ascii="Arial" w:cs="Arial" w:eastAsia="Arial" w:hAnsi="Arial"/>
                <w:sz w:val="11"/>
                <w:szCs w:val="11"/>
                <w:color w:val="auto"/>
              </w:rPr>
              <w:t>2.8</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4000" w:type="dxa"/>
            <w:vAlign w:val="bottom"/>
            <w:shd w:val="clear" w:color="auto" w:fill="CCEEFF"/>
          </w:tcPr>
          <w:p>
            <w:pPr>
              <w:spacing w:after="0" w:line="111" w:lineRule="exact"/>
              <w:rPr>
                <w:sz w:val="20"/>
                <w:szCs w:val="20"/>
                <w:color w:val="auto"/>
              </w:rPr>
            </w:pPr>
            <w:r>
              <w:rPr>
                <w:rFonts w:ascii="Arial" w:cs="Arial" w:eastAsia="Arial" w:hAnsi="Arial"/>
                <w:sz w:val="11"/>
                <w:szCs w:val="11"/>
                <w:color w:val="auto"/>
              </w:rPr>
              <w:t>Balance as of July 3, 2009</w:t>
            </w:r>
          </w:p>
        </w:tc>
        <w:tc>
          <w:tcPr>
            <w:tcW w:w="8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300"/>
              <w:spacing w:after="0" w:line="111" w:lineRule="exact"/>
              <w:rPr>
                <w:sz w:val="20"/>
                <w:szCs w:val="20"/>
                <w:color w:val="auto"/>
              </w:rPr>
            </w:pPr>
            <w:r>
              <w:rPr>
                <w:rFonts w:ascii="Arial" w:cs="Arial" w:eastAsia="Arial" w:hAnsi="Arial"/>
                <w:sz w:val="11"/>
                <w:szCs w:val="11"/>
                <w:color w:val="auto"/>
              </w:rPr>
              <w:t>0.6</w:t>
            </w:r>
          </w:p>
        </w:tc>
        <w:tc>
          <w:tcPr>
            <w:tcW w:w="60" w:type="dxa"/>
            <w:vAlign w:val="bottom"/>
            <w:shd w:val="clear" w:color="auto" w:fill="CCEEFF"/>
          </w:tcPr>
          <w:p>
            <w:pPr>
              <w:spacing w:after="0" w:line="111" w:lineRule="exact"/>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300"/>
              <w:spacing w:after="0" w:line="111"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300"/>
              <w:spacing w:after="0" w:line="111" w:lineRule="exact"/>
              <w:rPr>
                <w:sz w:val="20"/>
                <w:szCs w:val="20"/>
                <w:color w:val="auto"/>
              </w:rPr>
            </w:pPr>
            <w:r>
              <w:rPr>
                <w:rFonts w:ascii="Arial" w:cs="Arial" w:eastAsia="Arial" w:hAnsi="Arial"/>
                <w:sz w:val="11"/>
                <w:szCs w:val="11"/>
                <w:color w:val="auto"/>
              </w:rPr>
              <w:t>783.2</w:t>
            </w:r>
          </w:p>
        </w:tc>
        <w:tc>
          <w:tcPr>
            <w:tcW w:w="6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300"/>
              <w:spacing w:after="0" w:line="111"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jc w:val="center"/>
              <w:spacing w:after="0" w:line="111" w:lineRule="exact"/>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260"/>
              <w:spacing w:after="0" w:line="111" w:lineRule="exact"/>
              <w:rPr>
                <w:sz w:val="20"/>
                <w:szCs w:val="20"/>
                <w:color w:val="auto"/>
              </w:rPr>
            </w:pPr>
            <w:r>
              <w:rPr>
                <w:rFonts w:ascii="Arial" w:cs="Arial" w:eastAsia="Arial" w:hAnsi="Arial"/>
                <w:sz w:val="11"/>
                <w:szCs w:val="11"/>
                <w:color w:val="auto"/>
              </w:rPr>
              <w:t>(391.1)</w:t>
            </w:r>
          </w:p>
        </w:tc>
        <w:tc>
          <w:tcPr>
            <w:tcW w:w="10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240"/>
              <w:spacing w:after="0" w:line="111" w:lineRule="exact"/>
              <w:rPr>
                <w:sz w:val="20"/>
                <w:szCs w:val="20"/>
                <w:color w:val="auto"/>
              </w:rPr>
            </w:pPr>
            <w:r>
              <w:rPr>
                <w:rFonts w:ascii="Arial" w:cs="Arial" w:eastAsia="Arial" w:hAnsi="Arial"/>
                <w:sz w:val="11"/>
                <w:szCs w:val="11"/>
                <w:color w:val="auto"/>
              </w:rPr>
              <w:t>(4.8)</w:t>
            </w:r>
          </w:p>
        </w:tc>
        <w:tc>
          <w:tcPr>
            <w:tcW w:w="10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80"/>
              <w:spacing w:after="0" w:line="111" w:lineRule="exact"/>
              <w:rPr>
                <w:sz w:val="20"/>
                <w:szCs w:val="20"/>
                <w:color w:val="auto"/>
              </w:rPr>
            </w:pPr>
            <w:r>
              <w:rPr>
                <w:rFonts w:ascii="Arial" w:cs="Arial" w:eastAsia="Arial" w:hAnsi="Arial"/>
                <w:sz w:val="11"/>
                <w:szCs w:val="11"/>
                <w:color w:val="auto"/>
              </w:rPr>
              <w:t>387.9</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ind w:left="3980"/>
        <w:spacing w:after="0"/>
        <w:rPr>
          <w:sz w:val="20"/>
          <w:szCs w:val="20"/>
          <w:color w:val="auto"/>
        </w:rPr>
      </w:pPr>
      <w:r>
        <w:rPr>
          <w:rFonts w:ascii="Arial" w:cs="Arial" w:eastAsia="Arial" w:hAnsi="Arial"/>
          <w:sz w:val="13"/>
          <w:szCs w:val="13"/>
          <w:color w:val="auto"/>
        </w:rPr>
        <w:t>See accompanying Notes to Consolidated Financial Statements</w:t>
      </w:r>
    </w:p>
    <w:p>
      <w:pPr>
        <w:spacing w:after="0" w:line="31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65" w:name="page66"/>
    <w:bookmarkEnd w:id="6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63"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HARRIS STRATEX NETWORKS, INC. AND SUBSIDIARIES</w:t>
      </w:r>
    </w:p>
    <w:p>
      <w:pPr>
        <w:spacing w:after="0" w:line="102" w:lineRule="exact"/>
        <w:rPr>
          <w:sz w:val="20"/>
          <w:szCs w:val="20"/>
          <w:color w:val="auto"/>
        </w:rPr>
      </w:pPr>
    </w:p>
    <w:p>
      <w:pPr>
        <w:ind w:left="3920"/>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02" w:lineRule="exact"/>
        <w:rPr>
          <w:sz w:val="20"/>
          <w:szCs w:val="20"/>
          <w:color w:val="auto"/>
        </w:rPr>
      </w:pPr>
    </w:p>
    <w:p>
      <w:pPr>
        <w:ind w:left="4300"/>
        <w:spacing w:after="0"/>
        <w:rPr>
          <w:sz w:val="20"/>
          <w:szCs w:val="20"/>
          <w:color w:val="auto"/>
        </w:rPr>
      </w:pPr>
      <w:r>
        <w:rPr>
          <w:rFonts w:ascii="Arial" w:cs="Arial" w:eastAsia="Arial" w:hAnsi="Arial"/>
          <w:sz w:val="13"/>
          <w:szCs w:val="13"/>
          <w:b w:val="1"/>
          <w:bCs w:val="1"/>
          <w:color w:val="auto"/>
        </w:rPr>
        <w:t>AS OF JULY 3, 2009 AND JUNE 27, 2008 AND</w:t>
      </w:r>
    </w:p>
    <w:p>
      <w:pPr>
        <w:spacing w:after="0" w:line="24" w:lineRule="exact"/>
        <w:rPr>
          <w:sz w:val="20"/>
          <w:szCs w:val="20"/>
          <w:color w:val="auto"/>
        </w:rPr>
      </w:pPr>
    </w:p>
    <w:p>
      <w:pPr>
        <w:ind w:left="3120"/>
        <w:spacing w:after="0"/>
        <w:rPr>
          <w:sz w:val="20"/>
          <w:szCs w:val="20"/>
          <w:color w:val="auto"/>
        </w:rPr>
      </w:pPr>
      <w:r>
        <w:rPr>
          <w:rFonts w:ascii="Arial" w:cs="Arial" w:eastAsia="Arial" w:hAnsi="Arial"/>
          <w:sz w:val="13"/>
          <w:szCs w:val="13"/>
          <w:b w:val="1"/>
          <w:bCs w:val="1"/>
          <w:color w:val="auto"/>
        </w:rPr>
        <w:t>FOR EACH OF THE THREE FISCAL YEARS IN THE PERIOD ENDED JULY 3, 2009</w:t>
      </w:r>
    </w:p>
    <w:p>
      <w:pPr>
        <w:spacing w:after="0" w:line="171"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Note A —</w:t>
      </w:r>
      <w:r>
        <w:rPr>
          <w:sz w:val="20"/>
          <w:szCs w:val="20"/>
          <w:color w:val="auto"/>
        </w:rPr>
        <w:tab/>
      </w:r>
      <w:r>
        <w:rPr>
          <w:rFonts w:ascii="Arial" w:cs="Arial" w:eastAsia="Arial" w:hAnsi="Arial"/>
          <w:sz w:val="11"/>
          <w:szCs w:val="11"/>
          <w:b w:val="1"/>
          <w:bCs w:val="1"/>
          <w:color w:val="auto"/>
        </w:rPr>
        <w:t>Nature of Operations and Basis of Presentation</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Harris Stratex Networks, Inc. may be referred to as the “Company,” “HSTX,” “Harris Stratex,” “we,” “us” and “our” in these Notes to Consolidated Financial Statements.</w:t>
      </w:r>
    </w:p>
    <w:p>
      <w:pPr>
        <w:spacing w:after="0" w:line="102" w:lineRule="exact"/>
        <w:rPr>
          <w:sz w:val="20"/>
          <w:szCs w:val="20"/>
          <w:color w:val="auto"/>
        </w:rPr>
      </w:pPr>
    </w:p>
    <w:p>
      <w:pPr>
        <w:ind w:left="680" w:right="220" w:firstLine="399"/>
        <w:spacing w:after="0" w:line="267" w:lineRule="auto"/>
        <w:rPr>
          <w:sz w:val="20"/>
          <w:szCs w:val="20"/>
          <w:color w:val="auto"/>
        </w:rPr>
      </w:pPr>
      <w:r>
        <w:rPr>
          <w:rFonts w:ascii="Arial" w:cs="Arial" w:eastAsia="Arial" w:hAnsi="Arial"/>
          <w:sz w:val="13"/>
          <w:szCs w:val="13"/>
          <w:i w:val="1"/>
          <w:iCs w:val="1"/>
          <w:color w:val="auto"/>
        </w:rPr>
        <w:t xml:space="preserve">Nature of Operations </w:t>
      </w:r>
      <w:r>
        <w:rPr>
          <w:rFonts w:ascii="Arial" w:cs="Arial" w:eastAsia="Arial" w:hAnsi="Arial"/>
          <w:sz w:val="13"/>
          <w:szCs w:val="13"/>
          <w:color w:val="auto"/>
        </w:rPr>
        <w:t>— We design, manufacture and sell a broad range of microwave radios, scalable wireless network solutions and vertical market solutions for use in</w:t>
      </w:r>
      <w:r>
        <w:rPr>
          <w:rFonts w:ascii="Arial" w:cs="Arial" w:eastAsia="Arial" w:hAnsi="Arial"/>
          <w:sz w:val="13"/>
          <w:szCs w:val="13"/>
          <w:i w:val="1"/>
          <w:iCs w:val="1"/>
          <w:color w:val="auto"/>
        </w:rPr>
        <w:t xml:space="preserve"> </w:t>
      </w:r>
      <w:r>
        <w:rPr>
          <w:rFonts w:ascii="Arial" w:cs="Arial" w:eastAsia="Arial" w:hAnsi="Arial"/>
          <w:sz w:val="13"/>
          <w:szCs w:val="13"/>
          <w:color w:val="auto"/>
        </w:rPr>
        <w:t>worldwide wireless and wireline communications networks. Applications include cellular/mobile infrastructure connectivity; WiMAX networks and energy and security solutions; secure data networks; public safety transport for state, local and federal government users; and right-of-way connectivity for utilities, pipelines, railroads and industrial companies. In general, wireless networks are constructed using microwave radios and other equipment and network management solutions to connect cell sites, fixed-access facilities, switching systems, land mobile radio systems and other similar systems.</w:t>
      </w:r>
    </w:p>
    <w:p>
      <w:pPr>
        <w:spacing w:after="0" w:line="65" w:lineRule="exact"/>
        <w:rPr>
          <w:sz w:val="20"/>
          <w:szCs w:val="20"/>
          <w:color w:val="auto"/>
        </w:rPr>
      </w:pPr>
    </w:p>
    <w:p>
      <w:pPr>
        <w:ind w:left="680" w:right="520" w:firstLine="399"/>
        <w:spacing w:after="0" w:line="294" w:lineRule="auto"/>
        <w:rPr>
          <w:sz w:val="20"/>
          <w:szCs w:val="20"/>
          <w:color w:val="auto"/>
        </w:rPr>
      </w:pPr>
      <w:r>
        <w:rPr>
          <w:rFonts w:ascii="Arial" w:cs="Arial" w:eastAsia="Arial" w:hAnsi="Arial"/>
          <w:sz w:val="13"/>
          <w:szCs w:val="13"/>
          <w:i w:val="1"/>
          <w:iCs w:val="1"/>
          <w:color w:val="auto"/>
        </w:rPr>
        <w:t xml:space="preserve">Basis of Presentation </w:t>
      </w:r>
      <w:r>
        <w:rPr>
          <w:rFonts w:ascii="Arial" w:cs="Arial" w:eastAsia="Arial" w:hAnsi="Arial"/>
          <w:sz w:val="13"/>
          <w:szCs w:val="13"/>
          <w:color w:val="auto"/>
        </w:rPr>
        <w:t>— The consolidated financial statements include the accounts of Harris Stratex and its wholly-owned and majority owned subsidiaries. Significant</w:t>
      </w:r>
      <w:r>
        <w:rPr>
          <w:rFonts w:ascii="Arial" w:cs="Arial" w:eastAsia="Arial" w:hAnsi="Arial"/>
          <w:sz w:val="13"/>
          <w:szCs w:val="13"/>
          <w:i w:val="1"/>
          <w:iCs w:val="1"/>
          <w:color w:val="auto"/>
        </w:rPr>
        <w:t xml:space="preserve"> </w:t>
      </w:r>
      <w:r>
        <w:rPr>
          <w:rFonts w:ascii="Arial" w:cs="Arial" w:eastAsia="Arial" w:hAnsi="Arial"/>
          <w:sz w:val="13"/>
          <w:szCs w:val="13"/>
          <w:color w:val="auto"/>
        </w:rPr>
        <w:t>intercompany transactions and accounts have been eliminated.</w:t>
      </w:r>
    </w:p>
    <w:p>
      <w:pPr>
        <w:spacing w:after="0" w:line="47" w:lineRule="exact"/>
        <w:rPr>
          <w:sz w:val="20"/>
          <w:szCs w:val="20"/>
          <w:color w:val="auto"/>
        </w:rPr>
      </w:pPr>
    </w:p>
    <w:p>
      <w:pPr>
        <w:ind w:left="680" w:firstLine="399"/>
        <w:spacing w:after="0" w:line="267" w:lineRule="auto"/>
        <w:rPr>
          <w:sz w:val="20"/>
          <w:szCs w:val="20"/>
          <w:color w:val="auto"/>
        </w:rPr>
      </w:pPr>
      <w:r>
        <w:rPr>
          <w:rFonts w:ascii="Arial" w:cs="Arial" w:eastAsia="Arial" w:hAnsi="Arial"/>
          <w:sz w:val="13"/>
          <w:szCs w:val="13"/>
          <w:color w:val="auto"/>
        </w:rPr>
        <w:t>On February 27, 2009, we completed the acquisition of Telsima Networks, Inc. (“Telsima”), a privately-held company which is a leading developer and provider of WiMAX Forum Certified</w:t>
      </w:r>
      <w:r>
        <w:rPr>
          <w:rFonts w:ascii="Arial" w:cs="Arial" w:eastAsia="Arial" w:hAnsi="Arial"/>
          <w:sz w:val="8"/>
          <w:szCs w:val="8"/>
          <w:color w:val="auto"/>
        </w:rPr>
        <w:t>TM</w:t>
      </w:r>
      <w:r>
        <w:rPr>
          <w:rFonts w:ascii="Arial" w:cs="Arial" w:eastAsia="Arial" w:hAnsi="Arial"/>
          <w:sz w:val="13"/>
          <w:szCs w:val="13"/>
          <w:color w:val="auto"/>
        </w:rPr>
        <w:t xml:space="preserve"> products for use in next-generation broadband wireless networks. These activities are now performed by our International Microwave business segment. As a result of the acquisition, Telsima became a wholly-owned subsidiary of the Company. The results of operations and cash flows of Telsima are included in these consolidated financial statements since February 27, 2009, the date of acquisition. See </w:t>
      </w:r>
      <w:r>
        <w:rPr>
          <w:rFonts w:ascii="Arial" w:cs="Arial" w:eastAsia="Arial" w:hAnsi="Arial"/>
          <w:sz w:val="13"/>
          <w:szCs w:val="13"/>
          <w:i w:val="1"/>
          <w:iCs w:val="1"/>
          <w:color w:val="auto"/>
        </w:rPr>
        <w:t>Note C — Business Combinations — Acquisition of Telsima and Stratex, Goodwill and Identifiable Intangible Assets</w:t>
      </w:r>
      <w:r>
        <w:rPr>
          <w:rFonts w:ascii="Arial" w:cs="Arial" w:eastAsia="Arial" w:hAnsi="Arial"/>
          <w:sz w:val="13"/>
          <w:szCs w:val="13"/>
          <w:color w:val="auto"/>
        </w:rPr>
        <w:t xml:space="preserve"> in these Notes to Consolidated Financial Statements for additional information.</w:t>
      </w:r>
    </w:p>
    <w:p>
      <w:pPr>
        <w:spacing w:after="0" w:line="65" w:lineRule="exact"/>
        <w:rPr>
          <w:sz w:val="20"/>
          <w:szCs w:val="20"/>
          <w:color w:val="auto"/>
        </w:rPr>
      </w:pPr>
    </w:p>
    <w:p>
      <w:pPr>
        <w:ind w:left="680" w:right="80" w:firstLine="399"/>
        <w:spacing w:after="0" w:line="294" w:lineRule="auto"/>
        <w:rPr>
          <w:sz w:val="20"/>
          <w:szCs w:val="20"/>
          <w:color w:val="auto"/>
        </w:rPr>
      </w:pPr>
      <w:r>
        <w:rPr>
          <w:rFonts w:ascii="Arial" w:cs="Arial" w:eastAsia="Arial" w:hAnsi="Arial"/>
          <w:sz w:val="13"/>
          <w:szCs w:val="13"/>
          <w:color w:val="auto"/>
        </w:rPr>
        <w:t>We acquired Stratex Networks, Inc. (“Stratex”) on January 26, 2007. Accordingly, the results of operations and cash flows of Stratex are included in these consolidated financial statements since the date of acquisition.</w:t>
      </w:r>
    </w:p>
    <w:p>
      <w:pPr>
        <w:spacing w:after="0" w:line="47" w:lineRule="exact"/>
        <w:rPr>
          <w:sz w:val="20"/>
          <w:szCs w:val="20"/>
          <w:color w:val="auto"/>
        </w:rPr>
      </w:pPr>
    </w:p>
    <w:p>
      <w:pPr>
        <w:ind w:left="680" w:right="60" w:firstLine="399"/>
        <w:spacing w:after="0" w:line="265" w:lineRule="auto"/>
        <w:rPr>
          <w:sz w:val="20"/>
          <w:szCs w:val="20"/>
          <w:color w:val="auto"/>
        </w:rPr>
      </w:pPr>
      <w:r>
        <w:rPr>
          <w:rFonts w:ascii="Arial" w:cs="Arial" w:eastAsia="Arial" w:hAnsi="Arial"/>
          <w:sz w:val="13"/>
          <w:szCs w:val="13"/>
          <w:color w:val="auto"/>
        </w:rPr>
        <w:t>From the time we acquired Stratex on January 26, 2007, Harris Corporation (“Harris”) owned 32,913,377 shares or 100% of our Class B Common Stock which approximated 56% of the total shares of our common stock. On March 31, 2009, Harris issued a press release announcing that its Board of Directors approved the spin-off to its shareholders of all the shares of Harris Stratex owned by Harris. The spin-off took place in the form of a taxable pro rata stock dividend payable on May 27, 2009 to the Harris stockholders of record on May 13, 2009, the record date for the spin-off dividend. Harris stockholders received approximately 0.24 of a share of Harris Stratex Class A Common Stock for every share of Harris common stock they owned on the record date. The Class B Common Stock automatically converted to Class A Common Stock upon the spin-off event. Following the distribution, only Class A Common Stock of Harris Stratex is outstanding.</w:t>
      </w:r>
    </w:p>
    <w:p>
      <w:pPr>
        <w:spacing w:after="0" w:line="68" w:lineRule="exact"/>
        <w:rPr>
          <w:sz w:val="20"/>
          <w:szCs w:val="20"/>
          <w:color w:val="auto"/>
        </w:rPr>
      </w:pPr>
    </w:p>
    <w:p>
      <w:pPr>
        <w:ind w:left="680" w:right="60" w:firstLine="399"/>
        <w:spacing w:after="0" w:line="270" w:lineRule="auto"/>
        <w:rPr>
          <w:sz w:val="20"/>
          <w:szCs w:val="20"/>
          <w:color w:val="auto"/>
        </w:rPr>
      </w:pPr>
      <w:r>
        <w:rPr>
          <w:rFonts w:ascii="Arial" w:cs="Arial" w:eastAsia="Arial" w:hAnsi="Arial"/>
          <w:sz w:val="13"/>
          <w:szCs w:val="13"/>
          <w:color w:val="auto"/>
        </w:rPr>
        <w:t>For periods prior to January 26, 2007, the accompanying consolidated financial statements include the accounts of the Microwave Communications Division (“MCD”) of Harris Corporation (“Harris”) and Harris subsidiaries classified as part of MCD, our financial reporting predecessor entity. These financial statements have been determined to be the historical financial statements of Harris Stratex. As used in these Notes to Consolidated Financial Statements, the term “MCD” refers to the consolidated operations of the Microwave Communications Division of Harris.</w:t>
      </w:r>
    </w:p>
    <w:p>
      <w:pPr>
        <w:spacing w:after="0" w:line="63" w:lineRule="exact"/>
        <w:rPr>
          <w:sz w:val="20"/>
          <w:szCs w:val="20"/>
          <w:color w:val="auto"/>
        </w:rPr>
      </w:pPr>
    </w:p>
    <w:p>
      <w:pPr>
        <w:ind w:left="680" w:right="220" w:firstLine="399"/>
        <w:spacing w:after="0" w:line="299" w:lineRule="auto"/>
        <w:rPr>
          <w:sz w:val="20"/>
          <w:szCs w:val="20"/>
          <w:color w:val="auto"/>
        </w:rPr>
      </w:pPr>
      <w:r>
        <w:rPr>
          <w:rFonts w:ascii="Arial" w:cs="Arial" w:eastAsia="Arial" w:hAnsi="Arial"/>
          <w:sz w:val="12"/>
          <w:szCs w:val="12"/>
          <w:color w:val="auto"/>
        </w:rPr>
        <w:t>For periods prior to January 26, 2007, our historical financial statements are presented on a carve-out basis and reflect the assets, liabilities, revenue and expenses that were directly attributable to MCD as it was operated within Harris. Our consolidated Statements of Operations include all of the related costs of doing business, including an allocation of certain general corporate expenses of Harris, which were in support of MCD, including costs for finance, legal, treasury, purchasing, quality, environmental, safety, human resources, tax, audit and public relations departments and other corporate and infrastructure costs. We were allocated $3.7 million in fiscal 2007 for these</w:t>
      </w:r>
    </w:p>
    <w:p>
      <w:pPr>
        <w:spacing w:after="0" w:line="260"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66" w:name="page67"/>
    <w:bookmarkEnd w:id="6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6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HARRIS STRATEX NETWORKS, INC. AND SUBSIDIARIES</w:t>
      </w:r>
    </w:p>
    <w:p>
      <w:pPr>
        <w:spacing w:after="0" w:line="102"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66" w:lineRule="exact"/>
        <w:rPr>
          <w:sz w:val="20"/>
          <w:szCs w:val="20"/>
          <w:color w:val="auto"/>
        </w:rPr>
      </w:pPr>
    </w:p>
    <w:p>
      <w:pPr>
        <w:ind w:left="680" w:right="140"/>
        <w:spacing w:after="0" w:line="270" w:lineRule="auto"/>
        <w:rPr>
          <w:sz w:val="20"/>
          <w:szCs w:val="20"/>
          <w:color w:val="auto"/>
        </w:rPr>
      </w:pPr>
      <w:r>
        <w:rPr>
          <w:rFonts w:ascii="Arial" w:cs="Arial" w:eastAsia="Arial" w:hAnsi="Arial"/>
          <w:sz w:val="13"/>
          <w:szCs w:val="13"/>
          <w:color w:val="auto"/>
        </w:rPr>
        <w:t xml:space="preserve">corporate allocations expenses from Harris. These costs represented approximately 6.1% of the total cost of these allocated services in fiscal 2007. These cost allocations were based primarily on a ratio of our sales to total Harris sales, multiplied by the total headquarters expense of Harris. The allocation of Harris overhead expenses concluded on January 26, 2007 and, accordingly, for the year ended June 29, 2007, seven months allocation was included. Management believes these allocations were made on a reasonable basis. See </w:t>
      </w:r>
      <w:r>
        <w:rPr>
          <w:rFonts w:ascii="Arial" w:cs="Arial" w:eastAsia="Arial" w:hAnsi="Arial"/>
          <w:sz w:val="13"/>
          <w:szCs w:val="13"/>
          <w:i w:val="1"/>
          <w:iCs w:val="1"/>
          <w:color w:val="auto"/>
        </w:rPr>
        <w:t>Note P —</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Related Party Transactions with Harris </w:t>
      </w:r>
      <w:r>
        <w:rPr>
          <w:rFonts w:ascii="Arial" w:cs="Arial" w:eastAsia="Arial" w:hAnsi="Arial"/>
          <w:sz w:val="13"/>
          <w:szCs w:val="13"/>
          <w:color w:val="auto"/>
        </w:rPr>
        <w:t>for a description of our related party transactions with Harris.</w:t>
      </w:r>
    </w:p>
    <w:p>
      <w:pPr>
        <w:spacing w:after="0" w:line="63"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Our fiscal year ends on the Friday nearest calendar June 30. This was July 3 for fiscal 2009, June 27 for fiscal 2008 and June 29 for fiscal 2007. Fiscal year 2009 included</w:t>
      </w:r>
    </w:p>
    <w:p>
      <w:pPr>
        <w:spacing w:after="0" w:line="34" w:lineRule="exact"/>
        <w:rPr>
          <w:sz w:val="20"/>
          <w:szCs w:val="20"/>
          <w:color w:val="auto"/>
        </w:rPr>
      </w:pPr>
    </w:p>
    <w:p>
      <w:pPr>
        <w:ind w:left="680"/>
        <w:spacing w:after="0"/>
        <w:rPr>
          <w:sz w:val="20"/>
          <w:szCs w:val="20"/>
          <w:color w:val="auto"/>
        </w:rPr>
      </w:pPr>
      <w:r>
        <w:rPr>
          <w:rFonts w:ascii="Arial" w:cs="Arial" w:eastAsia="Arial" w:hAnsi="Arial"/>
          <w:sz w:val="12"/>
          <w:szCs w:val="12"/>
          <w:color w:val="auto"/>
        </w:rPr>
        <w:t>53 weeks and fiscal years 2008 and 2007 each included 52 weeks. In these Notes to Consolidated Financial Statements, we refer to our fiscal years as “fiscal 2009,” “fiscal 2008” and</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“fiscal 2007.”</w:t>
      </w:r>
    </w:p>
    <w:p>
      <w:pPr>
        <w:spacing w:after="0" w:line="171"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Note B —</w:t>
      </w:r>
      <w:r>
        <w:rPr>
          <w:sz w:val="20"/>
          <w:szCs w:val="20"/>
          <w:color w:val="auto"/>
        </w:rPr>
        <w:tab/>
      </w:r>
      <w:r>
        <w:rPr>
          <w:rFonts w:ascii="Arial" w:cs="Arial" w:eastAsia="Arial" w:hAnsi="Arial"/>
          <w:sz w:val="11"/>
          <w:szCs w:val="11"/>
          <w:b w:val="1"/>
          <w:bCs w:val="1"/>
          <w:color w:val="auto"/>
        </w:rPr>
        <w:t>Significant Accounting Policies and New Accounting Pronouncements</w:t>
      </w:r>
    </w:p>
    <w:p>
      <w:pPr>
        <w:spacing w:after="0" w:line="10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Use of Estimates</w:t>
      </w:r>
    </w:p>
    <w:p>
      <w:pPr>
        <w:spacing w:after="0" w:line="102" w:lineRule="exact"/>
        <w:rPr>
          <w:sz w:val="20"/>
          <w:szCs w:val="20"/>
          <w:color w:val="auto"/>
        </w:rPr>
      </w:pPr>
    </w:p>
    <w:p>
      <w:pPr>
        <w:ind w:left="680" w:firstLine="399"/>
        <w:spacing w:after="0" w:line="338" w:lineRule="auto"/>
        <w:rPr>
          <w:sz w:val="20"/>
          <w:szCs w:val="20"/>
          <w:color w:val="auto"/>
        </w:rPr>
      </w:pPr>
      <w:r>
        <w:rPr>
          <w:rFonts w:ascii="Arial" w:cs="Arial" w:eastAsia="Arial" w:hAnsi="Arial"/>
          <w:sz w:val="12"/>
          <w:szCs w:val="12"/>
          <w:color w:val="auto"/>
        </w:rPr>
        <w:t>Our Consolidated Financial Statements and the accompanying Notes to Consolidated Financial Statements have been prepared in accordance with accounting principles generally accepted in the United States (“U.S. GAAP”) which require us to make estimates, assumptions and judgments affecting the amounts reported and related disclosures.</w:t>
      </w:r>
    </w:p>
    <w:p>
      <w:pPr>
        <w:spacing w:after="0" w:line="24" w:lineRule="exact"/>
        <w:rPr>
          <w:sz w:val="20"/>
          <w:szCs w:val="20"/>
          <w:color w:val="auto"/>
        </w:rPr>
      </w:pPr>
    </w:p>
    <w:p>
      <w:pPr>
        <w:ind w:left="680" w:right="320" w:firstLine="399"/>
        <w:spacing w:after="0" w:line="276" w:lineRule="auto"/>
        <w:rPr>
          <w:sz w:val="20"/>
          <w:szCs w:val="20"/>
          <w:color w:val="auto"/>
        </w:rPr>
      </w:pPr>
      <w:r>
        <w:rPr>
          <w:rFonts w:ascii="Arial" w:cs="Arial" w:eastAsia="Arial" w:hAnsi="Arial"/>
          <w:sz w:val="13"/>
          <w:szCs w:val="13"/>
          <w:color w:val="auto"/>
        </w:rPr>
        <w:t>Estimates are based upon historical factors, current circumstances and the experience and judgment of our management. We evaluate our estimates and assumptions on an ongoing basis and may employ outside experts to assist us in making these evaluations. Changes in such estimates, based on more accurate information, or different assumptions or conditions, may affect amounts reported in future periods.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Estimates affect significant items, including the following:</w:t>
      </w:r>
    </w:p>
    <w:p>
      <w:pPr>
        <w:spacing w:after="0" w:line="102" w:lineRule="exact"/>
        <w:rPr>
          <w:sz w:val="20"/>
          <w:szCs w:val="20"/>
          <w:color w:val="auto"/>
        </w:rPr>
      </w:pPr>
    </w:p>
    <w:p>
      <w:pPr>
        <w:ind w:left="1300" w:hanging="208"/>
        <w:spacing w:after="0"/>
        <w:tabs>
          <w:tab w:leader="none" w:pos="13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Revenue recognition</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Provision for doubtful accounts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Inventory reserves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Fair value of goodwill and intangible assets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Useful lives of intangible assets, property, plant and equipment</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Valuation allowances for deferred tax assets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Uncertainties in income taxes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Software development costs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Restructuring obligations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Product warranty obligations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Share-based awards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Contingencies</w:t>
      </w:r>
    </w:p>
    <w:p>
      <w:pPr>
        <w:spacing w:after="0" w:line="18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Cash and Cash Equivalents</w:t>
      </w:r>
    </w:p>
    <w:p>
      <w:pPr>
        <w:spacing w:after="0" w:line="102" w:lineRule="exact"/>
        <w:rPr>
          <w:sz w:val="20"/>
          <w:szCs w:val="20"/>
          <w:color w:val="auto"/>
        </w:rPr>
      </w:pPr>
    </w:p>
    <w:p>
      <w:pPr>
        <w:jc w:val="both"/>
        <w:ind w:left="680" w:right="40" w:firstLine="399"/>
        <w:spacing w:after="0" w:line="276" w:lineRule="auto"/>
        <w:rPr>
          <w:sz w:val="20"/>
          <w:szCs w:val="20"/>
          <w:color w:val="auto"/>
        </w:rPr>
      </w:pPr>
      <w:r>
        <w:rPr>
          <w:rFonts w:ascii="Arial" w:cs="Arial" w:eastAsia="Arial" w:hAnsi="Arial"/>
          <w:sz w:val="13"/>
          <w:szCs w:val="13"/>
          <w:color w:val="auto"/>
        </w:rPr>
        <w:t>We consider all highly liquid investments with an original maturity of three months or less at the date of purchase to be cash equivalents. Cash and cash equivalents are carried at amortized cost, which approximates fair value due to the short-term nature of these investments. Amortization or accretion of premium or discount is included in interest income on the Consolidated Statements of Operations. We hold cash and cash equivalents at</w:t>
      </w:r>
    </w:p>
    <w:p>
      <w:pPr>
        <w:spacing w:after="0" w:line="270"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67" w:name="page68"/>
    <w:bookmarkEnd w:id="6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63" w:lineRule="exact"/>
        <w:rPr>
          <w:sz w:val="20"/>
          <w:szCs w:val="20"/>
          <w:color w:val="auto"/>
        </w:rPr>
      </w:pPr>
    </w:p>
    <w:p>
      <w:pPr>
        <w:jc w:val="center"/>
        <w:ind w:right="-759"/>
        <w:spacing w:after="0"/>
        <w:rPr>
          <w:sz w:val="20"/>
          <w:szCs w:val="20"/>
          <w:color w:val="auto"/>
        </w:rPr>
      </w:pPr>
      <w:r>
        <w:rPr>
          <w:rFonts w:ascii="Arial" w:cs="Arial" w:eastAsia="Arial" w:hAnsi="Arial"/>
          <w:sz w:val="13"/>
          <w:szCs w:val="13"/>
          <w:b w:val="1"/>
          <w:bCs w:val="1"/>
          <w:color w:val="auto"/>
        </w:rPr>
        <w:t>HARRIS STRATEX NETWORKS, INC. AND SUBSIDIARIES</w:t>
      </w:r>
    </w:p>
    <w:p>
      <w:pPr>
        <w:spacing w:after="0" w:line="102" w:lineRule="exact"/>
        <w:rPr>
          <w:sz w:val="20"/>
          <w:szCs w:val="20"/>
          <w:color w:val="auto"/>
        </w:rPr>
      </w:pPr>
    </w:p>
    <w:p>
      <w:pPr>
        <w:jc w:val="center"/>
        <w:ind w:right="-75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66" w:lineRule="exact"/>
        <w:rPr>
          <w:sz w:val="20"/>
          <w:szCs w:val="20"/>
          <w:color w:val="auto"/>
        </w:rPr>
      </w:pPr>
    </w:p>
    <w:p>
      <w:pPr>
        <w:ind w:left="680" w:right="240"/>
        <w:spacing w:after="0" w:line="338" w:lineRule="auto"/>
        <w:rPr>
          <w:sz w:val="20"/>
          <w:szCs w:val="20"/>
          <w:color w:val="auto"/>
        </w:rPr>
      </w:pPr>
      <w:r>
        <w:rPr>
          <w:rFonts w:ascii="Arial" w:cs="Arial" w:eastAsia="Arial" w:hAnsi="Arial"/>
          <w:sz w:val="12"/>
          <w:szCs w:val="12"/>
          <w:color w:val="auto"/>
        </w:rPr>
        <w:t>several major financial institutions, which often significantly exceed Federal Deposit Insurance Corporation insured limits. However, a substantial portion of the cash equivalents is invested in prime money market funds which are backed by the securities in the fund. Historically, we have not experienced any losses due to such concentration of credit risk.</w:t>
      </w:r>
    </w:p>
    <w:p>
      <w:pPr>
        <w:spacing w:after="0" w:line="10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Short-Term Investments</w:t>
      </w:r>
    </w:p>
    <w:p>
      <w:pPr>
        <w:spacing w:after="0" w:line="102" w:lineRule="exact"/>
        <w:rPr>
          <w:sz w:val="20"/>
          <w:szCs w:val="20"/>
          <w:color w:val="auto"/>
        </w:rPr>
      </w:pPr>
    </w:p>
    <w:p>
      <w:pPr>
        <w:ind w:left="680" w:firstLine="399"/>
        <w:spacing w:after="0" w:line="270" w:lineRule="auto"/>
        <w:rPr>
          <w:sz w:val="20"/>
          <w:szCs w:val="20"/>
          <w:color w:val="auto"/>
        </w:rPr>
      </w:pPr>
      <w:r>
        <w:rPr>
          <w:rFonts w:ascii="Arial" w:cs="Arial" w:eastAsia="Arial" w:hAnsi="Arial"/>
          <w:sz w:val="13"/>
          <w:szCs w:val="13"/>
          <w:color w:val="auto"/>
        </w:rPr>
        <w:t>We invest our excess cash in high-quality marketable debt securities to ensure that cash is readily available for use in our current operations. Investments with original maturities greater than three months but less than one year are accounted for as short-term and are classified as such at the time of purchase. All of our marketable securities are classified as “available-for-sale” because we view our entire portfolio as available for use in our current operations. Accordingly, we have classified all investments in marketable securities as short-term.</w:t>
      </w:r>
    </w:p>
    <w:p>
      <w:pPr>
        <w:spacing w:after="0" w:line="63" w:lineRule="exact"/>
        <w:rPr>
          <w:sz w:val="20"/>
          <w:szCs w:val="20"/>
          <w:color w:val="auto"/>
        </w:rPr>
      </w:pPr>
    </w:p>
    <w:p>
      <w:pPr>
        <w:ind w:left="680" w:right="240" w:firstLine="399"/>
        <w:spacing w:after="0" w:line="267" w:lineRule="auto"/>
        <w:rPr>
          <w:sz w:val="20"/>
          <w:szCs w:val="20"/>
          <w:color w:val="auto"/>
        </w:rPr>
      </w:pPr>
      <w:r>
        <w:rPr>
          <w:rFonts w:ascii="Arial" w:cs="Arial" w:eastAsia="Arial" w:hAnsi="Arial"/>
          <w:sz w:val="13"/>
          <w:szCs w:val="13"/>
          <w:color w:val="auto"/>
        </w:rPr>
        <w:t>Our short-term investments are subject to market risk, primarily interest rate and credit risk. These investments are managed by two outside professional managers within investment guidelines approved by our board of directors. Such guidelines include security type, credit quality and maturity and are intended to limit market risk by restricting our investments to high quality debt instruments with relatively short-term maturities. All short-term investments are reported at fair value with the related unrealized holding gains and losses reported as a component of accumulated other comprehensive income (loss) in shareholders’ equity. Fair value is determined by using observable or quoted market prices for those securities with the assistance of our outside professional managers.</w:t>
      </w:r>
    </w:p>
    <w:p>
      <w:pPr>
        <w:spacing w:after="0" w:line="65"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 xml:space="preserve">Realized gains and losses on short-term investments are recorded in selling and administrative expenses. When a marketable security is sold, the realized gain or loss is determined using the specific identification method. Realized gains and losses from the sale of short-term investments in fiscal 2009, 2008 and 2007 were not significant. See </w:t>
      </w:r>
      <w:r>
        <w:rPr>
          <w:rFonts w:ascii="Arial" w:cs="Arial" w:eastAsia="Arial" w:hAnsi="Arial"/>
          <w:sz w:val="13"/>
          <w:szCs w:val="13"/>
          <w:i w:val="1"/>
          <w:iCs w:val="1"/>
          <w:color w:val="auto"/>
        </w:rPr>
        <w:t>Note D —</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Fair Value Measurements of Financial Assets and Financial Liabilities </w:t>
      </w:r>
      <w:r>
        <w:rPr>
          <w:rFonts w:ascii="Arial" w:cs="Arial" w:eastAsia="Arial" w:hAnsi="Arial"/>
          <w:sz w:val="13"/>
          <w:szCs w:val="13"/>
          <w:color w:val="auto"/>
        </w:rPr>
        <w:t>for additional information.</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Accounts Receivable, Major Customers and Other Significant Concentrations</w:t>
      </w:r>
    </w:p>
    <w:p>
      <w:pPr>
        <w:spacing w:after="0" w:line="102" w:lineRule="exact"/>
        <w:rPr>
          <w:sz w:val="20"/>
          <w:szCs w:val="20"/>
          <w:color w:val="auto"/>
        </w:rPr>
      </w:pPr>
    </w:p>
    <w:p>
      <w:pPr>
        <w:ind w:left="680" w:right="140" w:firstLine="399"/>
        <w:spacing w:after="0" w:line="309" w:lineRule="auto"/>
        <w:rPr>
          <w:sz w:val="20"/>
          <w:szCs w:val="20"/>
          <w:color w:val="auto"/>
        </w:rPr>
      </w:pPr>
      <w:r>
        <w:rPr>
          <w:rFonts w:ascii="Arial" w:cs="Arial" w:eastAsia="Arial" w:hAnsi="Arial"/>
          <w:sz w:val="12"/>
          <w:szCs w:val="12"/>
          <w:color w:val="auto"/>
        </w:rPr>
        <w:t>We typically invoice our customers for the sales order (or contract) value of the related products delivered at various milestones, including order receipt, shipment, installation and acceptance and for services when rendered. Our trade receivables are derived from sales to customers located in North America, Africa, Europe, the Middle East, Russia, Asia-Pacific and Latin America. Generally, we do not require collateral; however, in certain circumstances, we may require letters of credit, additional guarantees or advance payments.</w:t>
      </w:r>
    </w:p>
    <w:p>
      <w:pPr>
        <w:spacing w:after="0" w:line="41" w:lineRule="exact"/>
        <w:rPr>
          <w:sz w:val="20"/>
          <w:szCs w:val="20"/>
          <w:color w:val="auto"/>
        </w:rPr>
      </w:pPr>
    </w:p>
    <w:p>
      <w:pPr>
        <w:ind w:left="680" w:right="320" w:firstLine="399"/>
        <w:spacing w:after="0" w:line="276" w:lineRule="auto"/>
        <w:rPr>
          <w:sz w:val="20"/>
          <w:szCs w:val="20"/>
          <w:color w:val="auto"/>
        </w:rPr>
      </w:pPr>
      <w:r>
        <w:rPr>
          <w:rFonts w:ascii="Arial" w:cs="Arial" w:eastAsia="Arial" w:hAnsi="Arial"/>
          <w:sz w:val="13"/>
          <w:szCs w:val="13"/>
          <w:color w:val="auto"/>
        </w:rPr>
        <w:t xml:space="preserve">We record accounts receivable at net realizable value, which includes an allowance for estimated uncollectible accounts to reflect any loss anticipated on the collection of accounts receivable balances. We calculate the allowance based on our history of write-offs, level of past due accounts and economic status of the customers. The fair value of our accounts receivable approximates their net realizable value. See </w:t>
      </w:r>
      <w:r>
        <w:rPr>
          <w:rFonts w:ascii="Arial" w:cs="Arial" w:eastAsia="Arial" w:hAnsi="Arial"/>
          <w:sz w:val="13"/>
          <w:szCs w:val="13"/>
          <w:i w:val="1"/>
          <w:iCs w:val="1"/>
          <w:color w:val="auto"/>
        </w:rPr>
        <w:t>Note E — Receivables</w:t>
      </w:r>
      <w:r>
        <w:rPr>
          <w:rFonts w:ascii="Arial" w:cs="Arial" w:eastAsia="Arial" w:hAnsi="Arial"/>
          <w:sz w:val="13"/>
          <w:szCs w:val="13"/>
          <w:color w:val="auto"/>
        </w:rPr>
        <w:t xml:space="preserve"> for additional information.</w:t>
      </w:r>
    </w:p>
    <w:p>
      <w:pPr>
        <w:spacing w:after="0" w:line="59" w:lineRule="exact"/>
        <w:rPr>
          <w:sz w:val="20"/>
          <w:szCs w:val="20"/>
          <w:color w:val="auto"/>
        </w:rPr>
      </w:pPr>
    </w:p>
    <w:p>
      <w:pPr>
        <w:ind w:left="680" w:right="20" w:firstLine="399"/>
        <w:spacing w:after="0" w:line="270" w:lineRule="auto"/>
        <w:rPr>
          <w:sz w:val="20"/>
          <w:szCs w:val="20"/>
          <w:color w:val="auto"/>
        </w:rPr>
      </w:pPr>
      <w:r>
        <w:rPr>
          <w:rFonts w:ascii="Arial" w:cs="Arial" w:eastAsia="Arial" w:hAnsi="Arial"/>
          <w:sz w:val="13"/>
          <w:szCs w:val="13"/>
          <w:color w:val="auto"/>
        </w:rPr>
        <w:t>To accommodate requests from our customers for extended payment terms, we often accept letters of credit with payment terms of up to one year or more with the intent to discount these letters of credit with various financial institutions. Under these arrangements, collection risk is fully transferred to the financial institutions. The cost of discounting these letters of credit is recorded as interest expense. During fiscal 2009 and 2008 we discounted customer letters of credit totaling $84.7 million and $65.1 million and recorded related interest expense of $1.0 million and $0.2 million.</w:t>
      </w:r>
    </w:p>
    <w:p>
      <w:pPr>
        <w:spacing w:after="0" w:line="63" w:lineRule="exact"/>
        <w:rPr>
          <w:sz w:val="20"/>
          <w:szCs w:val="20"/>
          <w:color w:val="auto"/>
        </w:rPr>
      </w:pPr>
    </w:p>
    <w:p>
      <w:pPr>
        <w:jc w:val="both"/>
        <w:ind w:left="680" w:right="120" w:firstLine="399"/>
        <w:spacing w:after="0" w:line="276" w:lineRule="auto"/>
        <w:rPr>
          <w:sz w:val="20"/>
          <w:szCs w:val="20"/>
          <w:color w:val="auto"/>
        </w:rPr>
      </w:pPr>
      <w:r>
        <w:rPr>
          <w:rFonts w:ascii="Arial" w:cs="Arial" w:eastAsia="Arial" w:hAnsi="Arial"/>
          <w:sz w:val="13"/>
          <w:szCs w:val="13"/>
          <w:color w:val="auto"/>
        </w:rPr>
        <w:t>During fiscal 2009 and 2008, we had one International Microwave segment customer in Africa (Mobile Telephone Networks or MTN) that accounted for 17% and 13% of our total revenue. As of July 3, 2009 and June 27, 2008, MTN accounted for approximately 6% and 13% of our accounts receivable. In fiscal 2007, no customers accounted for more than 10% of our total revenue.</w:t>
      </w:r>
    </w:p>
    <w:p>
      <w:pPr>
        <w:spacing w:after="0" w:line="270"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00"/>
          </w:cols>
          <w:pgMar w:left="220" w:top="349" w:right="1079" w:bottom="1440" w:gutter="0" w:footer="0" w:header="0"/>
        </w:sectPr>
      </w:pPr>
    </w:p>
    <w:bookmarkStart w:id="68" w:name="page69"/>
    <w:bookmarkEnd w:id="6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HARRIS STRATEX NETWORKS, INC. AND SUBSIDIARIES</w:t>
      </w:r>
    </w:p>
    <w:p>
      <w:pPr>
        <w:spacing w:after="0" w:line="102"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66"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Financial instruments that potentially subject us to a concentration of credit risk consist principally of short-term investments, trade accounts receivable and financial instruments used in foreign currency hedging activities. We invest our excess cash primarily in prime money market funds, certificates of deposit, commercial paper and corporate notes. We are exposed to credit risks related to our cash equivalents and short-term investments in the event of default or decrease in credit-worthiness of one of the issuers of the investments. We perform ongoing credit evaluations of our customers and generally do not require collateral on accounts receivable, as the majority of our customers are large, well-established companies. We maintain reserves for potential credit losses, but historically have not experienced any significant losses related to any particular geographic area since our business is not concentrated within any particular geographic region. Our customers are primarily in the telecommunications industry, so our accounts receivable are concentrated within one industry and exposed to concentrations of credit risk within that industry.</w:t>
      </w:r>
    </w:p>
    <w:p>
      <w:pPr>
        <w:spacing w:after="0" w:line="68" w:lineRule="exact"/>
        <w:rPr>
          <w:sz w:val="20"/>
          <w:szCs w:val="20"/>
          <w:color w:val="auto"/>
        </w:rPr>
      </w:pPr>
    </w:p>
    <w:p>
      <w:pPr>
        <w:ind w:left="680" w:right="40" w:firstLine="399"/>
        <w:spacing w:after="0" w:line="294" w:lineRule="auto"/>
        <w:rPr>
          <w:sz w:val="20"/>
          <w:szCs w:val="20"/>
          <w:color w:val="auto"/>
        </w:rPr>
      </w:pPr>
      <w:r>
        <w:rPr>
          <w:rFonts w:ascii="Arial" w:cs="Arial" w:eastAsia="Arial" w:hAnsi="Arial"/>
          <w:sz w:val="13"/>
          <w:szCs w:val="13"/>
          <w:color w:val="auto"/>
        </w:rPr>
        <w:t>We rely on sole providers for certain components of our products and rely on a limited number of contract manufacturers and suppliers to provide manufacturing services for our products. The inability of a contract manufacturer or supplier to fulfill our supply requirements could materially impact future operating results.</w:t>
      </w:r>
    </w:p>
    <w:p>
      <w:pPr>
        <w:spacing w:after="0" w:line="47" w:lineRule="exact"/>
        <w:rPr>
          <w:sz w:val="20"/>
          <w:szCs w:val="20"/>
          <w:color w:val="auto"/>
        </w:rPr>
      </w:pPr>
    </w:p>
    <w:p>
      <w:pPr>
        <w:jc w:val="both"/>
        <w:ind w:left="680" w:right="240" w:firstLine="399"/>
        <w:spacing w:after="0" w:line="276" w:lineRule="auto"/>
        <w:rPr>
          <w:sz w:val="20"/>
          <w:szCs w:val="20"/>
          <w:color w:val="auto"/>
        </w:rPr>
      </w:pPr>
      <w:r>
        <w:rPr>
          <w:rFonts w:ascii="Arial" w:cs="Arial" w:eastAsia="Arial" w:hAnsi="Arial"/>
          <w:sz w:val="13"/>
          <w:szCs w:val="13"/>
          <w:color w:val="auto"/>
        </w:rPr>
        <w:t>We have entered into agreements relating to our foreign currency contracts with large, multinational financial institutions. The amounts subject to credit risk arising from the possible inability of any such parties to meet the terms of their contracts are generally limited to the amounts, if any, by which such party’s obligations exceed our obligations to that party.</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Inventories</w:t>
      </w:r>
    </w:p>
    <w:p>
      <w:pPr>
        <w:spacing w:after="0" w:line="102" w:lineRule="exact"/>
        <w:rPr>
          <w:sz w:val="20"/>
          <w:szCs w:val="20"/>
          <w:color w:val="auto"/>
        </w:rPr>
      </w:pPr>
    </w:p>
    <w:p>
      <w:pPr>
        <w:ind w:left="680" w:right="60" w:firstLine="399"/>
        <w:spacing w:after="0" w:line="295" w:lineRule="auto"/>
        <w:rPr>
          <w:sz w:val="20"/>
          <w:szCs w:val="20"/>
          <w:color w:val="auto"/>
        </w:rPr>
      </w:pPr>
      <w:r>
        <w:rPr>
          <w:rFonts w:ascii="Arial" w:cs="Arial" w:eastAsia="Arial" w:hAnsi="Arial"/>
          <w:sz w:val="12"/>
          <w:szCs w:val="12"/>
          <w:color w:val="auto"/>
        </w:rPr>
        <w:t xml:space="preserve">Inventories are valued at the lower of cost (determined by average cost and first-in, first-out methods) or market. We regularly review inventory quantities on hand and record inventory reserves for excess and obsolete inventory based primarily on our estimated forecast of product demand and production requirements. Inventory reserves are measured as the difference between the cost of the inventory and estimated market value based upon assumptions about future demand and charged to the provision for inventory, which is a component of cost of sales. At the point of the loss recognition, a new, lower-cost basis for that inventory is established, and any subsequent improvements in facts and circumstances do not result in the restoration or increase in that newly established cost basis. See </w:t>
      </w:r>
      <w:r>
        <w:rPr>
          <w:rFonts w:ascii="Arial" w:cs="Arial" w:eastAsia="Arial" w:hAnsi="Arial"/>
          <w:sz w:val="12"/>
          <w:szCs w:val="12"/>
          <w:i w:val="1"/>
          <w:iCs w:val="1"/>
          <w:color w:val="auto"/>
        </w:rPr>
        <w:t>Note F — Inventories</w:t>
      </w:r>
      <w:r>
        <w:rPr>
          <w:rFonts w:ascii="Arial" w:cs="Arial" w:eastAsia="Arial" w:hAnsi="Arial"/>
          <w:sz w:val="12"/>
          <w:szCs w:val="12"/>
          <w:color w:val="auto"/>
        </w:rPr>
        <w:t xml:space="preserve"> for additional information.</w:t>
      </w:r>
    </w:p>
    <w:p>
      <w:pPr>
        <w:spacing w:after="0" w:line="12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Income Taxes and Related Uncertainties</w:t>
      </w:r>
    </w:p>
    <w:p>
      <w:pPr>
        <w:spacing w:after="0" w:line="102" w:lineRule="exact"/>
        <w:rPr>
          <w:sz w:val="20"/>
          <w:szCs w:val="20"/>
          <w:color w:val="auto"/>
        </w:rPr>
      </w:pPr>
    </w:p>
    <w:p>
      <w:pPr>
        <w:ind w:left="680" w:right="80" w:firstLine="399"/>
        <w:spacing w:after="0" w:line="270" w:lineRule="auto"/>
        <w:rPr>
          <w:sz w:val="20"/>
          <w:szCs w:val="20"/>
          <w:color w:val="auto"/>
        </w:rPr>
      </w:pPr>
      <w:r>
        <w:rPr>
          <w:rFonts w:ascii="Arial" w:cs="Arial" w:eastAsia="Arial" w:hAnsi="Arial"/>
          <w:sz w:val="13"/>
          <w:szCs w:val="13"/>
          <w:color w:val="auto"/>
        </w:rPr>
        <w:t>We account for income taxes under the asset and liability method. Deferred tax assets and liabilities are determined based on the estimated future tax effects of temporary differences between the financial statement and tax basis of assets and liabilities, as measured by tax rates at which temporary differences are expected to reverse. Deferred tax expense (benefit) is the result of changes in deferred tax assets and liabilities. A valuation allowance is established to offset any deferred tax assets if, based upon the available information, it is more likely than not that some or all of the deferred tax assets will not be realized.</w:t>
      </w:r>
    </w:p>
    <w:p>
      <w:pPr>
        <w:spacing w:after="0" w:line="63" w:lineRule="exact"/>
        <w:rPr>
          <w:sz w:val="20"/>
          <w:szCs w:val="20"/>
          <w:color w:val="auto"/>
        </w:rPr>
      </w:pPr>
    </w:p>
    <w:p>
      <w:pPr>
        <w:ind w:left="680" w:firstLine="399"/>
        <w:spacing w:after="0" w:line="290" w:lineRule="auto"/>
        <w:rPr>
          <w:sz w:val="20"/>
          <w:szCs w:val="20"/>
          <w:color w:val="auto"/>
        </w:rPr>
      </w:pPr>
      <w:r>
        <w:rPr>
          <w:rFonts w:ascii="Arial" w:cs="Arial" w:eastAsia="Arial" w:hAnsi="Arial"/>
          <w:sz w:val="12"/>
          <w:szCs w:val="12"/>
          <w:color w:val="auto"/>
        </w:rPr>
        <w:t>We are required to compute our income taxes in each federal, state, and international jurisdiction in which we operate. This process requires that we estimate the current tax exposure as well as assess temporary differences between the accounting and tax treatment of assets and liabilities, including items such as accruals and allowances not currently deductible for tax purposes. The income tax effects of the differences we identify are classified as current or long-term deferred tax assets and liabilities in our Consolidated Balance Sheets. Our judgments, assumptions, and estimates relative to the current provision for income tax take into account current tax laws, our interpretation of current tax laws, and possible outcomes of current and future audits conducted by foreign and domestic tax authorities. Changes in tax laws or our interpretation of tax laws and the resolution of current and future tax audits could significantly impact the amounts provided for income taxes in our Consolidated Balance Sheets and Consolidated Statements of Operations. We must also assess the likelihood that deferred tax assets will be realized from future taxable income and, based on this assessment, establish a valuation allowance, if required.</w:t>
      </w:r>
    </w:p>
    <w:p>
      <w:pPr>
        <w:spacing w:after="0" w:line="26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9" w:right="1039" w:bottom="1440" w:gutter="0" w:footer="0" w:header="0"/>
        </w:sectPr>
      </w:pPr>
    </w:p>
    <w:bookmarkStart w:id="69" w:name="page70"/>
    <w:bookmarkEnd w:id="6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HARRIS STRATEX NETWORKS, INC. AND SUBSIDIARIES</w:t>
      </w:r>
    </w:p>
    <w:p>
      <w:pPr>
        <w:spacing w:after="0" w:line="102"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66" w:lineRule="exact"/>
        <w:rPr>
          <w:sz w:val="20"/>
          <w:szCs w:val="20"/>
          <w:color w:val="auto"/>
        </w:rPr>
      </w:pPr>
    </w:p>
    <w:p>
      <w:pPr>
        <w:jc w:val="both"/>
        <w:ind w:left="680" w:right="80"/>
        <w:spacing w:after="0" w:line="270" w:lineRule="auto"/>
        <w:rPr>
          <w:sz w:val="20"/>
          <w:szCs w:val="20"/>
          <w:color w:val="auto"/>
        </w:rPr>
      </w:pPr>
      <w:r>
        <w:rPr>
          <w:rFonts w:ascii="Arial" w:cs="Arial" w:eastAsia="Arial" w:hAnsi="Arial"/>
          <w:sz w:val="13"/>
          <w:szCs w:val="13"/>
          <w:color w:val="auto"/>
        </w:rPr>
        <w:t>Our determination of our valuation allowance is based upon a number of assumptions, judgments, and estimates, including forecasted earnings, future taxable income, and the relative proportions of revenue and income before taxes in the various domestic and international jurisdictions in which we operate. To the extent we establish a valuation allowance or change the valuation allowance in a period, we reflect the change with a corresponding increase or decrease to our tax provision in our Consolidated Statements of Operations or to goodwill or intangible assets to the extent that the valuation allowance related to tax attributes of the acquired entities.</w:t>
      </w:r>
    </w:p>
    <w:p>
      <w:pPr>
        <w:spacing w:after="0" w:line="63"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Effective June 30, 2007, we began using minimum recognition thresholds to establish tax positions to be recognized in the financial statements. We use a two-step process to determine the amount of tax benefit to be recognized. The first step is to evaluate the tax position for recognition by determining if the weight of available evidence indicates that it is more likely than not that the position will be sustained on audit, including resolution of related appeals or litigation processes, if any. The second step requires us to estimate and measure the tax benefit as the largest amount that is more than 50% likely of being realized upon ultimate settlement. It is inherently difficult and subjective to estimate such amounts, as this requires us to determine the probability of various possible outcomes. We reevaluate these uncertain tax positions on a quarterly basis. This evaluation is based on factors including, but not limited to, changes in facts or circumstances, changes in tax law, effectively settled issues under audit, and new audit activity. Such a change in recognition or measurement would result in the recognition of a tax benefit or an additional charge to the tax provision in the period.</w:t>
      </w:r>
    </w:p>
    <w:p>
      <w:pPr>
        <w:spacing w:after="0" w:line="68" w:lineRule="exact"/>
        <w:rPr>
          <w:sz w:val="20"/>
          <w:szCs w:val="20"/>
          <w:color w:val="auto"/>
        </w:rPr>
      </w:pPr>
    </w:p>
    <w:p>
      <w:pPr>
        <w:ind w:left="680" w:right="80" w:firstLine="399"/>
        <w:spacing w:after="0" w:line="270" w:lineRule="auto"/>
        <w:rPr>
          <w:sz w:val="20"/>
          <w:szCs w:val="20"/>
          <w:color w:val="auto"/>
        </w:rPr>
      </w:pPr>
      <w:r>
        <w:rPr>
          <w:rFonts w:ascii="Arial" w:cs="Arial" w:eastAsia="Arial" w:hAnsi="Arial"/>
          <w:sz w:val="13"/>
          <w:szCs w:val="13"/>
          <w:color w:val="auto"/>
        </w:rPr>
        <w:t xml:space="preserve">For periods prior to January 26, 2007, income tax expense was determined as if we had been a stand-alone entity, although the actual tax liabilities and tax consequences applied only to Harris. We have incurred income tax expense which relates to income taxes paid or to be paid in international jurisdictions for which net operating loss carryforwards were not available. Domestic taxable income is offset by tax loss carryforwards for which an income tax valuation allowance had been previously provided for in the financial statements. See Note O — </w:t>
      </w:r>
      <w:r>
        <w:rPr>
          <w:rFonts w:ascii="Arial" w:cs="Arial" w:eastAsia="Arial" w:hAnsi="Arial"/>
          <w:sz w:val="13"/>
          <w:szCs w:val="13"/>
          <w:i w:val="1"/>
          <w:iCs w:val="1"/>
          <w:color w:val="auto"/>
        </w:rPr>
        <w:t>Income Taxes</w:t>
      </w:r>
      <w:r>
        <w:rPr>
          <w:rFonts w:ascii="Arial" w:cs="Arial" w:eastAsia="Arial" w:hAnsi="Arial"/>
          <w:sz w:val="13"/>
          <w:szCs w:val="13"/>
          <w:color w:val="auto"/>
        </w:rPr>
        <w:t>, for additional information.</w:t>
      </w:r>
    </w:p>
    <w:p>
      <w:pPr>
        <w:spacing w:after="0" w:line="14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Property, Plant and Equipment</w:t>
      </w:r>
    </w:p>
    <w:p>
      <w:pPr>
        <w:spacing w:after="0" w:line="102" w:lineRule="exact"/>
        <w:rPr>
          <w:sz w:val="20"/>
          <w:szCs w:val="20"/>
          <w:color w:val="auto"/>
        </w:rPr>
      </w:pPr>
    </w:p>
    <w:p>
      <w:pPr>
        <w:ind w:left="680" w:right="20" w:firstLine="399"/>
        <w:spacing w:after="0" w:line="309" w:lineRule="auto"/>
        <w:rPr>
          <w:sz w:val="20"/>
          <w:szCs w:val="20"/>
          <w:color w:val="auto"/>
        </w:rPr>
      </w:pPr>
      <w:r>
        <w:rPr>
          <w:rFonts w:ascii="Arial" w:cs="Arial" w:eastAsia="Arial" w:hAnsi="Arial"/>
          <w:sz w:val="12"/>
          <w:szCs w:val="12"/>
          <w:color w:val="auto"/>
        </w:rPr>
        <w:t>During the fourth quarter of fiscal 2009, we reviewed the estimated useful lives of our property, plant and equipment. As a result of this review, we shortened the remaining useful lives of certain machinery and equipment and depreciation and amortization expense increased by $0.5 million during fiscal 2009. This change in estimate of the remaining useful lives of this machinery and equipment will increase depreciation and amortization expense by $1.7 million and $0.4 million during fiscal 2010 and 2011.</w:t>
      </w:r>
    </w:p>
    <w:p>
      <w:pPr>
        <w:spacing w:after="0" w:line="41" w:lineRule="exact"/>
        <w:rPr>
          <w:sz w:val="20"/>
          <w:szCs w:val="20"/>
          <w:color w:val="auto"/>
        </w:rPr>
      </w:pPr>
    </w:p>
    <w:p>
      <w:pPr>
        <w:jc w:val="both"/>
        <w:ind w:left="680" w:right="120" w:firstLine="399"/>
        <w:spacing w:after="0" w:line="270" w:lineRule="auto"/>
        <w:rPr>
          <w:sz w:val="20"/>
          <w:szCs w:val="20"/>
          <w:color w:val="auto"/>
        </w:rPr>
      </w:pPr>
      <w:r>
        <w:rPr>
          <w:rFonts w:ascii="Arial" w:cs="Arial" w:eastAsia="Arial" w:hAnsi="Arial"/>
          <w:sz w:val="13"/>
          <w:szCs w:val="13"/>
          <w:color w:val="auto"/>
        </w:rPr>
        <w:t>Property, plant and equipment are stated on the basis of cost less accumulated depreciation and amortization. We capitalize costs of software, consulting services, hardware and other related costs incurred to purchase or develop internal-use software. We expense costs incurred during preliminary project assessment, research and development, re-engineering, training and application maintenance. Leasehold improvements made either at the inception of the lease or during the lease term are amortized over the current lease term, or estimated life, if shorter.</w:t>
      </w:r>
    </w:p>
    <w:p>
      <w:pPr>
        <w:spacing w:after="0" w:line="63" w:lineRule="exact"/>
        <w:rPr>
          <w:sz w:val="20"/>
          <w:szCs w:val="20"/>
          <w:color w:val="auto"/>
        </w:rPr>
      </w:pPr>
    </w:p>
    <w:p>
      <w:pPr>
        <w:ind w:left="680" w:right="20" w:firstLine="399"/>
        <w:spacing w:after="0" w:line="294" w:lineRule="auto"/>
        <w:rPr>
          <w:sz w:val="20"/>
          <w:szCs w:val="20"/>
          <w:color w:val="auto"/>
        </w:rPr>
      </w:pPr>
      <w:r>
        <w:rPr>
          <w:rFonts w:ascii="Arial" w:cs="Arial" w:eastAsia="Arial" w:hAnsi="Arial"/>
          <w:sz w:val="13"/>
          <w:szCs w:val="13"/>
          <w:color w:val="auto"/>
        </w:rPr>
        <w:t>Depreciation and amortization are calculated using the straight-line method over the shorter of the estimated useful lives of the respective assets or any applicable lease term. The useful lives of the assets are generally as follows:</w:t>
      </w:r>
    </w:p>
    <w:p>
      <w:pPr>
        <w:sectPr>
          <w:pgSz w:w="11900" w:h="16838" w:orient="portrait"/>
          <w:cols w:equalWidth="0" w:num="1">
            <w:col w:w="10660"/>
          </w:cols>
          <w:pgMar w:left="220" w:top="349" w:right="1019" w:bottom="1440" w:gutter="0" w:footer="0" w:header="0"/>
        </w:sectPr>
      </w:pPr>
    </w:p>
    <w:p>
      <w:pPr>
        <w:spacing w:after="0" w:line="5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Buildings and leasehold improvements</w:t>
      </w:r>
    </w:p>
    <w:p>
      <w:pPr>
        <w:spacing w:after="0" w:line="34"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Software developed for internal use</w:t>
      </w:r>
    </w:p>
    <w:p>
      <w:pPr>
        <w:spacing w:after="0" w:line="1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Machinery and equipment</w:t>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spacing w:after="0"/>
        <w:rPr>
          <w:sz w:val="20"/>
          <w:szCs w:val="20"/>
          <w:color w:val="auto"/>
        </w:rPr>
      </w:pPr>
      <w:r>
        <w:rPr>
          <w:rFonts w:ascii="Arial" w:cs="Arial" w:eastAsia="Arial" w:hAnsi="Arial"/>
          <w:sz w:val="11"/>
          <w:szCs w:val="11"/>
          <w:color w:val="auto"/>
        </w:rPr>
        <w:t>2 to 45 years</w:t>
      </w:r>
    </w:p>
    <w:p>
      <w:pPr>
        <w:spacing w:after="0" w:line="45" w:lineRule="exact"/>
        <w:rPr>
          <w:sz w:val="20"/>
          <w:szCs w:val="20"/>
          <w:color w:val="auto"/>
        </w:rPr>
      </w:pPr>
    </w:p>
    <w:p>
      <w:pPr>
        <w:spacing w:after="0"/>
        <w:rPr>
          <w:sz w:val="20"/>
          <w:szCs w:val="20"/>
          <w:color w:val="auto"/>
        </w:rPr>
      </w:pPr>
      <w:r>
        <w:rPr>
          <w:rFonts w:ascii="Arial" w:cs="Arial" w:eastAsia="Arial" w:hAnsi="Arial"/>
          <w:sz w:val="13"/>
          <w:szCs w:val="13"/>
          <w:color w:val="auto"/>
        </w:rPr>
        <w:t>3 to 5 years</w:t>
      </w:r>
    </w:p>
    <w:p>
      <w:pPr>
        <w:spacing w:after="0" w:line="12" w:lineRule="exact"/>
        <w:rPr>
          <w:sz w:val="20"/>
          <w:szCs w:val="20"/>
          <w:color w:val="auto"/>
        </w:rPr>
      </w:pPr>
    </w:p>
    <w:p>
      <w:pPr>
        <w:spacing w:after="0"/>
        <w:rPr>
          <w:sz w:val="20"/>
          <w:szCs w:val="20"/>
          <w:color w:val="auto"/>
        </w:rPr>
      </w:pPr>
      <w:r>
        <w:rPr>
          <w:rFonts w:ascii="Arial" w:cs="Arial" w:eastAsia="Arial" w:hAnsi="Arial"/>
          <w:sz w:val="11"/>
          <w:szCs w:val="11"/>
          <w:color w:val="auto"/>
        </w:rPr>
        <w:t>2 to 10 years</w:t>
      </w:r>
    </w:p>
    <w:p>
      <w:pPr>
        <w:spacing w:after="0" w:line="115" w:lineRule="exact"/>
        <w:rPr>
          <w:sz w:val="20"/>
          <w:szCs w:val="20"/>
          <w:color w:val="auto"/>
        </w:rPr>
      </w:pPr>
    </w:p>
    <w:p>
      <w:pPr>
        <w:sectPr>
          <w:pgSz w:w="11900" w:h="16838" w:orient="portrait"/>
          <w:cols w:equalWidth="0" w:num="2">
            <w:col w:w="8760" w:space="720"/>
            <w:col w:w="1180"/>
          </w:cols>
          <w:pgMar w:left="220" w:top="349" w:right="1019" w:bottom="1440" w:gutter="0" w:footer="0" w:header="0"/>
          <w:type w:val="continuous"/>
        </w:sectPr>
      </w:pPr>
    </w:p>
    <w:p>
      <w:pPr>
        <w:ind w:left="680" w:right="460" w:firstLine="399"/>
        <w:spacing w:after="0" w:line="391" w:lineRule="auto"/>
        <w:rPr>
          <w:sz w:val="20"/>
          <w:szCs w:val="20"/>
          <w:color w:val="auto"/>
        </w:rPr>
      </w:pPr>
      <w:r>
        <w:rPr>
          <w:rFonts w:ascii="Arial" w:cs="Arial" w:eastAsia="Arial" w:hAnsi="Arial"/>
          <w:sz w:val="11"/>
          <w:szCs w:val="11"/>
          <w:color w:val="auto"/>
        </w:rPr>
        <w:t xml:space="preserve">Expenditures for maintenance and repairs are charged to expense as incurred. Cost and accumulated depreciation of assets sold or retired are removed from the respective property accounts, and the gain or loss is reflected in the Consolidated Statements of Operations. See </w:t>
      </w:r>
      <w:r>
        <w:rPr>
          <w:rFonts w:ascii="Arial" w:cs="Arial" w:eastAsia="Arial" w:hAnsi="Arial"/>
          <w:sz w:val="11"/>
          <w:szCs w:val="11"/>
          <w:i w:val="1"/>
          <w:iCs w:val="1"/>
          <w:color w:val="auto"/>
        </w:rPr>
        <w:t>Note G — Property, Plant and Equipment</w:t>
      </w:r>
      <w:r>
        <w:rPr>
          <w:rFonts w:ascii="Arial" w:cs="Arial" w:eastAsia="Arial" w:hAnsi="Arial"/>
          <w:sz w:val="11"/>
          <w:szCs w:val="11"/>
          <w:color w:val="auto"/>
        </w:rPr>
        <w:t xml:space="preserve"> for additional information.</w:t>
      </w:r>
    </w:p>
    <w:p>
      <w:pPr>
        <w:spacing w:after="0" w:line="213"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type w:val="continuous"/>
        </w:sectPr>
      </w:pPr>
    </w:p>
    <w:bookmarkStart w:id="70" w:name="page71"/>
    <w:bookmarkEnd w:id="7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HARRIS STRATEX NETWORKS, INC. AND SUBSIDIARIES</w:t>
      </w:r>
    </w:p>
    <w:p>
      <w:pPr>
        <w:spacing w:after="0" w:line="102"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6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Capitalized Software</w:t>
      </w:r>
    </w:p>
    <w:p>
      <w:pPr>
        <w:spacing w:after="0" w:line="102" w:lineRule="exact"/>
        <w:rPr>
          <w:sz w:val="20"/>
          <w:szCs w:val="20"/>
          <w:color w:val="auto"/>
        </w:rPr>
      </w:pPr>
    </w:p>
    <w:p>
      <w:pPr>
        <w:jc w:val="both"/>
        <w:ind w:left="680" w:firstLine="399"/>
        <w:spacing w:after="0" w:line="270" w:lineRule="auto"/>
        <w:rPr>
          <w:sz w:val="20"/>
          <w:szCs w:val="20"/>
          <w:color w:val="auto"/>
        </w:rPr>
      </w:pPr>
      <w:r>
        <w:rPr>
          <w:rFonts w:ascii="Arial" w:cs="Arial" w:eastAsia="Arial" w:hAnsi="Arial"/>
          <w:sz w:val="13"/>
          <w:szCs w:val="13"/>
          <w:color w:val="auto"/>
        </w:rPr>
        <w:t>Costs for the conceptual formulation and design of new software products are expensed as incurred until technological feasibility has been established (when we have a working model). Once technological feasibility has been established, we capitalize costs to produce the finished software products. Capitalization ceases when the product is available for general release to customers. Costs associated with product enhancements that extend the original product’s life or significantly improve the original product’s marketability are also capitalized once technological feasibility has been established.</w:t>
      </w:r>
    </w:p>
    <w:p>
      <w:pPr>
        <w:spacing w:after="0" w:line="63" w:lineRule="exact"/>
        <w:rPr>
          <w:sz w:val="20"/>
          <w:szCs w:val="20"/>
          <w:color w:val="auto"/>
        </w:rPr>
      </w:pPr>
    </w:p>
    <w:p>
      <w:pPr>
        <w:ind w:left="680" w:right="40" w:firstLine="399"/>
        <w:spacing w:after="0" w:line="265" w:lineRule="auto"/>
        <w:rPr>
          <w:sz w:val="20"/>
          <w:szCs w:val="20"/>
          <w:color w:val="auto"/>
        </w:rPr>
      </w:pPr>
      <w:r>
        <w:rPr>
          <w:rFonts w:ascii="Arial" w:cs="Arial" w:eastAsia="Arial" w:hAnsi="Arial"/>
          <w:sz w:val="13"/>
          <w:szCs w:val="13"/>
          <w:color w:val="auto"/>
        </w:rPr>
        <w:t>Amortization is calculated on a product-by-product basis as the greater of the amount computed using (a) the ratio that current gross revenue for a product bear to the total of current and anticipated future gross revenue for that product or (b) the straight-line method over the remaining economic life of the product. At each balance sheet date, the unamortized capitalized cost of each computer software product is compared to the net realizable value of that product. If an amount of unamortized capitalized costs of a computer software product is found to exceed the net realizable value of that asset, such amount will be written off. The net realizable value is the estimated future gross revenue from that product reduced by the estimated future costs of completing and deploying that product, including the costs of performing maintenance and customer support required to satisfy our responsibility set forth at the time of sale.</w:t>
      </w:r>
    </w:p>
    <w:p>
      <w:pPr>
        <w:spacing w:after="0" w:line="6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Total amortization expense related to capitalized software was $3.4 million in fiscal 2009, $2.9 million in fiscal 2008 and $2.3 million in fiscal 2007.</w:t>
      </w:r>
    </w:p>
    <w:p>
      <w:pPr>
        <w:spacing w:after="0" w:line="18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Identifiable Intangible Assets, Goodwill and Impairment of Long-Lived Assets</w:t>
      </w:r>
    </w:p>
    <w:p>
      <w:pPr>
        <w:spacing w:after="0" w:line="102" w:lineRule="exact"/>
        <w:rPr>
          <w:sz w:val="20"/>
          <w:szCs w:val="20"/>
          <w:color w:val="auto"/>
        </w:rPr>
      </w:pPr>
    </w:p>
    <w:p>
      <w:pPr>
        <w:ind w:left="680" w:right="160" w:firstLine="399"/>
        <w:spacing w:after="0" w:line="267" w:lineRule="auto"/>
        <w:rPr>
          <w:sz w:val="20"/>
          <w:szCs w:val="20"/>
          <w:color w:val="auto"/>
        </w:rPr>
      </w:pPr>
      <w:r>
        <w:rPr>
          <w:rFonts w:ascii="Arial" w:cs="Arial" w:eastAsia="Arial" w:hAnsi="Arial"/>
          <w:sz w:val="13"/>
          <w:szCs w:val="13"/>
          <w:color w:val="auto"/>
        </w:rPr>
        <w:t>We account for our business combinations using the purchase method of accounting which means we record the assets acquired and liabilities assumed at their respective fair values at the date of acquisition, with any excess purchase price recorded as goodwill. Valuation of intangible assets and in-process research and development requires significant estimates and assumptions including, but not limited to, determining the timing and expected costs to complete development projects, estimating future cash flows from product sales, developing appropriate discount rates, estimating probability rates for the successful completion of development projects, continuation of customer relationships and renewal of customer contracts, and approximating the useful lives of the intangible assets acquired.</w:t>
      </w:r>
    </w:p>
    <w:p>
      <w:pPr>
        <w:spacing w:after="0" w:line="65" w:lineRule="exact"/>
        <w:rPr>
          <w:sz w:val="20"/>
          <w:szCs w:val="20"/>
          <w:color w:val="auto"/>
        </w:rPr>
      </w:pPr>
    </w:p>
    <w:p>
      <w:pPr>
        <w:jc w:val="both"/>
        <w:ind w:left="680" w:right="140" w:firstLine="399"/>
        <w:spacing w:after="0" w:line="276" w:lineRule="auto"/>
        <w:rPr>
          <w:sz w:val="20"/>
          <w:szCs w:val="20"/>
          <w:color w:val="auto"/>
        </w:rPr>
      </w:pPr>
      <w:r>
        <w:rPr>
          <w:rFonts w:ascii="Arial" w:cs="Arial" w:eastAsia="Arial" w:hAnsi="Arial"/>
          <w:sz w:val="13"/>
          <w:szCs w:val="13"/>
          <w:color w:val="auto"/>
        </w:rPr>
        <w:t>Intangible assets with an indefinite life are not amortized until their life is determined to be finite, and all other intangible assets must be amortized over their estimated useful lives. We amortize our acquired intangible assets with definite lives over periods ranging from less than one to ten years. Upon acquisition, the Stratex trade name intangible asset was deemed to have an indefinite life.</w:t>
      </w:r>
    </w:p>
    <w:p>
      <w:pPr>
        <w:spacing w:after="0" w:line="59" w:lineRule="exact"/>
        <w:rPr>
          <w:sz w:val="20"/>
          <w:szCs w:val="20"/>
          <w:color w:val="auto"/>
        </w:rPr>
      </w:pPr>
    </w:p>
    <w:p>
      <w:pPr>
        <w:ind w:left="680" w:firstLine="399"/>
        <w:spacing w:after="0" w:line="288" w:lineRule="auto"/>
        <w:rPr>
          <w:sz w:val="20"/>
          <w:szCs w:val="20"/>
          <w:color w:val="auto"/>
        </w:rPr>
      </w:pPr>
      <w:r>
        <w:rPr>
          <w:rFonts w:ascii="Arial" w:cs="Arial" w:eastAsia="Arial" w:hAnsi="Arial"/>
          <w:sz w:val="12"/>
          <w:szCs w:val="12"/>
          <w:color w:val="auto"/>
        </w:rPr>
        <w:t>Goodwill and intangible assets deemed to have indefinite lives are not amortized but instead are tested for impairment at the reporting unit level at least annually and more frequently upon the occurrence of certain events. We review the carrying value of our intangible assets and goodwill for impairment whenever events or circumstances indicate that their carrying amount may not be recoverable. Significant negative industry or economic trends, including a lack of recovery in the market price of our common stock or the fair value of our debt, disruptions to our business, unexpected significant changes or planned changes in the use of the intangible assets, and mergers and acquisitions could result in the need to reassess the fair value of our assets and liabilities which could lead to an impairment charge for any of our intangible assets or goodwill. The value of our indefinite lived intangible assets and goodwill could also be impacted by future adverse changes such as: (i) any future declines in our operating results, (ii) a significant slowdown in the worldwide economy and the microwave industry or (iii) any failure to meet the performance projections included in our forecasts of future operating results. We evaluate these assets, including purchased intangible assets deemed to have indefinite lives, on an annual basis or more frequently, if indicators of impairment exist.</w:t>
      </w:r>
    </w:p>
    <w:p>
      <w:pPr>
        <w:spacing w:after="0" w:line="267"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9" w:right="1039" w:bottom="1440" w:gutter="0" w:footer="0" w:header="0"/>
        </w:sectPr>
      </w:pPr>
    </w:p>
    <w:bookmarkStart w:id="71" w:name="page72"/>
    <w:bookmarkEnd w:id="7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HARRIS STRATEX NETWORKS, INC. AND SUBSIDIARIES</w:t>
      </w:r>
    </w:p>
    <w:p>
      <w:pPr>
        <w:spacing w:after="0" w:line="102"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66" w:lineRule="exact"/>
        <w:rPr>
          <w:sz w:val="20"/>
          <w:szCs w:val="20"/>
          <w:color w:val="auto"/>
        </w:rPr>
      </w:pPr>
    </w:p>
    <w:p>
      <w:pPr>
        <w:ind w:left="680" w:firstLine="399"/>
        <w:spacing w:after="0" w:line="265" w:lineRule="auto"/>
        <w:rPr>
          <w:sz w:val="20"/>
          <w:szCs w:val="20"/>
          <w:color w:val="auto"/>
        </w:rPr>
      </w:pPr>
      <w:r>
        <w:rPr>
          <w:rFonts w:ascii="Arial" w:cs="Arial" w:eastAsia="Arial" w:hAnsi="Arial"/>
          <w:sz w:val="13"/>
          <w:szCs w:val="13"/>
          <w:color w:val="auto"/>
        </w:rPr>
        <w:t>We have three reporting units, consisting of: (i) our North America Microwave segment; (ii) our International Microwave segment; and (iii) our Network Operations segment. We have no indefinite lived intangible assets or goodwill in our Network Operations segment. Goodwill is tested for impairment annually during the fourth quarter of our fiscal year using a two-step process. First, we determine if the carrying amount of any of our reporting units exceeds its fair value (determined using an analysis of a combination of projected discounted cash flows and market multiples based on revenue and earnings before interest, taxes, depreciation and amortization), which would indicate a potential impairment associated with that reporting unit. If we determine that a potential impairment exists, we then compare the implied fair value associated with the respective reporting unit, to its carrying amount to determine if there is an impairment loss.</w:t>
      </w:r>
    </w:p>
    <w:p>
      <w:pPr>
        <w:spacing w:after="0" w:line="68" w:lineRule="exact"/>
        <w:rPr>
          <w:sz w:val="20"/>
          <w:szCs w:val="20"/>
          <w:color w:val="auto"/>
        </w:rPr>
      </w:pPr>
    </w:p>
    <w:p>
      <w:pPr>
        <w:ind w:left="680" w:firstLine="399"/>
        <w:spacing w:after="0" w:line="309" w:lineRule="auto"/>
        <w:rPr>
          <w:sz w:val="20"/>
          <w:szCs w:val="20"/>
          <w:color w:val="auto"/>
        </w:rPr>
      </w:pPr>
      <w:r>
        <w:rPr>
          <w:rFonts w:ascii="Arial" w:cs="Arial" w:eastAsia="Arial" w:hAnsi="Arial"/>
          <w:sz w:val="12"/>
          <w:szCs w:val="12"/>
          <w:color w:val="auto"/>
        </w:rPr>
        <w:t>Evaluations of impairment involve management estimates of asset useful lives and future cash flows. Significant management judgment is required in the forecasts of future operating results that are used in the evaluations. It is possible, however, that the plans and estimates used may prove to be inaccurate. If our actual results, or the plans and estimates used in future impairment analysis, are lower than the original estimates used to assess the recoverability of these assets, we could incur additional impairment charges in a future period.</w:t>
      </w:r>
    </w:p>
    <w:p>
      <w:pPr>
        <w:spacing w:after="0" w:line="41" w:lineRule="exact"/>
        <w:rPr>
          <w:sz w:val="20"/>
          <w:szCs w:val="20"/>
          <w:color w:val="auto"/>
        </w:rPr>
      </w:pPr>
    </w:p>
    <w:p>
      <w:pPr>
        <w:ind w:left="680" w:firstLine="399"/>
        <w:spacing w:after="0" w:line="290" w:lineRule="auto"/>
        <w:rPr>
          <w:sz w:val="20"/>
          <w:szCs w:val="20"/>
          <w:color w:val="auto"/>
        </w:rPr>
      </w:pPr>
      <w:r>
        <w:rPr>
          <w:rFonts w:ascii="Arial" w:cs="Arial" w:eastAsia="Arial" w:hAnsi="Arial"/>
          <w:sz w:val="12"/>
          <w:szCs w:val="12"/>
          <w:color w:val="auto"/>
        </w:rPr>
        <w:t>We evaluate long-lived assets, including intangible assets other than goodwill, for impairment whenever events or changes in circumstances indicate that the carrying value of an asset may not be recoverable. Impairment is considered to exist if the total estimated future cash flows on an undiscounted basis are less than the carrying amount of the assets. If impairment exists, the impairment loss is measured and recorded based on discounted estimated future cash flows. In estimating future cash flows, assets are grouped at the lowest levels for which there are identifiable cash flows that are largely independent of cash flows from other asset groups. Our estimate of future cash flows is based upon, among other things, certain assumptions about expected future operating performance, growth rates and other factors. The actual cash flows realized from these assets may vary significantly from our estimates due to increased competition, changes in technology, fluctuations in demand, consolidation of our customers, reductions in average selling prices and other factors. Assumptions underlying future cash flow estimates are therefore subject to significant risks and uncertainties.</w:t>
      </w:r>
    </w:p>
    <w:p>
      <w:pPr>
        <w:spacing w:after="0" w:line="52" w:lineRule="exact"/>
        <w:rPr>
          <w:sz w:val="20"/>
          <w:szCs w:val="20"/>
          <w:color w:val="auto"/>
        </w:rPr>
      </w:pPr>
    </w:p>
    <w:p>
      <w:pPr>
        <w:ind w:left="680" w:right="60" w:firstLine="399"/>
        <w:spacing w:after="0" w:line="299" w:lineRule="auto"/>
        <w:rPr>
          <w:sz w:val="20"/>
          <w:szCs w:val="20"/>
          <w:color w:val="auto"/>
        </w:rPr>
      </w:pPr>
      <w:r>
        <w:rPr>
          <w:rFonts w:ascii="Arial" w:cs="Arial" w:eastAsia="Arial" w:hAnsi="Arial"/>
          <w:sz w:val="12"/>
          <w:szCs w:val="12"/>
          <w:color w:val="auto"/>
        </w:rPr>
        <w:t>The majority of our goodwill and the trade name “Stratex” were recorded in connection with the acquisition of Stratex Networks, Inc. (“Stratex”) in January 2007 and were included in the International Microwave segment of our business. In January 2009, we determined that based on the current global economic environment and the decline of our market capitalization, it was likely that an indicator of goodwill impairment existed as of the end of the second quarter of fiscal 2009. As a result, we performed an interim review for impairment as of the end of the second quarter of fiscal 2009 of our goodwill and other indefinite-lived intangible assets (consisting solely of the trade name “Stratex”).</w:t>
      </w:r>
    </w:p>
    <w:p>
      <w:pPr>
        <w:spacing w:after="0" w:line="48" w:lineRule="exact"/>
        <w:rPr>
          <w:sz w:val="20"/>
          <w:szCs w:val="20"/>
          <w:color w:val="auto"/>
        </w:rPr>
      </w:pPr>
    </w:p>
    <w:p>
      <w:pPr>
        <w:ind w:left="680" w:right="20" w:firstLine="399"/>
        <w:spacing w:after="0" w:line="265" w:lineRule="auto"/>
        <w:rPr>
          <w:sz w:val="20"/>
          <w:szCs w:val="20"/>
          <w:color w:val="auto"/>
        </w:rPr>
      </w:pPr>
      <w:r>
        <w:rPr>
          <w:rFonts w:ascii="Arial" w:cs="Arial" w:eastAsia="Arial" w:hAnsi="Arial"/>
          <w:sz w:val="13"/>
          <w:szCs w:val="13"/>
          <w:color w:val="auto"/>
        </w:rPr>
        <w:t>To test for potential impairment of our goodwill, we determined the fair value of each of our reporting segments based on projected discounted cash flows and market-based multiples applied to sales and earnings. The results indicated an impairment to goodwill, because the current carrying value of the North America Microwave and International Microwave segments exceeded their fair value. We then allocated these fair values to the respective underlying assets and liabilities to determine the implied fair value of goodwill, resulting in a $279.0 million charge to write down all of our goodwill. We determined the fair value of the trade name “Stratex” by performing a projected discounted cash flow analysis based on the relief-from-royalty approach, resulting in a $22.0 million charge to write down the trade name “Stratex” to $11.0 million as of April 3, 2009, the end of our third quarter in fiscal 2009.</w:t>
      </w:r>
    </w:p>
    <w:p>
      <w:pPr>
        <w:spacing w:after="0" w:line="68" w:lineRule="exact"/>
        <w:rPr>
          <w:sz w:val="20"/>
          <w:szCs w:val="20"/>
          <w:color w:val="auto"/>
        </w:rPr>
      </w:pPr>
    </w:p>
    <w:p>
      <w:pPr>
        <w:ind w:left="680" w:right="40" w:firstLine="399"/>
        <w:spacing w:after="0" w:line="270" w:lineRule="auto"/>
        <w:rPr>
          <w:sz w:val="20"/>
          <w:szCs w:val="20"/>
          <w:color w:val="auto"/>
        </w:rPr>
      </w:pPr>
      <w:r>
        <w:rPr>
          <w:rFonts w:ascii="Arial" w:cs="Arial" w:eastAsia="Arial" w:hAnsi="Arial"/>
          <w:sz w:val="13"/>
          <w:szCs w:val="13"/>
          <w:color w:val="auto"/>
        </w:rPr>
        <w:t>During June 2009, subsequent to the May 27, 2009 spin-off by Harris of its majority interest or 56 percent of our common stock, Harris notified us of its intent to terminate the trademark license in effect between us since January 26, 2007. The new name of our Company will not include Harris or Stratex. Accordingly, the fair value of the indefinite-lived trade name “Stratex” was deemed to be impaired. Furthermore, we anticipate making this change by December 2009, which is an expected definite life of six months from July 3, 2009, the end of our fiscal year 2009. As a result, we determined the fair value of the trade name “Stratex” as of July 3, 2009 by performing a</w:t>
      </w:r>
    </w:p>
    <w:p>
      <w:pPr>
        <w:spacing w:after="0" w:line="27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9" w:right="1039" w:bottom="1440" w:gutter="0" w:footer="0" w:header="0"/>
        </w:sectPr>
      </w:pPr>
    </w:p>
    <w:bookmarkStart w:id="72" w:name="page73"/>
    <w:bookmarkEnd w:id="7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HARRIS STRATEX NETWORKS, INC. AND SUBSIDIARIES</w:t>
      </w:r>
    </w:p>
    <w:p>
      <w:pPr>
        <w:spacing w:after="0" w:line="102"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66" w:lineRule="exact"/>
        <w:rPr>
          <w:sz w:val="20"/>
          <w:szCs w:val="20"/>
          <w:color w:val="auto"/>
        </w:rPr>
      </w:pPr>
    </w:p>
    <w:p>
      <w:pPr>
        <w:ind w:left="680"/>
        <w:spacing w:after="0" w:line="294" w:lineRule="auto"/>
        <w:rPr>
          <w:sz w:val="20"/>
          <w:szCs w:val="20"/>
          <w:color w:val="auto"/>
        </w:rPr>
      </w:pPr>
      <w:r>
        <w:rPr>
          <w:rFonts w:ascii="Arial" w:cs="Arial" w:eastAsia="Arial" w:hAnsi="Arial"/>
          <w:sz w:val="13"/>
          <w:szCs w:val="13"/>
          <w:color w:val="auto"/>
        </w:rPr>
        <w:t>projected discounted cash flow analysis based on the relief-from-royalty approach, resulting in a $10.6 million charge to write down a majority of the trade name “Stratex” to a fair value of $0.4 million with a six-month remaining life.</w:t>
      </w:r>
    </w:p>
    <w:p>
      <w:pPr>
        <w:spacing w:after="0" w:line="47" w:lineRule="exact"/>
        <w:rPr>
          <w:sz w:val="20"/>
          <w:szCs w:val="20"/>
          <w:color w:val="auto"/>
        </w:rPr>
      </w:pPr>
    </w:p>
    <w:p>
      <w:pPr>
        <w:jc w:val="both"/>
        <w:ind w:left="680" w:right="40" w:firstLine="399"/>
        <w:spacing w:after="0" w:line="289" w:lineRule="auto"/>
        <w:rPr>
          <w:sz w:val="20"/>
          <w:szCs w:val="20"/>
          <w:color w:val="auto"/>
        </w:rPr>
      </w:pPr>
      <w:r>
        <w:rPr>
          <w:rFonts w:ascii="Arial" w:cs="Arial" w:eastAsia="Arial" w:hAnsi="Arial"/>
          <w:sz w:val="12"/>
          <w:szCs w:val="12"/>
          <w:color w:val="auto"/>
        </w:rPr>
        <w:t>We will not be required to make any current or future cash expenditures as a result of these impairments, and these impairments do not impact our financial covenant compliance under our credit arrangements or our ongoing financial performance. We did not record any impairment losses on identifiable intangible assets or goodwill in fiscal 2008 or 2007.</w:t>
      </w:r>
    </w:p>
    <w:p>
      <w:pPr>
        <w:spacing w:after="0" w:line="1" w:lineRule="exact"/>
        <w:rPr>
          <w:sz w:val="20"/>
          <w:szCs w:val="20"/>
          <w:color w:val="auto"/>
        </w:rPr>
      </w:pPr>
    </w:p>
    <w:p>
      <w:pPr>
        <w:ind w:left="680"/>
        <w:spacing w:after="0"/>
        <w:rPr>
          <w:sz w:val="20"/>
          <w:szCs w:val="20"/>
          <w:color w:val="auto"/>
        </w:rPr>
      </w:pPr>
      <w:r>
        <w:rPr>
          <w:rFonts w:ascii="Arial" w:cs="Arial" w:eastAsia="Arial" w:hAnsi="Arial"/>
          <w:sz w:val="13"/>
          <w:szCs w:val="13"/>
          <w:i w:val="1"/>
          <w:iCs w:val="1"/>
          <w:color w:val="auto"/>
        </w:rPr>
        <w:t xml:space="preserve">Note C — Business Combinations — Acquisition of Telsima and Stratex, Goodwill and Identifiable Intangible Assets </w:t>
      </w:r>
      <w:r>
        <w:rPr>
          <w:rFonts w:ascii="Arial" w:cs="Arial" w:eastAsia="Arial" w:hAnsi="Arial"/>
          <w:sz w:val="13"/>
          <w:szCs w:val="13"/>
          <w:color w:val="auto"/>
        </w:rPr>
        <w:t>for additional information.</w:t>
      </w:r>
    </w:p>
    <w:p>
      <w:pPr>
        <w:spacing w:after="0" w:line="92" w:lineRule="exact"/>
        <w:rPr>
          <w:sz w:val="20"/>
          <w:szCs w:val="20"/>
          <w:color w:val="auto"/>
        </w:rPr>
      </w:pPr>
    </w:p>
    <w:p>
      <w:pPr>
        <w:jc w:val="both"/>
        <w:ind w:left="680" w:right="40" w:firstLine="399"/>
        <w:spacing w:after="0" w:line="276" w:lineRule="auto"/>
        <w:rPr>
          <w:sz w:val="20"/>
          <w:szCs w:val="20"/>
          <w:color w:val="auto"/>
        </w:rPr>
      </w:pPr>
      <w:r>
        <w:rPr>
          <w:rFonts w:ascii="Arial" w:cs="Arial" w:eastAsia="Arial" w:hAnsi="Arial"/>
          <w:sz w:val="13"/>
          <w:szCs w:val="13"/>
          <w:color w:val="auto"/>
        </w:rPr>
        <w:t xml:space="preserve">During the third quarter of fiscal 2009, we recorded a $2.9 million write-down of software developed for internal use and a $7.2 million write-down of machinery and equipment related to our product transitioning activities. We also recorded a $2.4 million impairment of a building used in manufacturing that we classified as property held for sale. See </w:t>
      </w:r>
      <w:r>
        <w:rPr>
          <w:rFonts w:ascii="Arial" w:cs="Arial" w:eastAsia="Arial" w:hAnsi="Arial"/>
          <w:sz w:val="13"/>
          <w:szCs w:val="13"/>
          <w:i w:val="1"/>
          <w:iCs w:val="1"/>
          <w:color w:val="auto"/>
        </w:rPr>
        <w:t>Note G —</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Property, Plant and Equipment </w:t>
      </w:r>
      <w:r>
        <w:rPr>
          <w:rFonts w:ascii="Arial" w:cs="Arial" w:eastAsia="Arial" w:hAnsi="Arial"/>
          <w:sz w:val="13"/>
          <w:szCs w:val="13"/>
          <w:color w:val="auto"/>
        </w:rPr>
        <w:t>for additional information.</w:t>
      </w:r>
    </w:p>
    <w:p>
      <w:pPr>
        <w:spacing w:after="0" w:line="59" w:lineRule="exact"/>
        <w:rPr>
          <w:sz w:val="20"/>
          <w:szCs w:val="20"/>
          <w:color w:val="auto"/>
        </w:rPr>
      </w:pPr>
    </w:p>
    <w:p>
      <w:pPr>
        <w:ind w:left="680" w:right="160" w:firstLine="399"/>
        <w:spacing w:after="0" w:line="294" w:lineRule="auto"/>
        <w:rPr>
          <w:sz w:val="20"/>
          <w:szCs w:val="20"/>
          <w:color w:val="auto"/>
        </w:rPr>
      </w:pPr>
      <w:r>
        <w:rPr>
          <w:rFonts w:ascii="Arial" w:cs="Arial" w:eastAsia="Arial" w:hAnsi="Arial"/>
          <w:sz w:val="13"/>
          <w:szCs w:val="13"/>
          <w:color w:val="auto"/>
        </w:rPr>
        <w:t xml:space="preserve">During fiscal 2008, we recorded impairment losses on property, plant and equipment totaling $1.3 million. See </w:t>
      </w:r>
      <w:r>
        <w:rPr>
          <w:rFonts w:ascii="Arial" w:cs="Arial" w:eastAsia="Arial" w:hAnsi="Arial"/>
          <w:sz w:val="13"/>
          <w:szCs w:val="13"/>
          <w:i w:val="1"/>
          <w:iCs w:val="1"/>
          <w:color w:val="auto"/>
        </w:rPr>
        <w:t>Note P — Related Party Transactions with Harris</w:t>
      </w:r>
      <w:r>
        <w:rPr>
          <w:rFonts w:ascii="Arial" w:cs="Arial" w:eastAsia="Arial" w:hAnsi="Arial"/>
          <w:sz w:val="13"/>
          <w:szCs w:val="13"/>
          <w:color w:val="auto"/>
        </w:rPr>
        <w:t xml:space="preserve"> for additional information.</w:t>
      </w:r>
    </w:p>
    <w:p>
      <w:pPr>
        <w:spacing w:after="0" w:line="12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Other Accrued Items and Other Assets</w:t>
      </w:r>
    </w:p>
    <w:p>
      <w:pPr>
        <w:spacing w:after="0" w:line="102" w:lineRule="exact"/>
        <w:rPr>
          <w:sz w:val="20"/>
          <w:szCs w:val="20"/>
          <w:color w:val="auto"/>
        </w:rPr>
      </w:pPr>
    </w:p>
    <w:p>
      <w:pPr>
        <w:ind w:left="680" w:right="80" w:firstLine="399"/>
        <w:spacing w:after="0" w:line="270" w:lineRule="auto"/>
        <w:rPr>
          <w:sz w:val="20"/>
          <w:szCs w:val="20"/>
          <w:color w:val="auto"/>
        </w:rPr>
      </w:pPr>
      <w:r>
        <w:rPr>
          <w:rFonts w:ascii="Arial" w:cs="Arial" w:eastAsia="Arial" w:hAnsi="Arial"/>
          <w:sz w:val="13"/>
          <w:szCs w:val="13"/>
          <w:color w:val="auto"/>
        </w:rPr>
        <w:t>No accrued liabilities or expenses within the caption “Other accrued items” on our Consolidated Balance Sheets exceed 5% of our total current liabilities as of July 3, 2009 or as of June 27, 2008. “Other accrued items” on our Consolidated Balance Sheets primarily includes accruals for sales commissions, warranties and severance. No current assets other than those already disclosed on the consolidated balance sheets exceed 5% of our total current assets as of July 3, 2009 or as of June 27, 2008. No assets within the caption “Other assets” on the Consolidated Balance Sheets exceed 5% of total assets as of July 3, 2009 or as of June 27, 2008.</w:t>
      </w:r>
    </w:p>
    <w:p>
      <w:pPr>
        <w:spacing w:after="0" w:line="14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Warranties</w:t>
      </w:r>
    </w:p>
    <w:p>
      <w:pPr>
        <w:spacing w:after="0" w:line="102" w:lineRule="exact"/>
        <w:rPr>
          <w:sz w:val="20"/>
          <w:szCs w:val="20"/>
          <w:color w:val="auto"/>
        </w:rPr>
      </w:pPr>
    </w:p>
    <w:p>
      <w:pPr>
        <w:jc w:val="both"/>
        <w:ind w:left="680" w:right="240" w:firstLine="399"/>
        <w:spacing w:after="0" w:line="338" w:lineRule="auto"/>
        <w:rPr>
          <w:sz w:val="20"/>
          <w:szCs w:val="20"/>
          <w:color w:val="auto"/>
        </w:rPr>
      </w:pPr>
      <w:r>
        <w:rPr>
          <w:rFonts w:ascii="Arial" w:cs="Arial" w:eastAsia="Arial" w:hAnsi="Arial"/>
          <w:sz w:val="12"/>
          <w:szCs w:val="12"/>
          <w:color w:val="auto"/>
        </w:rPr>
        <w:t>On product sales we provide for future warranty costs upon product delivery. The specific terms and conditions of those warranties vary depending upon the product sold and country in which we do business. In the case of products sold by us, our warranties generally start from the delivery date and continue for two to three years, depending on the terms.</w:t>
      </w:r>
    </w:p>
    <w:p>
      <w:pPr>
        <w:spacing w:after="0" w:line="24"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Our products are manufactured to customer specifications and their acceptance is based on meeting those specifications. Factors that affect our warranty liability include the number of installed units, historical experience and management’s judgment regarding anticipated rates of warranty claims and cost per claim. We assess the adequacy of our recorded warranty liabilities every quarter and make adjustments to the liability as necessary.</w:t>
      </w:r>
    </w:p>
    <w:p>
      <w:pPr>
        <w:spacing w:after="0" w:line="59" w:lineRule="exact"/>
        <w:rPr>
          <w:sz w:val="20"/>
          <w:szCs w:val="20"/>
          <w:color w:val="auto"/>
        </w:rPr>
      </w:pPr>
    </w:p>
    <w:p>
      <w:pPr>
        <w:ind w:left="680" w:right="180" w:firstLine="399"/>
        <w:spacing w:after="0" w:line="294" w:lineRule="auto"/>
        <w:rPr>
          <w:sz w:val="20"/>
          <w:szCs w:val="20"/>
          <w:color w:val="auto"/>
        </w:rPr>
      </w:pPr>
      <w:r>
        <w:rPr>
          <w:rFonts w:ascii="Arial" w:cs="Arial" w:eastAsia="Arial" w:hAnsi="Arial"/>
          <w:sz w:val="13"/>
          <w:szCs w:val="13"/>
          <w:color w:val="auto"/>
        </w:rPr>
        <w:t>Network management software products generally carry a 30-day to 90-day warranty from the date of acceptance. Our liability under these warranties is to provide a corrected copy of any portion of the software found not to be in substantial compliance with the agreed-upon specifications.</w:t>
      </w:r>
    </w:p>
    <w:p>
      <w:pPr>
        <w:spacing w:after="0" w:line="47"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 xml:space="preserve">Our software license agreements generally include certain provisions for indemnifying customers against liabilities should our software products infringe a third party’s intellectual property rights. As of July 3, 2009, we had not incurred any material costs as a result of such indemnification and have not accrued any liabilities related to such obligations in our consolidated financial statements. See </w:t>
      </w:r>
      <w:r>
        <w:rPr>
          <w:rFonts w:ascii="Arial" w:cs="Arial" w:eastAsia="Arial" w:hAnsi="Arial"/>
          <w:sz w:val="13"/>
          <w:szCs w:val="13"/>
          <w:i w:val="1"/>
          <w:iCs w:val="1"/>
          <w:color w:val="auto"/>
        </w:rPr>
        <w:t>Note I — Accrued Warranties</w:t>
      </w:r>
      <w:r>
        <w:rPr>
          <w:rFonts w:ascii="Arial" w:cs="Arial" w:eastAsia="Arial" w:hAnsi="Arial"/>
          <w:sz w:val="13"/>
          <w:szCs w:val="13"/>
          <w:color w:val="auto"/>
        </w:rPr>
        <w:t xml:space="preserve"> for additional information.</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Capital Lease Obligation and Operating Leases</w:t>
      </w:r>
    </w:p>
    <w:p>
      <w:pPr>
        <w:spacing w:after="0" w:line="102" w:lineRule="exact"/>
        <w:rPr>
          <w:sz w:val="20"/>
          <w:szCs w:val="20"/>
          <w:color w:val="auto"/>
        </w:rPr>
      </w:pPr>
    </w:p>
    <w:p>
      <w:pPr>
        <w:ind w:left="680" w:right="400" w:firstLine="399"/>
        <w:spacing w:after="0" w:line="294" w:lineRule="auto"/>
        <w:rPr>
          <w:sz w:val="20"/>
          <w:szCs w:val="20"/>
          <w:color w:val="auto"/>
        </w:rPr>
      </w:pPr>
      <w:r>
        <w:rPr>
          <w:rFonts w:ascii="Arial" w:cs="Arial" w:eastAsia="Arial" w:hAnsi="Arial"/>
          <w:sz w:val="13"/>
          <w:szCs w:val="13"/>
          <w:color w:val="auto"/>
        </w:rPr>
        <w:t>Prior to January 26, 2007, MCD used certain assets in Canada owned by Harris that were not contributed to us as part of the merger. We continue to use these assets in our business and entered into a 5-year capital lease agreement to accommodate this use.</w:t>
      </w:r>
    </w:p>
    <w:p>
      <w:pPr>
        <w:spacing w:after="0" w:line="25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73" w:name="page74"/>
    <w:bookmarkEnd w:id="7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HARRIS STRATEX NETWORKS, INC. AND SUBSIDIARIES</w:t>
      </w:r>
    </w:p>
    <w:p>
      <w:pPr>
        <w:spacing w:after="0" w:line="102"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66" w:lineRule="exact"/>
        <w:rPr>
          <w:sz w:val="20"/>
          <w:szCs w:val="20"/>
          <w:color w:val="auto"/>
        </w:rPr>
      </w:pPr>
    </w:p>
    <w:p>
      <w:pPr>
        <w:ind w:left="680" w:right="160" w:firstLine="399"/>
        <w:spacing w:after="0" w:line="309" w:lineRule="auto"/>
        <w:rPr>
          <w:sz w:val="20"/>
          <w:szCs w:val="20"/>
          <w:color w:val="auto"/>
        </w:rPr>
      </w:pPr>
      <w:r>
        <w:rPr>
          <w:rFonts w:ascii="Arial" w:cs="Arial" w:eastAsia="Arial" w:hAnsi="Arial"/>
          <w:sz w:val="12"/>
          <w:szCs w:val="12"/>
          <w:color w:val="auto"/>
        </w:rPr>
        <w:t>We lease sales facilities, administrative facilities and equipment under various operating leases. These lease agreements generally include rent escalation clauses, and many include renewal periods at our option. We recognize expense for scheduled rent increases on a straight-line basis over the lease term beginning with the date we take possession of the leased space. Leasehold improvements made either at the inception of the lease or during the lease term are amortized over the current lease term, or estimated life, if shorter.</w:t>
      </w:r>
    </w:p>
    <w:p>
      <w:pPr>
        <w:spacing w:after="0" w:line="12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Liability for Warrants and the Related Changes in Fair Value</w:t>
      </w:r>
    </w:p>
    <w:p>
      <w:pPr>
        <w:spacing w:after="0" w:line="102" w:lineRule="exact"/>
        <w:rPr>
          <w:sz w:val="20"/>
          <w:szCs w:val="20"/>
          <w:color w:val="auto"/>
        </w:rPr>
      </w:pPr>
    </w:p>
    <w:p>
      <w:pPr>
        <w:ind w:left="680" w:right="20" w:firstLine="399"/>
        <w:spacing w:after="0" w:line="290" w:lineRule="auto"/>
        <w:rPr>
          <w:sz w:val="20"/>
          <w:szCs w:val="20"/>
          <w:color w:val="auto"/>
        </w:rPr>
      </w:pPr>
      <w:r>
        <w:rPr>
          <w:rFonts w:ascii="Arial" w:cs="Arial" w:eastAsia="Arial" w:hAnsi="Arial"/>
          <w:sz w:val="12"/>
          <w:szCs w:val="12"/>
          <w:color w:val="auto"/>
        </w:rPr>
        <w:t xml:space="preserve">We have an obligation for outstanding warrants classified as a liability on our Consolidated Balance Sheet. Warrants that either require net-cash settlement or are presumed to require net-cash settlement are recorded as assets and liabilities at fair value and warrants that require settlement in shares are recorded as equity instruments. Our warrants are classified as liabilities because they include a provision that specifies that we must deliver freely tradable shares upon exercise by the warrant holder. Because there are circumstances, irrespective of likelihood, that may not be within our control that could prevent delivery of registered shares, the warrants are recorded as a liability at fair value, with subsequent changes in fair value recorded as income or expense as part of our Selling and administrative expenses in our Consolidated Statements of Operations. The fair value of our warrants is determined using a Black-Scholes option pricing model, and is affected by changes in inputs to that model including our stock price, expected stock price volatility and contractual term. See </w:t>
      </w:r>
      <w:r>
        <w:rPr>
          <w:rFonts w:ascii="Arial" w:cs="Arial" w:eastAsia="Arial" w:hAnsi="Arial"/>
          <w:sz w:val="12"/>
          <w:szCs w:val="12"/>
          <w:i w:val="1"/>
          <w:iCs w:val="1"/>
          <w:color w:val="auto"/>
        </w:rPr>
        <w:t>Note D —</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Fair Value Measurements of Financial Assets and Financial Liabilities </w:t>
      </w:r>
      <w:r>
        <w:rPr>
          <w:rFonts w:ascii="Arial" w:cs="Arial" w:eastAsia="Arial" w:hAnsi="Arial"/>
          <w:sz w:val="12"/>
          <w:szCs w:val="12"/>
          <w:color w:val="auto"/>
        </w:rPr>
        <w:t>for additional information.</w:t>
      </w:r>
    </w:p>
    <w:p>
      <w:pPr>
        <w:spacing w:after="0" w:line="13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Contingent Liabilities</w:t>
      </w:r>
    </w:p>
    <w:p>
      <w:pPr>
        <w:spacing w:after="0" w:line="102" w:lineRule="exact"/>
        <w:rPr>
          <w:sz w:val="20"/>
          <w:szCs w:val="20"/>
          <w:color w:val="auto"/>
        </w:rPr>
      </w:pPr>
    </w:p>
    <w:p>
      <w:pPr>
        <w:ind w:left="680" w:right="100" w:firstLine="399"/>
        <w:spacing w:after="0" w:line="299" w:lineRule="auto"/>
        <w:rPr>
          <w:sz w:val="20"/>
          <w:szCs w:val="20"/>
          <w:color w:val="auto"/>
        </w:rPr>
      </w:pPr>
      <w:r>
        <w:rPr>
          <w:rFonts w:ascii="Arial" w:cs="Arial" w:eastAsia="Arial" w:hAnsi="Arial"/>
          <w:sz w:val="12"/>
          <w:szCs w:val="12"/>
          <w:color w:val="auto"/>
        </w:rPr>
        <w:t xml:space="preserve">We have unresolved legal and tax matters, as discussed further in </w:t>
      </w:r>
      <w:r>
        <w:rPr>
          <w:rFonts w:ascii="Arial" w:cs="Arial" w:eastAsia="Arial" w:hAnsi="Arial"/>
          <w:sz w:val="12"/>
          <w:szCs w:val="12"/>
          <w:i w:val="1"/>
          <w:iCs w:val="1"/>
          <w:color w:val="auto"/>
        </w:rPr>
        <w:t>Note P — Income Taxes</w:t>
      </w:r>
      <w:r>
        <w:rPr>
          <w:rFonts w:ascii="Arial" w:cs="Arial" w:eastAsia="Arial" w:hAnsi="Arial"/>
          <w:sz w:val="12"/>
          <w:szCs w:val="12"/>
          <w:color w:val="auto"/>
        </w:rPr>
        <w:t xml:space="preserve"> and </w:t>
      </w:r>
      <w:r>
        <w:rPr>
          <w:rFonts w:ascii="Arial" w:cs="Arial" w:eastAsia="Arial" w:hAnsi="Arial"/>
          <w:sz w:val="12"/>
          <w:szCs w:val="12"/>
          <w:i w:val="1"/>
          <w:iCs w:val="1"/>
          <w:color w:val="auto"/>
        </w:rPr>
        <w:t>Note S — Legal Proceedings</w:t>
      </w:r>
      <w:r>
        <w:rPr>
          <w:rFonts w:ascii="Arial" w:cs="Arial" w:eastAsia="Arial" w:hAnsi="Arial"/>
          <w:sz w:val="12"/>
          <w:szCs w:val="12"/>
          <w:color w:val="auto"/>
        </w:rPr>
        <w:t>. We record a loss contingency as a charge to operations when (i) it is probable that an asset has been impaired or a liability has been incurred at the date of the financial statements, and (ii) the amount of the loss can be reasonably estimated. Disclosure in the notes to the financial statements is required for loss contingencies that do not meet both those conditions if there is a reasonable possibility that a loss may have been incurred. Gain contingencies are not recorded until realized. We expense all legal costs incurred to resolve regulatory, legal and tax matters as incurred.</w:t>
      </w:r>
    </w:p>
    <w:p>
      <w:pPr>
        <w:spacing w:after="0" w:line="48" w:lineRule="exact"/>
        <w:rPr>
          <w:sz w:val="20"/>
          <w:szCs w:val="20"/>
          <w:color w:val="auto"/>
        </w:rPr>
      </w:pPr>
    </w:p>
    <w:p>
      <w:pPr>
        <w:ind w:left="680" w:firstLine="399"/>
        <w:spacing w:after="0" w:line="295" w:lineRule="auto"/>
        <w:rPr>
          <w:sz w:val="20"/>
          <w:szCs w:val="20"/>
          <w:color w:val="auto"/>
        </w:rPr>
      </w:pPr>
      <w:r>
        <w:rPr>
          <w:rFonts w:ascii="Arial" w:cs="Arial" w:eastAsia="Arial" w:hAnsi="Arial"/>
          <w:sz w:val="12"/>
          <w:szCs w:val="12"/>
          <w:color w:val="auto"/>
        </w:rPr>
        <w:t>Periodically, we review the status of each significant matter to assess the potential financial exposure. If a potential loss is considered probable and the amount can be reasonably estimated, we reflect the estimated loss in our results of operations. Significant judgment is required to determine the probability that a liability has been incurred or an asset impaired and whether such loss is reasonably estimable. Further, estimates of this nature are highly subjective, and the final outcome of these matters could vary significantly from the amounts that have been included in our consolidated financial statements. As additional information becomes available, we reassess the potential liability related to our pending claims and litigation and may revise estimates accordingly. Such revisions in the estimates of the potential liabilities could have a material impact on our results of operations and financial position.</w:t>
      </w:r>
    </w:p>
    <w:p>
      <w:pPr>
        <w:spacing w:after="0" w:line="12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Foreign Currency Translation</w:t>
      </w:r>
    </w:p>
    <w:p>
      <w:pPr>
        <w:spacing w:after="0" w:line="102" w:lineRule="exact"/>
        <w:rPr>
          <w:sz w:val="20"/>
          <w:szCs w:val="20"/>
          <w:color w:val="auto"/>
        </w:rPr>
      </w:pPr>
    </w:p>
    <w:p>
      <w:pPr>
        <w:ind w:left="680" w:firstLine="399"/>
        <w:spacing w:after="0" w:line="265" w:lineRule="auto"/>
        <w:rPr>
          <w:sz w:val="20"/>
          <w:szCs w:val="20"/>
          <w:color w:val="auto"/>
        </w:rPr>
      </w:pPr>
      <w:r>
        <w:rPr>
          <w:rFonts w:ascii="Arial" w:cs="Arial" w:eastAsia="Arial" w:hAnsi="Arial"/>
          <w:sz w:val="13"/>
          <w:szCs w:val="13"/>
          <w:color w:val="auto"/>
        </w:rPr>
        <w:t>The functional currency of our subsidiaries located in the United Kingdom, Singapore, Mexico and New Zealand is the U.S. dollar. Determination of the functional currency is dependent upon the economic environment in which an entity operates as well as the customers and suppliers the entity conducts business with. Changes in facts and circumstances may occur which could lead to a change in the functional currency of that entity. Accordingly, all of the monetary assets and liabilities of these subsidiaries are re-measured into U.S. dollars at the current exchange rate as of the applicable balance sheet date, and all non-monetary assets and liabilities are re-measured at historical rates. Income and expenses are re-measured at the average exchange rate prevailing during the period. Gains and losses resulting from the re-measurement of these subsidiaries’ financial statements are included in the Consolidated Statements of Operations.</w:t>
      </w:r>
    </w:p>
    <w:p>
      <w:pPr>
        <w:spacing w:after="0" w:line="279"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9" w:right="1039" w:bottom="1440" w:gutter="0" w:footer="0" w:header="0"/>
        </w:sectPr>
      </w:pPr>
    </w:p>
    <w:bookmarkStart w:id="74" w:name="page75"/>
    <w:bookmarkEnd w:id="7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HARRIS STRATEX NETWORKS, INC. AND SUBSIDIARIES</w:t>
      </w:r>
    </w:p>
    <w:p>
      <w:pPr>
        <w:spacing w:after="0" w:line="102"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66"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Our other international subsidiaries use their respective local currency as their functional currency. Assets and liabilities of these subsidiaries are translated at the local current exchange rates in effect at the balance sheet date, and income and expense accounts are translated at the average exchange rates during the period. The resulting translation adjustments are included in accumulated other comprehensive income.</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Gains and losses resulting from foreign exchange transactions are included in “Cost of product sales and services” in the accompanying Consolidated Statements of Operations.</w:t>
      </w:r>
    </w:p>
    <w:p>
      <w:pPr>
        <w:spacing w:after="0" w:line="34" w:lineRule="exact"/>
        <w:rPr>
          <w:sz w:val="20"/>
          <w:szCs w:val="20"/>
          <w:color w:val="auto"/>
        </w:rPr>
      </w:pPr>
    </w:p>
    <w:p>
      <w:pPr>
        <w:ind w:left="680"/>
        <w:spacing w:after="0"/>
        <w:rPr>
          <w:sz w:val="20"/>
          <w:szCs w:val="20"/>
          <w:color w:val="auto"/>
        </w:rPr>
      </w:pPr>
      <w:r>
        <w:rPr>
          <w:rFonts w:ascii="Arial" w:cs="Arial" w:eastAsia="Arial" w:hAnsi="Arial"/>
          <w:sz w:val="12"/>
          <w:szCs w:val="12"/>
          <w:color w:val="auto"/>
        </w:rPr>
        <w:t>Net foreign exchange (losses) gains recorded in our Consolidated Statements of Operations during fiscal 2009, 2008 and 2007 totaled $(7.4) million, $(1.3) million and $0.5 million.</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Retirement Benefits</w:t>
      </w:r>
    </w:p>
    <w:p>
      <w:pPr>
        <w:spacing w:after="0" w:line="102"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As of July 3, 2009, we provided retirement benefits to substantially all employees primarily through our defined contribution retirement plans, and prior to January 27, 2007 we provided these benefits through Harris’ defined contribution retirement plan. These plans have matching and savings elements. Contributions by us to these retirement plans are based on profits and employees’ savings with no other funding requirements. We may make additional contributions to the plan at our discretion.</w:t>
      </w:r>
    </w:p>
    <w:p>
      <w:pPr>
        <w:spacing w:after="0" w:line="59" w:lineRule="exact"/>
        <w:rPr>
          <w:sz w:val="20"/>
          <w:szCs w:val="20"/>
          <w:color w:val="auto"/>
        </w:rPr>
      </w:pPr>
    </w:p>
    <w:p>
      <w:pPr>
        <w:jc w:val="both"/>
        <w:ind w:left="680" w:right="460" w:firstLine="399"/>
        <w:spacing w:after="0" w:line="276" w:lineRule="auto"/>
        <w:rPr>
          <w:sz w:val="20"/>
          <w:szCs w:val="20"/>
          <w:color w:val="auto"/>
        </w:rPr>
      </w:pPr>
      <w:r>
        <w:rPr>
          <w:rFonts w:ascii="Arial" w:cs="Arial" w:eastAsia="Arial" w:hAnsi="Arial"/>
          <w:sz w:val="13"/>
          <w:szCs w:val="13"/>
          <w:color w:val="auto"/>
        </w:rPr>
        <w:t>Prior to January 27, 2007, retirement benefits also included an unfunded limited healthcare plan for U.S.-based retirees and employees on long-term disability. Harris has assumed this liability and responsibility for these benefits. Prior to January 27, 2007, we accrued the estimated cost of these medical benefits, which were not material, during an employee’s active service life.</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Contributions to retirement plans are expensed as incurred. Retirement plan expense amounted to $2.7 million, $3.8 million and $5.4 million in fiscal 2009, 2008 and 2007.</w:t>
      </w:r>
    </w:p>
    <w:p>
      <w:pPr>
        <w:spacing w:after="0" w:line="19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Financial Guarantees, Commercial Commitments and Indemnifications</w:t>
      </w:r>
    </w:p>
    <w:p>
      <w:pPr>
        <w:spacing w:after="0" w:line="102" w:lineRule="exact"/>
        <w:rPr>
          <w:sz w:val="20"/>
          <w:szCs w:val="20"/>
          <w:color w:val="auto"/>
        </w:rPr>
      </w:pPr>
    </w:p>
    <w:p>
      <w:pPr>
        <w:ind w:left="680" w:right="40" w:firstLine="399"/>
        <w:spacing w:after="0" w:line="292" w:lineRule="auto"/>
        <w:rPr>
          <w:sz w:val="20"/>
          <w:szCs w:val="20"/>
          <w:color w:val="auto"/>
        </w:rPr>
      </w:pPr>
      <w:r>
        <w:rPr>
          <w:rFonts w:ascii="Arial" w:cs="Arial" w:eastAsia="Arial" w:hAnsi="Arial"/>
          <w:sz w:val="12"/>
          <w:szCs w:val="12"/>
          <w:color w:val="auto"/>
        </w:rPr>
        <w:t>Guarantees issued by banks, insurance companies or other financial institutions are contingent commitments issued to guarantee our performance under borrowing arrangements, such as bank overdraft facilities, tax and customs obligations and similar transactions or to ensure our performance under customer or vendor contracts. The terms of the guarantees are generally equal to the remaining term of the related debt or other obligations and are generally limited to two years or less. As of July 3, 2009, we had no guarantees applicable to our debt arrangements. We have entered into commercial commitments in the normal course of business including surety bonds, standby letters of credit agreements and other arrangements with financial institutions primarily relating to the guarantee of future performance on certain contracts to provide products and services to customers. As of July 3, 2009, we had commercial commitments of $99.8 million outstanding, none of which are accrued for in our consolidated balance sheets.</w:t>
      </w:r>
    </w:p>
    <w:p>
      <w:pPr>
        <w:spacing w:after="0" w:line="51" w:lineRule="exact"/>
        <w:rPr>
          <w:sz w:val="20"/>
          <w:szCs w:val="20"/>
          <w:color w:val="auto"/>
        </w:rPr>
      </w:pPr>
    </w:p>
    <w:p>
      <w:pPr>
        <w:ind w:left="680" w:right="60" w:firstLine="399"/>
        <w:spacing w:after="0" w:line="292" w:lineRule="auto"/>
        <w:rPr>
          <w:sz w:val="20"/>
          <w:szCs w:val="20"/>
          <w:color w:val="auto"/>
        </w:rPr>
      </w:pPr>
      <w:r>
        <w:rPr>
          <w:rFonts w:ascii="Arial" w:cs="Arial" w:eastAsia="Arial" w:hAnsi="Arial"/>
          <w:sz w:val="12"/>
          <w:szCs w:val="12"/>
          <w:color w:val="auto"/>
        </w:rPr>
        <w:t>Under the terms of substantially all of our license agreements, we have agreed to defend and pay any final judgment against our customers arising from claims against such customers that our software products infringe the intellectual property rights of a third party. To date: we have not received any notice that any customer is subject to an infringement claim arising from the use of our software products; we have not received any request to defend any customers from infringement claims arising from the use of our software products; and we have not paid any final judgment on behalf of any customer related to an infringement claim arising from the use of our software products. Because the outcome of infringement disputes are related to the specific facts in each case, and given the lack of previous or current indemnification claims, we cannot estimate the maximum amount of potential future payments, if any, related to our indemnification provisions. As of July 3, 2009, we had not recorded any liabilities related to these indemnifications.</w:t>
      </w:r>
    </w:p>
    <w:p>
      <w:pPr>
        <w:spacing w:after="0" w:line="51" w:lineRule="exact"/>
        <w:rPr>
          <w:sz w:val="20"/>
          <w:szCs w:val="20"/>
          <w:color w:val="auto"/>
        </w:rPr>
      </w:pPr>
    </w:p>
    <w:p>
      <w:pPr>
        <w:ind w:left="680" w:right="360" w:firstLine="399"/>
        <w:spacing w:after="0" w:line="338" w:lineRule="auto"/>
        <w:rPr>
          <w:sz w:val="20"/>
          <w:szCs w:val="20"/>
          <w:color w:val="auto"/>
        </w:rPr>
      </w:pPr>
      <w:r>
        <w:rPr>
          <w:rFonts w:ascii="Arial" w:cs="Arial" w:eastAsia="Arial" w:hAnsi="Arial"/>
          <w:sz w:val="12"/>
          <w:szCs w:val="12"/>
          <w:color w:val="auto"/>
        </w:rPr>
        <w:t>Our standard license agreement includes a warranty provision for software products. We generally warrant for the first 90 days after delivery that the software shall operate substantially as stated in the then current documentation provided that the software is used in a supported computer system. We provide for the estimated</w:t>
      </w:r>
    </w:p>
    <w:p>
      <w:pPr>
        <w:spacing w:after="0" w:line="236"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75" w:name="page76"/>
    <w:bookmarkEnd w:id="7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6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HARRIS STRATEX NETWORKS, INC. AND SUBSIDIARIES</w:t>
      </w:r>
    </w:p>
    <w:p>
      <w:pPr>
        <w:spacing w:after="0" w:line="102"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66" w:lineRule="exact"/>
        <w:rPr>
          <w:sz w:val="20"/>
          <w:szCs w:val="20"/>
          <w:color w:val="auto"/>
        </w:rPr>
      </w:pPr>
    </w:p>
    <w:p>
      <w:pPr>
        <w:ind w:left="680" w:right="180"/>
        <w:spacing w:after="0" w:line="294" w:lineRule="auto"/>
        <w:rPr>
          <w:sz w:val="20"/>
          <w:szCs w:val="20"/>
          <w:color w:val="auto"/>
        </w:rPr>
      </w:pPr>
      <w:r>
        <w:rPr>
          <w:rFonts w:ascii="Arial" w:cs="Arial" w:eastAsia="Arial" w:hAnsi="Arial"/>
          <w:sz w:val="13"/>
          <w:szCs w:val="13"/>
          <w:color w:val="auto"/>
        </w:rPr>
        <w:t>cost of product warranties based on specific warranty claims, provided that it is probable that a liability exists and provided the amount can be reasonably estimated. To date, we have not had any material costs associated with these warranties.</w:t>
      </w:r>
    </w:p>
    <w:p>
      <w:pPr>
        <w:spacing w:after="0" w:line="12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Revenue Recognition</w:t>
      </w:r>
    </w:p>
    <w:p>
      <w:pPr>
        <w:spacing w:after="0" w:line="102" w:lineRule="exact"/>
        <w:rPr>
          <w:sz w:val="20"/>
          <w:szCs w:val="20"/>
          <w:color w:val="auto"/>
        </w:rPr>
      </w:pPr>
    </w:p>
    <w:p>
      <w:pPr>
        <w:ind w:left="680" w:right="20" w:firstLine="399"/>
        <w:spacing w:after="0" w:line="299" w:lineRule="auto"/>
        <w:rPr>
          <w:sz w:val="20"/>
          <w:szCs w:val="20"/>
          <w:color w:val="auto"/>
        </w:rPr>
      </w:pPr>
      <w:r>
        <w:rPr>
          <w:rFonts w:ascii="Arial" w:cs="Arial" w:eastAsia="Arial" w:hAnsi="Arial"/>
          <w:sz w:val="12"/>
          <w:szCs w:val="12"/>
          <w:color w:val="auto"/>
        </w:rPr>
        <w:t>We generate substantially all of our revenue from the sales or licensing of our microwave radio systems, network management software, and professional services including installation and commissioning and training. Principal customers for our products and services include domestic and international wireless/mobile service providers, original equipment manufacturers, distributors, system integrators, as well as private network users such as public safety agencies, government institutions, and utility, pipeline, railroad and other industrial enterprises that operate broadband wireless networks. Our customers generally purchase a combination of our products and services as part of a multiple element arrangement.</w:t>
      </w:r>
    </w:p>
    <w:p>
      <w:pPr>
        <w:spacing w:after="0" w:line="48" w:lineRule="exact"/>
        <w:rPr>
          <w:sz w:val="20"/>
          <w:szCs w:val="20"/>
          <w:color w:val="auto"/>
        </w:rPr>
      </w:pPr>
    </w:p>
    <w:p>
      <w:pPr>
        <w:ind w:left="680" w:firstLine="399"/>
        <w:spacing w:after="0" w:line="270" w:lineRule="auto"/>
        <w:rPr>
          <w:sz w:val="20"/>
          <w:szCs w:val="20"/>
          <w:color w:val="auto"/>
        </w:rPr>
      </w:pPr>
      <w:r>
        <w:rPr>
          <w:rFonts w:ascii="Arial" w:cs="Arial" w:eastAsia="Arial" w:hAnsi="Arial"/>
          <w:sz w:val="13"/>
          <w:szCs w:val="13"/>
          <w:color w:val="auto"/>
        </w:rPr>
        <w:t>We often enter into multiple contractual agreements with the same customer. Such agreements are reviewed to determine whether they should be evaluated as one arrangement. If an arrangement, other than a long-term contract, requires the delivery or performance of multiple deliverables or elements, we determine whether the individual elements represent “separate units of accounting”. We recognize the revenue associated with each element separately. Such revenue, including products with installation services, is recognized as revenue when each unit of accounting is earned based on the relative fair value of each unit of accounting.</w:t>
      </w:r>
    </w:p>
    <w:p>
      <w:pPr>
        <w:spacing w:after="0" w:line="63"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Our assessment of which revenue recognition guidance is appropriate to account for each element in an arrangement can involve significant judgment. Revenue from product sales and services are generally recognized when persuasive evidence of an arrangement exists, delivery has occurred and title and risk of loss has transferred or services have been rendered, the fee is fixed or determinable and collectibility is reasonably assured.</w:t>
      </w:r>
    </w:p>
    <w:p>
      <w:pPr>
        <w:spacing w:after="0" w:line="59" w:lineRule="exact"/>
        <w:rPr>
          <w:sz w:val="20"/>
          <w:szCs w:val="20"/>
          <w:color w:val="auto"/>
        </w:rPr>
      </w:pPr>
    </w:p>
    <w:p>
      <w:pPr>
        <w:ind w:left="680" w:right="40" w:firstLine="399"/>
        <w:spacing w:after="0" w:line="286" w:lineRule="auto"/>
        <w:rPr>
          <w:sz w:val="20"/>
          <w:szCs w:val="20"/>
          <w:color w:val="auto"/>
        </w:rPr>
      </w:pPr>
      <w:r>
        <w:rPr>
          <w:rFonts w:ascii="Arial" w:cs="Arial" w:eastAsia="Arial" w:hAnsi="Arial"/>
          <w:sz w:val="12"/>
          <w:szCs w:val="12"/>
          <w:color w:val="auto"/>
        </w:rPr>
        <w:t>Revenue recognition related to long-term contracts for customized network solutions are recognized using the percentage-of-completion method. In using the percentage-of-completion method, we generally apply the cost-to-cost method of accounting where sales and profits are recorded based on the ratio of costs incurred to estimated total costs at completion. Contracts are combined when specific aggregation criteria are met including the contracts are in substance an arrangement to perform a single project with a customer; the contracts are negotiated as a package in the same economic environment with an overall profit objective; the contracts require interrelated activities with common costs that cannot be separately identified with, or reasonably allocated to the elements, phases or units of output and the contracts are performed concurrently or in a continuous sequence under the same project management at the same location or at different locations in the same general vicinity. Recognition of profit on long-term contracts requires estimates of the total contract value, the total cost at completion and the measurement of progress towards completion. Significant judgment is required when estimating total contract costs and progress to completion on the arrangements as well as whether a loss is expected to be incurred on the contract. Amounts representing contract change orders, claims or other items are included in sales only when they can be reliably estimated and realization is probable. When adjustments in contract value or estimated costs are determined, any changes from prior estimates are reflected in earnings in the current period. Anticipated losses on contracts or programs in progress are charged to earnings when identified.</w:t>
      </w:r>
    </w:p>
    <w:p>
      <w:pPr>
        <w:spacing w:after="0" w:line="58" w:lineRule="exact"/>
        <w:rPr>
          <w:sz w:val="20"/>
          <w:szCs w:val="20"/>
          <w:color w:val="auto"/>
        </w:rPr>
      </w:pPr>
    </w:p>
    <w:p>
      <w:pPr>
        <w:jc w:val="both"/>
        <w:ind w:left="680" w:firstLine="399"/>
        <w:spacing w:after="0" w:line="299" w:lineRule="auto"/>
        <w:rPr>
          <w:sz w:val="20"/>
          <w:szCs w:val="20"/>
          <w:color w:val="auto"/>
        </w:rPr>
      </w:pPr>
      <w:r>
        <w:rPr>
          <w:rFonts w:ascii="Arial" w:cs="Arial" w:eastAsia="Arial" w:hAnsi="Arial"/>
          <w:sz w:val="12"/>
          <w:szCs w:val="12"/>
          <w:color w:val="auto"/>
        </w:rPr>
        <w:t>For revenue recognition from the sale of software or products which have software which is more than incidental to the product as a whole, the entire fee from the arrangement is allocated to each of the elements based on the individual element’s fair value, which must be based on vendor specific objective evidence of the fair value (“VSOE”). If VSOE cannot be established for the undelivered elements of an arrangement, we defer revenue until the earlier of delivery, or fair value of the undelivered element exists, unless the undelivered element is a service, in which the entire arrangement fee is recognized ratably over the period during which the services are expected to be performed.</w:t>
      </w:r>
    </w:p>
    <w:p>
      <w:pPr>
        <w:spacing w:after="0" w:line="4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Royalty income is recognized on the basis of terms specified in the contractual agreements.</w:t>
      </w:r>
    </w:p>
    <w:p>
      <w:pPr>
        <w:spacing w:after="0" w:line="31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9" w:right="1039" w:bottom="1440" w:gutter="0" w:footer="0" w:header="0"/>
        </w:sectPr>
      </w:pPr>
    </w:p>
    <w:bookmarkStart w:id="76" w:name="page77"/>
    <w:bookmarkEnd w:id="7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HARRIS STRATEX NETWORKS, INC. AND SUBSIDIARIES</w:t>
      </w:r>
    </w:p>
    <w:p>
      <w:pPr>
        <w:spacing w:after="0" w:line="102"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6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Cost of Product Sales and Services</w:t>
      </w:r>
    </w:p>
    <w:p>
      <w:pPr>
        <w:spacing w:after="0" w:line="102"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Cost of sales consists primarily of materials, labor and overhead costs incurred internally and paid to contract manufacturers to produce our products, personnel and other implementation costs incurred to install our products and train customer personnel, and customer service and third party original equipment manufacturer costs to provide continuing support to our customers. Also included in cost of sales is the amortization of purchased technology intangible assets.</w:t>
      </w:r>
    </w:p>
    <w:p>
      <w:pPr>
        <w:spacing w:after="0" w:line="59" w:lineRule="exact"/>
        <w:rPr>
          <w:sz w:val="20"/>
          <w:szCs w:val="20"/>
          <w:color w:val="auto"/>
        </w:rPr>
      </w:pPr>
    </w:p>
    <w:p>
      <w:pPr>
        <w:ind w:left="680" w:right="80" w:firstLine="399"/>
        <w:spacing w:after="0" w:line="294" w:lineRule="auto"/>
        <w:rPr>
          <w:sz w:val="20"/>
          <w:szCs w:val="20"/>
          <w:color w:val="auto"/>
        </w:rPr>
      </w:pPr>
      <w:r>
        <w:rPr>
          <w:rFonts w:ascii="Arial" w:cs="Arial" w:eastAsia="Arial" w:hAnsi="Arial"/>
          <w:sz w:val="13"/>
          <w:szCs w:val="13"/>
          <w:color w:val="auto"/>
        </w:rPr>
        <w:t>Shipping and handling costs are included as a component of costs of product sales in our Consolidated Statements of Operations because we include in revenue the related costs that we bill our customers.</w:t>
      </w:r>
    </w:p>
    <w:p>
      <w:pPr>
        <w:spacing w:after="0" w:line="12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Presentation of Taxes Collected from Customers and Remitted to Government Authorities</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present taxes (e.g., sales tax) collected from customers and remitted to governmental authorities on a net basis (i.e., excluded from revenue).</w:t>
      </w:r>
    </w:p>
    <w:p>
      <w:pPr>
        <w:spacing w:after="0" w:line="18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Share-Based Compensation</w:t>
      </w:r>
    </w:p>
    <w:p>
      <w:pPr>
        <w:spacing w:after="0" w:line="102" w:lineRule="exact"/>
        <w:rPr>
          <w:sz w:val="20"/>
          <w:szCs w:val="20"/>
          <w:color w:val="auto"/>
        </w:rPr>
      </w:pPr>
    </w:p>
    <w:p>
      <w:pPr>
        <w:jc w:val="both"/>
        <w:ind w:left="680" w:firstLine="399"/>
        <w:spacing w:after="0" w:line="294" w:lineRule="auto"/>
        <w:rPr>
          <w:sz w:val="20"/>
          <w:szCs w:val="20"/>
          <w:color w:val="auto"/>
        </w:rPr>
      </w:pPr>
      <w:r>
        <w:rPr>
          <w:rFonts w:ascii="Arial" w:cs="Arial" w:eastAsia="Arial" w:hAnsi="Arial"/>
          <w:sz w:val="13"/>
          <w:szCs w:val="13"/>
          <w:color w:val="auto"/>
        </w:rPr>
        <w:t>We have issued stock options, restricted stock and performance shares under our 2007 Stock Equity Plan and assumed stock options from the Stratex acquisition. We estimate the grant date fair value of our share-based awards and amortize this fair value to compensation expense over the requisite service period or vesting term.</w:t>
      </w:r>
    </w:p>
    <w:p>
      <w:pPr>
        <w:spacing w:after="0" w:line="47" w:lineRule="exact"/>
        <w:rPr>
          <w:sz w:val="20"/>
          <w:szCs w:val="20"/>
          <w:color w:val="auto"/>
        </w:rPr>
      </w:pPr>
    </w:p>
    <w:p>
      <w:pPr>
        <w:jc w:val="both"/>
        <w:ind w:left="680" w:firstLine="399"/>
        <w:spacing w:after="0" w:line="286" w:lineRule="auto"/>
        <w:rPr>
          <w:sz w:val="20"/>
          <w:szCs w:val="20"/>
          <w:color w:val="auto"/>
        </w:rPr>
      </w:pPr>
      <w:r>
        <w:rPr>
          <w:rFonts w:ascii="Arial" w:cs="Arial" w:eastAsia="Arial" w:hAnsi="Arial"/>
          <w:sz w:val="12"/>
          <w:szCs w:val="12"/>
          <w:color w:val="auto"/>
        </w:rPr>
        <w:t>To estimate the fair value of our stock option awards, we use the Black-Scholes-Merton option-pricing model. The determination of the fair value of share-based payment awards on the date of grant using an option-pricing model is affected by our stock price as well as assumptions regarding a number of complex and subjective variables. These variables include our expected stock price volatility over the expected term of the awards, actual and projected employee stock option exercise behaviors, risk-free interest rate and expected dividends.</w:t>
      </w:r>
    </w:p>
    <w:p>
      <w:pPr>
        <w:spacing w:after="0" w:line="1" w:lineRule="exact"/>
        <w:rPr>
          <w:sz w:val="20"/>
          <w:szCs w:val="20"/>
          <w:color w:val="auto"/>
        </w:rPr>
      </w:pPr>
    </w:p>
    <w:p>
      <w:pPr>
        <w:ind w:left="680"/>
        <w:spacing w:after="0" w:line="268" w:lineRule="auto"/>
        <w:rPr>
          <w:sz w:val="20"/>
          <w:szCs w:val="20"/>
          <w:color w:val="auto"/>
        </w:rPr>
      </w:pPr>
      <w:r>
        <w:rPr>
          <w:rFonts w:ascii="Arial" w:cs="Arial" w:eastAsia="Arial" w:hAnsi="Arial"/>
          <w:sz w:val="13"/>
          <w:szCs w:val="13"/>
          <w:color w:val="auto"/>
        </w:rPr>
        <w:t>Due to the inherent limitations of option-valuation models, including consideration of future events that are unpredictable and the estimation process utilized in determining the valuation of the share-based awards, the ultimate value realized by our employees may vary significantly from the amounts expensed in our financial statements. For restricted stock and performance share awards, we measure the grant date fair value based upon the market price of our common stock on the date of the grant.</w:t>
      </w:r>
    </w:p>
    <w:p>
      <w:pPr>
        <w:spacing w:after="0" w:line="63" w:lineRule="exact"/>
        <w:rPr>
          <w:sz w:val="20"/>
          <w:szCs w:val="20"/>
          <w:color w:val="auto"/>
        </w:rPr>
      </w:pPr>
    </w:p>
    <w:p>
      <w:pPr>
        <w:jc w:val="both"/>
        <w:ind w:left="680" w:right="220" w:firstLine="399"/>
        <w:spacing w:after="0" w:line="276" w:lineRule="auto"/>
        <w:rPr>
          <w:sz w:val="20"/>
          <w:szCs w:val="20"/>
          <w:color w:val="auto"/>
        </w:rPr>
      </w:pPr>
      <w:r>
        <w:rPr>
          <w:rFonts w:ascii="Arial" w:cs="Arial" w:eastAsia="Arial" w:hAnsi="Arial"/>
          <w:sz w:val="13"/>
          <w:szCs w:val="13"/>
          <w:color w:val="auto"/>
        </w:rPr>
        <w:t>For stock options and restricted stock, we recognize compensation cost on a straight-line basis over the awards’ vesting periods for those awards which contain only a service vesting feature. For awards with a performance condition vesting feature, when achievement of the performance condition is deemed probable we recognize compensation cost on a straight-line basis over the awards’ expected vesting periods.</w:t>
      </w:r>
    </w:p>
    <w:p>
      <w:pPr>
        <w:spacing w:after="0" w:line="59" w:lineRule="exact"/>
        <w:rPr>
          <w:sz w:val="20"/>
          <w:szCs w:val="20"/>
          <w:color w:val="auto"/>
        </w:rPr>
      </w:pPr>
    </w:p>
    <w:p>
      <w:pPr>
        <w:ind w:left="680" w:right="20" w:firstLine="399"/>
        <w:spacing w:after="0" w:line="270" w:lineRule="auto"/>
        <w:rPr>
          <w:sz w:val="20"/>
          <w:szCs w:val="20"/>
          <w:color w:val="auto"/>
        </w:rPr>
      </w:pPr>
      <w:r>
        <w:rPr>
          <w:rFonts w:ascii="Arial" w:cs="Arial" w:eastAsia="Arial" w:hAnsi="Arial"/>
          <w:sz w:val="13"/>
          <w:szCs w:val="13"/>
          <w:color w:val="auto"/>
        </w:rPr>
        <w:t>We estimate forfeitures at the time of grant and revise, if necessary, in subsequent periods if actual forfeitures differ significantly from initial estimates. Forfeitures were estimated based on the historical experience at Stratex for those options assumed, and on the historical experience at Harris prior to the acquisition of Stratex. Share-based compensation expense was recorded net of estimated forfeitures such that expense was recorded only for those share-based awards that are expected to vest. True-ups of forfeiture estimates are made at least annually on a grant by grant basis.</w:t>
      </w:r>
    </w:p>
    <w:p>
      <w:pPr>
        <w:spacing w:after="0" w:line="63"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 xml:space="preserve">Cash flows, if any, resulting from the gross benefit of tax deductions related to share-based compensation in excess of the grant date fair value of the related share-based awards are presented as part of cash flows from financing activities. This amount is shown as a reduction to cash flows from operating activities and an increase to cash flow from financing activities. See </w:t>
      </w:r>
      <w:r>
        <w:rPr>
          <w:rFonts w:ascii="Arial" w:cs="Arial" w:eastAsia="Arial" w:hAnsi="Arial"/>
          <w:sz w:val="13"/>
          <w:szCs w:val="13"/>
          <w:i w:val="1"/>
          <w:iCs w:val="1"/>
          <w:color w:val="auto"/>
        </w:rPr>
        <w:t>Note M — Share-Based Compensation</w:t>
      </w:r>
      <w:r>
        <w:rPr>
          <w:rFonts w:ascii="Arial" w:cs="Arial" w:eastAsia="Arial" w:hAnsi="Arial"/>
          <w:sz w:val="13"/>
          <w:szCs w:val="13"/>
          <w:color w:val="auto"/>
        </w:rPr>
        <w:t xml:space="preserve"> for additional information.</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Earnings (Loss) per Share and Description of Shares Outstanding</w:t>
      </w:r>
    </w:p>
    <w:p>
      <w:pPr>
        <w:spacing w:after="0" w:line="102" w:lineRule="exact"/>
        <w:rPr>
          <w:sz w:val="20"/>
          <w:szCs w:val="20"/>
          <w:color w:val="auto"/>
        </w:rPr>
      </w:pPr>
    </w:p>
    <w:p>
      <w:pPr>
        <w:ind w:left="680" w:right="20" w:firstLine="399"/>
        <w:spacing w:after="0" w:line="294" w:lineRule="auto"/>
        <w:rPr>
          <w:sz w:val="20"/>
          <w:szCs w:val="20"/>
          <w:color w:val="auto"/>
        </w:rPr>
      </w:pPr>
      <w:r>
        <w:rPr>
          <w:rFonts w:ascii="Arial" w:cs="Arial" w:eastAsia="Arial" w:hAnsi="Arial"/>
          <w:sz w:val="13"/>
          <w:szCs w:val="13"/>
          <w:color w:val="auto"/>
        </w:rPr>
        <w:t>We compute net income or loss per share of Class A and Class B Common Stock using the two class method. Basic net income per share is computed using the weighted average number of common shares outstanding during</w:t>
      </w:r>
    </w:p>
    <w:p>
      <w:pPr>
        <w:spacing w:after="0" w:line="25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9" w:right="1039" w:bottom="1440" w:gutter="0" w:footer="0" w:header="0"/>
        </w:sectPr>
      </w:pPr>
    </w:p>
    <w:bookmarkStart w:id="77" w:name="page78"/>
    <w:bookmarkEnd w:id="7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HARRIS STRATEX NETWORKS, INC. AND SUBSIDIARIES</w:t>
      </w:r>
    </w:p>
    <w:p>
      <w:pPr>
        <w:spacing w:after="0" w:line="102"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66" w:lineRule="exact"/>
        <w:rPr>
          <w:sz w:val="20"/>
          <w:szCs w:val="20"/>
          <w:color w:val="auto"/>
        </w:rPr>
      </w:pPr>
    </w:p>
    <w:p>
      <w:pPr>
        <w:ind w:left="680" w:right="220"/>
        <w:spacing w:after="0" w:line="299" w:lineRule="auto"/>
        <w:rPr>
          <w:sz w:val="20"/>
          <w:szCs w:val="20"/>
          <w:color w:val="auto"/>
        </w:rPr>
      </w:pPr>
      <w:r>
        <w:rPr>
          <w:rFonts w:ascii="Arial" w:cs="Arial" w:eastAsia="Arial" w:hAnsi="Arial"/>
          <w:sz w:val="12"/>
          <w:szCs w:val="12"/>
          <w:color w:val="auto"/>
        </w:rPr>
        <w:t>the period. Diluted net income per share is computed using the weighted average number of common shares and, if dilutive, potential common shares outstanding during the period. Potential common shares consist of the incremental common shares issuable upon the exercise of stock options. The dilutive effect of outstanding stock options is reflected in diluted earnings per share by application of the treasury stock method. The computation of the diluted net income per share of Class A Common Stock assumes the conversion of Class B Common Stock, while the diluted net income per share of Class B Common Stock does not assume the conversion of those shares.</w:t>
      </w:r>
    </w:p>
    <w:p>
      <w:pPr>
        <w:spacing w:after="0" w:line="48" w:lineRule="exact"/>
        <w:rPr>
          <w:sz w:val="20"/>
          <w:szCs w:val="20"/>
          <w:color w:val="auto"/>
        </w:rPr>
      </w:pPr>
    </w:p>
    <w:p>
      <w:pPr>
        <w:ind w:left="680" w:firstLine="399"/>
        <w:spacing w:after="0" w:line="286" w:lineRule="auto"/>
        <w:rPr>
          <w:sz w:val="20"/>
          <w:szCs w:val="20"/>
          <w:color w:val="auto"/>
        </w:rPr>
      </w:pPr>
      <w:r>
        <w:rPr>
          <w:rFonts w:ascii="Arial" w:cs="Arial" w:eastAsia="Arial" w:hAnsi="Arial"/>
          <w:sz w:val="12"/>
          <w:szCs w:val="12"/>
          <w:color w:val="auto"/>
        </w:rPr>
        <w:t>The rights, including the liquidation and dividend rights, of the holders of our Class A and Class B Common Stock are substantially similar. However, the holders of Class B Common Stock have the sole and exclusive right to elect or remove the Class B directors, who currently number four of the eight members of our board of directors. Further, our restated certificate of incorporation cannot be amended or replaced to adversely affect the rights of the holders of Class B Common Stock or to approve a new issuance of Class B Common Stock without the approval of the holders of a majority of Class B Common Stock. At any time each holder may exchange the holder’s shares of Class B Common Stock for an equal number of shares of Class A Common Stock at the holder’s option. Under certain circumstances, each share of Class B Common Stock will convert automatically into one share of Class A Common Stock. The holders of Class B Common Stock have the right to preserve their proportionate interest in the company by participating in any issuance of capital stock by the company other than issuances pursuant to stock option or similar employee benefit plan. The undistributed earnings for each year are allocated based on the contractual participation rights of the Class A and Class B common shares as if the earnings for the year had been distributed. As the liquidation and dividend rights are identical, the undistributed earnings are allocated on a proportionate basis. Further, as we assume the conversion of Class B Common Stock in the computation of the diluted net income per share of Class A Common Stock, the undistributed earnings are equal to net income for that computation.</w:t>
      </w:r>
    </w:p>
    <w:p>
      <w:pPr>
        <w:spacing w:after="0" w:line="58"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Subsequent to May 27, 2009, Class B Common Stock converted automatically into shares of Class A Common Stock, which is now our only outstanding class of stock.</w:t>
      </w:r>
    </w:p>
    <w:p>
      <w:pPr>
        <w:spacing w:after="0" w:line="114" w:lineRule="exact"/>
        <w:rPr>
          <w:sz w:val="20"/>
          <w:szCs w:val="20"/>
          <w:color w:val="auto"/>
        </w:rPr>
      </w:pPr>
    </w:p>
    <w:p>
      <w:pPr>
        <w:ind w:left="680" w:right="60" w:firstLine="399"/>
        <w:spacing w:after="0" w:line="270" w:lineRule="auto"/>
        <w:rPr>
          <w:sz w:val="20"/>
          <w:szCs w:val="20"/>
          <w:color w:val="auto"/>
        </w:rPr>
      </w:pPr>
      <w:r>
        <w:rPr>
          <w:rFonts w:ascii="Arial" w:cs="Arial" w:eastAsia="Arial" w:hAnsi="Arial"/>
          <w:sz w:val="13"/>
          <w:szCs w:val="13"/>
          <w:color w:val="auto"/>
        </w:rPr>
        <w:t>Prior to January 26, 2007, we were a division of Harris and there were no shares outstanding for purposes of earnings (loss) calculations. Basic and diluted weighted average shares outstanding are calculated based on the daily outstanding shares, reflecting the fact that no shares were outstanding prior to January 26, 2007. For fiscal 2009, 2008 and 2007, the diluted loss per share amounts equals the basic loss per share amounts because we reported a net loss and as such, the impact of the assumed exercise of stock options and warrants would have been anti-dilutive.</w:t>
      </w:r>
    </w:p>
    <w:p>
      <w:pPr>
        <w:spacing w:after="0" w:line="14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Restructuring and Related Expenses</w:t>
      </w:r>
    </w:p>
    <w:p>
      <w:pPr>
        <w:spacing w:after="0" w:line="102" w:lineRule="exact"/>
        <w:rPr>
          <w:sz w:val="20"/>
          <w:szCs w:val="20"/>
          <w:color w:val="auto"/>
        </w:rPr>
      </w:pPr>
    </w:p>
    <w:p>
      <w:pPr>
        <w:ind w:left="680" w:firstLine="399"/>
        <w:spacing w:after="0" w:line="290" w:lineRule="auto"/>
        <w:rPr>
          <w:sz w:val="20"/>
          <w:szCs w:val="20"/>
          <w:color w:val="auto"/>
        </w:rPr>
      </w:pPr>
      <w:r>
        <w:rPr>
          <w:rFonts w:ascii="Arial" w:cs="Arial" w:eastAsia="Arial" w:hAnsi="Arial"/>
          <w:sz w:val="12"/>
          <w:szCs w:val="12"/>
          <w:color w:val="auto"/>
        </w:rPr>
        <w:t xml:space="preserve">We record a liability for costs associated with an exit or disposal activity when the liability is incurred. We also record (i) liabilities associated with exit and disposal activities measured at fair value; (ii) expenses for one-time termination benefits at the date the entity notifies the employee, unless the employee must provide future service, in which case the benefits are expensed ratably over the future service period; and (iii) liabilities related to an operating lease/contract at fair value and measured when the contract does not have any future economic benefit to the entity (i.e., the entity ceases to utilize the rights conveyed by the contract). We expense all other costs related to an exit or disposal activity as incurred. We record severance benefits provided as part of restructurings as part of an ongoing benefit arrangement, and accrue a liability for expected severance costs. Restructuring liabilities and the liability for expected severance costs are shown as “Restructuring liabilities” in current and long-term liabilities on our Consolidated Balance Sheets and the related costs are reflected as operating expenses in the Consolidated Statements of Operations. See </w:t>
      </w:r>
      <w:r>
        <w:rPr>
          <w:rFonts w:ascii="Arial" w:cs="Arial" w:eastAsia="Arial" w:hAnsi="Arial"/>
          <w:sz w:val="12"/>
          <w:szCs w:val="12"/>
          <w:i w:val="1"/>
          <w:iCs w:val="1"/>
          <w:color w:val="auto"/>
        </w:rPr>
        <w:t>Note K — Restructuring Activities</w:t>
      </w:r>
      <w:r>
        <w:rPr>
          <w:rFonts w:ascii="Arial" w:cs="Arial" w:eastAsia="Arial" w:hAnsi="Arial"/>
          <w:sz w:val="12"/>
          <w:szCs w:val="12"/>
          <w:color w:val="auto"/>
        </w:rPr>
        <w:t xml:space="preserve"> for additional information.</w:t>
      </w:r>
    </w:p>
    <w:p>
      <w:pPr>
        <w:spacing w:after="0" w:line="13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Research and Development Costs</w:t>
      </w:r>
    </w:p>
    <w:p>
      <w:pPr>
        <w:spacing w:after="0" w:line="102"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Our company-sponsored research and development costs, which include costs in connection with new product development, improvement of existing products, process improvement, and product use technologies, are charged to operations in the period in which they are incurred. In connection with business combinations, the purchase price allocated to research and development projects that have not yet reached technological feasibility and for which no</w:t>
      </w:r>
    </w:p>
    <w:p>
      <w:pPr>
        <w:spacing w:after="0" w:line="270"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78" w:name="page79"/>
    <w:bookmarkEnd w:id="7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HARRIS STRATEX NETWORKS, INC. AND SUBSIDIARIES</w:t>
      </w:r>
    </w:p>
    <w:p>
      <w:pPr>
        <w:spacing w:after="0" w:line="102"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66" w:lineRule="exact"/>
        <w:rPr>
          <w:sz w:val="20"/>
          <w:szCs w:val="20"/>
          <w:color w:val="auto"/>
        </w:rPr>
      </w:pPr>
    </w:p>
    <w:p>
      <w:pPr>
        <w:ind w:left="680" w:right="40"/>
        <w:spacing w:after="0" w:line="294" w:lineRule="auto"/>
        <w:rPr>
          <w:sz w:val="20"/>
          <w:szCs w:val="20"/>
          <w:color w:val="auto"/>
        </w:rPr>
      </w:pPr>
      <w:r>
        <w:rPr>
          <w:rFonts w:ascii="Arial" w:cs="Arial" w:eastAsia="Arial" w:hAnsi="Arial"/>
          <w:sz w:val="13"/>
          <w:szCs w:val="13"/>
          <w:color w:val="auto"/>
        </w:rPr>
        <w:t>alternative future use exists is charged to operations in the period of acquisition. We present research and development expenses and acquired in-process research and development costs as separate line items in our Consolidated Statements of Operations.</w:t>
      </w:r>
    </w:p>
    <w:p>
      <w:pPr>
        <w:spacing w:after="0" w:line="47" w:lineRule="exact"/>
        <w:rPr>
          <w:sz w:val="20"/>
          <w:szCs w:val="20"/>
          <w:color w:val="auto"/>
        </w:rPr>
      </w:pPr>
    </w:p>
    <w:p>
      <w:pPr>
        <w:ind w:left="680" w:right="1240" w:firstLine="399"/>
        <w:spacing w:after="0" w:line="294" w:lineRule="auto"/>
        <w:rPr>
          <w:sz w:val="20"/>
          <w:szCs w:val="20"/>
          <w:color w:val="auto"/>
        </w:rPr>
      </w:pPr>
      <w:r>
        <w:rPr>
          <w:rFonts w:ascii="Arial" w:cs="Arial" w:eastAsia="Arial" w:hAnsi="Arial"/>
          <w:sz w:val="13"/>
          <w:szCs w:val="13"/>
          <w:color w:val="auto"/>
        </w:rPr>
        <w:t>Customer-sponsored research and development costs are sometimes incurred pursuant to contractual arrangements and are accounted for principally by the percentage-of-completion method. There was no customer-sponsored research and development in fiscal 2009, 2008 or 2007.</w:t>
      </w:r>
    </w:p>
    <w:p>
      <w:pPr>
        <w:spacing w:after="0" w:line="12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Segment Information</w:t>
      </w:r>
    </w:p>
    <w:p>
      <w:pPr>
        <w:spacing w:after="0" w:line="102" w:lineRule="exact"/>
        <w:rPr>
          <w:sz w:val="20"/>
          <w:szCs w:val="20"/>
          <w:color w:val="auto"/>
        </w:rPr>
      </w:pPr>
    </w:p>
    <w:p>
      <w:pPr>
        <w:ind w:left="680" w:right="20" w:firstLine="399"/>
        <w:spacing w:after="0" w:line="267" w:lineRule="auto"/>
        <w:rPr>
          <w:sz w:val="20"/>
          <w:szCs w:val="20"/>
          <w:color w:val="auto"/>
        </w:rPr>
      </w:pPr>
      <w:r>
        <w:rPr>
          <w:rFonts w:ascii="Arial" w:cs="Arial" w:eastAsia="Arial" w:hAnsi="Arial"/>
          <w:sz w:val="13"/>
          <w:szCs w:val="13"/>
          <w:color w:val="auto"/>
        </w:rPr>
        <w:t>We are organized into three operating segments around the markets we serve: North America Microwave, International Microwave and Network Operations. The North America Microwave segment designs, manufactures, sells and services microwave radio products, primarily for cellular network providers and private network users within North America (U.S., Canada and the Caribbean). The International Microwave segment designs, manufactures, sells and services microwave radio products, primarily for cellular network providers and private network users outside of North America. The Network Operations segment develops, designs, produces, sells and services network management and service fulfillment systems and solutions, primarily for cellular network providers and private network users worldwide.</w:t>
      </w:r>
    </w:p>
    <w:p>
      <w:pPr>
        <w:spacing w:after="0" w:line="65" w:lineRule="exact"/>
        <w:rPr>
          <w:sz w:val="20"/>
          <w:szCs w:val="20"/>
          <w:color w:val="auto"/>
        </w:rPr>
      </w:pPr>
    </w:p>
    <w:p>
      <w:pPr>
        <w:ind w:left="680" w:right="20" w:firstLine="399"/>
        <w:spacing w:after="0" w:line="295" w:lineRule="auto"/>
        <w:rPr>
          <w:sz w:val="20"/>
          <w:szCs w:val="20"/>
          <w:color w:val="auto"/>
        </w:rPr>
      </w:pPr>
      <w:r>
        <w:rPr>
          <w:rFonts w:ascii="Arial" w:cs="Arial" w:eastAsia="Arial" w:hAnsi="Arial"/>
          <w:sz w:val="12"/>
          <w:szCs w:val="12"/>
          <w:color w:val="auto"/>
        </w:rPr>
        <w:t xml:space="preserve">Our Chief Executive Officer is the Chief Operating Decision-Maker (the “CODM”). Resources are allocated to each of these segments using information based primarily on their operating income (loss). Operating income (loss) is defined as revenue less cost of product sales and services, engineering, selling and administrative expenses, restructuring charges, acquired in-process research and development, and amortization of identifiable intangible assets. General corporate expenses are allocated to the North America Microwave and International Microwave segments based on revenue. Information related to assets, capital expenditures and depreciation and amortization for the operating segments is not part of the discrete financial information provided to and reviewed by the CODM. See </w:t>
      </w:r>
      <w:r>
        <w:rPr>
          <w:rFonts w:ascii="Arial" w:cs="Arial" w:eastAsia="Arial" w:hAnsi="Arial"/>
          <w:sz w:val="12"/>
          <w:szCs w:val="12"/>
          <w:i w:val="1"/>
          <w:iCs w:val="1"/>
          <w:color w:val="auto"/>
        </w:rPr>
        <w:t>Note N — Business Segments</w:t>
      </w:r>
      <w:r>
        <w:rPr>
          <w:rFonts w:ascii="Arial" w:cs="Arial" w:eastAsia="Arial" w:hAnsi="Arial"/>
          <w:sz w:val="12"/>
          <w:szCs w:val="12"/>
          <w:color w:val="auto"/>
        </w:rPr>
        <w:t xml:space="preserve"> for additional information.</w:t>
      </w:r>
    </w:p>
    <w:p>
      <w:pPr>
        <w:spacing w:after="0" w:line="129" w:lineRule="exact"/>
        <w:rPr>
          <w:sz w:val="20"/>
          <w:szCs w:val="20"/>
          <w:color w:val="auto"/>
        </w:rPr>
      </w:pPr>
    </w:p>
    <w:p>
      <w:pPr>
        <w:ind w:left="880" w:right="4280"/>
        <w:spacing w:after="0" w:line="404" w:lineRule="auto"/>
        <w:rPr>
          <w:sz w:val="20"/>
          <w:szCs w:val="20"/>
          <w:color w:val="auto"/>
        </w:rPr>
      </w:pPr>
      <w:r>
        <w:rPr>
          <w:rFonts w:ascii="Arial" w:cs="Arial" w:eastAsia="Arial" w:hAnsi="Arial"/>
          <w:sz w:val="13"/>
          <w:szCs w:val="13"/>
          <w:b w:val="1"/>
          <w:bCs w:val="1"/>
          <w:i w:val="1"/>
          <w:iCs w:val="1"/>
          <w:color w:val="auto"/>
        </w:rPr>
        <w:t xml:space="preserve">Initial Application of Standards, Interpretations and Amendments to Standards and Interpretations </w:t>
      </w:r>
      <w:r>
        <w:rPr>
          <w:rFonts w:ascii="Arial" w:cs="Arial" w:eastAsia="Arial" w:hAnsi="Arial"/>
          <w:sz w:val="13"/>
          <w:szCs w:val="13"/>
          <w:i w:val="1"/>
          <w:iCs w:val="1"/>
          <w:color w:val="auto"/>
        </w:rPr>
        <w:t>Disclosures about Derivative Instruments and Hedging Activities</w:t>
      </w:r>
    </w:p>
    <w:p>
      <w:pPr>
        <w:spacing w:after="0" w:line="1" w:lineRule="exact"/>
        <w:rPr>
          <w:sz w:val="20"/>
          <w:szCs w:val="20"/>
          <w:color w:val="auto"/>
        </w:rPr>
      </w:pPr>
    </w:p>
    <w:p>
      <w:pPr>
        <w:ind w:left="680" w:firstLine="399"/>
        <w:spacing w:after="0" w:line="286" w:lineRule="auto"/>
        <w:rPr>
          <w:sz w:val="20"/>
          <w:szCs w:val="20"/>
          <w:color w:val="auto"/>
        </w:rPr>
      </w:pPr>
      <w:r>
        <w:rPr>
          <w:rFonts w:ascii="Arial" w:cs="Arial" w:eastAsia="Arial" w:hAnsi="Arial"/>
          <w:sz w:val="12"/>
          <w:szCs w:val="12"/>
          <w:color w:val="auto"/>
        </w:rPr>
        <w:t>In March 2008, the FASB issued Statement of Financial Accounting Standards No. 161, “Disclosures about Derivative Instruments and Hedging Activities — an amendment of FASB Statement No. 133” (“Statement 161”). Statement 161 applies to all derivative instruments, including bifurcated derivative instruments (and to nonderivative instruments that are designated and qualify as hedging instruments pursuant to paragraphs 37 and 42 of FASB Statement of Financial Accounting Standards No. 133, “Accounting for Derivative Instruments and Hedging Activities” (“Statement 133”) and related hedged items accounted for under Statement 133. Statement 161 amends and expands the disclosure requirements of Statement 133 to provide greater transparency as to (a) how and why an entity uses derivative instruments, (b) how derivative instruments and related hedged items are accounted for under Statement 133 and its related interpretations, and (c) how derivative instruments and related hedged items affect an entity’s financial position, results of operations and cash flows. To meet those objectives, Statement 161 requires qualitative disclosures about objectives and strategies for using derivatives, quantitative disclosures about the volume of derivative activity and fair value amounts of, and gains and losses on, derivative instruments including location of such amounts in the consolidated financial statements, and disclosures about credit-risk-related contingent features in derivative agreements. Statement 161 is effective for fiscal years and interim periods that begin after November 15, 2008. We adopted Statement 161 during the third quarter of fiscal 2009 (see Note R). The adoption of Statement 161 did not have an impact on our consolidated results of operations or financial position.</w:t>
      </w:r>
    </w:p>
    <w:p>
      <w:pPr>
        <w:spacing w:after="0" w:line="270"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79" w:name="page80"/>
    <w:bookmarkEnd w:id="7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HARRIS STRATEX NETWORKS, INC. AND SUBSIDIARIES</w:t>
      </w:r>
    </w:p>
    <w:p>
      <w:pPr>
        <w:spacing w:after="0" w:line="102"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6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Fair Value Measurements</w:t>
      </w:r>
    </w:p>
    <w:p>
      <w:pPr>
        <w:spacing w:after="0" w:line="102" w:lineRule="exact"/>
        <w:rPr>
          <w:sz w:val="20"/>
          <w:szCs w:val="20"/>
          <w:color w:val="auto"/>
        </w:rPr>
      </w:pPr>
    </w:p>
    <w:p>
      <w:pPr>
        <w:ind w:left="680" w:right="120" w:firstLine="399"/>
        <w:spacing w:after="0" w:line="286" w:lineRule="auto"/>
        <w:rPr>
          <w:sz w:val="20"/>
          <w:szCs w:val="20"/>
          <w:color w:val="auto"/>
        </w:rPr>
      </w:pPr>
      <w:r>
        <w:rPr>
          <w:rFonts w:ascii="Arial" w:cs="Arial" w:eastAsia="Arial" w:hAnsi="Arial"/>
          <w:sz w:val="12"/>
          <w:szCs w:val="12"/>
          <w:color w:val="auto"/>
        </w:rPr>
        <w:t xml:space="preserve">In September 2006, the Financial Accounting Standards Board (the “FASB”) issued Statement of Financial Accounting Standards No. 157, “Fair Value Measurements” (“Statement 157”). Statement 157 defines fair value, establishes a framework for measuring fair value in generally accepted accounting principles, and expands disclosures about fair value measurements. Statement 157 applies under other accounting pronouncements that require fair value measurement in which the FASB concluded that fair value was the relevant measurement, but does not require any new fair value measurements. In February 2008, the FASB issued FASB Staff Position (“FSP”) No. FAS 157-2, “Effective Date of FASB Statement No. 157” (“FSP FAS 157-2”), which defers the effective date of Statement 157 for nonfinancial assets and nonfinancial liabilities, except for items that are recognized or disclosed at fair value in the financial statements on a recurring basis (at least annually) to fiscal years beginning after November 15, 2008, which for us is our fiscal 2010. We adopted Statement 157 in the first quarter of fiscal 2009 and there was no impact to our financial position, results of operations or cash flows. In accordance with FSP FAS 157-2, we elected to defer until fiscal 2010 the adoption of Statement 157 for nonfinancial assets (including items such as goodwill and other intangible assets) and nonfinancial liabilities, except for items that are recognized or disclosed at fair value in the financial statements on a recurring basis (at least annually). We do not currently anticipate that the adoption of Statement 157 for nonfinancial assets and nonfinancial liabilities will materially impact our financial position, results of operations or cash flows. See </w:t>
      </w:r>
      <w:r>
        <w:rPr>
          <w:rFonts w:ascii="Arial" w:cs="Arial" w:eastAsia="Arial" w:hAnsi="Arial"/>
          <w:sz w:val="12"/>
          <w:szCs w:val="12"/>
          <w:i w:val="1"/>
          <w:iCs w:val="1"/>
          <w:color w:val="auto"/>
        </w:rPr>
        <w:t>Note E — Fair Value Measurements of Financial</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Assets and Financial Liabilities </w:t>
      </w:r>
      <w:r>
        <w:rPr>
          <w:rFonts w:ascii="Arial" w:cs="Arial" w:eastAsia="Arial" w:hAnsi="Arial"/>
          <w:sz w:val="12"/>
          <w:szCs w:val="12"/>
          <w:color w:val="auto"/>
        </w:rPr>
        <w:t>for disclosures.</w:t>
      </w:r>
    </w:p>
    <w:p>
      <w:pPr>
        <w:spacing w:after="0" w:line="55" w:lineRule="exact"/>
        <w:rPr>
          <w:sz w:val="20"/>
          <w:szCs w:val="20"/>
          <w:color w:val="auto"/>
        </w:rPr>
      </w:pPr>
    </w:p>
    <w:p>
      <w:pPr>
        <w:ind w:left="680" w:right="80" w:firstLine="399"/>
        <w:spacing w:after="0" w:line="267" w:lineRule="auto"/>
        <w:rPr>
          <w:sz w:val="20"/>
          <w:szCs w:val="20"/>
          <w:color w:val="auto"/>
        </w:rPr>
      </w:pPr>
      <w:r>
        <w:rPr>
          <w:rFonts w:ascii="Arial" w:cs="Arial" w:eastAsia="Arial" w:hAnsi="Arial"/>
          <w:sz w:val="13"/>
          <w:szCs w:val="13"/>
          <w:color w:val="auto"/>
        </w:rPr>
        <w:t>In February 2007, the FASB issued Statement of Financial Accounting Standards No. 159, “The Fair Value Option for Financial Assets and Financial Liabilities” (“Statement 159”). Statement 159 allows companies to voluntarily choose, at specified election dates, to measure many financial assets and financial liabilities at fair value (the “fair value option”). The election is made on an instrument-by-instrument basis and is irrevocable. If the fair value option is elected for an instrument, all unrealized gains or losses in fair value for that instrument shall be reported in earnings at each subsequent reporting date. We adopted Statement 159 in the first quarter of fiscal 2009 but have not elected the fair value option for any eligible financial instruments.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Disclosure of Subsequent Events</w:t>
      </w:r>
    </w:p>
    <w:p>
      <w:pPr>
        <w:spacing w:after="0" w:line="102" w:lineRule="exact"/>
        <w:rPr>
          <w:sz w:val="20"/>
          <w:szCs w:val="20"/>
          <w:color w:val="auto"/>
        </w:rPr>
      </w:pPr>
    </w:p>
    <w:p>
      <w:pPr>
        <w:ind w:left="680" w:firstLine="399"/>
        <w:spacing w:after="0" w:line="263" w:lineRule="auto"/>
        <w:rPr>
          <w:sz w:val="20"/>
          <w:szCs w:val="20"/>
          <w:color w:val="auto"/>
        </w:rPr>
      </w:pPr>
      <w:r>
        <w:rPr>
          <w:rFonts w:ascii="Arial" w:cs="Arial" w:eastAsia="Arial" w:hAnsi="Arial"/>
          <w:sz w:val="13"/>
          <w:szCs w:val="13"/>
          <w:color w:val="auto"/>
        </w:rPr>
        <w:t>In May 2009, the FASB issued Statement of Financial Accounting Standards No. 165, “Subsequent Events” (“Statement 165”). Statement 165 is intended to establish general standards of accounting for and disclosure of events that occur after the balance sheet date but before financial statements are issued, in the case of public entities. Specifically, Statement 165 sets forth the period after the balance sheet date during which management of a reporting entity should evaluate events or transactions that may occur for potential recognition or disclosure in the financial statements, the circumstances under which an entity should recognize events or transactions occurring after the balance sheet date in its financial statements, and the disclosures that an entity should make about events or transactions that occurred after the balance sheet date. Statement 165 is effective for interim or annual reporting periods ending after June 15, 2009, which for us is fiscal 2009 (our current fiscal year, which ended July 3, 2009). We adopted Statement 165 in the fourth quarter of fiscal 2009, and have evaluated any subsequent events through the date of filing of this Annual Report on Form 10-K. The adoption of Statement 165 did not impact our financial position, results of operations or cash flows.</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Standards, Interpretations and Amendments Issued, but not yet Adopted</w:t>
      </w:r>
    </w:p>
    <w:p>
      <w:pPr>
        <w:spacing w:after="0" w:line="102"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Accounting for Business Combinations</w:t>
      </w:r>
    </w:p>
    <w:p>
      <w:pPr>
        <w:spacing w:after="0" w:line="102" w:lineRule="exact"/>
        <w:rPr>
          <w:sz w:val="20"/>
          <w:szCs w:val="20"/>
          <w:color w:val="auto"/>
        </w:rPr>
      </w:pPr>
    </w:p>
    <w:p>
      <w:pPr>
        <w:ind w:left="680" w:right="100" w:firstLine="399"/>
        <w:spacing w:after="0" w:line="270" w:lineRule="auto"/>
        <w:rPr>
          <w:sz w:val="20"/>
          <w:szCs w:val="20"/>
          <w:color w:val="auto"/>
        </w:rPr>
      </w:pPr>
      <w:r>
        <w:rPr>
          <w:rFonts w:ascii="Arial" w:cs="Arial" w:eastAsia="Arial" w:hAnsi="Arial"/>
          <w:sz w:val="13"/>
          <w:szCs w:val="13"/>
          <w:color w:val="auto"/>
        </w:rPr>
        <w:t>In December 2007, the FASB issued Statement of Financial Accounting Standards No. 141 (revised 2007), “Business Combinations” (“Statement 141R”). Statement 141R requires that, upon a business combination, the acquired assets, assumed liabilities, contractual contingencies and contingent liabilities be recognized and measured at their fair value at the acquisition date. Statement 141R also requires that acquisition-related costs be recognized separately from the acquisition and expensed as incurred. In addition, Statement 141R requires that</w:t>
      </w:r>
    </w:p>
    <w:p>
      <w:pPr>
        <w:spacing w:after="0" w:line="27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80" w:name="page81"/>
    <w:bookmarkEnd w:id="8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HARRIS STRATEX NETWORKS, INC. AND SUBSIDIARIES</w:t>
      </w:r>
    </w:p>
    <w:p>
      <w:pPr>
        <w:spacing w:after="0" w:line="102"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66" w:lineRule="exact"/>
        <w:rPr>
          <w:sz w:val="20"/>
          <w:szCs w:val="20"/>
          <w:color w:val="auto"/>
        </w:rPr>
      </w:pPr>
    </w:p>
    <w:p>
      <w:pPr>
        <w:ind w:left="680" w:right="20"/>
        <w:spacing w:after="0" w:line="295" w:lineRule="auto"/>
        <w:rPr>
          <w:sz w:val="20"/>
          <w:szCs w:val="20"/>
          <w:color w:val="auto"/>
        </w:rPr>
      </w:pPr>
      <w:r>
        <w:rPr>
          <w:rFonts w:ascii="Arial" w:cs="Arial" w:eastAsia="Arial" w:hAnsi="Arial"/>
          <w:sz w:val="12"/>
          <w:szCs w:val="12"/>
          <w:color w:val="auto"/>
        </w:rPr>
        <w:t>acquired in-process research and development be measured at fair value and capitalized as an indefinite-lived intangible asset, and it is therefore not subject to amortization until the project is completed or abandoned. Statement 141R also requires that changes in deferred tax asset valuation allowances and acquired income tax uncertainties that are recognized after the measurement period be recognized in income tax expense. Statement 141R is to be applied prospectively and is effective for fiscal years beginning on or after December 15, 2008, which for us is our fiscal 2010. Thus, while adoption is not expected to materially impact our financial position, results of operations or cash flows directly when it becomes effective on July 4, 2009 (the beginning of our fiscal 2010), it is expected to have a significant effect on the accounting for any acquisitions we make on, or subsequent to, that date.</w:t>
      </w:r>
    </w:p>
    <w:p>
      <w:pPr>
        <w:spacing w:after="0" w:line="49" w:lineRule="exact"/>
        <w:rPr>
          <w:sz w:val="20"/>
          <w:szCs w:val="20"/>
          <w:color w:val="auto"/>
        </w:rPr>
      </w:pPr>
    </w:p>
    <w:p>
      <w:pPr>
        <w:ind w:left="680" w:firstLine="399"/>
        <w:spacing w:after="0" w:line="287" w:lineRule="auto"/>
        <w:rPr>
          <w:sz w:val="20"/>
          <w:szCs w:val="20"/>
          <w:color w:val="auto"/>
        </w:rPr>
      </w:pPr>
      <w:r>
        <w:rPr>
          <w:rFonts w:ascii="Arial" w:cs="Arial" w:eastAsia="Arial" w:hAnsi="Arial"/>
          <w:sz w:val="12"/>
          <w:szCs w:val="12"/>
          <w:color w:val="auto"/>
        </w:rPr>
        <w:t>On April 1, 2009, the FASB issued FSP No. FAS 141R-1, “Accounting for Assets Acquired and Liabilities Assumed in a Business Combination That Arise from Contingencies” (“FSP FAS 141R-1”). Under FSP FAS 141R-1, assets and liabilities arising from contingencies in a business combination are to be recognized at fair value at the acquisition date if the acquisition-date fair value can be determined during the measurement period. In cases where acquisition-date fair values cannot be determined during the measurement period, an asset or liability shall be recognized at the acquisition date at amounts based on guidance in FASB Statement No. 5, “Accounting for Contingencies” and FASB Interpretation No. 14, “Reasonable Estimation of the Amount of a Loss” if certain other criteria are met. FSP FAS 141R-1 also expands the disclosure requirements of Statement 141R to provide additional information about business combination-related contingencies in footnotes describing business combinations. FSP FAS 141R-1 is effective for business combinations for which the acquisition date is on or after the beginning of the first annual reporting period beginning on or after December 15, 2008, which for us is our fiscal 2010. Thus, while adoption is not expected to materially impact our financial position, results of operations or cash flows directly when it becomes effective on July 4, 2009 (the beginning of our fiscal 2010), it may have a significant effect on the accounting for any acquisitions we make on, or subsequent to, that date.</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Disclosures about Fair Value of Financial Instruments</w:t>
      </w:r>
    </w:p>
    <w:p>
      <w:pPr>
        <w:spacing w:after="0" w:line="102" w:lineRule="exact"/>
        <w:rPr>
          <w:sz w:val="20"/>
          <w:szCs w:val="20"/>
          <w:color w:val="auto"/>
        </w:rPr>
      </w:pPr>
    </w:p>
    <w:p>
      <w:pPr>
        <w:ind w:left="680" w:firstLine="399"/>
        <w:spacing w:after="0" w:line="263" w:lineRule="auto"/>
        <w:rPr>
          <w:sz w:val="20"/>
          <w:szCs w:val="20"/>
          <w:color w:val="auto"/>
        </w:rPr>
      </w:pPr>
      <w:r>
        <w:rPr>
          <w:rFonts w:ascii="Arial" w:cs="Arial" w:eastAsia="Arial" w:hAnsi="Arial"/>
          <w:sz w:val="13"/>
          <w:szCs w:val="13"/>
          <w:color w:val="auto"/>
        </w:rPr>
        <w:t>In April 2009, the FASB issued FSP No. FAS 107-1 and APB 28-1, “Interim Disclosures about Fair Value of Financial Instruments” (“FSP FAS 107-1”). FSP FAS 107-1 extends the annual disclosure requirements of Statement of Financial Accounting Standards No. 107, “Disclosures about Fair Value of Financial Instruments” (“Statement 107”) to interim reporting periods. Statement 107 requires disclosures of the fair value of all financial instruments (whether recognized or not in the statement of financial position), except for those specifically listed in paragraph 8 of Statement 107, when practicable to do so. In addition, FSP FAS 107-1 requires fair value information disclosed in the notes to financial statements to be presented together with the related carrying amount of the financial instruments in a form that clearly distinguishes between assets and liabilities and indicates how the carrying amounts relate to what is reported on the statement of financial position. An entity must also disclose the methods and significant assumptions used to estimate the fair value of the financial instruments and describe any changes in these methods and significant assumptions. FSP FAS 107-1 is effective for interim reporting periods ending after June 15, 2009, which for us is the first quarter of our fiscal 2010. We do not currently anticipate that the implementation of FSP FAS 107-1 will materially impact our financial position, results of operations or cash flows.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Earnings per Share</w:t>
      </w:r>
    </w:p>
    <w:p>
      <w:pPr>
        <w:spacing w:after="0" w:line="102" w:lineRule="exact"/>
        <w:rPr>
          <w:sz w:val="20"/>
          <w:szCs w:val="20"/>
          <w:color w:val="auto"/>
        </w:rPr>
      </w:pPr>
    </w:p>
    <w:p>
      <w:pPr>
        <w:ind w:left="680" w:right="40" w:firstLine="399"/>
        <w:spacing w:after="0" w:line="292" w:lineRule="auto"/>
        <w:rPr>
          <w:sz w:val="20"/>
          <w:szCs w:val="20"/>
          <w:color w:val="auto"/>
        </w:rPr>
      </w:pPr>
      <w:r>
        <w:rPr>
          <w:rFonts w:ascii="Arial" w:cs="Arial" w:eastAsia="Arial" w:hAnsi="Arial"/>
          <w:sz w:val="12"/>
          <w:szCs w:val="12"/>
          <w:color w:val="auto"/>
        </w:rPr>
        <w:t>In June 2008, the FASB issued FSP No. Emerging Issues Task Force (“EITF”) 03-6-1, “Determining Whether Instruments Granted in Share-Based Payment Transactions Are Participating Securities” (“FSP EITF 03-6-1”). FSP EITF 03-6-1 states that unvested share-based payment awards that contain rights to receive nonforfeitable dividends or dividend equivalents (whether paid or unpaid) are participating securities and, accordingly, should be included in the two-class method of calculating earnings per share (“EPS”) under FASB Statement of Financial Accounting Standards No. 128, “Earnings per Share.” FSP EITF 03-6-1 also includes guidance on allocating earnings pursuant to the two-class method. FSP EITF 03-6-1 is effective for fiscal years beginning after December 15, 2008, which for us is our fiscal 2010. All prior-period EPS data presented (including interim financial statements, summaries of earnings, and selected financial data) shall be adjusted retrospectively. We do not currently anticipate that the</w:t>
      </w:r>
    </w:p>
    <w:p>
      <w:pPr>
        <w:spacing w:after="0" w:line="262"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9" w:right="1039" w:bottom="1440" w:gutter="0" w:footer="0" w:header="0"/>
        </w:sectPr>
      </w:pPr>
    </w:p>
    <w:bookmarkStart w:id="81" w:name="page82"/>
    <w:bookmarkEnd w:id="8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HARRIS STRATEX NETWORKS, INC. AND SUBSIDIARIES</w:t>
      </w:r>
    </w:p>
    <w:p>
      <w:pPr>
        <w:spacing w:after="0" w:line="102"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6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implementation of FSP EITF 03-6-1 will materially impact our financial position, results of operations or cash flows.</w:t>
      </w:r>
    </w:p>
    <w:p>
      <w:pPr>
        <w:spacing w:after="0" w:line="183"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Useful Life of Intangible Assets</w:t>
      </w:r>
    </w:p>
    <w:p>
      <w:pPr>
        <w:spacing w:after="0" w:line="102" w:lineRule="exact"/>
        <w:rPr>
          <w:sz w:val="20"/>
          <w:szCs w:val="20"/>
          <w:color w:val="auto"/>
        </w:rPr>
      </w:pPr>
    </w:p>
    <w:p>
      <w:pPr>
        <w:ind w:left="680" w:right="60" w:firstLine="399"/>
        <w:spacing w:after="0" w:line="288" w:lineRule="auto"/>
        <w:rPr>
          <w:sz w:val="20"/>
          <w:szCs w:val="20"/>
          <w:color w:val="auto"/>
        </w:rPr>
      </w:pPr>
      <w:r>
        <w:rPr>
          <w:rFonts w:ascii="Arial" w:cs="Arial" w:eastAsia="Arial" w:hAnsi="Arial"/>
          <w:sz w:val="12"/>
          <w:szCs w:val="12"/>
          <w:color w:val="auto"/>
        </w:rPr>
        <w:t>In April 2008, the FASB issued FSP No. FAS 142-3, “Determining the Useful Life of Intangible Assets” (“FSP FAS 142-3”). FSP FAS 142-3 amends the factors that must be considered in developing renewal or extension assumptions used to determine the useful life of recognized intangible assets accounted for pursuant to FASB Statement of Financial Accounting Standards No. 142, “Goodwill and Other Intangible Assets” (“Statement 142”). FSP FAS 142-3 amends Statement 142 to require an entity to consider its own historical experience in renewing or extending similar arrangements, regardless of whether those arrangements have explicit renewal or extension provisions. In the absence of such experience, FSP FAS 142-3 requires an entity to consider assumptions that market participants would use (consistent with the highest and best use of the asset by market participants), adjusted for entity-specific factors. FSP FAS 142-3 also requires incremental disclosures for renewable intangible assets. FSP FAS 142-3 is effective for fiscal years beginning after December 15, 2008, which for us is our fiscal 2010. FSP FAS 142-3 is to be applied prospectively to intangible assets acquired after the effective date, and the incremental disclosure requirements for renewable intangible assets are to be applied prospectively to all intangible assets recognized as of, and subsequent to, the effective date.</w:t>
      </w:r>
    </w:p>
    <w:p>
      <w:pPr>
        <w:spacing w:after="0" w:line="13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Note C —</w:t>
      </w:r>
      <w:r>
        <w:rPr>
          <w:sz w:val="20"/>
          <w:szCs w:val="20"/>
          <w:color w:val="auto"/>
        </w:rPr>
        <w:tab/>
      </w:r>
      <w:r>
        <w:rPr>
          <w:rFonts w:ascii="Arial" w:cs="Arial" w:eastAsia="Arial" w:hAnsi="Arial"/>
          <w:sz w:val="12"/>
          <w:szCs w:val="12"/>
          <w:b w:val="1"/>
          <w:bCs w:val="1"/>
          <w:color w:val="auto"/>
        </w:rPr>
        <w:t>Business Combinations — Acquisition of Telsima and Stratex, Goodwill and Identifiable Intangible Assets</w:t>
      </w:r>
    </w:p>
    <w:p>
      <w:pPr>
        <w:spacing w:after="0" w:line="104" w:lineRule="exact"/>
        <w:rPr>
          <w:sz w:val="20"/>
          <w:szCs w:val="20"/>
          <w:color w:val="auto"/>
        </w:rPr>
      </w:pPr>
    </w:p>
    <w:p>
      <w:pPr>
        <w:ind w:left="680" w:firstLine="399"/>
        <w:spacing w:after="0" w:line="265" w:lineRule="auto"/>
        <w:rPr>
          <w:sz w:val="20"/>
          <w:szCs w:val="20"/>
          <w:color w:val="auto"/>
        </w:rPr>
      </w:pPr>
      <w:r>
        <w:rPr>
          <w:rFonts w:ascii="Arial" w:cs="Arial" w:eastAsia="Arial" w:hAnsi="Arial"/>
          <w:sz w:val="13"/>
          <w:szCs w:val="13"/>
          <w:color w:val="auto"/>
        </w:rPr>
        <w:t>On March 2, 2009, we announced that we closed the acquisition (the “Telsima Acquisition”) of Telsima Corporation (“Telsima”) of Sunnyvale, California. Telsima is a leading developer and provider of WiMAX Forum Certified</w:t>
      </w:r>
      <w:r>
        <w:rPr>
          <w:rFonts w:ascii="Arial" w:cs="Arial" w:eastAsia="Arial" w:hAnsi="Arial"/>
          <w:sz w:val="8"/>
          <w:szCs w:val="8"/>
          <w:color w:val="auto"/>
        </w:rPr>
        <w:t>TM</w:t>
      </w:r>
      <w:r>
        <w:rPr>
          <w:rFonts w:ascii="Arial" w:cs="Arial" w:eastAsia="Arial" w:hAnsi="Arial"/>
          <w:sz w:val="13"/>
          <w:szCs w:val="13"/>
          <w:color w:val="auto"/>
        </w:rPr>
        <w:t xml:space="preserve"> products for use in next generation broadband wireless networks. The Telsima Acquisition closed on February 27, 2009 and was consummated pursuant to an Agreement and Plan of Merger, dated February 27, 2009 (the “Merger Agreement”), by and among Harris Stratex Networks Operating Corporation, a wholly-owned subsidiary of the Company (“HSNOC”), Eagle Networks Merger Corporation, a wholly-owned subsidiary of HSNOC (“Merger Sub”), Telsima and the Holder Representative party thereto. The Merger Agreement provided for the acquisition by HSNOC of all of the outstanding equity securities of Telsima for cash through the merger of Merger Sub with and into Telsima. Following such merger, Telsima became a wholly-owned subsidiary of HSNOC.</w:t>
      </w:r>
    </w:p>
    <w:p>
      <w:pPr>
        <w:spacing w:after="0" w:line="68" w:lineRule="exact"/>
        <w:rPr>
          <w:sz w:val="20"/>
          <w:szCs w:val="20"/>
          <w:color w:val="auto"/>
        </w:rPr>
      </w:pPr>
    </w:p>
    <w:p>
      <w:pPr>
        <w:jc w:val="both"/>
        <w:ind w:left="680" w:right="100" w:firstLine="399"/>
        <w:spacing w:after="0" w:line="276" w:lineRule="auto"/>
        <w:rPr>
          <w:sz w:val="20"/>
          <w:szCs w:val="20"/>
          <w:color w:val="auto"/>
        </w:rPr>
      </w:pPr>
      <w:r>
        <w:rPr>
          <w:rFonts w:ascii="Arial" w:cs="Arial" w:eastAsia="Arial" w:hAnsi="Arial"/>
          <w:sz w:val="13"/>
          <w:szCs w:val="13"/>
          <w:color w:val="auto"/>
        </w:rPr>
        <w:t xml:space="preserve">Under the terms of the Merger Agreement, HSNOC will pay to the stockholders of Telsima a maximum aggregate consideration equal to (i) $12 million </w:t>
      </w:r>
      <w:r>
        <w:rPr>
          <w:rFonts w:ascii="Arial" w:cs="Arial" w:eastAsia="Arial" w:hAnsi="Arial"/>
          <w:sz w:val="13"/>
          <w:szCs w:val="13"/>
          <w:u w:val="single" w:color="auto"/>
          <w:color w:val="auto"/>
        </w:rPr>
        <w:t>minus</w:t>
      </w:r>
      <w:r>
        <w:rPr>
          <w:rFonts w:ascii="Arial" w:cs="Arial" w:eastAsia="Arial" w:hAnsi="Arial"/>
          <w:sz w:val="13"/>
          <w:szCs w:val="13"/>
          <w:color w:val="auto"/>
        </w:rPr>
        <w:t xml:space="preserve"> (ii) $2 million in respect of advances made by us to Telsima prior to the Acquisition, </w:t>
      </w:r>
      <w:r>
        <w:rPr>
          <w:rFonts w:ascii="Arial" w:cs="Arial" w:eastAsia="Arial" w:hAnsi="Arial"/>
          <w:sz w:val="13"/>
          <w:szCs w:val="13"/>
          <w:u w:val="single" w:color="auto"/>
          <w:color w:val="auto"/>
        </w:rPr>
        <w:t>plus</w:t>
      </w:r>
      <w:r>
        <w:rPr>
          <w:rFonts w:ascii="Arial" w:cs="Arial" w:eastAsia="Arial" w:hAnsi="Arial"/>
          <w:sz w:val="13"/>
          <w:szCs w:val="13"/>
          <w:color w:val="auto"/>
        </w:rPr>
        <w:t xml:space="preserve"> (iii) an amount equal to 70% of any amounts collected by us from certain Telsima customers during the period between February 27, 2009 and March 31, 2009.</w:t>
      </w:r>
    </w:p>
    <w:p>
      <w:pPr>
        <w:spacing w:after="0" w:line="59" w:lineRule="exact"/>
        <w:rPr>
          <w:sz w:val="20"/>
          <w:szCs w:val="20"/>
          <w:color w:val="auto"/>
        </w:rPr>
      </w:pPr>
    </w:p>
    <w:p>
      <w:pPr>
        <w:ind w:left="680" w:right="340" w:firstLine="399"/>
        <w:spacing w:after="0" w:line="294" w:lineRule="auto"/>
        <w:rPr>
          <w:sz w:val="20"/>
          <w:szCs w:val="20"/>
          <w:color w:val="auto"/>
        </w:rPr>
      </w:pPr>
      <w:r>
        <w:rPr>
          <w:rFonts w:ascii="Arial" w:cs="Arial" w:eastAsia="Arial" w:hAnsi="Arial"/>
          <w:sz w:val="13"/>
          <w:szCs w:val="13"/>
          <w:color w:val="auto"/>
        </w:rPr>
        <w:t>We completed the Telsima Acquisition to acquire WiMAX</w:t>
      </w:r>
      <w:r>
        <w:rPr>
          <w:rFonts w:ascii="Arial" w:cs="Arial" w:eastAsia="Arial" w:hAnsi="Arial"/>
          <w:sz w:val="8"/>
          <w:szCs w:val="8"/>
          <w:color w:val="auto"/>
        </w:rPr>
        <w:t>TM</w:t>
      </w:r>
      <w:r>
        <w:rPr>
          <w:rFonts w:ascii="Arial" w:cs="Arial" w:eastAsia="Arial" w:hAnsi="Arial"/>
          <w:sz w:val="13"/>
          <w:szCs w:val="13"/>
          <w:color w:val="auto"/>
        </w:rPr>
        <w:t xml:space="preserve"> technology and products for use in next-generation broadband wireless networks and to enhance our ability to expand into new and emerging markets.</w:t>
      </w:r>
    </w:p>
    <w:p>
      <w:pPr>
        <w:spacing w:after="0" w:line="47" w:lineRule="exact"/>
        <w:rPr>
          <w:sz w:val="20"/>
          <w:szCs w:val="20"/>
          <w:color w:val="auto"/>
        </w:rPr>
      </w:pPr>
    </w:p>
    <w:p>
      <w:pPr>
        <w:ind w:left="680" w:firstLine="399"/>
        <w:spacing w:after="0" w:line="265" w:lineRule="auto"/>
        <w:rPr>
          <w:sz w:val="20"/>
          <w:szCs w:val="20"/>
          <w:color w:val="auto"/>
        </w:rPr>
      </w:pPr>
      <w:r>
        <w:rPr>
          <w:rFonts w:ascii="Arial" w:cs="Arial" w:eastAsia="Arial" w:hAnsi="Arial"/>
          <w:sz w:val="13"/>
          <w:szCs w:val="13"/>
          <w:color w:val="auto"/>
        </w:rPr>
        <w:t>On January 26, 2007, we completed our acquisition of Stratex. Pursuant to the acquisition, each share of Stratex common stock was converted into one-fourth of a share of our Class A Common Stock. As a result of the transaction, 24,782,153 shares of our Class A Common Stock were issued to the former holders of Stratex common stock. In the contribution transaction, Harris contributed the assets of MCD, along with $32.1 million in cash (consisting of $26.9 million contributed on January 26, 2007 and $5.2 million held by the Company’s foreign operating subsidiaries on January 26, 2007) and, in exchange we assumed certain liabilities of Harris related to MCD and issued 32,913,377 shares of our Class B Common Stock to Harris. As a result of these transactions, Harris owned approximately 57% of our outstanding stock and the former Stratex shareholders owned approximately 43% of our outstanding stock immediately following the closing.</w:t>
      </w:r>
    </w:p>
    <w:p>
      <w:pPr>
        <w:spacing w:after="0" w:line="68" w:lineRule="exact"/>
        <w:rPr>
          <w:sz w:val="20"/>
          <w:szCs w:val="20"/>
          <w:color w:val="auto"/>
        </w:rPr>
      </w:pPr>
    </w:p>
    <w:p>
      <w:pPr>
        <w:ind w:left="680" w:right="240" w:firstLine="399"/>
        <w:spacing w:after="0" w:line="294" w:lineRule="auto"/>
        <w:rPr>
          <w:sz w:val="20"/>
          <w:szCs w:val="20"/>
          <w:color w:val="auto"/>
        </w:rPr>
      </w:pPr>
      <w:r>
        <w:rPr>
          <w:rFonts w:ascii="Arial" w:cs="Arial" w:eastAsia="Arial" w:hAnsi="Arial"/>
          <w:sz w:val="13"/>
          <w:szCs w:val="13"/>
          <w:color w:val="auto"/>
        </w:rPr>
        <w:t>We completed the Stratex acquisition to create a leading global communications solutions company offering end-to-end wireless transmission solutions for mobile and fixed-wireless service providers and private networks.</w:t>
      </w:r>
    </w:p>
    <w:p>
      <w:pPr>
        <w:spacing w:after="0" w:line="25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9" w:right="1039" w:bottom="1440" w:gutter="0" w:footer="0" w:header="0"/>
        </w:sectPr>
      </w:pPr>
    </w:p>
    <w:bookmarkStart w:id="82" w:name="page83"/>
    <w:bookmarkEnd w:id="8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HARRIS STRATEX NETWORKS, INC. AND SUBSIDIARIES</w:t>
      </w:r>
    </w:p>
    <w:p>
      <w:pPr>
        <w:spacing w:after="0" w:line="102"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6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Telsima and Stratex acquisitions were accounted for as a purchase business combinations. Total consideration paid by us is summarized in the following table:</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80" w:type="dxa"/>
            <w:vAlign w:val="bottom"/>
          </w:tcPr>
          <w:p>
            <w:pPr>
              <w:spacing w:after="0"/>
              <w:rPr>
                <w:sz w:val="10"/>
                <w:szCs w:val="10"/>
                <w:color w:val="auto"/>
              </w:rPr>
            </w:pPr>
          </w:p>
        </w:tc>
        <w:tc>
          <w:tcPr>
            <w:tcW w:w="7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tcPr>
          <w:p>
            <w:pPr>
              <w:jc w:val="center"/>
              <w:ind w:right="446"/>
              <w:spacing w:after="0"/>
              <w:rPr>
                <w:sz w:val="20"/>
                <w:szCs w:val="20"/>
                <w:color w:val="auto"/>
              </w:rPr>
            </w:pPr>
            <w:r>
              <w:rPr>
                <w:rFonts w:ascii="Arial" w:cs="Arial" w:eastAsia="Arial" w:hAnsi="Arial"/>
                <w:sz w:val="11"/>
                <w:szCs w:val="11"/>
                <w:b w:val="1"/>
                <w:bCs w:val="1"/>
                <w:color w:val="auto"/>
                <w:w w:val="82"/>
              </w:rPr>
              <w:t>Telsima</w:t>
            </w:r>
          </w:p>
        </w:tc>
        <w:tc>
          <w:tcPr>
            <w:tcW w:w="100" w:type="dxa"/>
            <w:vAlign w:val="bottom"/>
          </w:tcPr>
          <w:p>
            <w:pPr>
              <w:spacing w:after="0"/>
              <w:rPr>
                <w:sz w:val="10"/>
                <w:szCs w:val="10"/>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5"/>
              </w:rPr>
              <w:t>Stratex</w:t>
            </w:r>
          </w:p>
        </w:tc>
        <w:tc>
          <w:tcPr>
            <w:tcW w:w="0" w:type="dxa"/>
            <w:vAlign w:val="bottom"/>
          </w:tcPr>
          <w:p>
            <w:pPr>
              <w:spacing w:after="0"/>
              <w:rPr>
                <w:sz w:val="1"/>
                <w:szCs w:val="1"/>
                <w:color w:val="auto"/>
              </w:rPr>
            </w:pPr>
          </w:p>
        </w:tc>
      </w:tr>
      <w:tr>
        <w:trPr>
          <w:trHeight w:val="121"/>
        </w:trPr>
        <w:tc>
          <w:tcPr>
            <w:tcW w:w="78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Calculation of Allocable Purchase Price</w:t>
            </w:r>
          </w:p>
        </w:tc>
        <w:tc>
          <w:tcPr>
            <w:tcW w:w="100" w:type="dxa"/>
            <w:vAlign w:val="bottom"/>
          </w:tcPr>
          <w:p>
            <w:pPr>
              <w:spacing w:after="0"/>
              <w:rPr>
                <w:sz w:val="10"/>
                <w:szCs w:val="10"/>
                <w:color w:val="auto"/>
              </w:rPr>
            </w:pPr>
          </w:p>
        </w:tc>
        <w:tc>
          <w:tcPr>
            <w:tcW w:w="1200" w:type="dxa"/>
            <w:vAlign w:val="bottom"/>
            <w:gridSpan w:val="2"/>
          </w:tcPr>
          <w:p>
            <w:pPr>
              <w:jc w:val="center"/>
              <w:ind w:right="446"/>
              <w:spacing w:after="0" w:line="121" w:lineRule="exact"/>
              <w:rPr>
                <w:sz w:val="20"/>
                <w:szCs w:val="20"/>
                <w:color w:val="auto"/>
              </w:rPr>
            </w:pPr>
            <w:r>
              <w:rPr>
                <w:rFonts w:ascii="Arial" w:cs="Arial" w:eastAsia="Arial" w:hAnsi="Arial"/>
                <w:sz w:val="11"/>
                <w:szCs w:val="11"/>
                <w:b w:val="1"/>
                <w:bCs w:val="1"/>
                <w:color w:val="auto"/>
                <w:w w:val="88"/>
              </w:rPr>
              <w:t>February 27,</w:t>
            </w:r>
          </w:p>
        </w:tc>
        <w:tc>
          <w:tcPr>
            <w:tcW w:w="100" w:type="dxa"/>
            <w:vAlign w:val="bottom"/>
          </w:tcPr>
          <w:p>
            <w:pPr>
              <w:spacing w:after="0"/>
              <w:rPr>
                <w:sz w:val="10"/>
                <w:szCs w:val="10"/>
                <w:color w:val="auto"/>
              </w:rPr>
            </w:pPr>
          </w:p>
        </w:tc>
        <w:tc>
          <w:tcPr>
            <w:tcW w:w="780" w:type="dxa"/>
            <w:vAlign w:val="bottom"/>
            <w:gridSpan w:val="2"/>
          </w:tcPr>
          <w:p>
            <w:pPr>
              <w:jc w:val="center"/>
              <w:ind w:right="180"/>
              <w:spacing w:after="0" w:line="121" w:lineRule="exact"/>
              <w:rPr>
                <w:sz w:val="20"/>
                <w:szCs w:val="20"/>
                <w:color w:val="auto"/>
              </w:rPr>
            </w:pPr>
            <w:r>
              <w:rPr>
                <w:rFonts w:ascii="Arial" w:cs="Arial" w:eastAsia="Arial" w:hAnsi="Arial"/>
                <w:sz w:val="11"/>
                <w:szCs w:val="11"/>
                <w:b w:val="1"/>
                <w:bCs w:val="1"/>
                <w:color w:val="auto"/>
                <w:w w:val="92"/>
              </w:rPr>
              <w:t>January 26,</w:t>
            </w:r>
          </w:p>
        </w:tc>
        <w:tc>
          <w:tcPr>
            <w:tcW w:w="0" w:type="dxa"/>
            <w:vAlign w:val="bottom"/>
          </w:tcPr>
          <w:p>
            <w:pPr>
              <w:spacing w:after="0"/>
              <w:rPr>
                <w:sz w:val="1"/>
                <w:szCs w:val="1"/>
                <w:color w:val="auto"/>
              </w:rPr>
            </w:pPr>
          </w:p>
        </w:tc>
      </w:tr>
      <w:tr>
        <w:trPr>
          <w:trHeight w:val="128"/>
        </w:trPr>
        <w:tc>
          <w:tcPr>
            <w:tcW w:w="78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ind w:right="39"/>
              <w:spacing w:after="0"/>
              <w:rPr>
                <w:sz w:val="20"/>
                <w:szCs w:val="20"/>
                <w:color w:val="auto"/>
              </w:rPr>
            </w:pPr>
            <w:r>
              <w:rPr>
                <w:rFonts w:ascii="Arial" w:cs="Arial" w:eastAsia="Arial" w:hAnsi="Arial"/>
                <w:sz w:val="11"/>
                <w:szCs w:val="11"/>
                <w:b w:val="1"/>
                <w:bCs w:val="1"/>
                <w:color w:val="auto"/>
                <w:w w:val="89"/>
              </w:rPr>
              <w:t>2009</w:t>
            </w:r>
          </w:p>
        </w:tc>
        <w:tc>
          <w:tcPr>
            <w:tcW w:w="40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83"/>
              </w:rPr>
              <w:t>millions)</w:t>
            </w:r>
          </w:p>
        </w:tc>
        <w:tc>
          <w:tcPr>
            <w:tcW w:w="100" w:type="dxa"/>
            <w:vAlign w:val="bottom"/>
          </w:tcPr>
          <w:p>
            <w:pPr>
              <w:spacing w:after="0"/>
              <w:rPr>
                <w:sz w:val="11"/>
                <w:szCs w:val="11"/>
                <w:color w:val="auto"/>
              </w:rPr>
            </w:pPr>
          </w:p>
        </w:tc>
        <w:tc>
          <w:tcPr>
            <w:tcW w:w="700" w:type="dxa"/>
            <w:vAlign w:val="bottom"/>
          </w:tcPr>
          <w:p>
            <w:pPr>
              <w:jc w:val="center"/>
              <w:ind w:right="38"/>
              <w:spacing w:after="0"/>
              <w:rPr>
                <w:sz w:val="20"/>
                <w:szCs w:val="20"/>
                <w:color w:val="auto"/>
              </w:rPr>
            </w:pPr>
            <w:r>
              <w:rPr>
                <w:rFonts w:ascii="Arial" w:cs="Arial" w:eastAsia="Arial" w:hAnsi="Arial"/>
                <w:sz w:val="11"/>
                <w:szCs w:val="11"/>
                <w:b w:val="1"/>
                <w:bCs w:val="1"/>
                <w:color w:val="auto"/>
                <w:w w:val="81"/>
              </w:rPr>
              <w:t>2007</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80" w:type="dxa"/>
            <w:vAlign w:val="bottom"/>
            <w:tcBorders>
              <w:top w:val="single" w:sz="8" w:color="auto"/>
            </w:tcBorders>
          </w:tcPr>
          <w:p>
            <w:pPr>
              <w:spacing w:after="0"/>
              <w:rPr>
                <w:sz w:val="11"/>
                <w:szCs w:val="11"/>
                <w:color w:val="auto"/>
              </w:rPr>
            </w:pPr>
          </w:p>
        </w:tc>
        <w:tc>
          <w:tcPr>
            <w:tcW w:w="77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ind w:left="660"/>
              <w:spacing w:after="0"/>
              <w:rPr>
                <w:sz w:val="20"/>
                <w:szCs w:val="20"/>
                <w:color w:val="auto"/>
              </w:rPr>
            </w:pPr>
            <w:r>
              <w:rPr>
                <w:rFonts w:ascii="Arial" w:cs="Arial" w:eastAsia="Arial" w:hAnsi="Arial"/>
                <w:sz w:val="11"/>
                <w:szCs w:val="11"/>
                <w:b w:val="1"/>
                <w:bCs w:val="1"/>
                <w:color w:val="auto"/>
                <w:w w:val="88"/>
              </w:rPr>
              <w:t>(In</w:t>
            </w:r>
          </w:p>
        </w:tc>
        <w:tc>
          <w:tcPr>
            <w:tcW w:w="400" w:type="dxa"/>
            <w:vAlign w:val="bottom"/>
            <w:vMerge w:val="continue"/>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7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Value of Harris Stratex Networks shares issued to stockholders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gridSpan w:val="2"/>
            <w:shd w:val="clear" w:color="auto" w:fill="CCEEFF"/>
          </w:tcPr>
          <w:p>
            <w:pPr>
              <w:jc w:val="right"/>
              <w:ind w:right="346"/>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464.9</w:t>
            </w:r>
          </w:p>
        </w:tc>
        <w:tc>
          <w:tcPr>
            <w:tcW w:w="0" w:type="dxa"/>
            <w:vAlign w:val="bottom"/>
          </w:tcPr>
          <w:p>
            <w:pPr>
              <w:spacing w:after="0"/>
              <w:rPr>
                <w:sz w:val="1"/>
                <w:szCs w:val="1"/>
                <w:color w:val="auto"/>
              </w:rPr>
            </w:pPr>
          </w:p>
        </w:tc>
      </w:tr>
      <w:tr>
        <w:trPr>
          <w:trHeight w:val="161"/>
        </w:trPr>
        <w:tc>
          <w:tcPr>
            <w:tcW w:w="7800" w:type="dxa"/>
            <w:vAlign w:val="bottom"/>
            <w:gridSpan w:val="2"/>
          </w:tcPr>
          <w:p>
            <w:pPr>
              <w:spacing w:after="0"/>
              <w:rPr>
                <w:sz w:val="20"/>
                <w:szCs w:val="20"/>
                <w:color w:val="auto"/>
              </w:rPr>
            </w:pPr>
            <w:r>
              <w:rPr>
                <w:rFonts w:ascii="Arial" w:cs="Arial" w:eastAsia="Arial" w:hAnsi="Arial"/>
                <w:sz w:val="13"/>
                <w:szCs w:val="13"/>
                <w:color w:val="auto"/>
              </w:rPr>
              <w:t>Cash paid and to be paid for acquisition of shares</w:t>
            </w:r>
          </w:p>
        </w:tc>
        <w:tc>
          <w:tcPr>
            <w:tcW w:w="100" w:type="dxa"/>
            <w:vAlign w:val="bottom"/>
          </w:tcPr>
          <w:p>
            <w:pPr>
              <w:spacing w:after="0"/>
              <w:rPr>
                <w:sz w:val="14"/>
                <w:szCs w:val="14"/>
                <w:color w:val="auto"/>
              </w:rPr>
            </w:pPr>
          </w:p>
        </w:tc>
        <w:tc>
          <w:tcPr>
            <w:tcW w:w="1200" w:type="dxa"/>
            <w:vAlign w:val="bottom"/>
            <w:gridSpan w:val="2"/>
          </w:tcPr>
          <w:p>
            <w:pPr>
              <w:jc w:val="right"/>
              <w:ind w:right="346"/>
              <w:spacing w:after="0"/>
              <w:rPr>
                <w:sz w:val="20"/>
                <w:szCs w:val="20"/>
                <w:color w:val="auto"/>
              </w:rPr>
            </w:pPr>
            <w:r>
              <w:rPr>
                <w:rFonts w:ascii="Arial" w:cs="Arial" w:eastAsia="Arial" w:hAnsi="Arial"/>
                <w:sz w:val="13"/>
                <w:szCs w:val="13"/>
                <w:color w:val="auto"/>
              </w:rPr>
              <w:t>12.0</w:t>
            </w:r>
          </w:p>
        </w:tc>
        <w:tc>
          <w:tcPr>
            <w:tcW w:w="10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7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Value of vested options assumed</w:t>
            </w: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346"/>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15.5</w:t>
            </w:r>
          </w:p>
        </w:tc>
        <w:tc>
          <w:tcPr>
            <w:tcW w:w="0" w:type="dxa"/>
            <w:vAlign w:val="bottom"/>
          </w:tcPr>
          <w:p>
            <w:pPr>
              <w:spacing w:after="0"/>
              <w:rPr>
                <w:sz w:val="1"/>
                <w:szCs w:val="1"/>
                <w:color w:val="auto"/>
              </w:rPr>
            </w:pPr>
          </w:p>
        </w:tc>
      </w:tr>
      <w:tr>
        <w:trPr>
          <w:trHeight w:val="161"/>
        </w:trPr>
        <w:tc>
          <w:tcPr>
            <w:tcW w:w="7800" w:type="dxa"/>
            <w:vAlign w:val="bottom"/>
            <w:gridSpan w:val="2"/>
          </w:tcPr>
          <w:p>
            <w:pPr>
              <w:spacing w:after="0"/>
              <w:rPr>
                <w:sz w:val="20"/>
                <w:szCs w:val="20"/>
                <w:color w:val="auto"/>
              </w:rPr>
            </w:pPr>
            <w:r>
              <w:rPr>
                <w:rFonts w:ascii="Arial" w:cs="Arial" w:eastAsia="Arial" w:hAnsi="Arial"/>
                <w:sz w:val="13"/>
                <w:szCs w:val="13"/>
                <w:color w:val="auto"/>
              </w:rPr>
              <w:t>Acquisition costs</w:t>
            </w:r>
          </w:p>
        </w:tc>
        <w:tc>
          <w:tcPr>
            <w:tcW w:w="100" w:type="dxa"/>
            <w:vAlign w:val="bottom"/>
          </w:tcPr>
          <w:p>
            <w:pPr>
              <w:spacing w:after="0"/>
              <w:rPr>
                <w:sz w:val="14"/>
                <w:szCs w:val="14"/>
                <w:color w:val="auto"/>
              </w:rPr>
            </w:pPr>
          </w:p>
        </w:tc>
        <w:tc>
          <w:tcPr>
            <w:tcW w:w="1200" w:type="dxa"/>
            <w:vAlign w:val="bottom"/>
            <w:gridSpan w:val="2"/>
          </w:tcPr>
          <w:p>
            <w:pPr>
              <w:jc w:val="right"/>
              <w:ind w:right="346"/>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12.7</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7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allocable purchase price</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gridSpan w:val="2"/>
            <w:shd w:val="clear" w:color="auto" w:fill="CCEEFF"/>
          </w:tcPr>
          <w:p>
            <w:pPr>
              <w:jc w:val="right"/>
              <w:ind w:right="346"/>
              <w:spacing w:after="0"/>
              <w:rPr>
                <w:sz w:val="20"/>
                <w:szCs w:val="20"/>
                <w:color w:val="auto"/>
              </w:rPr>
            </w:pPr>
            <w:r>
              <w:rPr>
                <w:rFonts w:ascii="Arial" w:cs="Arial" w:eastAsia="Arial" w:hAnsi="Arial"/>
                <w:sz w:val="13"/>
                <w:szCs w:val="13"/>
                <w:color w:val="auto"/>
              </w:rPr>
              <w:t>13.0</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493.1</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380" w:firstLine="399"/>
        <w:spacing w:after="0" w:line="294" w:lineRule="auto"/>
        <w:rPr>
          <w:sz w:val="20"/>
          <w:szCs w:val="20"/>
          <w:color w:val="auto"/>
        </w:rPr>
      </w:pPr>
      <w:r>
        <w:rPr>
          <w:rFonts w:ascii="Arial" w:cs="Arial" w:eastAsia="Arial" w:hAnsi="Arial"/>
          <w:sz w:val="13"/>
          <w:szCs w:val="13"/>
          <w:color w:val="auto"/>
        </w:rPr>
        <w:t>The table below represents the allocation of the total consideration paid to the purchased tangible assets, identifiable intangible assets, goodwill and liabilities based on our assessment of their respective fair values as of the date of acquisition.</w:t>
      </w:r>
    </w:p>
    <w:p>
      <w:pPr>
        <w:spacing w:after="0" w:line="51" w:lineRule="exact"/>
        <w:rPr>
          <w:sz w:val="20"/>
          <w:szCs w:val="20"/>
          <w:color w:val="auto"/>
        </w:rPr>
      </w:pPr>
    </w:p>
    <w:tbl>
      <w:tblPr>
        <w:tblLayout w:type="fixed"/>
        <w:tblInd w:w="680" w:type="dxa"/>
        <w:tblCellMar>
          <w:top w:w="0" w:type="dxa"/>
          <w:left w:w="0" w:type="dxa"/>
          <w:bottom w:w="0" w:type="dxa"/>
          <w:right w:w="0" w:type="dxa"/>
        </w:tblCellMar>
      </w:tblPr>
      <w:tr>
        <w:trPr>
          <w:trHeight w:val="138"/>
        </w:trPr>
        <w:tc>
          <w:tcPr>
            <w:tcW w:w="8500" w:type="dxa"/>
            <w:vAlign w:val="bottom"/>
            <w:gridSpan w:val="2"/>
          </w:tcPr>
          <w:p>
            <w:pPr>
              <w:spacing w:after="0"/>
              <w:rPr>
                <w:sz w:val="20"/>
                <w:szCs w:val="20"/>
                <w:color w:val="auto"/>
              </w:rPr>
            </w:pPr>
            <w:r>
              <w:rPr>
                <w:rFonts w:ascii="Arial" w:cs="Arial" w:eastAsia="Arial" w:hAnsi="Arial"/>
                <w:sz w:val="11"/>
                <w:szCs w:val="11"/>
                <w:b w:val="1"/>
                <w:bCs w:val="1"/>
                <w:color w:val="auto"/>
              </w:rPr>
              <w:t>Balance Sheet as of the Acquisition Date (In millions)</w:t>
            </w:r>
          </w:p>
        </w:tc>
        <w:tc>
          <w:tcPr>
            <w:tcW w:w="60" w:type="dxa"/>
            <w:vAlign w:val="bottom"/>
          </w:tcPr>
          <w:p>
            <w:pPr>
              <w:spacing w:after="0"/>
              <w:rPr>
                <w:sz w:val="11"/>
                <w:szCs w:val="11"/>
                <w:color w:val="auto"/>
              </w:rPr>
            </w:pPr>
          </w:p>
        </w:tc>
        <w:tc>
          <w:tcPr>
            <w:tcW w:w="840" w:type="dxa"/>
            <w:vAlign w:val="bottom"/>
            <w:gridSpan w:val="3"/>
          </w:tcPr>
          <w:p>
            <w:pPr>
              <w:spacing w:after="0"/>
              <w:rPr>
                <w:sz w:val="20"/>
                <w:szCs w:val="20"/>
                <w:color w:val="auto"/>
              </w:rPr>
            </w:pPr>
            <w:r>
              <w:rPr>
                <w:rFonts w:ascii="Arial" w:cs="Arial" w:eastAsia="Arial" w:hAnsi="Arial"/>
                <w:sz w:val="11"/>
                <w:szCs w:val="11"/>
                <w:b w:val="1"/>
                <w:bCs w:val="1"/>
                <w:color w:val="auto"/>
              </w:rPr>
              <w:t>Telsima</w:t>
            </w:r>
          </w:p>
        </w:tc>
        <w:tc>
          <w:tcPr>
            <w:tcW w:w="80" w:type="dxa"/>
            <w:vAlign w:val="bottom"/>
          </w:tcPr>
          <w:p>
            <w:pPr>
              <w:spacing w:after="0"/>
              <w:rPr>
                <w:sz w:val="11"/>
                <w:szCs w:val="11"/>
                <w:color w:val="auto"/>
              </w:rPr>
            </w:pPr>
          </w:p>
        </w:tc>
        <w:tc>
          <w:tcPr>
            <w:tcW w:w="500" w:type="dxa"/>
            <w:vAlign w:val="bottom"/>
            <w:gridSpan w:val="2"/>
          </w:tcPr>
          <w:p>
            <w:pPr>
              <w:spacing w:after="0"/>
              <w:rPr>
                <w:sz w:val="20"/>
                <w:szCs w:val="20"/>
                <w:color w:val="auto"/>
              </w:rPr>
            </w:pPr>
            <w:r>
              <w:rPr>
                <w:rFonts w:ascii="Arial" w:cs="Arial" w:eastAsia="Arial" w:hAnsi="Arial"/>
                <w:sz w:val="11"/>
                <w:szCs w:val="11"/>
                <w:b w:val="1"/>
                <w:bCs w:val="1"/>
                <w:color w:val="auto"/>
              </w:rPr>
              <w:t>Stratex</w:t>
            </w:r>
          </w:p>
        </w:tc>
        <w:tc>
          <w:tcPr>
            <w:tcW w:w="0" w:type="dxa"/>
            <w:vAlign w:val="bottom"/>
          </w:tcPr>
          <w:p>
            <w:pPr>
              <w:spacing w:after="0"/>
              <w:rPr>
                <w:sz w:val="1"/>
                <w:szCs w:val="1"/>
                <w:color w:val="auto"/>
              </w:rPr>
            </w:pPr>
          </w:p>
        </w:tc>
      </w:tr>
      <w:tr>
        <w:trPr>
          <w:trHeight w:val="20"/>
        </w:trPr>
        <w:tc>
          <w:tcPr>
            <w:tcW w:w="100" w:type="dxa"/>
            <w:vAlign w:val="bottom"/>
            <w:shd w:val="clear" w:color="auto" w:fill="000000"/>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100" w:type="dxa"/>
            <w:vAlign w:val="bottom"/>
          </w:tcPr>
          <w:p>
            <w:pPr>
              <w:spacing w:after="0"/>
              <w:rPr>
                <w:sz w:val="11"/>
                <w:szCs w:val="11"/>
                <w:color w:val="auto"/>
              </w:rPr>
            </w:pPr>
          </w:p>
        </w:tc>
        <w:tc>
          <w:tcPr>
            <w:tcW w:w="8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4"/>
          </w:tcPr>
          <w:p>
            <w:pPr>
              <w:jc w:val="right"/>
              <w:spacing w:after="0"/>
              <w:rPr>
                <w:sz w:val="20"/>
                <w:szCs w:val="20"/>
                <w:color w:val="auto"/>
              </w:rPr>
            </w:pPr>
            <w:r>
              <w:rPr>
                <w:rFonts w:ascii="Arial" w:cs="Arial" w:eastAsia="Arial" w:hAnsi="Arial"/>
                <w:sz w:val="11"/>
                <w:szCs w:val="11"/>
                <w:b w:val="1"/>
                <w:bCs w:val="1"/>
                <w:color w:val="auto"/>
              </w:rPr>
              <w:t>(In millions)</w:t>
            </w: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8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Cash, cash equivalents and short-term investments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0.6</w:t>
            </w: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58.6</w:t>
            </w:r>
          </w:p>
        </w:tc>
        <w:tc>
          <w:tcPr>
            <w:tcW w:w="0" w:type="dxa"/>
            <w:vAlign w:val="bottom"/>
          </w:tcPr>
          <w:p>
            <w:pPr>
              <w:spacing w:after="0"/>
              <w:rPr>
                <w:sz w:val="1"/>
                <w:szCs w:val="1"/>
                <w:color w:val="auto"/>
              </w:rPr>
            </w:pPr>
          </w:p>
        </w:tc>
      </w:tr>
      <w:tr>
        <w:trPr>
          <w:trHeight w:val="161"/>
        </w:trPr>
        <w:tc>
          <w:tcPr>
            <w:tcW w:w="8500" w:type="dxa"/>
            <w:vAlign w:val="bottom"/>
            <w:gridSpan w:val="2"/>
          </w:tcPr>
          <w:p>
            <w:pPr>
              <w:spacing w:after="0"/>
              <w:rPr>
                <w:sz w:val="20"/>
                <w:szCs w:val="20"/>
                <w:color w:val="auto"/>
              </w:rPr>
            </w:pPr>
            <w:r>
              <w:rPr>
                <w:rFonts w:ascii="Arial" w:cs="Arial" w:eastAsia="Arial" w:hAnsi="Arial"/>
                <w:sz w:val="13"/>
                <w:szCs w:val="13"/>
                <w:color w:val="auto"/>
              </w:rPr>
              <w:t>Accounts and notes receivable</w:t>
            </w:r>
          </w:p>
        </w:tc>
        <w:tc>
          <w:tcPr>
            <w:tcW w:w="60" w:type="dxa"/>
            <w:vAlign w:val="bottom"/>
          </w:tcPr>
          <w:p>
            <w:pPr>
              <w:spacing w:after="0"/>
              <w:rPr>
                <w:sz w:val="14"/>
                <w:szCs w:val="14"/>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3"/>
                <w:szCs w:val="13"/>
                <w:color w:val="auto"/>
              </w:rPr>
              <w:t>2.2</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3"/>
                <w:szCs w:val="13"/>
                <w:color w:val="auto"/>
              </w:rPr>
              <w:t>39.1</w:t>
            </w:r>
          </w:p>
        </w:tc>
        <w:tc>
          <w:tcPr>
            <w:tcW w:w="0" w:type="dxa"/>
            <w:vAlign w:val="bottom"/>
          </w:tcPr>
          <w:p>
            <w:pPr>
              <w:spacing w:after="0"/>
              <w:rPr>
                <w:sz w:val="1"/>
                <w:szCs w:val="1"/>
                <w:color w:val="auto"/>
              </w:rPr>
            </w:pPr>
          </w:p>
        </w:tc>
      </w:tr>
      <w:tr>
        <w:trPr>
          <w:trHeight w:val="161"/>
        </w:trPr>
        <w:tc>
          <w:tcPr>
            <w:tcW w:w="8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Inventories</w:t>
            </w:r>
          </w:p>
        </w:tc>
        <w:tc>
          <w:tcPr>
            <w:tcW w:w="6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1.8</w:t>
            </w: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44.2</w:t>
            </w:r>
          </w:p>
        </w:tc>
        <w:tc>
          <w:tcPr>
            <w:tcW w:w="0" w:type="dxa"/>
            <w:vAlign w:val="bottom"/>
          </w:tcPr>
          <w:p>
            <w:pPr>
              <w:spacing w:after="0"/>
              <w:rPr>
                <w:sz w:val="1"/>
                <w:szCs w:val="1"/>
                <w:color w:val="auto"/>
              </w:rPr>
            </w:pPr>
          </w:p>
        </w:tc>
      </w:tr>
      <w:tr>
        <w:trPr>
          <w:trHeight w:val="161"/>
        </w:trPr>
        <w:tc>
          <w:tcPr>
            <w:tcW w:w="8500" w:type="dxa"/>
            <w:vAlign w:val="bottom"/>
            <w:gridSpan w:val="2"/>
          </w:tcPr>
          <w:p>
            <w:pPr>
              <w:spacing w:after="0"/>
              <w:rPr>
                <w:sz w:val="20"/>
                <w:szCs w:val="20"/>
                <w:color w:val="auto"/>
              </w:rPr>
            </w:pPr>
            <w:r>
              <w:rPr>
                <w:rFonts w:ascii="Arial" w:cs="Arial" w:eastAsia="Arial" w:hAnsi="Arial"/>
                <w:sz w:val="13"/>
                <w:szCs w:val="13"/>
                <w:color w:val="auto"/>
              </w:rPr>
              <w:t>In-process research and development</w:t>
            </w:r>
          </w:p>
        </w:tc>
        <w:tc>
          <w:tcPr>
            <w:tcW w:w="60" w:type="dxa"/>
            <w:vAlign w:val="bottom"/>
          </w:tcPr>
          <w:p>
            <w:pPr>
              <w:spacing w:after="0"/>
              <w:rPr>
                <w:sz w:val="14"/>
                <w:szCs w:val="14"/>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3"/>
                <w:szCs w:val="13"/>
                <w:color w:val="auto"/>
              </w:rPr>
              <w:t>2.4</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3"/>
                <w:szCs w:val="13"/>
                <w:color w:val="auto"/>
              </w:rPr>
              <w:t>15.3</w:t>
            </w:r>
          </w:p>
        </w:tc>
        <w:tc>
          <w:tcPr>
            <w:tcW w:w="0" w:type="dxa"/>
            <w:vAlign w:val="bottom"/>
          </w:tcPr>
          <w:p>
            <w:pPr>
              <w:spacing w:after="0"/>
              <w:rPr>
                <w:sz w:val="1"/>
                <w:szCs w:val="1"/>
                <w:color w:val="auto"/>
              </w:rPr>
            </w:pPr>
          </w:p>
        </w:tc>
      </w:tr>
      <w:tr>
        <w:trPr>
          <w:trHeight w:val="161"/>
        </w:trPr>
        <w:tc>
          <w:tcPr>
            <w:tcW w:w="8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Identifiable intangible assets</w:t>
            </w:r>
          </w:p>
        </w:tc>
        <w:tc>
          <w:tcPr>
            <w:tcW w:w="6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7.6</w:t>
            </w: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149.5</w:t>
            </w:r>
          </w:p>
        </w:tc>
        <w:tc>
          <w:tcPr>
            <w:tcW w:w="0" w:type="dxa"/>
            <w:vAlign w:val="bottom"/>
          </w:tcPr>
          <w:p>
            <w:pPr>
              <w:spacing w:after="0"/>
              <w:rPr>
                <w:sz w:val="1"/>
                <w:szCs w:val="1"/>
                <w:color w:val="auto"/>
              </w:rPr>
            </w:pPr>
          </w:p>
        </w:tc>
      </w:tr>
      <w:tr>
        <w:trPr>
          <w:trHeight w:val="161"/>
        </w:trPr>
        <w:tc>
          <w:tcPr>
            <w:tcW w:w="8500" w:type="dxa"/>
            <w:vAlign w:val="bottom"/>
            <w:gridSpan w:val="2"/>
          </w:tcPr>
          <w:p>
            <w:pPr>
              <w:spacing w:after="0"/>
              <w:rPr>
                <w:sz w:val="20"/>
                <w:szCs w:val="20"/>
                <w:color w:val="auto"/>
              </w:rPr>
            </w:pPr>
            <w:r>
              <w:rPr>
                <w:rFonts w:ascii="Arial" w:cs="Arial" w:eastAsia="Arial" w:hAnsi="Arial"/>
                <w:sz w:val="13"/>
                <w:szCs w:val="13"/>
                <w:color w:val="auto"/>
              </w:rPr>
              <w:t>Goodwill</w:t>
            </w:r>
          </w:p>
        </w:tc>
        <w:tc>
          <w:tcPr>
            <w:tcW w:w="60" w:type="dxa"/>
            <w:vAlign w:val="bottom"/>
          </w:tcPr>
          <w:p>
            <w:pPr>
              <w:spacing w:after="0"/>
              <w:rPr>
                <w:sz w:val="14"/>
                <w:szCs w:val="14"/>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3"/>
                <w:szCs w:val="13"/>
                <w:color w:val="auto"/>
              </w:rPr>
              <w:t>3.2</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3"/>
                <w:szCs w:val="13"/>
                <w:color w:val="auto"/>
              </w:rPr>
              <w:t>295.0</w:t>
            </w:r>
          </w:p>
        </w:tc>
        <w:tc>
          <w:tcPr>
            <w:tcW w:w="0" w:type="dxa"/>
            <w:vAlign w:val="bottom"/>
          </w:tcPr>
          <w:p>
            <w:pPr>
              <w:spacing w:after="0"/>
              <w:rPr>
                <w:sz w:val="1"/>
                <w:szCs w:val="1"/>
                <w:color w:val="auto"/>
              </w:rPr>
            </w:pPr>
          </w:p>
        </w:tc>
      </w:tr>
      <w:tr>
        <w:trPr>
          <w:trHeight w:val="161"/>
        </w:trPr>
        <w:tc>
          <w:tcPr>
            <w:tcW w:w="8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Property, plant and equipment</w:t>
            </w:r>
          </w:p>
        </w:tc>
        <w:tc>
          <w:tcPr>
            <w:tcW w:w="6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2.0</w:t>
            </w: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33.0</w:t>
            </w:r>
          </w:p>
        </w:tc>
        <w:tc>
          <w:tcPr>
            <w:tcW w:w="0" w:type="dxa"/>
            <w:vAlign w:val="bottom"/>
          </w:tcPr>
          <w:p>
            <w:pPr>
              <w:spacing w:after="0"/>
              <w:rPr>
                <w:sz w:val="1"/>
                <w:szCs w:val="1"/>
                <w:color w:val="auto"/>
              </w:rPr>
            </w:pPr>
          </w:p>
        </w:tc>
      </w:tr>
      <w:tr>
        <w:trPr>
          <w:trHeight w:val="161"/>
        </w:trPr>
        <w:tc>
          <w:tcPr>
            <w:tcW w:w="8500" w:type="dxa"/>
            <w:vAlign w:val="bottom"/>
            <w:gridSpan w:val="2"/>
          </w:tcPr>
          <w:p>
            <w:pPr>
              <w:spacing w:after="0"/>
              <w:rPr>
                <w:sz w:val="20"/>
                <w:szCs w:val="20"/>
                <w:color w:val="auto"/>
              </w:rPr>
            </w:pPr>
            <w:r>
              <w:rPr>
                <w:rFonts w:ascii="Arial" w:cs="Arial" w:eastAsia="Arial" w:hAnsi="Arial"/>
                <w:sz w:val="13"/>
                <w:szCs w:val="13"/>
                <w:color w:val="auto"/>
              </w:rPr>
              <w:t>Other assets</w:t>
            </w:r>
          </w:p>
        </w:tc>
        <w:tc>
          <w:tcPr>
            <w:tcW w:w="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assets</w:t>
            </w: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23.8</w:t>
            </w: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645.8</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500" w:type="dxa"/>
            <w:vAlign w:val="bottom"/>
            <w:gridSpan w:val="2"/>
            <w:vMerge w:val="restart"/>
          </w:tcPr>
          <w:p>
            <w:pPr>
              <w:spacing w:after="0"/>
              <w:rPr>
                <w:sz w:val="20"/>
                <w:szCs w:val="20"/>
                <w:color w:val="auto"/>
              </w:rPr>
            </w:pPr>
            <w:r>
              <w:rPr>
                <w:rFonts w:ascii="Arial" w:cs="Arial" w:eastAsia="Arial" w:hAnsi="Arial"/>
                <w:sz w:val="13"/>
                <w:szCs w:val="13"/>
                <w:color w:val="auto"/>
              </w:rPr>
              <w:t>Current portion of long-term debt</w:t>
            </w:r>
          </w:p>
        </w:tc>
        <w:tc>
          <w:tcPr>
            <w:tcW w:w="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500" w:type="dxa"/>
            <w:vAlign w:val="bottom"/>
            <w:gridSpan w:val="2"/>
            <w:vMerge w:val="continue"/>
          </w:tcPr>
          <w:p>
            <w:pPr>
              <w:spacing w:after="0"/>
              <w:rPr>
                <w:sz w:val="12"/>
                <w:szCs w:val="12"/>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11.3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8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Short-term debt</w:t>
            </w:r>
          </w:p>
        </w:tc>
        <w:tc>
          <w:tcPr>
            <w:tcW w:w="6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1.0</w:t>
            </w: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8500" w:type="dxa"/>
            <w:vAlign w:val="bottom"/>
            <w:gridSpan w:val="2"/>
          </w:tcPr>
          <w:p>
            <w:pPr>
              <w:spacing w:after="0"/>
              <w:rPr>
                <w:sz w:val="20"/>
                <w:szCs w:val="20"/>
                <w:color w:val="auto"/>
              </w:rPr>
            </w:pPr>
            <w:r>
              <w:rPr>
                <w:rFonts w:ascii="Arial" w:cs="Arial" w:eastAsia="Arial" w:hAnsi="Arial"/>
                <w:sz w:val="13"/>
                <w:szCs w:val="13"/>
                <w:color w:val="auto"/>
              </w:rPr>
              <w:t>Capital lease obligations</w:t>
            </w:r>
          </w:p>
        </w:tc>
        <w:tc>
          <w:tcPr>
            <w:tcW w:w="60" w:type="dxa"/>
            <w:vAlign w:val="bottom"/>
          </w:tcPr>
          <w:p>
            <w:pPr>
              <w:spacing w:after="0"/>
              <w:rPr>
                <w:sz w:val="14"/>
                <w:szCs w:val="14"/>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3"/>
                <w:szCs w:val="13"/>
                <w:color w:val="auto"/>
              </w:rPr>
              <w:t>0.5</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8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Accounts payable and accrued expenses</w:t>
            </w:r>
          </w:p>
        </w:tc>
        <w:tc>
          <w:tcPr>
            <w:tcW w:w="6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9.3</w:t>
            </w: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56.1</w:t>
            </w:r>
          </w:p>
        </w:tc>
        <w:tc>
          <w:tcPr>
            <w:tcW w:w="0" w:type="dxa"/>
            <w:vAlign w:val="bottom"/>
          </w:tcPr>
          <w:p>
            <w:pPr>
              <w:spacing w:after="0"/>
              <w:rPr>
                <w:sz w:val="1"/>
                <w:szCs w:val="1"/>
                <w:color w:val="auto"/>
              </w:rPr>
            </w:pPr>
          </w:p>
        </w:tc>
      </w:tr>
      <w:tr>
        <w:trPr>
          <w:trHeight w:val="161"/>
        </w:trPr>
        <w:tc>
          <w:tcPr>
            <w:tcW w:w="8500" w:type="dxa"/>
            <w:vAlign w:val="bottom"/>
            <w:gridSpan w:val="2"/>
          </w:tcPr>
          <w:p>
            <w:pPr>
              <w:spacing w:after="0"/>
              <w:rPr>
                <w:sz w:val="20"/>
                <w:szCs w:val="20"/>
                <w:color w:val="auto"/>
              </w:rPr>
            </w:pPr>
            <w:r>
              <w:rPr>
                <w:rFonts w:ascii="Arial" w:cs="Arial" w:eastAsia="Arial" w:hAnsi="Arial"/>
                <w:sz w:val="13"/>
                <w:szCs w:val="13"/>
                <w:color w:val="auto"/>
              </w:rPr>
              <w:t>Advance payments and unearned income</w:t>
            </w:r>
          </w:p>
        </w:tc>
        <w:tc>
          <w:tcPr>
            <w:tcW w:w="60" w:type="dxa"/>
            <w:vAlign w:val="bottom"/>
          </w:tcPr>
          <w:p>
            <w:pPr>
              <w:spacing w:after="0"/>
              <w:rPr>
                <w:sz w:val="14"/>
                <w:szCs w:val="14"/>
                <w:color w:val="auto"/>
              </w:rPr>
            </w:pPr>
          </w:p>
        </w:tc>
        <w:tc>
          <w:tcPr>
            <w:tcW w:w="840" w:type="dxa"/>
            <w:vAlign w:val="bottom"/>
            <w:gridSpan w:val="3"/>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3"/>
                <w:szCs w:val="13"/>
                <w:color w:val="auto"/>
              </w:rPr>
              <w:t>0.3</w:t>
            </w:r>
          </w:p>
        </w:tc>
        <w:tc>
          <w:tcPr>
            <w:tcW w:w="0" w:type="dxa"/>
            <w:vAlign w:val="bottom"/>
          </w:tcPr>
          <w:p>
            <w:pPr>
              <w:spacing w:after="0"/>
              <w:rPr>
                <w:sz w:val="1"/>
                <w:szCs w:val="1"/>
                <w:color w:val="auto"/>
              </w:rPr>
            </w:pPr>
          </w:p>
        </w:tc>
      </w:tr>
      <w:tr>
        <w:trPr>
          <w:trHeight w:val="161"/>
        </w:trPr>
        <w:tc>
          <w:tcPr>
            <w:tcW w:w="8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Income taxes payable</w:t>
            </w:r>
          </w:p>
        </w:tc>
        <w:tc>
          <w:tcPr>
            <w:tcW w:w="60" w:type="dxa"/>
            <w:vAlign w:val="bottom"/>
            <w:shd w:val="clear" w:color="auto" w:fill="CCEEFF"/>
          </w:tcPr>
          <w:p>
            <w:pPr>
              <w:spacing w:after="0"/>
              <w:rPr>
                <w:sz w:val="14"/>
                <w:szCs w:val="14"/>
                <w:color w:val="auto"/>
              </w:rPr>
            </w:pPr>
          </w:p>
        </w:tc>
        <w:tc>
          <w:tcPr>
            <w:tcW w:w="84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9.2</w:t>
            </w:r>
          </w:p>
        </w:tc>
        <w:tc>
          <w:tcPr>
            <w:tcW w:w="0" w:type="dxa"/>
            <w:vAlign w:val="bottom"/>
          </w:tcPr>
          <w:p>
            <w:pPr>
              <w:spacing w:after="0"/>
              <w:rPr>
                <w:sz w:val="1"/>
                <w:szCs w:val="1"/>
                <w:color w:val="auto"/>
              </w:rPr>
            </w:pPr>
          </w:p>
        </w:tc>
      </w:tr>
      <w:tr>
        <w:trPr>
          <w:trHeight w:val="161"/>
        </w:trPr>
        <w:tc>
          <w:tcPr>
            <w:tcW w:w="8500" w:type="dxa"/>
            <w:vAlign w:val="bottom"/>
            <w:gridSpan w:val="2"/>
          </w:tcPr>
          <w:p>
            <w:pPr>
              <w:spacing w:after="0"/>
              <w:rPr>
                <w:sz w:val="20"/>
                <w:szCs w:val="20"/>
                <w:color w:val="auto"/>
              </w:rPr>
            </w:pPr>
            <w:r>
              <w:rPr>
                <w:rFonts w:ascii="Arial" w:cs="Arial" w:eastAsia="Arial" w:hAnsi="Arial"/>
                <w:sz w:val="13"/>
                <w:szCs w:val="13"/>
                <w:color w:val="auto"/>
              </w:rPr>
              <w:t>Liability for severance payments</w:t>
            </w:r>
          </w:p>
        </w:tc>
        <w:tc>
          <w:tcPr>
            <w:tcW w:w="60" w:type="dxa"/>
            <w:vAlign w:val="bottom"/>
          </w:tcPr>
          <w:p>
            <w:pPr>
              <w:spacing w:after="0"/>
              <w:rPr>
                <w:sz w:val="14"/>
                <w:szCs w:val="14"/>
                <w:color w:val="auto"/>
              </w:rPr>
            </w:pPr>
          </w:p>
        </w:tc>
        <w:tc>
          <w:tcPr>
            <w:tcW w:w="840" w:type="dxa"/>
            <w:vAlign w:val="bottom"/>
            <w:gridSpan w:val="3"/>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3"/>
                <w:szCs w:val="13"/>
                <w:color w:val="auto"/>
              </w:rPr>
              <w:t>7.9</w:t>
            </w:r>
          </w:p>
        </w:tc>
        <w:tc>
          <w:tcPr>
            <w:tcW w:w="0" w:type="dxa"/>
            <w:vAlign w:val="bottom"/>
          </w:tcPr>
          <w:p>
            <w:pPr>
              <w:spacing w:after="0"/>
              <w:rPr>
                <w:sz w:val="1"/>
                <w:szCs w:val="1"/>
                <w:color w:val="auto"/>
              </w:rPr>
            </w:pPr>
          </w:p>
        </w:tc>
      </w:tr>
      <w:tr>
        <w:trPr>
          <w:trHeight w:val="161"/>
        </w:trPr>
        <w:tc>
          <w:tcPr>
            <w:tcW w:w="8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Long-term debt</w:t>
            </w:r>
          </w:p>
        </w:tc>
        <w:tc>
          <w:tcPr>
            <w:tcW w:w="60" w:type="dxa"/>
            <w:vAlign w:val="bottom"/>
            <w:shd w:val="clear" w:color="auto" w:fill="CCEEFF"/>
          </w:tcPr>
          <w:p>
            <w:pPr>
              <w:spacing w:after="0"/>
              <w:rPr>
                <w:sz w:val="14"/>
                <w:szCs w:val="14"/>
                <w:color w:val="auto"/>
              </w:rPr>
            </w:pPr>
          </w:p>
        </w:tc>
        <w:tc>
          <w:tcPr>
            <w:tcW w:w="84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13.4</w:t>
            </w:r>
          </w:p>
        </w:tc>
        <w:tc>
          <w:tcPr>
            <w:tcW w:w="0" w:type="dxa"/>
            <w:vAlign w:val="bottom"/>
          </w:tcPr>
          <w:p>
            <w:pPr>
              <w:spacing w:after="0"/>
              <w:rPr>
                <w:sz w:val="1"/>
                <w:szCs w:val="1"/>
                <w:color w:val="auto"/>
              </w:rPr>
            </w:pPr>
          </w:p>
        </w:tc>
      </w:tr>
      <w:tr>
        <w:trPr>
          <w:trHeight w:val="161"/>
        </w:trPr>
        <w:tc>
          <w:tcPr>
            <w:tcW w:w="8500" w:type="dxa"/>
            <w:vAlign w:val="bottom"/>
            <w:gridSpan w:val="2"/>
          </w:tcPr>
          <w:p>
            <w:pPr>
              <w:spacing w:after="0"/>
              <w:rPr>
                <w:sz w:val="20"/>
                <w:szCs w:val="20"/>
                <w:color w:val="auto"/>
              </w:rPr>
            </w:pPr>
            <w:r>
              <w:rPr>
                <w:rFonts w:ascii="Arial" w:cs="Arial" w:eastAsia="Arial" w:hAnsi="Arial"/>
                <w:sz w:val="13"/>
                <w:szCs w:val="13"/>
                <w:color w:val="auto"/>
              </w:rPr>
              <w:t>Deferred tax liabilities</w:t>
            </w:r>
          </w:p>
        </w:tc>
        <w:tc>
          <w:tcPr>
            <w:tcW w:w="60" w:type="dxa"/>
            <w:vAlign w:val="bottom"/>
          </w:tcPr>
          <w:p>
            <w:pPr>
              <w:spacing w:after="0"/>
              <w:rPr>
                <w:sz w:val="14"/>
                <w:szCs w:val="14"/>
                <w:color w:val="auto"/>
              </w:rPr>
            </w:pPr>
          </w:p>
        </w:tc>
        <w:tc>
          <w:tcPr>
            <w:tcW w:w="840" w:type="dxa"/>
            <w:vAlign w:val="bottom"/>
            <w:gridSpan w:val="3"/>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3"/>
                <w:szCs w:val="13"/>
                <w:color w:val="auto"/>
              </w:rPr>
              <w:t>41.3</w:t>
            </w:r>
          </w:p>
        </w:tc>
        <w:tc>
          <w:tcPr>
            <w:tcW w:w="0" w:type="dxa"/>
            <w:vAlign w:val="bottom"/>
          </w:tcPr>
          <w:p>
            <w:pPr>
              <w:spacing w:after="0"/>
              <w:rPr>
                <w:sz w:val="1"/>
                <w:szCs w:val="1"/>
                <w:color w:val="auto"/>
              </w:rPr>
            </w:pPr>
          </w:p>
        </w:tc>
      </w:tr>
      <w:tr>
        <w:trPr>
          <w:trHeight w:val="161"/>
        </w:trPr>
        <w:tc>
          <w:tcPr>
            <w:tcW w:w="8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Long-term restructuring liabilities</w:t>
            </w:r>
          </w:p>
        </w:tc>
        <w:tc>
          <w:tcPr>
            <w:tcW w:w="60" w:type="dxa"/>
            <w:vAlign w:val="bottom"/>
            <w:shd w:val="clear" w:color="auto" w:fill="CCEEFF"/>
          </w:tcPr>
          <w:p>
            <w:pPr>
              <w:spacing w:after="0"/>
              <w:rPr>
                <w:sz w:val="14"/>
                <w:szCs w:val="14"/>
                <w:color w:val="auto"/>
              </w:rPr>
            </w:pPr>
          </w:p>
        </w:tc>
        <w:tc>
          <w:tcPr>
            <w:tcW w:w="84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8.7</w:t>
            </w:r>
          </w:p>
        </w:tc>
        <w:tc>
          <w:tcPr>
            <w:tcW w:w="0" w:type="dxa"/>
            <w:vAlign w:val="bottom"/>
          </w:tcPr>
          <w:p>
            <w:pPr>
              <w:spacing w:after="0"/>
              <w:rPr>
                <w:sz w:val="1"/>
                <w:szCs w:val="1"/>
                <w:color w:val="auto"/>
              </w:rPr>
            </w:pPr>
          </w:p>
        </w:tc>
      </w:tr>
      <w:tr>
        <w:trPr>
          <w:trHeight w:val="161"/>
        </w:trPr>
        <w:tc>
          <w:tcPr>
            <w:tcW w:w="8500" w:type="dxa"/>
            <w:vAlign w:val="bottom"/>
            <w:gridSpan w:val="2"/>
          </w:tcPr>
          <w:p>
            <w:pPr>
              <w:spacing w:after="0"/>
              <w:rPr>
                <w:sz w:val="20"/>
                <w:szCs w:val="20"/>
                <w:color w:val="auto"/>
              </w:rPr>
            </w:pPr>
            <w:r>
              <w:rPr>
                <w:rFonts w:ascii="Arial" w:cs="Arial" w:eastAsia="Arial" w:hAnsi="Arial"/>
                <w:sz w:val="13"/>
                <w:szCs w:val="13"/>
                <w:color w:val="auto"/>
              </w:rPr>
              <w:t>Warrants</w:t>
            </w:r>
          </w:p>
        </w:tc>
        <w:tc>
          <w:tcPr>
            <w:tcW w:w="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00" w:type="dxa"/>
            <w:vAlign w:val="bottom"/>
            <w:gridSpan w:val="2"/>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liabilities</w:t>
            </w:r>
          </w:p>
        </w:tc>
        <w:tc>
          <w:tcPr>
            <w:tcW w:w="6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10.8</w:t>
            </w: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152.7</w:t>
            </w:r>
          </w:p>
        </w:tc>
        <w:tc>
          <w:tcPr>
            <w:tcW w:w="0" w:type="dxa"/>
            <w:vAlign w:val="bottom"/>
          </w:tcPr>
          <w:p>
            <w:pPr>
              <w:spacing w:after="0"/>
              <w:rPr>
                <w:sz w:val="1"/>
                <w:szCs w:val="1"/>
                <w:color w:val="auto"/>
              </w:rPr>
            </w:pPr>
          </w:p>
        </w:tc>
      </w:tr>
      <w:tr>
        <w:trPr>
          <w:trHeight w:val="161"/>
        </w:trPr>
        <w:tc>
          <w:tcPr>
            <w:tcW w:w="8500" w:type="dxa"/>
            <w:vAlign w:val="bottom"/>
            <w:gridSpan w:val="2"/>
          </w:tcPr>
          <w:p>
            <w:pPr>
              <w:spacing w:after="0"/>
              <w:rPr>
                <w:sz w:val="20"/>
                <w:szCs w:val="20"/>
                <w:color w:val="auto"/>
              </w:rPr>
            </w:pPr>
            <w:r>
              <w:rPr>
                <w:rFonts w:ascii="Arial" w:cs="Arial" w:eastAsia="Arial" w:hAnsi="Arial"/>
                <w:sz w:val="13"/>
                <w:szCs w:val="13"/>
                <w:color w:val="auto"/>
              </w:rPr>
              <w:t>Net assets acquired</w:t>
            </w: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13.0</w:t>
            </w:r>
          </w:p>
        </w:tc>
        <w:tc>
          <w:tcPr>
            <w:tcW w:w="2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493.1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left="680" w:right="260" w:firstLine="399"/>
        <w:spacing w:after="0" w:line="276" w:lineRule="auto"/>
        <w:rPr>
          <w:sz w:val="20"/>
          <w:szCs w:val="20"/>
          <w:color w:val="auto"/>
        </w:rPr>
      </w:pPr>
      <w:r>
        <w:rPr>
          <w:rFonts w:ascii="Arial" w:cs="Arial" w:eastAsia="Arial" w:hAnsi="Arial"/>
          <w:sz w:val="13"/>
          <w:szCs w:val="13"/>
          <w:color w:val="auto"/>
        </w:rPr>
        <w:t>The table below summarizes the allocation of estimated identifiable intangible assets resulting from the Telsima and Stratex acquisitions. For purposes of this allocation, we assessed the fair value of Telsima identifiable intangible assets related to customer contracts, customer relationships, developed technology and trade names based on the net present value of the projected income stream of these identifiable intangible assets. The resulting</w:t>
      </w:r>
    </w:p>
    <w:p>
      <w:pPr>
        <w:spacing w:after="0" w:line="270"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83" w:name="page84"/>
    <w:bookmarkEnd w:id="8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HARRIS STRATEX NETWORKS, INC. AND SUBSIDIARIES</w:t>
      </w:r>
    </w:p>
    <w:p>
      <w:pPr>
        <w:spacing w:after="0" w:line="102"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66" w:lineRule="exact"/>
        <w:rPr>
          <w:sz w:val="20"/>
          <w:szCs w:val="20"/>
          <w:color w:val="auto"/>
        </w:rPr>
      </w:pPr>
    </w:p>
    <w:p>
      <w:pPr>
        <w:ind w:left="680" w:right="200"/>
        <w:spacing w:after="0" w:line="267" w:lineRule="auto"/>
        <w:rPr>
          <w:sz w:val="20"/>
          <w:szCs w:val="20"/>
          <w:color w:val="auto"/>
        </w:rPr>
      </w:pPr>
      <w:r>
        <w:rPr>
          <w:rFonts w:ascii="Arial" w:cs="Arial" w:eastAsia="Arial" w:hAnsi="Arial"/>
          <w:sz w:val="13"/>
          <w:szCs w:val="13"/>
          <w:color w:val="auto"/>
        </w:rPr>
        <w:t>fair value is being amortized over the estimated useful life of each identifiable intangible asset on a straight-line basis. We estimated the fair value of acquired in-process research and development to be approximately $2.4 million, which we have reflected in “Acquired in-process research and development” expense in the Consolidated Statements of Operations during fiscal 2009. This represents certain technologies under development, primarily related to next generations of the WiMAX</w:t>
      </w:r>
      <w:r>
        <w:rPr>
          <w:rFonts w:ascii="Arial" w:cs="Arial" w:eastAsia="Arial" w:hAnsi="Arial"/>
          <w:sz w:val="8"/>
          <w:szCs w:val="8"/>
          <w:color w:val="auto"/>
        </w:rPr>
        <w:t>TM</w:t>
      </w:r>
      <w:r>
        <w:rPr>
          <w:rFonts w:ascii="Arial" w:cs="Arial" w:eastAsia="Arial" w:hAnsi="Arial"/>
          <w:sz w:val="13"/>
          <w:szCs w:val="13"/>
          <w:color w:val="auto"/>
        </w:rPr>
        <w:t xml:space="preserve"> product line. We estimated that the technologies under development were approximately 50 percent complete at the date of acquisition. We expect to incur up to an additional $7.6 million to complete this development, with completion expected in late calendar year 2009.</w:t>
      </w:r>
    </w:p>
    <w:p>
      <w:pPr>
        <w:spacing w:after="0" w:line="65" w:lineRule="exact"/>
        <w:rPr>
          <w:sz w:val="20"/>
          <w:szCs w:val="20"/>
          <w:color w:val="auto"/>
        </w:rPr>
      </w:pPr>
    </w:p>
    <w:p>
      <w:pPr>
        <w:ind w:left="680" w:firstLine="399"/>
        <w:spacing w:after="0" w:line="295" w:lineRule="auto"/>
        <w:rPr>
          <w:sz w:val="20"/>
          <w:szCs w:val="20"/>
          <w:color w:val="auto"/>
        </w:rPr>
      </w:pPr>
      <w:r>
        <w:rPr>
          <w:rFonts w:ascii="Arial" w:cs="Arial" w:eastAsia="Arial" w:hAnsi="Arial"/>
          <w:sz w:val="12"/>
          <w:szCs w:val="12"/>
          <w:color w:val="auto"/>
        </w:rPr>
        <w:t>With regard to the Stratex acquisition, we assessed the fair value of identifiable intangible assets related to customer contracts, customer relationships, employee covenants not to compete, developed technology and tradenames based on the net present value of the projected income stream of these identifiable intangible assets. The resulting fair value is being amortized over the estimated useful life of each identifiable intangible asset on a straight-line basis. We estimated the fair value of acquired in-process research and development to be approximately $15.3 million, which we have reflected in “Acquired in-process research and development” expense in the Consolidated Statements of Operations during fiscal 2007. This represented certain technologies under development, primarily related to the next generation of the Eclipse product line.</w:t>
      </w:r>
    </w:p>
    <w:p>
      <w:pPr>
        <w:spacing w:after="0" w:line="53" w:lineRule="exact"/>
        <w:rPr>
          <w:sz w:val="20"/>
          <w:szCs w:val="20"/>
          <w:color w:val="auto"/>
        </w:rPr>
      </w:pPr>
    </w:p>
    <w:tbl>
      <w:tblPr>
        <w:tblLayout w:type="fixed"/>
        <w:tblInd w:w="680" w:type="dxa"/>
        <w:tblCellMar>
          <w:top w:w="0" w:type="dxa"/>
          <w:left w:w="0" w:type="dxa"/>
          <w:bottom w:w="0" w:type="dxa"/>
          <w:right w:w="0" w:type="dxa"/>
        </w:tblCellMar>
      </w:tblPr>
      <w:tr>
        <w:trPr>
          <w:trHeight w:val="128"/>
        </w:trPr>
        <w:tc>
          <w:tcPr>
            <w:tcW w:w="270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1"/>
                <w:szCs w:val="11"/>
                <w:b w:val="1"/>
                <w:bCs w:val="1"/>
                <w:color w:val="auto"/>
                <w:w w:val="97"/>
              </w:rPr>
              <w:t>Telsima</w:t>
            </w:r>
          </w:p>
        </w:tc>
        <w:tc>
          <w:tcPr>
            <w:tcW w:w="5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1"/>
                <w:szCs w:val="11"/>
                <w:b w:val="1"/>
                <w:bCs w:val="1"/>
                <w:color w:val="auto"/>
              </w:rPr>
              <w:t>Stratex</w:t>
            </w:r>
          </w:p>
        </w:tc>
        <w:tc>
          <w:tcPr>
            <w:tcW w:w="7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2700" w:type="dxa"/>
            <w:vAlign w:val="bottom"/>
          </w:tcPr>
          <w:p>
            <w:pPr>
              <w:spacing w:after="0"/>
              <w:rPr>
                <w:sz w:val="7"/>
                <w:szCs w:val="7"/>
                <w:color w:val="auto"/>
              </w:rPr>
            </w:pPr>
          </w:p>
        </w:tc>
        <w:tc>
          <w:tcPr>
            <w:tcW w:w="3000" w:type="dxa"/>
            <w:vAlign w:val="bottom"/>
            <w:gridSpan w:val="2"/>
            <w:vMerge w:val="restart"/>
          </w:tcPr>
          <w:p>
            <w:pPr>
              <w:ind w:left="1040"/>
              <w:spacing w:after="0"/>
              <w:rPr>
                <w:sz w:val="20"/>
                <w:szCs w:val="20"/>
                <w:color w:val="auto"/>
              </w:rPr>
            </w:pPr>
            <w:r>
              <w:rPr>
                <w:rFonts w:ascii="Arial" w:cs="Arial" w:eastAsia="Arial" w:hAnsi="Arial"/>
                <w:sz w:val="11"/>
                <w:szCs w:val="11"/>
                <w:b w:val="1"/>
                <w:bCs w:val="1"/>
                <w:color w:val="auto"/>
              </w:rPr>
              <w:t>Expense Type</w:t>
            </w:r>
          </w:p>
        </w:tc>
        <w:tc>
          <w:tcPr>
            <w:tcW w:w="720" w:type="dxa"/>
            <w:vAlign w:val="bottom"/>
          </w:tcPr>
          <w:p>
            <w:pPr>
              <w:jc w:val="center"/>
              <w:ind w:left="45"/>
              <w:spacing w:after="0" w:line="84" w:lineRule="exact"/>
              <w:rPr>
                <w:sz w:val="20"/>
                <w:szCs w:val="20"/>
                <w:color w:val="auto"/>
              </w:rPr>
            </w:pPr>
            <w:r>
              <w:rPr>
                <w:rFonts w:ascii="Arial" w:cs="Arial" w:eastAsia="Arial" w:hAnsi="Arial"/>
                <w:sz w:val="9"/>
                <w:szCs w:val="9"/>
                <w:b w:val="1"/>
                <w:bCs w:val="1"/>
                <w:color w:val="auto"/>
              </w:rPr>
              <w:t>Estimated</w:t>
            </w: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vMerge w:val="restart"/>
          </w:tcPr>
          <w:p>
            <w:pPr>
              <w:jc w:val="right"/>
              <w:ind w:right="22"/>
              <w:spacing w:after="0"/>
              <w:rPr>
                <w:sz w:val="20"/>
                <w:szCs w:val="20"/>
                <w:color w:val="auto"/>
              </w:rPr>
            </w:pPr>
            <w:r>
              <w:rPr>
                <w:rFonts w:ascii="Arial" w:cs="Arial" w:eastAsia="Arial" w:hAnsi="Arial"/>
                <w:sz w:val="11"/>
                <w:szCs w:val="11"/>
                <w:b w:val="1"/>
                <w:bCs w:val="1"/>
                <w:color w:val="auto"/>
              </w:rPr>
              <w:t>Amount</w:t>
            </w: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jc w:val="center"/>
              <w:ind w:left="23"/>
              <w:spacing w:after="0" w:line="84" w:lineRule="exact"/>
              <w:rPr>
                <w:sz w:val="20"/>
                <w:szCs w:val="20"/>
                <w:color w:val="auto"/>
              </w:rPr>
            </w:pPr>
            <w:r>
              <w:rPr>
                <w:rFonts w:ascii="Arial" w:cs="Arial" w:eastAsia="Arial" w:hAnsi="Arial"/>
                <w:sz w:val="9"/>
                <w:szCs w:val="9"/>
                <w:b w:val="1"/>
                <w:bCs w:val="1"/>
                <w:color w:val="auto"/>
              </w:rPr>
              <w:t>Estimated</w:t>
            </w: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vMerge w:val="restart"/>
          </w:tcPr>
          <w:p>
            <w:pPr>
              <w:jc w:val="center"/>
              <w:ind w:right="41"/>
              <w:spacing w:after="0"/>
              <w:rPr>
                <w:sz w:val="20"/>
                <w:szCs w:val="20"/>
                <w:color w:val="auto"/>
              </w:rPr>
            </w:pPr>
            <w:r>
              <w:rPr>
                <w:rFonts w:ascii="Arial" w:cs="Arial" w:eastAsia="Arial" w:hAnsi="Arial"/>
                <w:sz w:val="11"/>
                <w:szCs w:val="11"/>
                <w:b w:val="1"/>
                <w:bCs w:val="1"/>
                <w:color w:val="auto"/>
                <w:w w:val="86"/>
              </w:rPr>
              <w:t>Amount</w:t>
            </w:r>
          </w:p>
        </w:tc>
        <w:tc>
          <w:tcPr>
            <w:tcW w:w="0" w:type="dxa"/>
            <w:vAlign w:val="bottom"/>
          </w:tcPr>
          <w:p>
            <w:pPr>
              <w:spacing w:after="0"/>
              <w:rPr>
                <w:sz w:val="1"/>
                <w:szCs w:val="1"/>
                <w:color w:val="auto"/>
              </w:rPr>
            </w:pPr>
          </w:p>
        </w:tc>
      </w:tr>
      <w:tr>
        <w:trPr>
          <w:trHeight w:val="128"/>
        </w:trPr>
        <w:tc>
          <w:tcPr>
            <w:tcW w:w="2700" w:type="dxa"/>
            <w:vAlign w:val="bottom"/>
          </w:tcPr>
          <w:p>
            <w:pPr>
              <w:spacing w:after="0"/>
              <w:rPr>
                <w:sz w:val="11"/>
                <w:szCs w:val="11"/>
                <w:color w:val="auto"/>
              </w:rPr>
            </w:pPr>
          </w:p>
        </w:tc>
        <w:tc>
          <w:tcPr>
            <w:tcW w:w="3000" w:type="dxa"/>
            <w:vAlign w:val="bottom"/>
            <w:gridSpan w:val="2"/>
            <w:vMerge w:val="continue"/>
          </w:tcPr>
          <w:p>
            <w:pPr>
              <w:spacing w:after="0"/>
              <w:rPr>
                <w:sz w:val="11"/>
                <w:szCs w:val="11"/>
                <w:color w:val="auto"/>
              </w:rPr>
            </w:pPr>
          </w:p>
        </w:tc>
        <w:tc>
          <w:tcPr>
            <w:tcW w:w="720" w:type="dxa"/>
            <w:vAlign w:val="bottom"/>
          </w:tcPr>
          <w:p>
            <w:pPr>
              <w:jc w:val="center"/>
              <w:ind w:left="45"/>
              <w:spacing w:after="0"/>
              <w:rPr>
                <w:sz w:val="20"/>
                <w:szCs w:val="20"/>
                <w:color w:val="auto"/>
              </w:rPr>
            </w:pPr>
            <w:r>
              <w:rPr>
                <w:rFonts w:ascii="Arial" w:cs="Arial" w:eastAsia="Arial" w:hAnsi="Arial"/>
                <w:sz w:val="11"/>
                <w:szCs w:val="11"/>
                <w:b w:val="1"/>
                <w:bCs w:val="1"/>
                <w:color w:val="auto"/>
                <w:w w:val="88"/>
              </w:rPr>
              <w:t>Useful Life</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jc w:val="center"/>
              <w:ind w:left="23"/>
              <w:spacing w:after="0"/>
              <w:rPr>
                <w:sz w:val="20"/>
                <w:szCs w:val="20"/>
                <w:color w:val="auto"/>
              </w:rPr>
            </w:pPr>
            <w:r>
              <w:rPr>
                <w:rFonts w:ascii="Arial" w:cs="Arial" w:eastAsia="Arial" w:hAnsi="Arial"/>
                <w:sz w:val="11"/>
                <w:szCs w:val="11"/>
                <w:b w:val="1"/>
                <w:bCs w:val="1"/>
                <w:color w:val="auto"/>
                <w:w w:val="88"/>
              </w:rPr>
              <w:t>Useful Life</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700" w:type="dxa"/>
            <w:vAlign w:val="bottom"/>
          </w:tcPr>
          <w:p>
            <w:pPr>
              <w:spacing w:after="0"/>
              <w:rPr>
                <w:sz w:val="11"/>
                <w:szCs w:val="11"/>
                <w:color w:val="auto"/>
              </w:rPr>
            </w:pPr>
          </w:p>
        </w:tc>
        <w:tc>
          <w:tcPr>
            <w:tcW w:w="270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Borders>
              <w:top w:val="single" w:sz="8" w:color="auto"/>
            </w:tcBorders>
          </w:tcPr>
          <w:p>
            <w:pPr>
              <w:jc w:val="center"/>
              <w:ind w:left="65"/>
              <w:spacing w:after="0"/>
              <w:rPr>
                <w:sz w:val="20"/>
                <w:szCs w:val="20"/>
                <w:color w:val="auto"/>
              </w:rPr>
            </w:pPr>
            <w:r>
              <w:rPr>
                <w:rFonts w:ascii="Arial" w:cs="Arial" w:eastAsia="Arial" w:hAnsi="Arial"/>
                <w:sz w:val="11"/>
                <w:szCs w:val="11"/>
                <w:b w:val="1"/>
                <w:bCs w:val="1"/>
                <w:color w:val="auto"/>
                <w:w w:val="85"/>
              </w:rPr>
              <w:t>(Years)</w:t>
            </w:r>
          </w:p>
        </w:tc>
        <w:tc>
          <w:tcPr>
            <w:tcW w:w="10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90"/>
              </w:rPr>
              <w:t>(In millions)</w:t>
            </w:r>
          </w:p>
        </w:tc>
        <w:tc>
          <w:tcPr>
            <w:tcW w:w="12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Borders>
              <w:top w:val="single" w:sz="8" w:color="auto"/>
            </w:tcBorders>
          </w:tcPr>
          <w:p>
            <w:pPr>
              <w:jc w:val="center"/>
              <w:ind w:left="43"/>
              <w:spacing w:after="0"/>
              <w:rPr>
                <w:sz w:val="20"/>
                <w:szCs w:val="20"/>
                <w:color w:val="auto"/>
              </w:rPr>
            </w:pPr>
            <w:r>
              <w:rPr>
                <w:rFonts w:ascii="Arial" w:cs="Arial" w:eastAsia="Arial" w:hAnsi="Arial"/>
                <w:sz w:val="11"/>
                <w:szCs w:val="11"/>
                <w:b w:val="1"/>
                <w:bCs w:val="1"/>
                <w:color w:val="auto"/>
                <w:w w:val="85"/>
              </w:rPr>
              <w:t>(Years)</w:t>
            </w:r>
          </w:p>
        </w:tc>
        <w:tc>
          <w:tcPr>
            <w:tcW w:w="10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center"/>
              <w:ind w:right="41"/>
              <w:spacing w:after="0"/>
              <w:rPr>
                <w:sz w:val="20"/>
                <w:szCs w:val="20"/>
                <w:color w:val="auto"/>
              </w:rPr>
            </w:pPr>
            <w:r>
              <w:rPr>
                <w:rFonts w:ascii="Arial" w:cs="Arial" w:eastAsia="Arial" w:hAnsi="Arial"/>
                <w:sz w:val="11"/>
                <w:szCs w:val="11"/>
                <w:b w:val="1"/>
                <w:bCs w:val="1"/>
                <w:color w:val="auto"/>
                <w:w w:val="90"/>
              </w:rPr>
              <w:t>(In millions)</w:t>
            </w:r>
          </w:p>
        </w:tc>
        <w:tc>
          <w:tcPr>
            <w:tcW w:w="0" w:type="dxa"/>
            <w:vAlign w:val="bottom"/>
          </w:tcPr>
          <w:p>
            <w:pPr>
              <w:spacing w:after="0"/>
              <w:rPr>
                <w:sz w:val="1"/>
                <w:szCs w:val="1"/>
                <w:color w:val="auto"/>
              </w:rPr>
            </w:pPr>
          </w:p>
        </w:tc>
      </w:tr>
      <w:tr>
        <w:trPr>
          <w:trHeight w:val="156"/>
        </w:trPr>
        <w:tc>
          <w:tcPr>
            <w:tcW w:w="2700" w:type="dxa"/>
            <w:vAlign w:val="bottom"/>
          </w:tcPr>
          <w:p>
            <w:pPr>
              <w:spacing w:after="0"/>
              <w:rPr>
                <w:sz w:val="20"/>
                <w:szCs w:val="20"/>
                <w:color w:val="auto"/>
              </w:rPr>
            </w:pPr>
            <w:r>
              <w:rPr>
                <w:rFonts w:ascii="Arial" w:cs="Arial" w:eastAsia="Arial" w:hAnsi="Arial"/>
                <w:sz w:val="12"/>
                <w:szCs w:val="12"/>
                <w:color w:val="auto"/>
              </w:rPr>
              <w:t>Developed technology</w:t>
            </w:r>
          </w:p>
        </w:tc>
        <w:tc>
          <w:tcPr>
            <w:tcW w:w="3000" w:type="dxa"/>
            <w:vAlign w:val="bottom"/>
            <w:gridSpan w:val="2"/>
          </w:tcPr>
          <w:p>
            <w:pPr>
              <w:spacing w:after="0"/>
              <w:rPr>
                <w:sz w:val="20"/>
                <w:szCs w:val="20"/>
                <w:color w:val="auto"/>
              </w:rPr>
            </w:pPr>
            <w:r>
              <w:rPr>
                <w:rFonts w:ascii="Arial" w:cs="Arial" w:eastAsia="Arial" w:hAnsi="Arial"/>
                <w:sz w:val="12"/>
                <w:szCs w:val="12"/>
                <w:color w:val="auto"/>
              </w:rPr>
              <w:t>Cost of product sales and services</w:t>
            </w:r>
          </w:p>
        </w:tc>
        <w:tc>
          <w:tcPr>
            <w:tcW w:w="720" w:type="dxa"/>
            <w:vAlign w:val="bottom"/>
          </w:tcPr>
          <w:p>
            <w:pPr>
              <w:jc w:val="center"/>
              <w:ind w:left="45"/>
              <w:spacing w:after="0"/>
              <w:rPr>
                <w:sz w:val="20"/>
                <w:szCs w:val="20"/>
                <w:color w:val="auto"/>
              </w:rPr>
            </w:pPr>
            <w:r>
              <w:rPr>
                <w:rFonts w:ascii="Arial" w:cs="Arial" w:eastAsia="Arial" w:hAnsi="Arial"/>
                <w:sz w:val="12"/>
                <w:szCs w:val="12"/>
                <w:color w:val="auto"/>
                <w:w w:val="89"/>
              </w:rPr>
              <w:t>6</w:t>
            </w:r>
          </w:p>
        </w:tc>
        <w:tc>
          <w:tcPr>
            <w:tcW w:w="500" w:type="dxa"/>
            <w:vAlign w:val="bottom"/>
            <w:gridSpan w:val="3"/>
          </w:tcPr>
          <w:p>
            <w:pPr>
              <w:jc w:val="right"/>
              <w:spacing w:after="0"/>
              <w:rPr>
                <w:sz w:val="20"/>
                <w:szCs w:val="20"/>
                <w:color w:val="auto"/>
              </w:rPr>
            </w:pPr>
            <w:r>
              <w:rPr>
                <w:rFonts w:ascii="Arial" w:cs="Arial" w:eastAsia="Arial" w:hAnsi="Arial"/>
                <w:sz w:val="12"/>
                <w:szCs w:val="12"/>
                <w:color w:val="auto"/>
              </w:rPr>
              <w:t>$</w:t>
            </w:r>
          </w:p>
        </w:tc>
        <w:tc>
          <w:tcPr>
            <w:tcW w:w="580" w:type="dxa"/>
            <w:vAlign w:val="bottom"/>
          </w:tcPr>
          <w:p>
            <w:pPr>
              <w:jc w:val="right"/>
              <w:ind w:right="102"/>
              <w:spacing w:after="0"/>
              <w:rPr>
                <w:sz w:val="20"/>
                <w:szCs w:val="20"/>
                <w:color w:val="auto"/>
              </w:rPr>
            </w:pPr>
            <w:r>
              <w:rPr>
                <w:rFonts w:ascii="Arial" w:cs="Arial" w:eastAsia="Arial" w:hAnsi="Arial"/>
                <w:sz w:val="12"/>
                <w:szCs w:val="12"/>
                <w:color w:val="auto"/>
              </w:rPr>
              <w:t>6.9</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jc w:val="center"/>
              <w:ind w:left="43"/>
              <w:spacing w:after="0"/>
              <w:rPr>
                <w:sz w:val="20"/>
                <w:szCs w:val="20"/>
                <w:color w:val="auto"/>
              </w:rPr>
            </w:pPr>
            <w:r>
              <w:rPr>
                <w:rFonts w:ascii="Arial" w:cs="Arial" w:eastAsia="Arial" w:hAnsi="Arial"/>
                <w:sz w:val="12"/>
                <w:szCs w:val="12"/>
                <w:color w:val="auto"/>
                <w:w w:val="89"/>
              </w:rPr>
              <w:t>10</w:t>
            </w:r>
          </w:p>
        </w:tc>
        <w:tc>
          <w:tcPr>
            <w:tcW w:w="480" w:type="dxa"/>
            <w:vAlign w:val="bottom"/>
            <w:gridSpan w:val="3"/>
          </w:tcPr>
          <w:p>
            <w:pPr>
              <w:jc w:val="right"/>
              <w:spacing w:after="0"/>
              <w:rPr>
                <w:sz w:val="20"/>
                <w:szCs w:val="20"/>
                <w:color w:val="auto"/>
              </w:rPr>
            </w:pPr>
            <w:r>
              <w:rPr>
                <w:rFonts w:ascii="Arial" w:cs="Arial" w:eastAsia="Arial" w:hAnsi="Arial"/>
                <w:sz w:val="12"/>
                <w:szCs w:val="12"/>
                <w:color w:val="auto"/>
              </w:rPr>
              <w:t>$</w:t>
            </w:r>
          </w:p>
        </w:tc>
        <w:tc>
          <w:tcPr>
            <w:tcW w:w="700" w:type="dxa"/>
            <w:vAlign w:val="bottom"/>
          </w:tcPr>
          <w:p>
            <w:pPr>
              <w:jc w:val="center"/>
              <w:spacing w:after="0"/>
              <w:rPr>
                <w:sz w:val="20"/>
                <w:szCs w:val="20"/>
                <w:color w:val="auto"/>
              </w:rPr>
            </w:pPr>
            <w:r>
              <w:rPr>
                <w:rFonts w:ascii="Arial" w:cs="Arial" w:eastAsia="Arial" w:hAnsi="Arial"/>
                <w:sz w:val="12"/>
                <w:szCs w:val="12"/>
                <w:color w:val="auto"/>
                <w:w w:val="93"/>
              </w:rPr>
              <w:t>70.1</w:t>
            </w:r>
          </w:p>
        </w:tc>
        <w:tc>
          <w:tcPr>
            <w:tcW w:w="0" w:type="dxa"/>
            <w:vAlign w:val="bottom"/>
          </w:tcPr>
          <w:p>
            <w:pPr>
              <w:spacing w:after="0"/>
              <w:rPr>
                <w:sz w:val="1"/>
                <w:szCs w:val="1"/>
                <w:color w:val="auto"/>
              </w:rPr>
            </w:pPr>
          </w:p>
        </w:tc>
      </w:tr>
      <w:tr>
        <w:trPr>
          <w:trHeight w:val="151"/>
        </w:trPr>
        <w:tc>
          <w:tcPr>
            <w:tcW w:w="2700" w:type="dxa"/>
            <w:vAlign w:val="bottom"/>
          </w:tcPr>
          <w:p>
            <w:pPr>
              <w:spacing w:after="0"/>
              <w:rPr>
                <w:sz w:val="20"/>
                <w:szCs w:val="20"/>
                <w:color w:val="auto"/>
              </w:rPr>
            </w:pPr>
            <w:r>
              <w:rPr>
                <w:rFonts w:ascii="Arial" w:cs="Arial" w:eastAsia="Arial" w:hAnsi="Arial"/>
                <w:sz w:val="12"/>
                <w:szCs w:val="12"/>
                <w:color w:val="auto"/>
              </w:rPr>
              <w:t>Stratex trade name</w:t>
            </w:r>
          </w:p>
        </w:tc>
        <w:tc>
          <w:tcPr>
            <w:tcW w:w="3000" w:type="dxa"/>
            <w:vAlign w:val="bottom"/>
            <w:gridSpan w:val="2"/>
          </w:tcPr>
          <w:p>
            <w:pPr>
              <w:spacing w:after="0"/>
              <w:rPr>
                <w:sz w:val="20"/>
                <w:szCs w:val="20"/>
                <w:color w:val="auto"/>
              </w:rPr>
            </w:pPr>
            <w:r>
              <w:rPr>
                <w:rFonts w:ascii="Arial" w:cs="Arial" w:eastAsia="Arial" w:hAnsi="Arial"/>
                <w:sz w:val="12"/>
                <w:szCs w:val="12"/>
                <w:color w:val="auto"/>
              </w:rPr>
              <w:t>Selling and administrative</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Arial" w:cs="Arial" w:eastAsia="Arial" w:hAnsi="Arial"/>
                <w:sz w:val="12"/>
                <w:szCs w:val="12"/>
                <w:color w:val="auto"/>
              </w:rPr>
              <w:t>—</w:t>
            </w:r>
          </w:p>
        </w:tc>
        <w:tc>
          <w:tcPr>
            <w:tcW w:w="700" w:type="dxa"/>
            <w:vAlign w:val="bottom"/>
          </w:tcPr>
          <w:p>
            <w:pPr>
              <w:jc w:val="center"/>
              <w:ind w:left="43"/>
              <w:spacing w:after="0"/>
              <w:rPr>
                <w:sz w:val="20"/>
                <w:szCs w:val="20"/>
                <w:color w:val="auto"/>
              </w:rPr>
            </w:pPr>
            <w:r>
              <w:rPr>
                <w:rFonts w:ascii="Arial" w:cs="Arial" w:eastAsia="Arial" w:hAnsi="Arial"/>
                <w:sz w:val="12"/>
                <w:szCs w:val="12"/>
                <w:color w:val="auto"/>
                <w:w w:val="98"/>
              </w:rPr>
              <w:t>Indefinite</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Arial" w:cs="Arial" w:eastAsia="Arial" w:hAnsi="Arial"/>
                <w:sz w:val="12"/>
                <w:szCs w:val="12"/>
                <w:color w:val="auto"/>
                <w:w w:val="93"/>
              </w:rPr>
              <w:t>33.0</w:t>
            </w:r>
          </w:p>
        </w:tc>
        <w:tc>
          <w:tcPr>
            <w:tcW w:w="0" w:type="dxa"/>
            <w:vAlign w:val="bottom"/>
          </w:tcPr>
          <w:p>
            <w:pPr>
              <w:spacing w:after="0"/>
              <w:rPr>
                <w:sz w:val="1"/>
                <w:szCs w:val="1"/>
                <w:color w:val="auto"/>
              </w:rPr>
            </w:pPr>
          </w:p>
        </w:tc>
      </w:tr>
      <w:tr>
        <w:trPr>
          <w:trHeight w:val="151"/>
        </w:trPr>
        <w:tc>
          <w:tcPr>
            <w:tcW w:w="2700" w:type="dxa"/>
            <w:vAlign w:val="bottom"/>
          </w:tcPr>
          <w:p>
            <w:pPr>
              <w:spacing w:after="0"/>
              <w:rPr>
                <w:sz w:val="20"/>
                <w:szCs w:val="20"/>
                <w:color w:val="auto"/>
              </w:rPr>
            </w:pPr>
            <w:r>
              <w:rPr>
                <w:rFonts w:ascii="Arial" w:cs="Arial" w:eastAsia="Arial" w:hAnsi="Arial"/>
                <w:sz w:val="12"/>
                <w:szCs w:val="12"/>
                <w:color w:val="auto"/>
              </w:rPr>
              <w:t>Other trade names</w:t>
            </w:r>
          </w:p>
        </w:tc>
        <w:tc>
          <w:tcPr>
            <w:tcW w:w="3000" w:type="dxa"/>
            <w:vAlign w:val="bottom"/>
            <w:gridSpan w:val="2"/>
          </w:tcPr>
          <w:p>
            <w:pPr>
              <w:spacing w:after="0"/>
              <w:rPr>
                <w:sz w:val="20"/>
                <w:szCs w:val="20"/>
                <w:color w:val="auto"/>
              </w:rPr>
            </w:pPr>
            <w:r>
              <w:rPr>
                <w:rFonts w:ascii="Arial" w:cs="Arial" w:eastAsia="Arial" w:hAnsi="Arial"/>
                <w:sz w:val="12"/>
                <w:szCs w:val="12"/>
                <w:color w:val="auto"/>
              </w:rPr>
              <w:t>Selling and administrative</w:t>
            </w:r>
          </w:p>
        </w:tc>
        <w:tc>
          <w:tcPr>
            <w:tcW w:w="720" w:type="dxa"/>
            <w:vAlign w:val="bottom"/>
          </w:tcPr>
          <w:p>
            <w:pPr>
              <w:jc w:val="center"/>
              <w:ind w:left="45"/>
              <w:spacing w:after="0"/>
              <w:rPr>
                <w:sz w:val="20"/>
                <w:szCs w:val="20"/>
                <w:color w:val="auto"/>
              </w:rPr>
            </w:pPr>
            <w:r>
              <w:rPr>
                <w:rFonts w:ascii="Arial" w:cs="Arial" w:eastAsia="Arial" w:hAnsi="Arial"/>
                <w:sz w:val="12"/>
                <w:szCs w:val="12"/>
                <w:color w:val="auto"/>
                <w:w w:val="89"/>
              </w:rPr>
              <w:t>1</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ind w:right="102"/>
              <w:spacing w:after="0"/>
              <w:rPr>
                <w:sz w:val="20"/>
                <w:szCs w:val="20"/>
                <w:color w:val="auto"/>
              </w:rPr>
            </w:pPr>
            <w:r>
              <w:rPr>
                <w:rFonts w:ascii="Arial" w:cs="Arial" w:eastAsia="Arial" w:hAnsi="Arial"/>
                <w:sz w:val="12"/>
                <w:szCs w:val="12"/>
                <w:color w:val="auto"/>
              </w:rPr>
              <w:t>0.1</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jc w:val="center"/>
              <w:ind w:left="23"/>
              <w:spacing w:after="0"/>
              <w:rPr>
                <w:sz w:val="20"/>
                <w:szCs w:val="20"/>
                <w:color w:val="auto"/>
              </w:rPr>
            </w:pPr>
            <w:r>
              <w:rPr>
                <w:rFonts w:ascii="Arial" w:cs="Arial" w:eastAsia="Arial" w:hAnsi="Arial"/>
                <w:sz w:val="12"/>
                <w:szCs w:val="12"/>
                <w:color w:val="auto"/>
                <w:w w:val="89"/>
              </w:rPr>
              <w:t>5</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Arial" w:cs="Arial" w:eastAsia="Arial" w:hAnsi="Arial"/>
                <w:sz w:val="12"/>
                <w:szCs w:val="12"/>
                <w:color w:val="auto"/>
                <w:w w:val="85"/>
              </w:rPr>
              <w:t>11.4</w:t>
            </w:r>
          </w:p>
        </w:tc>
        <w:tc>
          <w:tcPr>
            <w:tcW w:w="0" w:type="dxa"/>
            <w:vAlign w:val="bottom"/>
          </w:tcPr>
          <w:p>
            <w:pPr>
              <w:spacing w:after="0"/>
              <w:rPr>
                <w:sz w:val="1"/>
                <w:szCs w:val="1"/>
                <w:color w:val="auto"/>
              </w:rPr>
            </w:pPr>
          </w:p>
        </w:tc>
      </w:tr>
      <w:tr>
        <w:trPr>
          <w:trHeight w:val="151"/>
        </w:trPr>
        <w:tc>
          <w:tcPr>
            <w:tcW w:w="2700" w:type="dxa"/>
            <w:vAlign w:val="bottom"/>
          </w:tcPr>
          <w:p>
            <w:pPr>
              <w:spacing w:after="0"/>
              <w:rPr>
                <w:sz w:val="20"/>
                <w:szCs w:val="20"/>
                <w:color w:val="auto"/>
              </w:rPr>
            </w:pPr>
            <w:r>
              <w:rPr>
                <w:rFonts w:ascii="Arial" w:cs="Arial" w:eastAsia="Arial" w:hAnsi="Arial"/>
                <w:sz w:val="12"/>
                <w:szCs w:val="12"/>
                <w:color w:val="auto"/>
              </w:rPr>
              <w:t>Customer relationships</w:t>
            </w:r>
          </w:p>
        </w:tc>
        <w:tc>
          <w:tcPr>
            <w:tcW w:w="3000" w:type="dxa"/>
            <w:vAlign w:val="bottom"/>
            <w:gridSpan w:val="2"/>
          </w:tcPr>
          <w:p>
            <w:pPr>
              <w:spacing w:after="0"/>
              <w:rPr>
                <w:sz w:val="20"/>
                <w:szCs w:val="20"/>
                <w:color w:val="auto"/>
              </w:rPr>
            </w:pPr>
            <w:r>
              <w:rPr>
                <w:rFonts w:ascii="Arial" w:cs="Arial" w:eastAsia="Arial" w:hAnsi="Arial"/>
                <w:sz w:val="12"/>
                <w:szCs w:val="12"/>
                <w:color w:val="auto"/>
              </w:rPr>
              <w:t>Selling and administrative</w:t>
            </w:r>
          </w:p>
        </w:tc>
        <w:tc>
          <w:tcPr>
            <w:tcW w:w="720" w:type="dxa"/>
            <w:vAlign w:val="bottom"/>
          </w:tcPr>
          <w:p>
            <w:pPr>
              <w:jc w:val="center"/>
              <w:ind w:left="45"/>
              <w:spacing w:after="0"/>
              <w:rPr>
                <w:sz w:val="20"/>
                <w:szCs w:val="20"/>
                <w:color w:val="auto"/>
              </w:rPr>
            </w:pPr>
            <w:r>
              <w:rPr>
                <w:rFonts w:ascii="Arial" w:cs="Arial" w:eastAsia="Arial" w:hAnsi="Arial"/>
                <w:sz w:val="12"/>
                <w:szCs w:val="12"/>
                <w:color w:val="auto"/>
                <w:w w:val="89"/>
              </w:rPr>
              <w:t>7</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ind w:right="102"/>
              <w:spacing w:after="0"/>
              <w:rPr>
                <w:sz w:val="20"/>
                <w:szCs w:val="20"/>
                <w:color w:val="auto"/>
              </w:rPr>
            </w:pPr>
            <w:r>
              <w:rPr>
                <w:rFonts w:ascii="Arial" w:cs="Arial" w:eastAsia="Arial" w:hAnsi="Arial"/>
                <w:sz w:val="12"/>
                <w:szCs w:val="12"/>
                <w:color w:val="auto"/>
              </w:rPr>
              <w:t>0.6</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jc w:val="center"/>
              <w:ind w:left="23"/>
              <w:spacing w:after="0"/>
              <w:rPr>
                <w:sz w:val="20"/>
                <w:szCs w:val="20"/>
                <w:color w:val="auto"/>
              </w:rPr>
            </w:pPr>
            <w:r>
              <w:rPr>
                <w:rFonts w:ascii="Arial" w:cs="Arial" w:eastAsia="Arial" w:hAnsi="Arial"/>
                <w:sz w:val="12"/>
                <w:szCs w:val="12"/>
                <w:color w:val="auto"/>
                <w:w w:val="92"/>
              </w:rPr>
              <w:t>4 to 10</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Arial" w:cs="Arial" w:eastAsia="Arial" w:hAnsi="Arial"/>
                <w:sz w:val="12"/>
                <w:szCs w:val="12"/>
                <w:color w:val="auto"/>
                <w:w w:val="93"/>
              </w:rPr>
              <w:t>28.8</w:t>
            </w:r>
          </w:p>
        </w:tc>
        <w:tc>
          <w:tcPr>
            <w:tcW w:w="0" w:type="dxa"/>
            <w:vAlign w:val="bottom"/>
          </w:tcPr>
          <w:p>
            <w:pPr>
              <w:spacing w:after="0"/>
              <w:rPr>
                <w:sz w:val="1"/>
                <w:szCs w:val="1"/>
                <w:color w:val="auto"/>
              </w:rPr>
            </w:pPr>
          </w:p>
        </w:tc>
      </w:tr>
      <w:tr>
        <w:trPr>
          <w:trHeight w:val="151"/>
        </w:trPr>
        <w:tc>
          <w:tcPr>
            <w:tcW w:w="2700" w:type="dxa"/>
            <w:vAlign w:val="bottom"/>
          </w:tcPr>
          <w:p>
            <w:pPr>
              <w:spacing w:after="0"/>
              <w:rPr>
                <w:sz w:val="20"/>
                <w:szCs w:val="20"/>
                <w:color w:val="auto"/>
              </w:rPr>
            </w:pPr>
            <w:r>
              <w:rPr>
                <w:rFonts w:ascii="Arial" w:cs="Arial" w:eastAsia="Arial" w:hAnsi="Arial"/>
                <w:sz w:val="12"/>
                <w:szCs w:val="12"/>
                <w:color w:val="auto"/>
              </w:rPr>
              <w:t>Contract backlog</w:t>
            </w:r>
          </w:p>
        </w:tc>
        <w:tc>
          <w:tcPr>
            <w:tcW w:w="3000" w:type="dxa"/>
            <w:vAlign w:val="bottom"/>
            <w:gridSpan w:val="2"/>
          </w:tcPr>
          <w:p>
            <w:pPr>
              <w:spacing w:after="0"/>
              <w:rPr>
                <w:sz w:val="20"/>
                <w:szCs w:val="20"/>
                <w:color w:val="auto"/>
              </w:rPr>
            </w:pPr>
            <w:r>
              <w:rPr>
                <w:rFonts w:ascii="Arial" w:cs="Arial" w:eastAsia="Arial" w:hAnsi="Arial"/>
                <w:sz w:val="12"/>
                <w:szCs w:val="12"/>
                <w:color w:val="auto"/>
              </w:rPr>
              <w:t>Selling and administrative</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Arial" w:cs="Arial" w:eastAsia="Arial" w:hAnsi="Arial"/>
                <w:sz w:val="12"/>
                <w:szCs w:val="12"/>
                <w:color w:val="auto"/>
              </w:rPr>
              <w:t>—</w:t>
            </w:r>
          </w:p>
        </w:tc>
        <w:tc>
          <w:tcPr>
            <w:tcW w:w="700" w:type="dxa"/>
            <w:vAlign w:val="bottom"/>
          </w:tcPr>
          <w:p>
            <w:pPr>
              <w:jc w:val="center"/>
              <w:ind w:left="43"/>
              <w:spacing w:after="0"/>
              <w:rPr>
                <w:sz w:val="20"/>
                <w:szCs w:val="20"/>
                <w:color w:val="auto"/>
              </w:rPr>
            </w:pPr>
            <w:r>
              <w:rPr>
                <w:rFonts w:ascii="Arial" w:cs="Arial" w:eastAsia="Arial" w:hAnsi="Arial"/>
                <w:sz w:val="12"/>
                <w:szCs w:val="12"/>
                <w:color w:val="auto"/>
                <w:w w:val="95"/>
              </w:rPr>
              <w:t>0.4</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Arial" w:cs="Arial" w:eastAsia="Arial" w:hAnsi="Arial"/>
                <w:sz w:val="12"/>
                <w:szCs w:val="12"/>
                <w:color w:val="auto"/>
                <w:w w:val="83"/>
              </w:rPr>
              <w:t>4.3</w:t>
            </w:r>
          </w:p>
        </w:tc>
        <w:tc>
          <w:tcPr>
            <w:tcW w:w="0" w:type="dxa"/>
            <w:vAlign w:val="bottom"/>
          </w:tcPr>
          <w:p>
            <w:pPr>
              <w:spacing w:after="0"/>
              <w:rPr>
                <w:sz w:val="1"/>
                <w:szCs w:val="1"/>
                <w:color w:val="auto"/>
              </w:rPr>
            </w:pPr>
          </w:p>
        </w:tc>
      </w:tr>
      <w:tr>
        <w:trPr>
          <w:trHeight w:val="156"/>
        </w:trPr>
        <w:tc>
          <w:tcPr>
            <w:tcW w:w="2700" w:type="dxa"/>
            <w:vAlign w:val="bottom"/>
          </w:tcPr>
          <w:p>
            <w:pPr>
              <w:spacing w:after="0"/>
              <w:rPr>
                <w:sz w:val="20"/>
                <w:szCs w:val="20"/>
                <w:color w:val="auto"/>
              </w:rPr>
            </w:pPr>
            <w:r>
              <w:rPr>
                <w:rFonts w:ascii="Arial" w:cs="Arial" w:eastAsia="Arial" w:hAnsi="Arial"/>
                <w:sz w:val="12"/>
                <w:szCs w:val="12"/>
                <w:color w:val="auto"/>
              </w:rPr>
              <w:t>Non-competition agreements</w:t>
            </w:r>
          </w:p>
        </w:tc>
        <w:tc>
          <w:tcPr>
            <w:tcW w:w="3000" w:type="dxa"/>
            <w:vAlign w:val="bottom"/>
            <w:gridSpan w:val="2"/>
          </w:tcPr>
          <w:p>
            <w:pPr>
              <w:spacing w:after="0"/>
              <w:rPr>
                <w:sz w:val="20"/>
                <w:szCs w:val="20"/>
                <w:color w:val="auto"/>
              </w:rPr>
            </w:pPr>
            <w:r>
              <w:rPr>
                <w:rFonts w:ascii="Arial" w:cs="Arial" w:eastAsia="Arial" w:hAnsi="Arial"/>
                <w:sz w:val="12"/>
                <w:szCs w:val="12"/>
                <w:color w:val="auto"/>
              </w:rPr>
              <w:t>Selling and administrative</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Arial" w:cs="Arial" w:eastAsia="Arial" w:hAnsi="Arial"/>
                <w:sz w:val="12"/>
                <w:szCs w:val="12"/>
                <w:color w:val="auto"/>
              </w:rPr>
              <w:t>—</w:t>
            </w:r>
          </w:p>
        </w:tc>
        <w:tc>
          <w:tcPr>
            <w:tcW w:w="700" w:type="dxa"/>
            <w:vAlign w:val="bottom"/>
          </w:tcPr>
          <w:p>
            <w:pPr>
              <w:jc w:val="center"/>
              <w:ind w:left="23"/>
              <w:spacing w:after="0"/>
              <w:rPr>
                <w:sz w:val="20"/>
                <w:szCs w:val="20"/>
                <w:color w:val="auto"/>
              </w:rPr>
            </w:pPr>
            <w:r>
              <w:rPr>
                <w:rFonts w:ascii="Arial" w:cs="Arial" w:eastAsia="Arial" w:hAnsi="Arial"/>
                <w:sz w:val="12"/>
                <w:szCs w:val="12"/>
                <w:color w:val="auto"/>
                <w:w w:val="89"/>
              </w:rPr>
              <w:t>1</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Arial" w:cs="Arial" w:eastAsia="Arial" w:hAnsi="Arial"/>
                <w:sz w:val="12"/>
                <w:szCs w:val="12"/>
                <w:color w:val="auto"/>
                <w:w w:val="83"/>
              </w:rPr>
              <w:t>1.9</w:t>
            </w:r>
          </w:p>
        </w:tc>
        <w:tc>
          <w:tcPr>
            <w:tcW w:w="0" w:type="dxa"/>
            <w:vAlign w:val="bottom"/>
          </w:tcPr>
          <w:p>
            <w:pPr>
              <w:spacing w:after="0"/>
              <w:rPr>
                <w:sz w:val="1"/>
                <w:szCs w:val="1"/>
                <w:color w:val="auto"/>
              </w:rPr>
            </w:pPr>
          </w:p>
        </w:tc>
      </w:tr>
      <w:tr>
        <w:trPr>
          <w:trHeight w:val="151"/>
        </w:trPr>
        <w:tc>
          <w:tcPr>
            <w:tcW w:w="270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0" w:type="dxa"/>
            <w:vAlign w:val="bottom"/>
            <w:gridSpan w:val="2"/>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ind w:right="102"/>
              <w:spacing w:after="0"/>
              <w:rPr>
                <w:sz w:val="20"/>
                <w:szCs w:val="20"/>
                <w:color w:val="auto"/>
              </w:rPr>
            </w:pPr>
            <w:r>
              <w:rPr>
                <w:rFonts w:ascii="Arial" w:cs="Arial" w:eastAsia="Arial" w:hAnsi="Arial"/>
                <w:sz w:val="12"/>
                <w:szCs w:val="12"/>
                <w:color w:val="auto"/>
              </w:rPr>
              <w:t>7.6</w:t>
            </w:r>
          </w:p>
        </w:tc>
        <w:tc>
          <w:tcPr>
            <w:tcW w:w="120" w:type="dxa"/>
            <w:vAlign w:val="bottom"/>
            <w:tcBorders>
              <w:top w:val="single" w:sz="8" w:color="auto"/>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gridSpan w:val="2"/>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2"/>
                <w:szCs w:val="12"/>
                <w:color w:val="auto"/>
                <w:w w:val="93"/>
              </w:rPr>
              <w:t>149.5</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40" w:firstLine="399"/>
        <w:spacing w:after="0" w:line="265" w:lineRule="auto"/>
        <w:rPr>
          <w:sz w:val="20"/>
          <w:szCs w:val="20"/>
          <w:color w:val="auto"/>
        </w:rPr>
      </w:pPr>
      <w:r>
        <w:rPr>
          <w:rFonts w:ascii="Arial" w:cs="Arial" w:eastAsia="Arial" w:hAnsi="Arial"/>
          <w:sz w:val="13"/>
          <w:szCs w:val="13"/>
          <w:color w:val="auto"/>
        </w:rPr>
        <w:t>The Telsima Acquisition has been accounted for under the purchase method of accounting. Accordingly, the Telsima results of operations have been included in the Consolidated Statements of Operations and Cash Flows since the acquisition date of February 27, 2009 and are included almost entirely in our International Microwave segment. The purchase price allocation is preliminary and until February 26, 2010, additional information could come to our attention that may require us to further revise the purchase price allocation in connection with the Telsima Acquisition. The excess of the purchase price over the fair value of the identifiable tangible and intangible net assets acquired was assigned to goodwill. The goodwill resulting from the acquisition was associated primarily with the Telsima market presence and leading position, its growth opportunity in the markets in which it operated and its experienced work force.</w:t>
      </w:r>
    </w:p>
    <w:p>
      <w:pPr>
        <w:spacing w:after="0" w:line="68"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Goodwill is not amortized but will be tested for impairment at least annually. The goodwill resulting from the Telsima Acquisition is deductible for tax purposes. The write-off of in-process research and development noted in the above table was included in our Consolidated Statement of Operations during fiscal 2009. We obtained the assistance of an independent valuation specialist to assist us in determining the allocation of the purchase price for the Telsima and Stratex acquisitions.</w:t>
      </w:r>
    </w:p>
    <w:p>
      <w:pPr>
        <w:spacing w:after="0" w:line="59" w:lineRule="exact"/>
        <w:rPr>
          <w:sz w:val="20"/>
          <w:szCs w:val="20"/>
          <w:color w:val="auto"/>
        </w:rPr>
      </w:pPr>
    </w:p>
    <w:p>
      <w:pPr>
        <w:ind w:left="680" w:right="120" w:firstLine="399"/>
        <w:spacing w:after="0" w:line="270" w:lineRule="auto"/>
        <w:rPr>
          <w:sz w:val="20"/>
          <w:szCs w:val="20"/>
          <w:color w:val="auto"/>
        </w:rPr>
      </w:pPr>
      <w:r>
        <w:rPr>
          <w:rFonts w:ascii="Arial" w:cs="Arial" w:eastAsia="Arial" w:hAnsi="Arial"/>
          <w:sz w:val="13"/>
          <w:szCs w:val="13"/>
          <w:color w:val="auto"/>
        </w:rPr>
        <w:t>The Stratex results of operations have been included in the Consolidated Statements of Operations and Cash Flows since the acquisition date of January 26, 2007 and are included almost entirely in our International Microwave segment. The excess of the purchase price over the fair value of the identifiable tangible and intangible net assets acquired was assigned to goodwill. The goodwill resulting from the acquisition was associated primarily with the Stratex market presence and leading position, its growth opportunity in the markets in which it operated, and its experienced work force and established operating infrastructure.</w:t>
      </w:r>
    </w:p>
    <w:p>
      <w:pPr>
        <w:spacing w:after="0" w:line="27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84" w:name="page85"/>
    <w:bookmarkEnd w:id="8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HARRIS STRATEX NETWORKS, INC. AND SUBSIDIARIES</w:t>
      </w:r>
    </w:p>
    <w:p>
      <w:pPr>
        <w:spacing w:after="0" w:line="102"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66" w:lineRule="exact"/>
        <w:rPr>
          <w:sz w:val="20"/>
          <w:szCs w:val="20"/>
          <w:color w:val="auto"/>
        </w:rPr>
      </w:pPr>
    </w:p>
    <w:p>
      <w:pPr>
        <w:ind w:left="680" w:right="820" w:firstLine="399"/>
        <w:spacing w:after="0" w:line="294" w:lineRule="auto"/>
        <w:rPr>
          <w:sz w:val="20"/>
          <w:szCs w:val="20"/>
          <w:color w:val="auto"/>
        </w:rPr>
      </w:pPr>
      <w:r>
        <w:rPr>
          <w:rFonts w:ascii="Arial" w:cs="Arial" w:eastAsia="Arial" w:hAnsi="Arial"/>
          <w:sz w:val="13"/>
          <w:szCs w:val="13"/>
          <w:color w:val="auto"/>
        </w:rPr>
        <w:t>During fiscal 2009, we recorded impairment charges of $279.0 million for goodwill and $32.6 million for the Stratex trade name. We have not recorded any impairment losses on identifiable intangible assets with definite lives in fiscal 2009, 2008 or 2007.</w:t>
      </w:r>
    </w:p>
    <w:p>
      <w:pPr>
        <w:spacing w:after="0" w:line="47" w:lineRule="exact"/>
        <w:rPr>
          <w:sz w:val="20"/>
          <w:szCs w:val="20"/>
          <w:color w:val="auto"/>
        </w:rPr>
      </w:pPr>
    </w:p>
    <w:p>
      <w:pPr>
        <w:ind w:left="680" w:right="900" w:firstLine="399"/>
        <w:spacing w:after="0" w:line="294" w:lineRule="auto"/>
        <w:rPr>
          <w:sz w:val="20"/>
          <w:szCs w:val="20"/>
          <w:color w:val="auto"/>
        </w:rPr>
      </w:pPr>
      <w:r>
        <w:rPr>
          <w:rFonts w:ascii="Arial" w:cs="Arial" w:eastAsia="Arial" w:hAnsi="Arial"/>
          <w:sz w:val="13"/>
          <w:szCs w:val="13"/>
          <w:color w:val="auto"/>
        </w:rPr>
        <w:t>The goodwill resulting from the Stratex acquisition is not deductible for tax purposes. We obtained the assistance of independent valuation specialists to assist us in determining the allocation of the purchase price for the Stratex and Telsima acquisitions.</w:t>
      </w:r>
    </w:p>
    <w:p>
      <w:pPr>
        <w:spacing w:after="0" w:line="12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Pro Forma Results</w:t>
      </w:r>
    </w:p>
    <w:p>
      <w:pPr>
        <w:spacing w:after="0" w:line="102" w:lineRule="exact"/>
        <w:rPr>
          <w:sz w:val="20"/>
          <w:szCs w:val="20"/>
          <w:color w:val="auto"/>
        </w:rPr>
      </w:pPr>
    </w:p>
    <w:p>
      <w:pPr>
        <w:ind w:left="680" w:right="960" w:firstLine="399"/>
        <w:spacing w:after="0" w:line="276" w:lineRule="auto"/>
        <w:rPr>
          <w:sz w:val="20"/>
          <w:szCs w:val="20"/>
          <w:color w:val="auto"/>
        </w:rPr>
      </w:pPr>
      <w:r>
        <w:rPr>
          <w:rFonts w:ascii="Arial" w:cs="Arial" w:eastAsia="Arial" w:hAnsi="Arial"/>
          <w:sz w:val="13"/>
          <w:szCs w:val="13"/>
          <w:color w:val="auto"/>
        </w:rPr>
        <w:t>The following summary, prepared on a pro forma basis, presents unaudited consolidated results of operations as if Telsima had been acquired as of the beginning of each of the periods presented, after including the impact of adjustments such as amortization of intangibles and the related income tax effects. This pro forma presentation does not include any impact of acquisition synergies.</w:t>
      </w:r>
    </w:p>
    <w:p>
      <w:pPr>
        <w:spacing w:after="0" w:line="62" w:lineRule="exact"/>
        <w:rPr>
          <w:sz w:val="20"/>
          <w:szCs w:val="20"/>
          <w:color w:val="auto"/>
        </w:rPr>
      </w:pPr>
    </w:p>
    <w:tbl>
      <w:tblPr>
        <w:tblLayout w:type="fixed"/>
        <w:tblInd w:w="680" w:type="dxa"/>
        <w:tblCellMar>
          <w:top w:w="0" w:type="dxa"/>
          <w:left w:w="0" w:type="dxa"/>
          <w:bottom w:w="0" w:type="dxa"/>
          <w:right w:w="0" w:type="dxa"/>
        </w:tblCellMar>
      </w:tblPr>
      <w:tr>
        <w:trPr>
          <w:trHeight w:val="128"/>
        </w:trPr>
        <w:tc>
          <w:tcPr>
            <w:tcW w:w="83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38"/>
              <w:spacing w:after="0"/>
              <w:rPr>
                <w:sz w:val="20"/>
                <w:szCs w:val="20"/>
                <w:color w:val="auto"/>
              </w:rPr>
            </w:pPr>
            <w:r>
              <w:rPr>
                <w:rFonts w:ascii="Arial" w:cs="Arial" w:eastAsia="Arial" w:hAnsi="Arial"/>
                <w:sz w:val="11"/>
                <w:szCs w:val="11"/>
                <w:b w:val="1"/>
                <w:bCs w:val="1"/>
                <w:color w:val="auto"/>
              </w:rPr>
              <w:t>2009</w:t>
            </w:r>
          </w:p>
        </w:tc>
        <w:tc>
          <w:tcPr>
            <w:tcW w:w="40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except</w:t>
            </w: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75"/>
              <w:spacing w:after="0"/>
              <w:rPr>
                <w:sz w:val="20"/>
                <w:szCs w:val="20"/>
                <w:color w:val="auto"/>
              </w:rPr>
            </w:pPr>
            <w:r>
              <w:rPr>
                <w:rFonts w:ascii="Arial" w:cs="Arial" w:eastAsia="Arial" w:hAnsi="Arial"/>
                <w:sz w:val="11"/>
                <w:szCs w:val="11"/>
                <w:b w:val="1"/>
                <w:bCs w:val="1"/>
                <w:color w:val="auto"/>
                <w:w w:val="97"/>
              </w:rPr>
              <w:t>2008</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838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jc w:val="right"/>
              <w:spacing w:after="0" w:line="84" w:lineRule="exact"/>
              <w:rPr>
                <w:sz w:val="20"/>
                <w:szCs w:val="20"/>
                <w:color w:val="auto"/>
              </w:rPr>
            </w:pPr>
            <w:r>
              <w:rPr>
                <w:rFonts w:ascii="Arial" w:cs="Arial" w:eastAsia="Arial" w:hAnsi="Arial"/>
                <w:sz w:val="9"/>
                <w:szCs w:val="9"/>
                <w:b w:val="1"/>
                <w:bCs w:val="1"/>
                <w:color w:val="auto"/>
              </w:rPr>
              <w:t>(In millions,</w:t>
            </w:r>
          </w:p>
        </w:tc>
        <w:tc>
          <w:tcPr>
            <w:tcW w:w="400" w:type="dxa"/>
            <w:vAlign w:val="bottom"/>
            <w:vMerge w:val="continue"/>
          </w:tcPr>
          <w:p>
            <w:pPr>
              <w:spacing w:after="0"/>
              <w:rPr>
                <w:sz w:val="7"/>
                <w:szCs w:val="7"/>
                <w:color w:val="auto"/>
              </w:rPr>
            </w:pPr>
          </w:p>
        </w:tc>
        <w:tc>
          <w:tcPr>
            <w:tcW w:w="500" w:type="dxa"/>
            <w:vAlign w:val="bottom"/>
            <w:gridSpan w:val="2"/>
          </w:tcPr>
          <w:p>
            <w:pPr>
              <w:spacing w:after="0" w:line="84" w:lineRule="exact"/>
              <w:rPr>
                <w:sz w:val="20"/>
                <w:szCs w:val="20"/>
                <w:color w:val="auto"/>
              </w:rPr>
            </w:pPr>
            <w:r>
              <w:rPr>
                <w:rFonts w:ascii="Arial" w:cs="Arial" w:eastAsia="Arial" w:hAnsi="Arial"/>
                <w:sz w:val="9"/>
                <w:szCs w:val="9"/>
                <w:b w:val="1"/>
                <w:bCs w:val="1"/>
                <w:color w:val="auto"/>
              </w:rPr>
              <w:t>per share</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8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jc w:val="right"/>
              <w:ind w:right="86"/>
              <w:spacing w:after="0"/>
              <w:rPr>
                <w:sz w:val="20"/>
                <w:szCs w:val="20"/>
                <w:color w:val="auto"/>
              </w:rPr>
            </w:pPr>
            <w:r>
              <w:rPr>
                <w:rFonts w:ascii="Arial" w:cs="Arial" w:eastAsia="Arial" w:hAnsi="Arial"/>
                <w:sz w:val="11"/>
                <w:szCs w:val="11"/>
                <w:b w:val="1"/>
                <w:bCs w:val="1"/>
                <w:color w:val="auto"/>
                <w:w w:val="91"/>
              </w:rPr>
              <w:t>data)</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83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8380" w:type="dxa"/>
            <w:vAlign w:val="bottom"/>
            <w:shd w:val="clear" w:color="auto" w:fill="CCEEFF"/>
          </w:tcPr>
          <w:p>
            <w:pPr>
              <w:spacing w:after="0"/>
              <w:rPr>
                <w:sz w:val="20"/>
                <w:szCs w:val="20"/>
                <w:color w:val="auto"/>
              </w:rPr>
            </w:pPr>
            <w:r>
              <w:rPr>
                <w:rFonts w:ascii="Arial" w:cs="Arial" w:eastAsia="Arial" w:hAnsi="Arial"/>
                <w:sz w:val="13"/>
                <w:szCs w:val="13"/>
                <w:color w:val="auto"/>
              </w:rPr>
              <w:t>Revenue from product sales and services — as reported</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CCEEFF"/>
          </w:tcPr>
          <w:p>
            <w:pPr>
              <w:jc w:val="right"/>
              <w:ind w:right="346"/>
              <w:spacing w:after="0"/>
              <w:rPr>
                <w:sz w:val="20"/>
                <w:szCs w:val="20"/>
                <w:color w:val="auto"/>
              </w:rPr>
            </w:pPr>
            <w:r>
              <w:rPr>
                <w:rFonts w:ascii="Arial" w:cs="Arial" w:eastAsia="Arial" w:hAnsi="Arial"/>
                <w:sz w:val="13"/>
                <w:szCs w:val="13"/>
                <w:color w:val="auto"/>
              </w:rPr>
              <w:t>679.9</w:t>
            </w:r>
          </w:p>
        </w:tc>
        <w:tc>
          <w:tcPr>
            <w:tcW w:w="10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718.4</w:t>
            </w:r>
          </w:p>
        </w:tc>
        <w:tc>
          <w:tcPr>
            <w:tcW w:w="0" w:type="dxa"/>
            <w:vAlign w:val="bottom"/>
          </w:tcPr>
          <w:p>
            <w:pPr>
              <w:spacing w:after="0"/>
              <w:rPr>
                <w:sz w:val="1"/>
                <w:szCs w:val="1"/>
                <w:color w:val="auto"/>
              </w:rPr>
            </w:pPr>
          </w:p>
        </w:tc>
      </w:tr>
      <w:tr>
        <w:trPr>
          <w:trHeight w:val="161"/>
        </w:trPr>
        <w:tc>
          <w:tcPr>
            <w:tcW w:w="8380" w:type="dxa"/>
            <w:vAlign w:val="bottom"/>
          </w:tcPr>
          <w:p>
            <w:pPr>
              <w:spacing w:after="0"/>
              <w:rPr>
                <w:sz w:val="20"/>
                <w:szCs w:val="20"/>
                <w:color w:val="auto"/>
              </w:rPr>
            </w:pPr>
            <w:r>
              <w:rPr>
                <w:rFonts w:ascii="Arial" w:cs="Arial" w:eastAsia="Arial" w:hAnsi="Arial"/>
                <w:sz w:val="13"/>
                <w:szCs w:val="13"/>
                <w:color w:val="auto"/>
              </w:rPr>
              <w:t>Revenue from product sales and services — pro forma</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tcPr>
          <w:p>
            <w:pPr>
              <w:jc w:val="right"/>
              <w:ind w:right="346"/>
              <w:spacing w:after="0"/>
              <w:rPr>
                <w:sz w:val="20"/>
                <w:szCs w:val="20"/>
                <w:color w:val="auto"/>
              </w:rPr>
            </w:pPr>
            <w:r>
              <w:rPr>
                <w:rFonts w:ascii="Arial" w:cs="Arial" w:eastAsia="Arial" w:hAnsi="Arial"/>
                <w:sz w:val="13"/>
                <w:szCs w:val="13"/>
                <w:color w:val="auto"/>
              </w:rPr>
              <w:t>698.9</w:t>
            </w:r>
          </w:p>
        </w:tc>
        <w:tc>
          <w:tcPr>
            <w:tcW w:w="100" w:type="dxa"/>
            <w:vAlign w:val="bottom"/>
          </w:tcPr>
          <w:p>
            <w:pPr>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80"/>
              <w:spacing w:after="0"/>
              <w:rPr>
                <w:sz w:val="20"/>
                <w:szCs w:val="20"/>
                <w:color w:val="auto"/>
              </w:rPr>
            </w:pPr>
            <w:r>
              <w:rPr>
                <w:rFonts w:ascii="Arial" w:cs="Arial" w:eastAsia="Arial" w:hAnsi="Arial"/>
                <w:sz w:val="13"/>
                <w:szCs w:val="13"/>
                <w:color w:val="auto"/>
              </w:rPr>
              <w:t>728.8</w:t>
            </w:r>
          </w:p>
        </w:tc>
        <w:tc>
          <w:tcPr>
            <w:tcW w:w="0" w:type="dxa"/>
            <w:vAlign w:val="bottom"/>
          </w:tcPr>
          <w:p>
            <w:pPr>
              <w:spacing w:after="0"/>
              <w:rPr>
                <w:sz w:val="1"/>
                <w:szCs w:val="1"/>
                <w:color w:val="auto"/>
              </w:rPr>
            </w:pPr>
          </w:p>
        </w:tc>
      </w:tr>
      <w:tr>
        <w:trPr>
          <w:trHeight w:val="161"/>
        </w:trPr>
        <w:tc>
          <w:tcPr>
            <w:tcW w:w="8380" w:type="dxa"/>
            <w:vAlign w:val="bottom"/>
            <w:shd w:val="clear" w:color="auto" w:fill="CCEEFF"/>
          </w:tcPr>
          <w:p>
            <w:pPr>
              <w:spacing w:after="0"/>
              <w:rPr>
                <w:sz w:val="20"/>
                <w:szCs w:val="20"/>
                <w:color w:val="auto"/>
              </w:rPr>
            </w:pPr>
            <w:r>
              <w:rPr>
                <w:rFonts w:ascii="Arial" w:cs="Arial" w:eastAsia="Arial" w:hAnsi="Arial"/>
                <w:sz w:val="13"/>
                <w:szCs w:val="13"/>
                <w:color w:val="auto"/>
              </w:rPr>
              <w:t>Net loss — as reported</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CCEEFF"/>
          </w:tcPr>
          <w:p>
            <w:pPr>
              <w:jc w:val="right"/>
              <w:ind w:right="306"/>
              <w:spacing w:after="0"/>
              <w:rPr>
                <w:sz w:val="20"/>
                <w:szCs w:val="20"/>
                <w:color w:val="auto"/>
              </w:rPr>
            </w:pPr>
            <w:r>
              <w:rPr>
                <w:rFonts w:ascii="Arial" w:cs="Arial" w:eastAsia="Arial" w:hAnsi="Arial"/>
                <w:sz w:val="13"/>
                <w:szCs w:val="13"/>
                <w:color w:val="auto"/>
              </w:rPr>
              <w:t>(355.0)</w:t>
            </w:r>
          </w:p>
        </w:tc>
        <w:tc>
          <w:tcPr>
            <w:tcW w:w="10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(11.9)</w:t>
            </w:r>
          </w:p>
        </w:tc>
        <w:tc>
          <w:tcPr>
            <w:tcW w:w="0" w:type="dxa"/>
            <w:vAlign w:val="bottom"/>
          </w:tcPr>
          <w:p>
            <w:pPr>
              <w:spacing w:after="0"/>
              <w:rPr>
                <w:sz w:val="1"/>
                <w:szCs w:val="1"/>
                <w:color w:val="auto"/>
              </w:rPr>
            </w:pPr>
          </w:p>
        </w:tc>
      </w:tr>
      <w:tr>
        <w:trPr>
          <w:trHeight w:val="161"/>
        </w:trPr>
        <w:tc>
          <w:tcPr>
            <w:tcW w:w="8380" w:type="dxa"/>
            <w:vAlign w:val="bottom"/>
          </w:tcPr>
          <w:p>
            <w:pPr>
              <w:spacing w:after="0"/>
              <w:rPr>
                <w:sz w:val="20"/>
                <w:szCs w:val="20"/>
                <w:color w:val="auto"/>
              </w:rPr>
            </w:pPr>
            <w:r>
              <w:rPr>
                <w:rFonts w:ascii="Arial" w:cs="Arial" w:eastAsia="Arial" w:hAnsi="Arial"/>
                <w:sz w:val="13"/>
                <w:szCs w:val="13"/>
                <w:color w:val="auto"/>
              </w:rPr>
              <w:t>Net loss — pro forma</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tcPr>
          <w:p>
            <w:pPr>
              <w:jc w:val="right"/>
              <w:ind w:right="306"/>
              <w:spacing w:after="0"/>
              <w:rPr>
                <w:sz w:val="20"/>
                <w:szCs w:val="20"/>
                <w:color w:val="auto"/>
              </w:rPr>
            </w:pPr>
            <w:r>
              <w:rPr>
                <w:rFonts w:ascii="Arial" w:cs="Arial" w:eastAsia="Arial" w:hAnsi="Arial"/>
                <w:sz w:val="13"/>
                <w:szCs w:val="13"/>
                <w:color w:val="auto"/>
              </w:rPr>
              <w:t>(380.3)</w:t>
            </w:r>
          </w:p>
        </w:tc>
        <w:tc>
          <w:tcPr>
            <w:tcW w:w="100" w:type="dxa"/>
            <w:vAlign w:val="bottom"/>
          </w:tcPr>
          <w:p>
            <w:pPr>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(49.5)</w:t>
            </w:r>
          </w:p>
        </w:tc>
        <w:tc>
          <w:tcPr>
            <w:tcW w:w="0" w:type="dxa"/>
            <w:vAlign w:val="bottom"/>
          </w:tcPr>
          <w:p>
            <w:pPr>
              <w:spacing w:after="0"/>
              <w:rPr>
                <w:sz w:val="1"/>
                <w:szCs w:val="1"/>
                <w:color w:val="auto"/>
              </w:rPr>
            </w:pPr>
          </w:p>
        </w:tc>
      </w:tr>
      <w:tr>
        <w:trPr>
          <w:trHeight w:val="161"/>
        </w:trPr>
        <w:tc>
          <w:tcPr>
            <w:tcW w:w="8380" w:type="dxa"/>
            <w:vAlign w:val="bottom"/>
            <w:shd w:val="clear" w:color="auto" w:fill="CCEEFF"/>
          </w:tcPr>
          <w:p>
            <w:pPr>
              <w:spacing w:after="0"/>
              <w:rPr>
                <w:sz w:val="20"/>
                <w:szCs w:val="20"/>
                <w:color w:val="auto"/>
              </w:rPr>
            </w:pPr>
            <w:r>
              <w:rPr>
                <w:rFonts w:ascii="Arial" w:cs="Arial" w:eastAsia="Arial" w:hAnsi="Arial"/>
                <w:sz w:val="13"/>
                <w:szCs w:val="13"/>
                <w:color w:val="auto"/>
              </w:rPr>
              <w:t>Net loss per diluted common share — as reported</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CCEEFF"/>
          </w:tcPr>
          <w:p>
            <w:pPr>
              <w:jc w:val="right"/>
              <w:ind w:right="306"/>
              <w:spacing w:after="0"/>
              <w:rPr>
                <w:sz w:val="20"/>
                <w:szCs w:val="20"/>
                <w:color w:val="auto"/>
              </w:rPr>
            </w:pPr>
            <w:r>
              <w:rPr>
                <w:rFonts w:ascii="Arial" w:cs="Arial" w:eastAsia="Arial" w:hAnsi="Arial"/>
                <w:sz w:val="13"/>
                <w:szCs w:val="13"/>
                <w:color w:val="auto"/>
              </w:rPr>
              <w:t>(6.05)</w:t>
            </w:r>
          </w:p>
        </w:tc>
        <w:tc>
          <w:tcPr>
            <w:tcW w:w="10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(0.20)</w:t>
            </w:r>
          </w:p>
        </w:tc>
        <w:tc>
          <w:tcPr>
            <w:tcW w:w="0" w:type="dxa"/>
            <w:vAlign w:val="bottom"/>
          </w:tcPr>
          <w:p>
            <w:pPr>
              <w:spacing w:after="0"/>
              <w:rPr>
                <w:sz w:val="1"/>
                <w:szCs w:val="1"/>
                <w:color w:val="auto"/>
              </w:rPr>
            </w:pPr>
          </w:p>
        </w:tc>
      </w:tr>
      <w:tr>
        <w:trPr>
          <w:trHeight w:val="172"/>
        </w:trPr>
        <w:tc>
          <w:tcPr>
            <w:tcW w:w="8380" w:type="dxa"/>
            <w:vAlign w:val="bottom"/>
          </w:tcPr>
          <w:p>
            <w:pPr>
              <w:spacing w:after="0"/>
              <w:rPr>
                <w:sz w:val="20"/>
                <w:szCs w:val="20"/>
                <w:color w:val="auto"/>
              </w:rPr>
            </w:pPr>
            <w:r>
              <w:rPr>
                <w:rFonts w:ascii="Arial" w:cs="Arial" w:eastAsia="Arial" w:hAnsi="Arial"/>
                <w:sz w:val="13"/>
                <w:szCs w:val="13"/>
                <w:color w:val="auto"/>
              </w:rPr>
              <w:t>Net loss per diluted common share — pro forma</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tcPr>
          <w:p>
            <w:pPr>
              <w:jc w:val="right"/>
              <w:ind w:right="306"/>
              <w:spacing w:after="0"/>
              <w:rPr>
                <w:sz w:val="20"/>
                <w:szCs w:val="20"/>
                <w:color w:val="auto"/>
              </w:rPr>
            </w:pPr>
            <w:r>
              <w:rPr>
                <w:rFonts w:ascii="Arial" w:cs="Arial" w:eastAsia="Arial" w:hAnsi="Arial"/>
                <w:sz w:val="13"/>
                <w:szCs w:val="13"/>
                <w:color w:val="auto"/>
              </w:rPr>
              <w:t>(6.48)</w:t>
            </w:r>
          </w:p>
        </w:tc>
        <w:tc>
          <w:tcPr>
            <w:tcW w:w="100" w:type="dxa"/>
            <w:vAlign w:val="bottom"/>
          </w:tcPr>
          <w:p>
            <w:pPr>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(0.85)</w:t>
            </w: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pro forma results are not necessarily indicative of our results of operations had we owned Telsima for the entire periods presented.</w:t>
      </w:r>
    </w:p>
    <w:p>
      <w:pPr>
        <w:spacing w:after="0" w:line="18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Summary of Goodwill</w:t>
      </w:r>
    </w:p>
    <w:p>
      <w:pPr>
        <w:spacing w:after="0" w:line="102" w:lineRule="exact"/>
        <w:rPr>
          <w:sz w:val="20"/>
          <w:szCs w:val="20"/>
          <w:color w:val="auto"/>
        </w:rPr>
      </w:pPr>
    </w:p>
    <w:p>
      <w:pPr>
        <w:jc w:val="both"/>
        <w:ind w:left="680" w:right="1020" w:firstLine="399"/>
        <w:spacing w:after="0" w:line="338" w:lineRule="auto"/>
        <w:rPr>
          <w:sz w:val="20"/>
          <w:szCs w:val="20"/>
          <w:color w:val="auto"/>
        </w:rPr>
      </w:pPr>
      <w:r>
        <w:rPr>
          <w:rFonts w:ascii="Arial" w:cs="Arial" w:eastAsia="Arial" w:hAnsi="Arial"/>
          <w:sz w:val="12"/>
          <w:szCs w:val="12"/>
          <w:color w:val="auto"/>
        </w:rPr>
        <w:t>Goodwill on the consolidated balance sheets in our North America Microwave and International Microwave segments totaled $3.2 million and $284.2 million as of the end of fiscal 2009 and 2008. There was no goodwill in our Network Operations segment. Changes in the carrying amount of goodwill for fiscal 2009 and 2008 by segment were as follows: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14"/>
        </w:trPr>
        <w:tc>
          <w:tcPr>
            <w:tcW w:w="680" w:type="dxa"/>
            <w:vAlign w:val="bottom"/>
          </w:tcPr>
          <w:p>
            <w:pPr>
              <w:spacing w:after="0"/>
              <w:rPr>
                <w:sz w:val="9"/>
                <w:szCs w:val="9"/>
                <w:color w:val="auto"/>
              </w:rPr>
            </w:pPr>
          </w:p>
        </w:tc>
        <w:tc>
          <w:tcPr>
            <w:tcW w:w="48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jc w:val="right"/>
              <w:ind w:right="157"/>
              <w:spacing w:after="0"/>
              <w:rPr>
                <w:sz w:val="20"/>
                <w:szCs w:val="20"/>
                <w:color w:val="auto"/>
              </w:rPr>
            </w:pPr>
            <w:r>
              <w:rPr>
                <w:rFonts w:ascii="Arial" w:cs="Arial" w:eastAsia="Arial" w:hAnsi="Arial"/>
                <w:sz w:val="9"/>
                <w:szCs w:val="9"/>
                <w:b w:val="1"/>
                <w:bCs w:val="1"/>
                <w:color w:val="auto"/>
              </w:rPr>
              <w:t>2009</w:t>
            </w:r>
          </w:p>
        </w:tc>
        <w:tc>
          <w:tcPr>
            <w:tcW w:w="4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jc w:val="right"/>
              <w:ind w:right="197"/>
              <w:spacing w:after="0"/>
              <w:rPr>
                <w:sz w:val="20"/>
                <w:szCs w:val="20"/>
                <w:color w:val="auto"/>
              </w:rPr>
            </w:pPr>
            <w:r>
              <w:rPr>
                <w:rFonts w:ascii="Arial" w:cs="Arial" w:eastAsia="Arial" w:hAnsi="Arial"/>
                <w:sz w:val="9"/>
                <w:szCs w:val="9"/>
                <w:b w:val="1"/>
                <w:bCs w:val="1"/>
                <w:color w:val="auto"/>
              </w:rPr>
              <w:t>2008</w:t>
            </w:r>
          </w:p>
        </w:tc>
        <w:tc>
          <w:tcPr>
            <w:tcW w:w="3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r>
      <w:tr>
        <w:trPr>
          <w:trHeight w:val="78"/>
        </w:trPr>
        <w:tc>
          <w:tcPr>
            <w:tcW w:w="680" w:type="dxa"/>
            <w:vAlign w:val="bottom"/>
          </w:tcPr>
          <w:p>
            <w:pPr>
              <w:spacing w:after="0"/>
              <w:rPr>
                <w:sz w:val="6"/>
                <w:szCs w:val="6"/>
                <w:color w:val="auto"/>
              </w:rPr>
            </w:pPr>
          </w:p>
        </w:tc>
        <w:tc>
          <w:tcPr>
            <w:tcW w:w="480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gridSpan w:val="2"/>
          </w:tcPr>
          <w:p>
            <w:pPr>
              <w:jc w:val="center"/>
              <w:ind w:right="480"/>
              <w:spacing w:after="0" w:line="78" w:lineRule="exact"/>
              <w:rPr>
                <w:sz w:val="20"/>
                <w:szCs w:val="20"/>
                <w:color w:val="auto"/>
              </w:rPr>
            </w:pPr>
            <w:r>
              <w:rPr>
                <w:rFonts w:ascii="Arial" w:cs="Arial" w:eastAsia="Arial" w:hAnsi="Arial"/>
                <w:sz w:val="9"/>
                <w:szCs w:val="9"/>
                <w:b w:val="1"/>
                <w:bCs w:val="1"/>
                <w:color w:val="auto"/>
                <w:w w:val="99"/>
              </w:rPr>
              <w:t>North</w:t>
            </w: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gridSpan w:val="2"/>
          </w:tcPr>
          <w:p>
            <w:pPr>
              <w:jc w:val="right"/>
              <w:ind w:right="480"/>
              <w:spacing w:after="0" w:line="78" w:lineRule="exact"/>
              <w:rPr>
                <w:sz w:val="20"/>
                <w:szCs w:val="20"/>
                <w:color w:val="auto"/>
              </w:rPr>
            </w:pPr>
            <w:r>
              <w:rPr>
                <w:rFonts w:ascii="Arial" w:cs="Arial" w:eastAsia="Arial" w:hAnsi="Arial"/>
                <w:sz w:val="9"/>
                <w:szCs w:val="9"/>
                <w:b w:val="1"/>
                <w:bCs w:val="1"/>
                <w:color w:val="auto"/>
                <w:w w:val="91"/>
              </w:rPr>
              <w:t>North</w:t>
            </w: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Pr>
          <w:p>
            <w:pPr>
              <w:spacing w:after="0"/>
              <w:rPr>
                <w:sz w:val="6"/>
                <w:szCs w:val="6"/>
                <w:color w:val="auto"/>
              </w:rPr>
            </w:pPr>
          </w:p>
        </w:tc>
      </w:tr>
      <w:tr>
        <w:trPr>
          <w:trHeight w:val="114"/>
        </w:trPr>
        <w:tc>
          <w:tcPr>
            <w:tcW w:w="680" w:type="dxa"/>
            <w:vAlign w:val="bottom"/>
          </w:tcPr>
          <w:p>
            <w:pPr>
              <w:spacing w:after="0"/>
              <w:rPr>
                <w:sz w:val="9"/>
                <w:szCs w:val="9"/>
                <w:color w:val="auto"/>
              </w:rPr>
            </w:pPr>
          </w:p>
        </w:tc>
        <w:tc>
          <w:tcPr>
            <w:tcW w:w="4800" w:type="dxa"/>
            <w:vAlign w:val="bottom"/>
          </w:tcPr>
          <w:p>
            <w:pPr>
              <w:spacing w:after="0"/>
              <w:rPr>
                <w:sz w:val="9"/>
                <w:szCs w:val="9"/>
                <w:color w:val="auto"/>
              </w:rPr>
            </w:pPr>
          </w:p>
        </w:tc>
        <w:tc>
          <w:tcPr>
            <w:tcW w:w="800" w:type="dxa"/>
            <w:vAlign w:val="bottom"/>
            <w:gridSpan w:val="3"/>
          </w:tcPr>
          <w:p>
            <w:pPr>
              <w:jc w:val="center"/>
              <w:ind w:right="380"/>
              <w:spacing w:after="0"/>
              <w:rPr>
                <w:sz w:val="20"/>
                <w:szCs w:val="20"/>
                <w:color w:val="auto"/>
              </w:rPr>
            </w:pPr>
            <w:r>
              <w:rPr>
                <w:rFonts w:ascii="Arial" w:cs="Arial" w:eastAsia="Arial" w:hAnsi="Arial"/>
                <w:sz w:val="9"/>
                <w:szCs w:val="9"/>
                <w:b w:val="1"/>
                <w:bCs w:val="1"/>
                <w:color w:val="auto"/>
                <w:w w:val="95"/>
              </w:rPr>
              <w:t>America</w:t>
            </w:r>
          </w:p>
        </w:tc>
        <w:tc>
          <w:tcPr>
            <w:tcW w:w="80" w:type="dxa"/>
            <w:vAlign w:val="bottom"/>
          </w:tcPr>
          <w:p>
            <w:pPr>
              <w:spacing w:after="0"/>
              <w:rPr>
                <w:sz w:val="9"/>
                <w:szCs w:val="9"/>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9"/>
                <w:szCs w:val="9"/>
                <w:b w:val="1"/>
                <w:bCs w:val="1"/>
                <w:color w:val="auto"/>
                <w:w w:val="99"/>
              </w:rPr>
              <w:t>International</w:t>
            </w:r>
          </w:p>
        </w:tc>
        <w:tc>
          <w:tcPr>
            <w:tcW w:w="100" w:type="dxa"/>
            <w:vAlign w:val="bottom"/>
          </w:tcPr>
          <w:p>
            <w:pPr>
              <w:spacing w:after="0"/>
              <w:rPr>
                <w:sz w:val="9"/>
                <w:szCs w:val="9"/>
                <w:color w:val="auto"/>
              </w:rPr>
            </w:pPr>
          </w:p>
        </w:tc>
        <w:tc>
          <w:tcPr>
            <w:tcW w:w="800" w:type="dxa"/>
            <w:vAlign w:val="bottom"/>
            <w:gridSpan w:val="2"/>
          </w:tcPr>
          <w:p>
            <w:pPr>
              <w:jc w:val="right"/>
              <w:ind w:right="493"/>
              <w:spacing w:after="0"/>
              <w:rPr>
                <w:sz w:val="20"/>
                <w:szCs w:val="20"/>
                <w:color w:val="auto"/>
              </w:rPr>
            </w:pPr>
            <w:r>
              <w:rPr>
                <w:rFonts w:ascii="Arial" w:cs="Arial" w:eastAsia="Arial" w:hAnsi="Arial"/>
                <w:sz w:val="9"/>
                <w:szCs w:val="9"/>
                <w:b w:val="1"/>
                <w:bCs w:val="1"/>
                <w:color w:val="auto"/>
              </w:rPr>
              <w:t>Total</w:t>
            </w:r>
          </w:p>
        </w:tc>
        <w:tc>
          <w:tcPr>
            <w:tcW w:w="800" w:type="dxa"/>
            <w:vAlign w:val="bottom"/>
            <w:gridSpan w:val="3"/>
          </w:tcPr>
          <w:p>
            <w:pPr>
              <w:jc w:val="right"/>
              <w:ind w:right="420"/>
              <w:spacing w:after="0"/>
              <w:rPr>
                <w:sz w:val="20"/>
                <w:szCs w:val="20"/>
                <w:color w:val="auto"/>
              </w:rPr>
            </w:pPr>
            <w:r>
              <w:rPr>
                <w:rFonts w:ascii="Arial" w:cs="Arial" w:eastAsia="Arial" w:hAnsi="Arial"/>
                <w:sz w:val="9"/>
                <w:szCs w:val="9"/>
                <w:b w:val="1"/>
                <w:bCs w:val="1"/>
                <w:color w:val="auto"/>
              </w:rPr>
              <w:t>America</w:t>
            </w:r>
          </w:p>
        </w:tc>
        <w:tc>
          <w:tcPr>
            <w:tcW w:w="80" w:type="dxa"/>
            <w:vAlign w:val="bottom"/>
          </w:tcPr>
          <w:p>
            <w:pPr>
              <w:spacing w:after="0"/>
              <w:rPr>
                <w:sz w:val="9"/>
                <w:szCs w:val="9"/>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9"/>
                <w:szCs w:val="9"/>
                <w:b w:val="1"/>
                <w:bCs w:val="1"/>
                <w:color w:val="auto"/>
                <w:w w:val="96"/>
              </w:rPr>
              <w:t>International</w:t>
            </w:r>
          </w:p>
        </w:tc>
        <w:tc>
          <w:tcPr>
            <w:tcW w:w="480" w:type="dxa"/>
            <w:vAlign w:val="bottom"/>
            <w:gridSpan w:val="2"/>
          </w:tcPr>
          <w:p>
            <w:pPr>
              <w:jc w:val="right"/>
              <w:ind w:right="180"/>
              <w:spacing w:after="0"/>
              <w:rPr>
                <w:sz w:val="20"/>
                <w:szCs w:val="20"/>
                <w:color w:val="auto"/>
              </w:rPr>
            </w:pPr>
            <w:r>
              <w:rPr>
                <w:rFonts w:ascii="Arial" w:cs="Arial" w:eastAsia="Arial" w:hAnsi="Arial"/>
                <w:sz w:val="9"/>
                <w:szCs w:val="9"/>
                <w:b w:val="1"/>
                <w:bCs w:val="1"/>
                <w:color w:val="auto"/>
              </w:rPr>
              <w:t>Total</w:t>
            </w:r>
          </w:p>
        </w:tc>
        <w:tc>
          <w:tcPr>
            <w:tcW w:w="800" w:type="dxa"/>
            <w:vAlign w:val="bottom"/>
          </w:tcPr>
          <w:p>
            <w:pPr>
              <w:spacing w:after="0"/>
              <w:rPr>
                <w:sz w:val="9"/>
                <w:szCs w:val="9"/>
                <w:color w:val="auto"/>
              </w:rPr>
            </w:pPr>
          </w:p>
        </w:tc>
      </w:tr>
      <w:tr>
        <w:trPr>
          <w:trHeight w:val="121"/>
        </w:trPr>
        <w:tc>
          <w:tcPr>
            <w:tcW w:w="68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9"/>
                <w:szCs w:val="9"/>
                <w:b w:val="1"/>
                <w:bCs w:val="1"/>
                <w:color w:val="auto"/>
              </w:rPr>
              <w:t>(In</w:t>
            </w:r>
          </w:p>
        </w:tc>
        <w:tc>
          <w:tcPr>
            <w:tcW w:w="400" w:type="dxa"/>
            <w:vAlign w:val="bottom"/>
          </w:tcPr>
          <w:p>
            <w:pPr>
              <w:jc w:val="right"/>
              <w:spacing w:after="0" w:line="102" w:lineRule="exact"/>
              <w:rPr>
                <w:sz w:val="20"/>
                <w:szCs w:val="20"/>
                <w:color w:val="auto"/>
              </w:rPr>
            </w:pPr>
            <w:r>
              <w:rPr>
                <w:rFonts w:ascii="Arial" w:cs="Arial" w:eastAsia="Arial" w:hAnsi="Arial"/>
                <w:sz w:val="9"/>
                <w:szCs w:val="9"/>
                <w:b w:val="1"/>
                <w:bCs w:val="1"/>
                <w:color w:val="auto"/>
              </w:rPr>
              <w:t>millions)</w:t>
            </w:r>
          </w:p>
        </w:tc>
        <w:tc>
          <w:tcPr>
            <w:tcW w:w="8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71"/>
        </w:trPr>
        <w:tc>
          <w:tcPr>
            <w:tcW w:w="680" w:type="dxa"/>
            <w:vAlign w:val="bottom"/>
          </w:tcPr>
          <w:p>
            <w:pPr>
              <w:spacing w:after="0"/>
              <w:rPr>
                <w:sz w:val="14"/>
                <w:szCs w:val="14"/>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Balance as of the beginning of fiscal year</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36.2</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248.0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353"/>
              <w:spacing w:after="0"/>
              <w:rPr>
                <w:sz w:val="20"/>
                <w:szCs w:val="20"/>
                <w:color w:val="auto"/>
              </w:rPr>
            </w:pPr>
            <w:r>
              <w:rPr>
                <w:rFonts w:ascii="Arial" w:cs="Arial" w:eastAsia="Arial" w:hAnsi="Arial"/>
                <w:sz w:val="13"/>
                <w:szCs w:val="13"/>
                <w:color w:val="auto"/>
              </w:rPr>
              <w:t>284.2</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1.9</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322.8</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87"/>
              </w:rPr>
              <w:t>$ 324.7</w:t>
            </w:r>
          </w:p>
        </w:tc>
        <w:tc>
          <w:tcPr>
            <w:tcW w:w="800" w:type="dxa"/>
            <w:vAlign w:val="bottom"/>
          </w:tcPr>
          <w:p>
            <w:pPr>
              <w:spacing w:after="0"/>
              <w:rPr>
                <w:sz w:val="14"/>
                <w:szCs w:val="14"/>
                <w:color w:val="auto"/>
              </w:rPr>
            </w:pPr>
          </w:p>
        </w:tc>
      </w:tr>
      <w:tr>
        <w:trPr>
          <w:trHeight w:val="161"/>
        </w:trPr>
        <w:tc>
          <w:tcPr>
            <w:tcW w:w="680" w:type="dxa"/>
            <w:vAlign w:val="bottom"/>
          </w:tcPr>
          <w:p>
            <w:pPr>
              <w:spacing w:after="0"/>
              <w:rPr>
                <w:sz w:val="14"/>
                <w:szCs w:val="14"/>
                <w:color w:val="auto"/>
              </w:rPr>
            </w:pPr>
          </w:p>
        </w:tc>
        <w:tc>
          <w:tcPr>
            <w:tcW w:w="4800" w:type="dxa"/>
            <w:vAlign w:val="bottom"/>
          </w:tcPr>
          <w:p>
            <w:pPr>
              <w:spacing w:after="0"/>
              <w:rPr>
                <w:sz w:val="20"/>
                <w:szCs w:val="20"/>
                <w:color w:val="auto"/>
              </w:rPr>
            </w:pPr>
            <w:r>
              <w:rPr>
                <w:rFonts w:ascii="Arial" w:cs="Arial" w:eastAsia="Arial" w:hAnsi="Arial"/>
                <w:sz w:val="13"/>
                <w:szCs w:val="13"/>
                <w:color w:val="auto"/>
              </w:rPr>
              <w:t>Goodwill from the Telsima acquisition</w:t>
            </w:r>
          </w:p>
        </w:tc>
        <w:tc>
          <w:tcPr>
            <w:tcW w:w="80" w:type="dxa"/>
            <w:vAlign w:val="bottom"/>
          </w:tcPr>
          <w:p>
            <w:pPr>
              <w:spacing w:after="0"/>
              <w:rPr>
                <w:sz w:val="14"/>
                <w:szCs w:val="14"/>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3"/>
                <w:szCs w:val="13"/>
                <w:color w:val="auto"/>
              </w:rPr>
              <w:t>3.2</w:t>
            </w:r>
          </w:p>
        </w:tc>
        <w:tc>
          <w:tcPr>
            <w:tcW w:w="100" w:type="dxa"/>
            <w:vAlign w:val="bottom"/>
          </w:tcPr>
          <w:p>
            <w:pPr>
              <w:spacing w:after="0"/>
              <w:rPr>
                <w:sz w:val="14"/>
                <w:szCs w:val="14"/>
                <w:color w:val="auto"/>
              </w:rPr>
            </w:pPr>
          </w:p>
        </w:tc>
        <w:tc>
          <w:tcPr>
            <w:tcW w:w="800" w:type="dxa"/>
            <w:vAlign w:val="bottom"/>
            <w:gridSpan w:val="2"/>
          </w:tcPr>
          <w:p>
            <w:pPr>
              <w:jc w:val="right"/>
              <w:ind w:right="353"/>
              <w:spacing w:after="0"/>
              <w:rPr>
                <w:sz w:val="20"/>
                <w:szCs w:val="20"/>
                <w:color w:val="auto"/>
              </w:rPr>
            </w:pPr>
            <w:r>
              <w:rPr>
                <w:rFonts w:ascii="Arial" w:cs="Arial" w:eastAsia="Arial" w:hAnsi="Arial"/>
                <w:sz w:val="13"/>
                <w:szCs w:val="13"/>
                <w:color w:val="auto"/>
              </w:rPr>
              <w:t>3.2</w:t>
            </w:r>
          </w:p>
        </w:tc>
        <w:tc>
          <w:tcPr>
            <w:tcW w:w="80" w:type="dxa"/>
            <w:vAlign w:val="bottom"/>
          </w:tcPr>
          <w:p>
            <w:pPr>
              <w:spacing w:after="0"/>
              <w:rPr>
                <w:sz w:val="14"/>
                <w:szCs w:val="14"/>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4"/>
                <w:szCs w:val="14"/>
                <w:color w:val="auto"/>
              </w:rPr>
            </w:pPr>
          </w:p>
        </w:tc>
      </w:tr>
      <w:tr>
        <w:trPr>
          <w:trHeight w:val="150"/>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Reduction of deferred tax liabilities and other adjustments established in purchase</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r>
      <w:tr>
        <w:trPr>
          <w:trHeight w:val="172"/>
        </w:trPr>
        <w:tc>
          <w:tcPr>
            <w:tcW w:w="680" w:type="dxa"/>
            <w:vAlign w:val="bottom"/>
          </w:tcPr>
          <w:p>
            <w:pPr>
              <w:spacing w:after="0"/>
              <w:rPr>
                <w:sz w:val="14"/>
                <w:szCs w:val="14"/>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accounting</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353"/>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(41.9)</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(41.9)</w:t>
            </w:r>
          </w:p>
        </w:tc>
        <w:tc>
          <w:tcPr>
            <w:tcW w:w="800" w:type="dxa"/>
            <w:vAlign w:val="bottom"/>
          </w:tcPr>
          <w:p>
            <w:pPr>
              <w:spacing w:after="0"/>
              <w:rPr>
                <w:sz w:val="14"/>
                <w:szCs w:val="14"/>
                <w:color w:val="auto"/>
              </w:rPr>
            </w:pPr>
          </w:p>
        </w:tc>
      </w:tr>
      <w:tr>
        <w:trPr>
          <w:trHeight w:val="161"/>
        </w:trPr>
        <w:tc>
          <w:tcPr>
            <w:tcW w:w="680" w:type="dxa"/>
            <w:vAlign w:val="bottom"/>
          </w:tcPr>
          <w:p>
            <w:pPr>
              <w:spacing w:after="0"/>
              <w:rPr>
                <w:sz w:val="14"/>
                <w:szCs w:val="14"/>
                <w:color w:val="auto"/>
              </w:rPr>
            </w:pPr>
          </w:p>
        </w:tc>
        <w:tc>
          <w:tcPr>
            <w:tcW w:w="4800" w:type="dxa"/>
            <w:vAlign w:val="bottom"/>
          </w:tcPr>
          <w:p>
            <w:pPr>
              <w:spacing w:after="0"/>
              <w:rPr>
                <w:sz w:val="20"/>
                <w:szCs w:val="20"/>
                <w:color w:val="auto"/>
              </w:rPr>
            </w:pPr>
            <w:r>
              <w:rPr>
                <w:rFonts w:ascii="Arial" w:cs="Arial" w:eastAsia="Arial" w:hAnsi="Arial"/>
                <w:sz w:val="13"/>
                <w:szCs w:val="13"/>
                <w:color w:val="auto"/>
              </w:rPr>
              <w:t>Reclassification of Stratex goodwill</w:t>
            </w:r>
          </w:p>
        </w:tc>
        <w:tc>
          <w:tcPr>
            <w:tcW w:w="80" w:type="dxa"/>
            <w:vAlign w:val="bottom"/>
          </w:tcPr>
          <w:p>
            <w:pPr>
              <w:spacing w:after="0"/>
              <w:rPr>
                <w:sz w:val="14"/>
                <w:szCs w:val="14"/>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353"/>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34.3</w:t>
            </w:r>
          </w:p>
        </w:tc>
        <w:tc>
          <w:tcPr>
            <w:tcW w:w="80" w:type="dxa"/>
            <w:vAlign w:val="bottom"/>
          </w:tcPr>
          <w:p>
            <w:pPr>
              <w:spacing w:after="0"/>
              <w:rPr>
                <w:sz w:val="14"/>
                <w:szCs w:val="14"/>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3"/>
                <w:szCs w:val="13"/>
                <w:color w:val="auto"/>
              </w:rPr>
              <w:t>(34.3)</w:t>
            </w:r>
          </w:p>
        </w:tc>
        <w:tc>
          <w:tcPr>
            <w:tcW w:w="4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4"/>
                <w:szCs w:val="14"/>
                <w:color w:val="auto"/>
              </w:rPr>
            </w:pPr>
          </w:p>
        </w:tc>
      </w:tr>
      <w:tr>
        <w:trPr>
          <w:trHeight w:val="161"/>
        </w:trPr>
        <w:tc>
          <w:tcPr>
            <w:tcW w:w="680" w:type="dxa"/>
            <w:vAlign w:val="bottom"/>
          </w:tcPr>
          <w:p>
            <w:pPr>
              <w:spacing w:after="0"/>
              <w:rPr>
                <w:sz w:val="14"/>
                <w:szCs w:val="14"/>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Impairment charges</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(31.8)</w:t>
            </w: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(247.2)</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313"/>
              <w:spacing w:after="0"/>
              <w:rPr>
                <w:sz w:val="20"/>
                <w:szCs w:val="20"/>
                <w:color w:val="auto"/>
              </w:rPr>
            </w:pPr>
            <w:r>
              <w:rPr>
                <w:rFonts w:ascii="Arial" w:cs="Arial" w:eastAsia="Arial" w:hAnsi="Arial"/>
                <w:sz w:val="13"/>
                <w:szCs w:val="13"/>
                <w:color w:val="auto"/>
              </w:rPr>
              <w:t>(279.0)</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4"/>
                <w:szCs w:val="14"/>
                <w:color w:val="auto"/>
              </w:rPr>
            </w:pPr>
          </w:p>
        </w:tc>
      </w:tr>
      <w:tr>
        <w:trPr>
          <w:trHeight w:val="161"/>
        </w:trPr>
        <w:tc>
          <w:tcPr>
            <w:tcW w:w="680" w:type="dxa"/>
            <w:vAlign w:val="bottom"/>
          </w:tcPr>
          <w:p>
            <w:pPr>
              <w:spacing w:after="0"/>
              <w:rPr>
                <w:sz w:val="14"/>
                <w:szCs w:val="14"/>
                <w:color w:val="auto"/>
              </w:rPr>
            </w:pPr>
          </w:p>
        </w:tc>
        <w:tc>
          <w:tcPr>
            <w:tcW w:w="4800" w:type="dxa"/>
            <w:vAlign w:val="bottom"/>
          </w:tcPr>
          <w:p>
            <w:pPr>
              <w:spacing w:after="0"/>
              <w:rPr>
                <w:sz w:val="20"/>
                <w:szCs w:val="20"/>
                <w:color w:val="auto"/>
              </w:rPr>
            </w:pPr>
            <w:r>
              <w:rPr>
                <w:rFonts w:ascii="Arial" w:cs="Arial" w:eastAsia="Arial" w:hAnsi="Arial"/>
                <w:sz w:val="13"/>
                <w:szCs w:val="13"/>
                <w:color w:val="auto"/>
              </w:rPr>
              <w:t>Translation adjustments related to acquisitions in prior years</w:t>
            </w:r>
          </w:p>
        </w:tc>
        <w:tc>
          <w:tcPr>
            <w:tcW w:w="80" w:type="dxa"/>
            <w:vAlign w:val="bottom"/>
          </w:tcPr>
          <w:p>
            <w:pPr>
              <w:spacing w:after="0"/>
              <w:rPr>
                <w:sz w:val="14"/>
                <w:szCs w:val="14"/>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3"/>
                <w:szCs w:val="13"/>
                <w:color w:val="auto"/>
              </w:rPr>
              <w:t>(4.4)</w:t>
            </w:r>
          </w:p>
        </w:tc>
        <w:tc>
          <w:tcPr>
            <w:tcW w:w="80" w:type="dxa"/>
            <w:vAlign w:val="bottom"/>
          </w:tcPr>
          <w:p>
            <w:pPr>
              <w:spacing w:after="0"/>
              <w:rPr>
                <w:sz w:val="14"/>
                <w:szCs w:val="14"/>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3"/>
                <w:szCs w:val="13"/>
                <w:color w:val="auto"/>
              </w:rPr>
              <w:t>(0.8)</w:t>
            </w:r>
          </w:p>
        </w:tc>
        <w:tc>
          <w:tcPr>
            <w:tcW w:w="100" w:type="dxa"/>
            <w:vAlign w:val="bottom"/>
          </w:tcPr>
          <w:p>
            <w:pPr>
              <w:spacing w:after="0"/>
              <w:rPr>
                <w:sz w:val="14"/>
                <w:szCs w:val="14"/>
                <w:color w:val="auto"/>
              </w:rPr>
            </w:pPr>
          </w:p>
        </w:tc>
        <w:tc>
          <w:tcPr>
            <w:tcW w:w="800" w:type="dxa"/>
            <w:vAlign w:val="bottom"/>
            <w:gridSpan w:val="2"/>
          </w:tcPr>
          <w:p>
            <w:pPr>
              <w:jc w:val="right"/>
              <w:ind w:right="313"/>
              <w:spacing w:after="0"/>
              <w:rPr>
                <w:sz w:val="20"/>
                <w:szCs w:val="20"/>
                <w:color w:val="auto"/>
              </w:rPr>
            </w:pPr>
            <w:r>
              <w:rPr>
                <w:rFonts w:ascii="Arial" w:cs="Arial" w:eastAsia="Arial" w:hAnsi="Arial"/>
                <w:sz w:val="13"/>
                <w:szCs w:val="13"/>
                <w:color w:val="auto"/>
              </w:rPr>
              <w:t>(5.2)</w:t>
            </w:r>
          </w:p>
        </w:tc>
        <w:tc>
          <w:tcPr>
            <w:tcW w:w="80" w:type="dxa"/>
            <w:vAlign w:val="bottom"/>
          </w:tcPr>
          <w:p>
            <w:pPr>
              <w:spacing w:after="0"/>
              <w:rPr>
                <w:sz w:val="14"/>
                <w:szCs w:val="14"/>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3"/>
                <w:szCs w:val="13"/>
                <w:color w:val="auto"/>
              </w:rPr>
              <w:t>1.4</w:t>
            </w:r>
          </w:p>
        </w:tc>
        <w:tc>
          <w:tcPr>
            <w:tcW w:w="480" w:type="dxa"/>
            <w:vAlign w:val="bottom"/>
            <w:gridSpan w:val="2"/>
          </w:tcPr>
          <w:p>
            <w:pPr>
              <w:jc w:val="right"/>
              <w:ind w:right="80"/>
              <w:spacing w:after="0"/>
              <w:rPr>
                <w:sz w:val="20"/>
                <w:szCs w:val="20"/>
                <w:color w:val="auto"/>
              </w:rPr>
            </w:pPr>
            <w:r>
              <w:rPr>
                <w:rFonts w:ascii="Arial" w:cs="Arial" w:eastAsia="Arial" w:hAnsi="Arial"/>
                <w:sz w:val="13"/>
                <w:szCs w:val="13"/>
                <w:color w:val="auto"/>
              </w:rPr>
              <w:t>1.4</w:t>
            </w:r>
          </w:p>
        </w:tc>
        <w:tc>
          <w:tcPr>
            <w:tcW w:w="800" w:type="dxa"/>
            <w:vAlign w:val="bottom"/>
          </w:tcPr>
          <w:p>
            <w:pPr>
              <w:spacing w:after="0"/>
              <w:rPr>
                <w:sz w:val="14"/>
                <w:szCs w:val="14"/>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1"/>
        </w:trPr>
        <w:tc>
          <w:tcPr>
            <w:tcW w:w="680" w:type="dxa"/>
            <w:vAlign w:val="bottom"/>
          </w:tcPr>
          <w:p>
            <w:pPr>
              <w:spacing w:after="0"/>
              <w:rPr>
                <w:sz w:val="14"/>
                <w:szCs w:val="14"/>
                <w:color w:val="auto"/>
              </w:rPr>
            </w:pPr>
          </w:p>
        </w:tc>
        <w:tc>
          <w:tcPr>
            <w:tcW w:w="48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3.2</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353"/>
              <w:spacing w:after="0"/>
              <w:rPr>
                <w:sz w:val="20"/>
                <w:szCs w:val="20"/>
                <w:color w:val="auto"/>
              </w:rPr>
            </w:pPr>
            <w:r>
              <w:rPr>
                <w:rFonts w:ascii="Arial" w:cs="Arial" w:eastAsia="Arial" w:hAnsi="Arial"/>
                <w:sz w:val="13"/>
                <w:szCs w:val="13"/>
                <w:color w:val="auto"/>
              </w:rPr>
              <w:t>3.2</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36.2</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248.0</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87"/>
              </w:rPr>
              <w:t>$ 284.2</w:t>
            </w:r>
          </w:p>
        </w:tc>
        <w:tc>
          <w:tcPr>
            <w:tcW w:w="800" w:type="dxa"/>
            <w:vAlign w:val="bottom"/>
          </w:tcPr>
          <w:p>
            <w:pPr>
              <w:spacing w:after="0"/>
              <w:rPr>
                <w:sz w:val="14"/>
                <w:szCs w:val="14"/>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44"/>
        </w:trPr>
        <w:tc>
          <w:tcPr>
            <w:tcW w:w="68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jc w:val="center"/>
              <w:ind w:right="35"/>
              <w:spacing w:after="0"/>
              <w:rPr>
                <w:sz w:val="20"/>
                <w:szCs w:val="20"/>
                <w:color w:val="auto"/>
              </w:rPr>
            </w:pPr>
            <w:r>
              <w:rPr>
                <w:rFonts w:ascii="Arial" w:cs="Arial" w:eastAsia="Arial" w:hAnsi="Arial"/>
                <w:sz w:val="13"/>
                <w:szCs w:val="13"/>
                <w:color w:val="auto"/>
                <w:w w:val="96"/>
              </w:rPr>
              <w:t>84</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7"/>
        </w:trPr>
        <w:tc>
          <w:tcPr>
            <w:tcW w:w="680" w:type="dxa"/>
            <w:vAlign w:val="bottom"/>
            <w:tcBorders>
              <w:bottom w:val="single" w:sz="8" w:color="808080"/>
            </w:tcBorders>
          </w:tcPr>
          <w:p>
            <w:pPr>
              <w:spacing w:after="0"/>
              <w:rPr>
                <w:sz w:val="14"/>
                <w:szCs w:val="14"/>
                <w:color w:val="auto"/>
              </w:rPr>
            </w:pPr>
          </w:p>
        </w:tc>
        <w:tc>
          <w:tcPr>
            <w:tcW w:w="48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6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6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12700" cy="63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9" w:right="219" w:bottom="1440" w:gutter="0" w:footer="0" w:header="0"/>
        </w:sectPr>
      </w:pPr>
    </w:p>
    <w:bookmarkStart w:id="85" w:name="page86"/>
    <w:bookmarkEnd w:id="8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6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HARRIS STRATEX NETWORKS, INC. AND SUBSIDIARIES</w:t>
      </w:r>
    </w:p>
    <w:p>
      <w:pPr>
        <w:spacing w:after="0" w:line="102"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6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Summary of Identifiable Intangible Assets</w:t>
      </w:r>
    </w:p>
    <w:p>
      <w:pPr>
        <w:spacing w:after="0" w:line="104" w:lineRule="exact"/>
        <w:rPr>
          <w:sz w:val="20"/>
          <w:szCs w:val="20"/>
          <w:color w:val="auto"/>
        </w:rPr>
      </w:pPr>
    </w:p>
    <w:p>
      <w:pPr>
        <w:jc w:val="both"/>
        <w:ind w:left="680" w:right="220" w:firstLine="399"/>
        <w:spacing w:after="0" w:line="276" w:lineRule="auto"/>
        <w:rPr>
          <w:sz w:val="20"/>
          <w:szCs w:val="20"/>
          <w:color w:val="auto"/>
        </w:rPr>
      </w:pPr>
      <w:r>
        <w:rPr>
          <w:rFonts w:ascii="Arial" w:cs="Arial" w:eastAsia="Arial" w:hAnsi="Arial"/>
          <w:sz w:val="13"/>
          <w:szCs w:val="13"/>
          <w:color w:val="auto"/>
        </w:rPr>
        <w:t>In addition to the identifiable intangible assets from the Telsima and Stratex acquisitions, we have other identifiable intangible assets related primarily to technology obtained through acquisitions prior to fiscal 2006. Our other identifiable intangible assets are being amortized over their useful estimated economic lives, which range from two to 17 years. A summary of all of our identifiable intangible assets is presented below:</w:t>
      </w:r>
    </w:p>
    <w:p>
      <w:pPr>
        <w:spacing w:after="0" w:line="64" w:lineRule="exact"/>
        <w:rPr>
          <w:sz w:val="20"/>
          <w:szCs w:val="20"/>
          <w:color w:val="auto"/>
        </w:rPr>
      </w:pPr>
    </w:p>
    <w:tbl>
      <w:tblPr>
        <w:tblLayout w:type="fixed"/>
        <w:tblInd w:w="680" w:type="dxa"/>
        <w:tblCellMar>
          <w:top w:w="0" w:type="dxa"/>
          <w:left w:w="0" w:type="dxa"/>
          <w:bottom w:w="0" w:type="dxa"/>
          <w:right w:w="0" w:type="dxa"/>
        </w:tblCellMar>
      </w:tblPr>
      <w:tr>
        <w:trPr>
          <w:trHeight w:val="103"/>
        </w:trPr>
        <w:tc>
          <w:tcPr>
            <w:tcW w:w="54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gridSpan w:val="2"/>
          </w:tcPr>
          <w:p>
            <w:pPr>
              <w:jc w:val="center"/>
              <w:ind w:right="140"/>
              <w:spacing w:after="0"/>
              <w:rPr>
                <w:sz w:val="20"/>
                <w:szCs w:val="20"/>
                <w:color w:val="auto"/>
              </w:rPr>
            </w:pPr>
            <w:r>
              <w:rPr>
                <w:rFonts w:ascii="Arial" w:cs="Arial" w:eastAsia="Arial" w:hAnsi="Arial"/>
                <w:sz w:val="9"/>
                <w:szCs w:val="9"/>
                <w:b w:val="1"/>
                <w:bCs w:val="1"/>
                <w:color w:val="auto"/>
                <w:w w:val="92"/>
              </w:rPr>
              <w:t>Total</w:t>
            </w:r>
          </w:p>
        </w:tc>
        <w:tc>
          <w:tcPr>
            <w:tcW w:w="0" w:type="dxa"/>
            <w:vAlign w:val="bottom"/>
          </w:tcPr>
          <w:p>
            <w:pPr>
              <w:spacing w:after="0"/>
              <w:rPr>
                <w:sz w:val="1"/>
                <w:szCs w:val="1"/>
                <w:color w:val="auto"/>
              </w:rPr>
            </w:pPr>
          </w:p>
        </w:tc>
      </w:tr>
      <w:tr>
        <w:trPr>
          <w:trHeight w:val="101"/>
        </w:trPr>
        <w:tc>
          <w:tcPr>
            <w:tcW w:w="54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gridSpan w:val="2"/>
          </w:tcPr>
          <w:p>
            <w:pPr>
              <w:jc w:val="center"/>
              <w:ind w:right="240"/>
              <w:spacing w:after="0" w:line="101" w:lineRule="exact"/>
              <w:rPr>
                <w:sz w:val="20"/>
                <w:szCs w:val="20"/>
                <w:color w:val="auto"/>
              </w:rPr>
            </w:pPr>
            <w:r>
              <w:rPr>
                <w:rFonts w:ascii="Arial" w:cs="Arial" w:eastAsia="Arial" w:hAnsi="Arial"/>
                <w:sz w:val="9"/>
                <w:szCs w:val="9"/>
                <w:b w:val="1"/>
                <w:bCs w:val="1"/>
                <w:color w:val="auto"/>
                <w:w w:val="97"/>
              </w:rPr>
              <w:t>Non-</w:t>
            </w:r>
          </w:p>
        </w:tc>
        <w:tc>
          <w:tcPr>
            <w:tcW w:w="60" w:type="dxa"/>
            <w:vAlign w:val="bottom"/>
          </w:tcPr>
          <w:p>
            <w:pPr>
              <w:spacing w:after="0"/>
              <w:rPr>
                <w:sz w:val="8"/>
                <w:szCs w:val="8"/>
                <w:color w:val="auto"/>
              </w:rPr>
            </w:pPr>
          </w:p>
        </w:tc>
        <w:tc>
          <w:tcPr>
            <w:tcW w:w="620" w:type="dxa"/>
            <w:vAlign w:val="bottom"/>
            <w:gridSpan w:val="2"/>
          </w:tcPr>
          <w:p>
            <w:pPr>
              <w:jc w:val="center"/>
              <w:ind w:right="140"/>
              <w:spacing w:after="0" w:line="101" w:lineRule="exact"/>
              <w:rPr>
                <w:sz w:val="20"/>
                <w:szCs w:val="20"/>
                <w:color w:val="auto"/>
              </w:rPr>
            </w:pPr>
            <w:r>
              <w:rPr>
                <w:rFonts w:ascii="Arial" w:cs="Arial" w:eastAsia="Arial" w:hAnsi="Arial"/>
                <w:sz w:val="9"/>
                <w:szCs w:val="9"/>
                <w:b w:val="1"/>
                <w:bCs w:val="1"/>
                <w:color w:val="auto"/>
              </w:rPr>
              <w:t>Identifiable</w:t>
            </w:r>
          </w:p>
        </w:tc>
        <w:tc>
          <w:tcPr>
            <w:tcW w:w="0" w:type="dxa"/>
            <w:vAlign w:val="bottom"/>
          </w:tcPr>
          <w:p>
            <w:pPr>
              <w:spacing w:after="0"/>
              <w:rPr>
                <w:sz w:val="1"/>
                <w:szCs w:val="1"/>
                <w:color w:val="auto"/>
              </w:rPr>
            </w:pPr>
          </w:p>
        </w:tc>
      </w:tr>
      <w:tr>
        <w:trPr>
          <w:trHeight w:val="101"/>
        </w:trPr>
        <w:tc>
          <w:tcPr>
            <w:tcW w:w="54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tcPr>
          <w:p>
            <w:pPr>
              <w:jc w:val="right"/>
              <w:ind w:right="280"/>
              <w:spacing w:after="0" w:line="101" w:lineRule="exact"/>
              <w:rPr>
                <w:sz w:val="20"/>
                <w:szCs w:val="20"/>
                <w:color w:val="auto"/>
              </w:rPr>
            </w:pPr>
            <w:r>
              <w:rPr>
                <w:rFonts w:ascii="Arial" w:cs="Arial" w:eastAsia="Arial" w:hAnsi="Arial"/>
                <w:sz w:val="9"/>
                <w:szCs w:val="9"/>
                <w:b w:val="1"/>
                <w:bCs w:val="1"/>
                <w:color w:val="auto"/>
                <w:w w:val="96"/>
              </w:rPr>
              <w:t>Developed</w:t>
            </w: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gridSpan w:val="2"/>
          </w:tcPr>
          <w:p>
            <w:pPr>
              <w:jc w:val="right"/>
              <w:ind w:right="360"/>
              <w:spacing w:after="0" w:line="101" w:lineRule="exact"/>
              <w:rPr>
                <w:sz w:val="20"/>
                <w:szCs w:val="20"/>
                <w:color w:val="auto"/>
              </w:rPr>
            </w:pPr>
            <w:r>
              <w:rPr>
                <w:rFonts w:ascii="Arial" w:cs="Arial" w:eastAsia="Arial" w:hAnsi="Arial"/>
                <w:sz w:val="9"/>
                <w:szCs w:val="9"/>
                <w:b w:val="1"/>
                <w:bCs w:val="1"/>
                <w:color w:val="auto"/>
              </w:rPr>
              <w:t>Customer</w:t>
            </w:r>
          </w:p>
        </w:tc>
        <w:tc>
          <w:tcPr>
            <w:tcW w:w="600" w:type="dxa"/>
            <w:vAlign w:val="bottom"/>
            <w:gridSpan w:val="3"/>
          </w:tcPr>
          <w:p>
            <w:pPr>
              <w:jc w:val="right"/>
              <w:ind w:right="220"/>
              <w:spacing w:after="0" w:line="101" w:lineRule="exact"/>
              <w:rPr>
                <w:sz w:val="20"/>
                <w:szCs w:val="20"/>
                <w:color w:val="auto"/>
              </w:rPr>
            </w:pPr>
            <w:r>
              <w:rPr>
                <w:rFonts w:ascii="Arial" w:cs="Arial" w:eastAsia="Arial" w:hAnsi="Arial"/>
                <w:sz w:val="9"/>
                <w:szCs w:val="9"/>
                <w:b w:val="1"/>
                <w:bCs w:val="1"/>
                <w:color w:val="auto"/>
                <w:w w:val="97"/>
              </w:rPr>
              <w:t>Contract</w:t>
            </w:r>
          </w:p>
        </w:tc>
        <w:tc>
          <w:tcPr>
            <w:tcW w:w="60" w:type="dxa"/>
            <w:vAlign w:val="bottom"/>
          </w:tcPr>
          <w:p>
            <w:pPr>
              <w:spacing w:after="0"/>
              <w:rPr>
                <w:sz w:val="8"/>
                <w:szCs w:val="8"/>
                <w:color w:val="auto"/>
              </w:rPr>
            </w:pPr>
          </w:p>
        </w:tc>
        <w:tc>
          <w:tcPr>
            <w:tcW w:w="720" w:type="dxa"/>
            <w:vAlign w:val="bottom"/>
            <w:gridSpan w:val="2"/>
          </w:tcPr>
          <w:p>
            <w:pPr>
              <w:jc w:val="center"/>
              <w:ind w:right="240"/>
              <w:spacing w:after="0" w:line="101" w:lineRule="exact"/>
              <w:rPr>
                <w:sz w:val="20"/>
                <w:szCs w:val="20"/>
                <w:color w:val="auto"/>
              </w:rPr>
            </w:pPr>
            <w:r>
              <w:rPr>
                <w:rFonts w:ascii="Arial" w:cs="Arial" w:eastAsia="Arial" w:hAnsi="Arial"/>
                <w:sz w:val="9"/>
                <w:szCs w:val="9"/>
                <w:b w:val="1"/>
                <w:bCs w:val="1"/>
                <w:color w:val="auto"/>
                <w:w w:val="93"/>
              </w:rPr>
              <w:t>Compete</w:t>
            </w:r>
          </w:p>
        </w:tc>
        <w:tc>
          <w:tcPr>
            <w:tcW w:w="60" w:type="dxa"/>
            <w:vAlign w:val="bottom"/>
          </w:tcPr>
          <w:p>
            <w:pPr>
              <w:spacing w:after="0"/>
              <w:rPr>
                <w:sz w:val="8"/>
                <w:szCs w:val="8"/>
                <w:color w:val="auto"/>
              </w:rPr>
            </w:pPr>
          </w:p>
        </w:tc>
        <w:tc>
          <w:tcPr>
            <w:tcW w:w="620" w:type="dxa"/>
            <w:vAlign w:val="bottom"/>
            <w:gridSpan w:val="2"/>
          </w:tcPr>
          <w:p>
            <w:pPr>
              <w:jc w:val="center"/>
              <w:ind w:right="140"/>
              <w:spacing w:after="0" w:line="101" w:lineRule="exact"/>
              <w:rPr>
                <w:sz w:val="20"/>
                <w:szCs w:val="20"/>
                <w:color w:val="auto"/>
              </w:rPr>
            </w:pPr>
            <w:r>
              <w:rPr>
                <w:rFonts w:ascii="Arial" w:cs="Arial" w:eastAsia="Arial" w:hAnsi="Arial"/>
                <w:sz w:val="9"/>
                <w:szCs w:val="9"/>
                <w:b w:val="1"/>
                <w:bCs w:val="1"/>
                <w:color w:val="auto"/>
                <w:w w:val="93"/>
              </w:rPr>
              <w:t>Intangible</w:t>
            </w:r>
          </w:p>
        </w:tc>
        <w:tc>
          <w:tcPr>
            <w:tcW w:w="0" w:type="dxa"/>
            <w:vAlign w:val="bottom"/>
          </w:tcPr>
          <w:p>
            <w:pPr>
              <w:spacing w:after="0"/>
              <w:rPr>
                <w:sz w:val="1"/>
                <w:szCs w:val="1"/>
                <w:color w:val="auto"/>
              </w:rPr>
            </w:pPr>
          </w:p>
        </w:tc>
      </w:tr>
      <w:tr>
        <w:trPr>
          <w:trHeight w:val="114"/>
        </w:trPr>
        <w:tc>
          <w:tcPr>
            <w:tcW w:w="54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jc w:val="right"/>
              <w:ind w:right="27"/>
              <w:spacing w:after="0"/>
              <w:rPr>
                <w:sz w:val="20"/>
                <w:szCs w:val="20"/>
                <w:color w:val="auto"/>
              </w:rPr>
            </w:pPr>
            <w:r>
              <w:rPr>
                <w:rFonts w:ascii="Arial" w:cs="Arial" w:eastAsia="Arial" w:hAnsi="Arial"/>
                <w:sz w:val="9"/>
                <w:szCs w:val="9"/>
                <w:b w:val="1"/>
                <w:bCs w:val="1"/>
                <w:color w:val="auto"/>
                <w:w w:val="87"/>
              </w:rPr>
              <w:t>Technology</w:t>
            </w:r>
          </w:p>
        </w:tc>
        <w:tc>
          <w:tcPr>
            <w:tcW w:w="2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w w:val="90"/>
              </w:rPr>
              <w:t>Tradenames</w:t>
            </w: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jc w:val="right"/>
              <w:ind w:right="27"/>
              <w:spacing w:after="0"/>
              <w:rPr>
                <w:sz w:val="20"/>
                <w:szCs w:val="20"/>
                <w:color w:val="auto"/>
              </w:rPr>
            </w:pPr>
            <w:r>
              <w:rPr>
                <w:rFonts w:ascii="Arial" w:cs="Arial" w:eastAsia="Arial" w:hAnsi="Arial"/>
                <w:sz w:val="9"/>
                <w:szCs w:val="9"/>
                <w:b w:val="1"/>
                <w:bCs w:val="1"/>
                <w:color w:val="auto"/>
                <w:w w:val="91"/>
              </w:rPr>
              <w:t>Relationships</w:t>
            </w:r>
          </w:p>
        </w:tc>
        <w:tc>
          <w:tcPr>
            <w:tcW w:w="200" w:type="dxa"/>
            <w:vAlign w:val="bottom"/>
          </w:tcPr>
          <w:p>
            <w:pPr>
              <w:spacing w:after="0"/>
              <w:rPr>
                <w:sz w:val="9"/>
                <w:szCs w:val="9"/>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9"/>
                <w:szCs w:val="9"/>
                <w:b w:val="1"/>
                <w:bCs w:val="1"/>
                <w:color w:val="auto"/>
                <w:w w:val="96"/>
              </w:rPr>
              <w:t>Backlog</w:t>
            </w:r>
          </w:p>
        </w:tc>
        <w:tc>
          <w:tcPr>
            <w:tcW w:w="2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jc w:val="center"/>
              <w:ind w:right="7"/>
              <w:spacing w:after="0"/>
              <w:rPr>
                <w:sz w:val="20"/>
                <w:szCs w:val="20"/>
                <w:color w:val="auto"/>
              </w:rPr>
            </w:pPr>
            <w:r>
              <w:rPr>
                <w:rFonts w:ascii="Arial" w:cs="Arial" w:eastAsia="Arial" w:hAnsi="Arial"/>
                <w:sz w:val="9"/>
                <w:szCs w:val="9"/>
                <w:b w:val="1"/>
                <w:bCs w:val="1"/>
                <w:color w:val="auto"/>
                <w:w w:val="92"/>
              </w:rPr>
              <w:t>Agreements</w:t>
            </w:r>
          </w:p>
        </w:tc>
        <w:tc>
          <w:tcPr>
            <w:tcW w:w="1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jc w:val="center"/>
              <w:ind w:right="8"/>
              <w:spacing w:after="0"/>
              <w:rPr>
                <w:sz w:val="20"/>
                <w:szCs w:val="20"/>
                <w:color w:val="auto"/>
              </w:rPr>
            </w:pPr>
            <w:r>
              <w:rPr>
                <w:rFonts w:ascii="Arial" w:cs="Arial" w:eastAsia="Arial" w:hAnsi="Arial"/>
                <w:sz w:val="9"/>
                <w:szCs w:val="9"/>
                <w:b w:val="1"/>
                <w:bCs w:val="1"/>
                <w:color w:val="auto"/>
                <w:w w:val="81"/>
              </w:rPr>
              <w:t>Assets</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5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9"/>
                <w:szCs w:val="9"/>
                <w:b w:val="1"/>
                <w:bCs w:val="1"/>
                <w:color w:val="auto"/>
              </w:rPr>
              <w:t>(In millions)</w:t>
            </w: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5400" w:type="dxa"/>
            <w:vAlign w:val="bottom"/>
            <w:shd w:val="clear" w:color="auto" w:fill="CCEEFF"/>
          </w:tcPr>
          <w:p>
            <w:pPr>
              <w:spacing w:after="0" w:line="121" w:lineRule="exact"/>
              <w:rPr>
                <w:sz w:val="20"/>
                <w:szCs w:val="20"/>
                <w:color w:val="auto"/>
              </w:rPr>
            </w:pPr>
            <w:r>
              <w:rPr>
                <w:rFonts w:ascii="Arial" w:cs="Arial" w:eastAsia="Arial" w:hAnsi="Arial"/>
                <w:sz w:val="11"/>
                <w:szCs w:val="11"/>
                <w:color w:val="auto"/>
              </w:rPr>
              <w:t>Gross identifiable intangible assets as of June 30, 2006</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200"/>
              <w:spacing w:after="0" w:line="121" w:lineRule="exact"/>
              <w:rPr>
                <w:sz w:val="20"/>
                <w:szCs w:val="20"/>
                <w:color w:val="auto"/>
              </w:rPr>
            </w:pPr>
            <w:r>
              <w:rPr>
                <w:rFonts w:ascii="Arial" w:cs="Arial" w:eastAsia="Arial" w:hAnsi="Arial"/>
                <w:sz w:val="11"/>
                <w:szCs w:val="11"/>
                <w:color w:val="auto"/>
              </w:rPr>
              <w:t>12.8</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180"/>
              <w:spacing w:after="0" w:line="121"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200"/>
              <w:spacing w:after="0" w:line="121"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200"/>
              <w:spacing w:after="0" w:line="121"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180"/>
              <w:spacing w:after="0" w:line="121"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1"/>
                <w:szCs w:val="11"/>
                <w:color w:val="auto"/>
              </w:rPr>
              <w:t>12.8</w:t>
            </w:r>
          </w:p>
        </w:tc>
        <w:tc>
          <w:tcPr>
            <w:tcW w:w="0" w:type="dxa"/>
            <w:vAlign w:val="bottom"/>
          </w:tcPr>
          <w:p>
            <w:pPr>
              <w:spacing w:after="0"/>
              <w:rPr>
                <w:sz w:val="1"/>
                <w:szCs w:val="1"/>
                <w:color w:val="auto"/>
              </w:rPr>
            </w:pPr>
          </w:p>
        </w:tc>
      </w:tr>
      <w:tr>
        <w:trPr>
          <w:trHeight w:val="111"/>
        </w:trPr>
        <w:tc>
          <w:tcPr>
            <w:tcW w:w="5400" w:type="dxa"/>
            <w:vAlign w:val="bottom"/>
          </w:tcPr>
          <w:p>
            <w:pPr>
              <w:spacing w:after="0" w:line="111" w:lineRule="exact"/>
              <w:rPr>
                <w:sz w:val="20"/>
                <w:szCs w:val="20"/>
                <w:color w:val="auto"/>
              </w:rPr>
            </w:pPr>
            <w:r>
              <w:rPr>
                <w:rFonts w:ascii="Arial" w:cs="Arial" w:eastAsia="Arial" w:hAnsi="Arial"/>
                <w:sz w:val="11"/>
                <w:szCs w:val="11"/>
                <w:color w:val="auto"/>
              </w:rPr>
              <w:t>Less accumulated amortization</w:t>
            </w:r>
          </w:p>
        </w:tc>
        <w:tc>
          <w:tcPr>
            <w:tcW w:w="60" w:type="dxa"/>
            <w:vAlign w:val="bottom"/>
          </w:tcPr>
          <w:p>
            <w:pPr>
              <w:spacing w:after="0"/>
              <w:rPr>
                <w:sz w:val="9"/>
                <w:szCs w:val="9"/>
                <w:color w:val="auto"/>
              </w:rPr>
            </w:pPr>
          </w:p>
        </w:tc>
        <w:tc>
          <w:tcPr>
            <w:tcW w:w="740" w:type="dxa"/>
            <w:vAlign w:val="bottom"/>
            <w:gridSpan w:val="2"/>
          </w:tcPr>
          <w:p>
            <w:pPr>
              <w:jc w:val="right"/>
              <w:ind w:right="160"/>
              <w:spacing w:after="0" w:line="111" w:lineRule="exact"/>
              <w:rPr>
                <w:sz w:val="20"/>
                <w:szCs w:val="20"/>
                <w:color w:val="auto"/>
              </w:rPr>
            </w:pPr>
            <w:r>
              <w:rPr>
                <w:rFonts w:ascii="Arial" w:cs="Arial" w:eastAsia="Arial" w:hAnsi="Arial"/>
                <w:sz w:val="11"/>
                <w:szCs w:val="11"/>
                <w:color w:val="auto"/>
              </w:rPr>
              <w:t>(6.4)</w:t>
            </w:r>
          </w:p>
        </w:tc>
        <w:tc>
          <w:tcPr>
            <w:tcW w:w="60" w:type="dxa"/>
            <w:vAlign w:val="bottom"/>
          </w:tcPr>
          <w:p>
            <w:pPr>
              <w:spacing w:after="0"/>
              <w:rPr>
                <w:sz w:val="9"/>
                <w:szCs w:val="9"/>
                <w:color w:val="auto"/>
              </w:rPr>
            </w:pPr>
          </w:p>
        </w:tc>
        <w:tc>
          <w:tcPr>
            <w:tcW w:w="740" w:type="dxa"/>
            <w:vAlign w:val="bottom"/>
            <w:gridSpan w:val="2"/>
          </w:tcPr>
          <w:p>
            <w:pPr>
              <w:jc w:val="right"/>
              <w:ind w:right="180"/>
              <w:spacing w:after="0" w:line="111"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840" w:type="dxa"/>
            <w:vAlign w:val="bottom"/>
            <w:gridSpan w:val="2"/>
          </w:tcPr>
          <w:p>
            <w:pPr>
              <w:jc w:val="right"/>
              <w:ind w:right="200"/>
              <w:spacing w:after="0" w:line="111"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460" w:type="dxa"/>
            <w:vAlign w:val="bottom"/>
            <w:gridSpan w:val="2"/>
          </w:tcPr>
          <w:p>
            <w:pPr>
              <w:jc w:val="right"/>
              <w:ind w:right="200"/>
              <w:spacing w:after="0" w:line="111"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720" w:type="dxa"/>
            <w:vAlign w:val="bottom"/>
            <w:gridSpan w:val="2"/>
          </w:tcPr>
          <w:p>
            <w:pPr>
              <w:jc w:val="right"/>
              <w:ind w:right="180"/>
              <w:spacing w:after="0" w:line="111"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620" w:type="dxa"/>
            <w:vAlign w:val="bottom"/>
            <w:gridSpan w:val="2"/>
          </w:tcPr>
          <w:p>
            <w:pPr>
              <w:jc w:val="right"/>
              <w:ind w:right="60"/>
              <w:spacing w:after="0" w:line="111" w:lineRule="exact"/>
              <w:rPr>
                <w:sz w:val="20"/>
                <w:szCs w:val="20"/>
                <w:color w:val="auto"/>
              </w:rPr>
            </w:pPr>
            <w:r>
              <w:rPr>
                <w:rFonts w:ascii="Arial" w:cs="Arial" w:eastAsia="Arial" w:hAnsi="Arial"/>
                <w:sz w:val="11"/>
                <w:szCs w:val="11"/>
                <w:color w:val="auto"/>
              </w:rPr>
              <w:t>(6.4)</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5400" w:type="dxa"/>
            <w:vAlign w:val="bottom"/>
            <w:shd w:val="clear" w:color="auto" w:fill="CCEEFF"/>
          </w:tcPr>
          <w:p>
            <w:pPr>
              <w:spacing w:after="0" w:line="111" w:lineRule="exact"/>
              <w:rPr>
                <w:sz w:val="20"/>
                <w:szCs w:val="20"/>
                <w:color w:val="auto"/>
              </w:rPr>
            </w:pPr>
            <w:r>
              <w:rPr>
                <w:rFonts w:ascii="Arial" w:cs="Arial" w:eastAsia="Arial" w:hAnsi="Arial"/>
                <w:sz w:val="11"/>
                <w:szCs w:val="11"/>
                <w:color w:val="auto"/>
              </w:rPr>
              <w:t>Net identifiable intangible assets as of June 30, 2006</w:t>
            </w:r>
          </w:p>
        </w:tc>
        <w:tc>
          <w:tcPr>
            <w:tcW w:w="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200"/>
              <w:spacing w:after="0" w:line="111" w:lineRule="exact"/>
              <w:rPr>
                <w:sz w:val="20"/>
                <w:szCs w:val="20"/>
                <w:color w:val="auto"/>
              </w:rPr>
            </w:pPr>
            <w:r>
              <w:rPr>
                <w:rFonts w:ascii="Arial" w:cs="Arial" w:eastAsia="Arial" w:hAnsi="Arial"/>
                <w:sz w:val="11"/>
                <w:szCs w:val="11"/>
                <w:color w:val="auto"/>
              </w:rPr>
              <w:t>6.4</w:t>
            </w:r>
          </w:p>
        </w:tc>
        <w:tc>
          <w:tcPr>
            <w:tcW w:w="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200"/>
              <w:spacing w:after="0" w:line="111"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200"/>
              <w:spacing w:after="0" w:line="111"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80"/>
              <w:spacing w:after="0" w:line="111" w:lineRule="exact"/>
              <w:rPr>
                <w:sz w:val="20"/>
                <w:szCs w:val="20"/>
                <w:color w:val="auto"/>
              </w:rPr>
            </w:pPr>
            <w:r>
              <w:rPr>
                <w:rFonts w:ascii="Arial" w:cs="Arial" w:eastAsia="Arial" w:hAnsi="Arial"/>
                <w:sz w:val="11"/>
                <w:szCs w:val="11"/>
                <w:color w:val="auto"/>
              </w:rPr>
              <w:t>6.4</w:t>
            </w:r>
          </w:p>
        </w:tc>
        <w:tc>
          <w:tcPr>
            <w:tcW w:w="0" w:type="dxa"/>
            <w:vAlign w:val="bottom"/>
          </w:tcPr>
          <w:p>
            <w:pPr>
              <w:spacing w:after="0"/>
              <w:rPr>
                <w:sz w:val="1"/>
                <w:szCs w:val="1"/>
                <w:color w:val="auto"/>
              </w:rPr>
            </w:pPr>
          </w:p>
        </w:tc>
      </w:tr>
      <w:tr>
        <w:trPr>
          <w:trHeight w:val="111"/>
        </w:trPr>
        <w:tc>
          <w:tcPr>
            <w:tcW w:w="5400" w:type="dxa"/>
            <w:vAlign w:val="bottom"/>
          </w:tcPr>
          <w:p>
            <w:pPr>
              <w:spacing w:after="0" w:line="111" w:lineRule="exact"/>
              <w:rPr>
                <w:sz w:val="20"/>
                <w:szCs w:val="20"/>
                <w:color w:val="auto"/>
              </w:rPr>
            </w:pPr>
            <w:r>
              <w:rPr>
                <w:rFonts w:ascii="Arial" w:cs="Arial" w:eastAsia="Arial" w:hAnsi="Arial"/>
                <w:sz w:val="11"/>
                <w:szCs w:val="11"/>
                <w:color w:val="auto"/>
              </w:rPr>
              <w:t>Add: acquired fair value of Stratex identifiable intangible assets</w:t>
            </w:r>
          </w:p>
        </w:tc>
        <w:tc>
          <w:tcPr>
            <w:tcW w:w="60" w:type="dxa"/>
            <w:vAlign w:val="bottom"/>
          </w:tcPr>
          <w:p>
            <w:pPr>
              <w:spacing w:after="0"/>
              <w:rPr>
                <w:sz w:val="9"/>
                <w:szCs w:val="9"/>
                <w:color w:val="auto"/>
              </w:rPr>
            </w:pPr>
          </w:p>
        </w:tc>
        <w:tc>
          <w:tcPr>
            <w:tcW w:w="740" w:type="dxa"/>
            <w:vAlign w:val="bottom"/>
            <w:gridSpan w:val="2"/>
          </w:tcPr>
          <w:p>
            <w:pPr>
              <w:jc w:val="right"/>
              <w:ind w:right="200"/>
              <w:spacing w:after="0" w:line="111" w:lineRule="exact"/>
              <w:rPr>
                <w:sz w:val="20"/>
                <w:szCs w:val="20"/>
                <w:color w:val="auto"/>
              </w:rPr>
            </w:pPr>
            <w:r>
              <w:rPr>
                <w:rFonts w:ascii="Arial" w:cs="Arial" w:eastAsia="Arial" w:hAnsi="Arial"/>
                <w:sz w:val="11"/>
                <w:szCs w:val="11"/>
                <w:color w:val="auto"/>
              </w:rPr>
              <w:t>70.1</w:t>
            </w:r>
          </w:p>
        </w:tc>
        <w:tc>
          <w:tcPr>
            <w:tcW w:w="60" w:type="dxa"/>
            <w:vAlign w:val="bottom"/>
          </w:tcPr>
          <w:p>
            <w:pPr>
              <w:spacing w:after="0"/>
              <w:rPr>
                <w:sz w:val="9"/>
                <w:szCs w:val="9"/>
                <w:color w:val="auto"/>
              </w:rPr>
            </w:pPr>
          </w:p>
        </w:tc>
        <w:tc>
          <w:tcPr>
            <w:tcW w:w="740" w:type="dxa"/>
            <w:vAlign w:val="bottom"/>
            <w:gridSpan w:val="2"/>
          </w:tcPr>
          <w:p>
            <w:pPr>
              <w:jc w:val="right"/>
              <w:ind w:right="180"/>
              <w:spacing w:after="0" w:line="111" w:lineRule="exact"/>
              <w:rPr>
                <w:sz w:val="20"/>
                <w:szCs w:val="20"/>
                <w:color w:val="auto"/>
              </w:rPr>
            </w:pPr>
            <w:r>
              <w:rPr>
                <w:rFonts w:ascii="Arial" w:cs="Arial" w:eastAsia="Arial" w:hAnsi="Arial"/>
                <w:sz w:val="11"/>
                <w:szCs w:val="11"/>
                <w:color w:val="auto"/>
              </w:rPr>
              <w:t>44.4</w:t>
            </w:r>
          </w:p>
        </w:tc>
        <w:tc>
          <w:tcPr>
            <w:tcW w:w="80" w:type="dxa"/>
            <w:vAlign w:val="bottom"/>
          </w:tcPr>
          <w:p>
            <w:pPr>
              <w:spacing w:after="0"/>
              <w:rPr>
                <w:sz w:val="9"/>
                <w:szCs w:val="9"/>
                <w:color w:val="auto"/>
              </w:rPr>
            </w:pPr>
          </w:p>
        </w:tc>
        <w:tc>
          <w:tcPr>
            <w:tcW w:w="840" w:type="dxa"/>
            <w:vAlign w:val="bottom"/>
            <w:gridSpan w:val="2"/>
          </w:tcPr>
          <w:p>
            <w:pPr>
              <w:jc w:val="right"/>
              <w:ind w:right="200"/>
              <w:spacing w:after="0" w:line="111" w:lineRule="exact"/>
              <w:rPr>
                <w:sz w:val="20"/>
                <w:szCs w:val="20"/>
                <w:color w:val="auto"/>
              </w:rPr>
            </w:pPr>
            <w:r>
              <w:rPr>
                <w:rFonts w:ascii="Arial" w:cs="Arial" w:eastAsia="Arial" w:hAnsi="Arial"/>
                <w:sz w:val="11"/>
                <w:szCs w:val="11"/>
                <w:color w:val="auto"/>
              </w:rPr>
              <w:t>28.8</w:t>
            </w:r>
          </w:p>
        </w:tc>
        <w:tc>
          <w:tcPr>
            <w:tcW w:w="140" w:type="dxa"/>
            <w:vAlign w:val="bottom"/>
          </w:tcPr>
          <w:p>
            <w:pPr>
              <w:spacing w:after="0"/>
              <w:rPr>
                <w:sz w:val="9"/>
                <w:szCs w:val="9"/>
                <w:color w:val="auto"/>
              </w:rPr>
            </w:pPr>
          </w:p>
        </w:tc>
        <w:tc>
          <w:tcPr>
            <w:tcW w:w="460" w:type="dxa"/>
            <w:vAlign w:val="bottom"/>
            <w:gridSpan w:val="2"/>
          </w:tcPr>
          <w:p>
            <w:pPr>
              <w:jc w:val="right"/>
              <w:ind w:right="200"/>
              <w:spacing w:after="0" w:line="111" w:lineRule="exact"/>
              <w:rPr>
                <w:sz w:val="20"/>
                <w:szCs w:val="20"/>
                <w:color w:val="auto"/>
              </w:rPr>
            </w:pPr>
            <w:r>
              <w:rPr>
                <w:rFonts w:ascii="Arial" w:cs="Arial" w:eastAsia="Arial" w:hAnsi="Arial"/>
                <w:sz w:val="11"/>
                <w:szCs w:val="11"/>
                <w:color w:val="auto"/>
              </w:rPr>
              <w:t>4.3</w:t>
            </w:r>
          </w:p>
        </w:tc>
        <w:tc>
          <w:tcPr>
            <w:tcW w:w="60" w:type="dxa"/>
            <w:vAlign w:val="bottom"/>
          </w:tcPr>
          <w:p>
            <w:pPr>
              <w:spacing w:after="0"/>
              <w:rPr>
                <w:sz w:val="9"/>
                <w:szCs w:val="9"/>
                <w:color w:val="auto"/>
              </w:rPr>
            </w:pPr>
          </w:p>
        </w:tc>
        <w:tc>
          <w:tcPr>
            <w:tcW w:w="720" w:type="dxa"/>
            <w:vAlign w:val="bottom"/>
            <w:gridSpan w:val="2"/>
          </w:tcPr>
          <w:p>
            <w:pPr>
              <w:jc w:val="right"/>
              <w:ind w:right="180"/>
              <w:spacing w:after="0" w:line="111" w:lineRule="exact"/>
              <w:rPr>
                <w:sz w:val="20"/>
                <w:szCs w:val="20"/>
                <w:color w:val="auto"/>
              </w:rPr>
            </w:pPr>
            <w:r>
              <w:rPr>
                <w:rFonts w:ascii="Arial" w:cs="Arial" w:eastAsia="Arial" w:hAnsi="Arial"/>
                <w:sz w:val="11"/>
                <w:szCs w:val="11"/>
                <w:color w:val="auto"/>
              </w:rPr>
              <w:t>1.9</w:t>
            </w:r>
          </w:p>
        </w:tc>
        <w:tc>
          <w:tcPr>
            <w:tcW w:w="60" w:type="dxa"/>
            <w:vAlign w:val="bottom"/>
          </w:tcPr>
          <w:p>
            <w:pPr>
              <w:spacing w:after="0"/>
              <w:rPr>
                <w:sz w:val="9"/>
                <w:szCs w:val="9"/>
                <w:color w:val="auto"/>
              </w:rPr>
            </w:pPr>
          </w:p>
        </w:tc>
        <w:tc>
          <w:tcPr>
            <w:tcW w:w="620" w:type="dxa"/>
            <w:vAlign w:val="bottom"/>
            <w:gridSpan w:val="2"/>
          </w:tcPr>
          <w:p>
            <w:pPr>
              <w:jc w:val="right"/>
              <w:ind w:right="80"/>
              <w:spacing w:after="0" w:line="111" w:lineRule="exact"/>
              <w:rPr>
                <w:sz w:val="20"/>
                <w:szCs w:val="20"/>
                <w:color w:val="auto"/>
              </w:rPr>
            </w:pPr>
            <w:r>
              <w:rPr>
                <w:rFonts w:ascii="Arial" w:cs="Arial" w:eastAsia="Arial" w:hAnsi="Arial"/>
                <w:sz w:val="11"/>
                <w:szCs w:val="11"/>
                <w:color w:val="auto"/>
              </w:rPr>
              <w:t>149.5</w:t>
            </w:r>
          </w:p>
        </w:tc>
        <w:tc>
          <w:tcPr>
            <w:tcW w:w="0" w:type="dxa"/>
            <w:vAlign w:val="bottom"/>
          </w:tcPr>
          <w:p>
            <w:pPr>
              <w:spacing w:after="0"/>
              <w:rPr>
                <w:sz w:val="1"/>
                <w:szCs w:val="1"/>
                <w:color w:val="auto"/>
              </w:rPr>
            </w:pPr>
          </w:p>
        </w:tc>
      </w:tr>
      <w:tr>
        <w:trPr>
          <w:trHeight w:val="111"/>
        </w:trPr>
        <w:tc>
          <w:tcPr>
            <w:tcW w:w="5400" w:type="dxa"/>
            <w:vAlign w:val="bottom"/>
            <w:shd w:val="clear" w:color="auto" w:fill="CCEEFF"/>
          </w:tcPr>
          <w:p>
            <w:pPr>
              <w:spacing w:after="0" w:line="111" w:lineRule="exact"/>
              <w:rPr>
                <w:sz w:val="20"/>
                <w:szCs w:val="20"/>
                <w:color w:val="auto"/>
              </w:rPr>
            </w:pPr>
            <w:r>
              <w:rPr>
                <w:rFonts w:ascii="Arial" w:cs="Arial" w:eastAsia="Arial" w:hAnsi="Arial"/>
                <w:sz w:val="11"/>
                <w:szCs w:val="11"/>
                <w:color w:val="auto"/>
              </w:rPr>
              <w:t>Less: amortization expense fiscal 2007</w:t>
            </w:r>
          </w:p>
        </w:tc>
        <w:tc>
          <w:tcPr>
            <w:tcW w:w="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160"/>
              <w:spacing w:after="0" w:line="111" w:lineRule="exact"/>
              <w:rPr>
                <w:sz w:val="20"/>
                <w:szCs w:val="20"/>
                <w:color w:val="auto"/>
              </w:rPr>
            </w:pPr>
            <w:r>
              <w:rPr>
                <w:rFonts w:ascii="Arial" w:cs="Arial" w:eastAsia="Arial" w:hAnsi="Arial"/>
                <w:sz w:val="11"/>
                <w:szCs w:val="11"/>
                <w:color w:val="auto"/>
              </w:rPr>
              <w:t>(4.1)</w:t>
            </w:r>
          </w:p>
        </w:tc>
        <w:tc>
          <w:tcPr>
            <w:tcW w:w="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160"/>
              <w:spacing w:after="0" w:line="111" w:lineRule="exact"/>
              <w:rPr>
                <w:sz w:val="20"/>
                <w:szCs w:val="20"/>
                <w:color w:val="auto"/>
              </w:rPr>
            </w:pPr>
            <w:r>
              <w:rPr>
                <w:rFonts w:ascii="Arial" w:cs="Arial" w:eastAsia="Arial" w:hAnsi="Arial"/>
                <w:sz w:val="11"/>
                <w:szCs w:val="11"/>
                <w:color w:val="auto"/>
              </w:rPr>
              <w:t>(1.0)</w:t>
            </w:r>
          </w:p>
        </w:tc>
        <w:tc>
          <w:tcPr>
            <w:tcW w:w="8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160"/>
              <w:spacing w:after="0" w:line="111" w:lineRule="exact"/>
              <w:rPr>
                <w:sz w:val="20"/>
                <w:szCs w:val="20"/>
                <w:color w:val="auto"/>
              </w:rPr>
            </w:pPr>
            <w:r>
              <w:rPr>
                <w:rFonts w:ascii="Arial" w:cs="Arial" w:eastAsia="Arial" w:hAnsi="Arial"/>
                <w:sz w:val="11"/>
                <w:szCs w:val="11"/>
                <w:color w:val="auto"/>
              </w:rPr>
              <w:t>(1.4)</w:t>
            </w:r>
          </w:p>
        </w:tc>
        <w:tc>
          <w:tcPr>
            <w:tcW w:w="14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160"/>
              <w:spacing w:after="0" w:line="111" w:lineRule="exact"/>
              <w:rPr>
                <w:sz w:val="20"/>
                <w:szCs w:val="20"/>
                <w:color w:val="auto"/>
              </w:rPr>
            </w:pPr>
            <w:r>
              <w:rPr>
                <w:rFonts w:ascii="Arial" w:cs="Arial" w:eastAsia="Arial" w:hAnsi="Arial"/>
                <w:sz w:val="11"/>
                <w:szCs w:val="11"/>
                <w:color w:val="auto"/>
              </w:rPr>
              <w:t>(4.3)</w:t>
            </w:r>
          </w:p>
        </w:tc>
        <w:tc>
          <w:tcPr>
            <w:tcW w:w="6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40"/>
              <w:spacing w:after="0" w:line="111" w:lineRule="exact"/>
              <w:rPr>
                <w:sz w:val="20"/>
                <w:szCs w:val="20"/>
                <w:color w:val="auto"/>
              </w:rPr>
            </w:pPr>
            <w:r>
              <w:rPr>
                <w:rFonts w:ascii="Arial" w:cs="Arial" w:eastAsia="Arial" w:hAnsi="Arial"/>
                <w:sz w:val="11"/>
                <w:szCs w:val="11"/>
                <w:color w:val="auto"/>
              </w:rPr>
              <w:t>(0.8)</w:t>
            </w:r>
          </w:p>
        </w:tc>
        <w:tc>
          <w:tcPr>
            <w:tcW w:w="6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60"/>
              <w:spacing w:after="0" w:line="111" w:lineRule="exact"/>
              <w:rPr>
                <w:sz w:val="20"/>
                <w:szCs w:val="20"/>
                <w:color w:val="auto"/>
              </w:rPr>
            </w:pPr>
            <w:r>
              <w:rPr>
                <w:rFonts w:ascii="Arial" w:cs="Arial" w:eastAsia="Arial" w:hAnsi="Arial"/>
                <w:sz w:val="11"/>
                <w:szCs w:val="11"/>
                <w:color w:val="auto"/>
              </w:rPr>
              <w:t>(11.6)</w:t>
            </w:r>
          </w:p>
        </w:tc>
        <w:tc>
          <w:tcPr>
            <w:tcW w:w="0" w:type="dxa"/>
            <w:vAlign w:val="bottom"/>
          </w:tcPr>
          <w:p>
            <w:pPr>
              <w:spacing w:after="0"/>
              <w:rPr>
                <w:sz w:val="1"/>
                <w:szCs w:val="1"/>
                <w:color w:val="auto"/>
              </w:rPr>
            </w:pPr>
          </w:p>
        </w:tc>
      </w:tr>
      <w:tr>
        <w:trPr>
          <w:trHeight w:val="111"/>
        </w:trPr>
        <w:tc>
          <w:tcPr>
            <w:tcW w:w="5400" w:type="dxa"/>
            <w:vAlign w:val="bottom"/>
          </w:tcPr>
          <w:p>
            <w:pPr>
              <w:spacing w:after="0" w:line="111" w:lineRule="exact"/>
              <w:rPr>
                <w:sz w:val="20"/>
                <w:szCs w:val="20"/>
                <w:color w:val="auto"/>
              </w:rPr>
            </w:pPr>
            <w:r>
              <w:rPr>
                <w:rFonts w:ascii="Arial" w:cs="Arial" w:eastAsia="Arial" w:hAnsi="Arial"/>
                <w:sz w:val="11"/>
                <w:szCs w:val="11"/>
                <w:color w:val="auto"/>
              </w:rPr>
              <w:t>Foreign currency translation fiscal 2007</w:t>
            </w:r>
          </w:p>
        </w:tc>
        <w:tc>
          <w:tcPr>
            <w:tcW w:w="60" w:type="dxa"/>
            <w:vAlign w:val="bottom"/>
          </w:tcPr>
          <w:p>
            <w:pPr>
              <w:spacing w:after="0"/>
              <w:rPr>
                <w:sz w:val="9"/>
                <w:szCs w:val="9"/>
                <w:color w:val="auto"/>
              </w:rPr>
            </w:pPr>
          </w:p>
        </w:tc>
        <w:tc>
          <w:tcPr>
            <w:tcW w:w="740" w:type="dxa"/>
            <w:vAlign w:val="bottom"/>
            <w:gridSpan w:val="2"/>
          </w:tcPr>
          <w:p>
            <w:pPr>
              <w:jc w:val="right"/>
              <w:ind w:right="200"/>
              <w:spacing w:after="0" w:line="111" w:lineRule="exact"/>
              <w:rPr>
                <w:sz w:val="20"/>
                <w:szCs w:val="20"/>
                <w:color w:val="auto"/>
              </w:rPr>
            </w:pPr>
            <w:r>
              <w:rPr>
                <w:rFonts w:ascii="Arial" w:cs="Arial" w:eastAsia="Arial" w:hAnsi="Arial"/>
                <w:sz w:val="11"/>
                <w:szCs w:val="11"/>
                <w:color w:val="auto"/>
              </w:rPr>
              <w:t>0.2</w:t>
            </w:r>
          </w:p>
        </w:tc>
        <w:tc>
          <w:tcPr>
            <w:tcW w:w="60" w:type="dxa"/>
            <w:vAlign w:val="bottom"/>
          </w:tcPr>
          <w:p>
            <w:pPr>
              <w:spacing w:after="0"/>
              <w:rPr>
                <w:sz w:val="9"/>
                <w:szCs w:val="9"/>
                <w:color w:val="auto"/>
              </w:rPr>
            </w:pPr>
          </w:p>
        </w:tc>
        <w:tc>
          <w:tcPr>
            <w:tcW w:w="740" w:type="dxa"/>
            <w:vAlign w:val="bottom"/>
            <w:gridSpan w:val="2"/>
          </w:tcPr>
          <w:p>
            <w:pPr>
              <w:jc w:val="right"/>
              <w:ind w:right="180"/>
              <w:spacing w:after="0" w:line="111"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840" w:type="dxa"/>
            <w:vAlign w:val="bottom"/>
            <w:gridSpan w:val="2"/>
          </w:tcPr>
          <w:p>
            <w:pPr>
              <w:jc w:val="right"/>
              <w:ind w:right="200"/>
              <w:spacing w:after="0" w:line="111"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460" w:type="dxa"/>
            <w:vAlign w:val="bottom"/>
            <w:gridSpan w:val="2"/>
          </w:tcPr>
          <w:p>
            <w:pPr>
              <w:jc w:val="right"/>
              <w:ind w:right="200"/>
              <w:spacing w:after="0" w:line="111"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720" w:type="dxa"/>
            <w:vAlign w:val="bottom"/>
            <w:gridSpan w:val="2"/>
          </w:tcPr>
          <w:p>
            <w:pPr>
              <w:jc w:val="right"/>
              <w:ind w:right="180"/>
              <w:spacing w:after="0" w:line="111"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620" w:type="dxa"/>
            <w:vAlign w:val="bottom"/>
            <w:gridSpan w:val="2"/>
          </w:tcPr>
          <w:p>
            <w:pPr>
              <w:jc w:val="right"/>
              <w:ind w:right="80"/>
              <w:spacing w:after="0" w:line="111" w:lineRule="exact"/>
              <w:rPr>
                <w:sz w:val="20"/>
                <w:szCs w:val="20"/>
                <w:color w:val="auto"/>
              </w:rPr>
            </w:pPr>
            <w:r>
              <w:rPr>
                <w:rFonts w:ascii="Arial" w:cs="Arial" w:eastAsia="Arial" w:hAnsi="Arial"/>
                <w:sz w:val="11"/>
                <w:szCs w:val="11"/>
                <w:color w:val="auto"/>
              </w:rPr>
              <w:t>0.2</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5400" w:type="dxa"/>
            <w:vAlign w:val="bottom"/>
            <w:shd w:val="clear" w:color="auto" w:fill="CCEEFF"/>
          </w:tcPr>
          <w:p>
            <w:pPr>
              <w:spacing w:after="0" w:line="111" w:lineRule="exact"/>
              <w:rPr>
                <w:sz w:val="20"/>
                <w:szCs w:val="20"/>
                <w:color w:val="auto"/>
              </w:rPr>
            </w:pPr>
            <w:r>
              <w:rPr>
                <w:rFonts w:ascii="Arial" w:cs="Arial" w:eastAsia="Arial" w:hAnsi="Arial"/>
                <w:sz w:val="11"/>
                <w:szCs w:val="11"/>
                <w:color w:val="auto"/>
              </w:rPr>
              <w:t>Net identifiable intangible assets as of June 29, 2007</w:t>
            </w:r>
          </w:p>
        </w:tc>
        <w:tc>
          <w:tcPr>
            <w:tcW w:w="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200"/>
              <w:spacing w:after="0" w:line="111" w:lineRule="exact"/>
              <w:rPr>
                <w:sz w:val="20"/>
                <w:szCs w:val="20"/>
                <w:color w:val="auto"/>
              </w:rPr>
            </w:pPr>
            <w:r>
              <w:rPr>
                <w:rFonts w:ascii="Arial" w:cs="Arial" w:eastAsia="Arial" w:hAnsi="Arial"/>
                <w:sz w:val="11"/>
                <w:szCs w:val="11"/>
                <w:color w:val="auto"/>
              </w:rPr>
              <w:t>72.6</w:t>
            </w:r>
          </w:p>
        </w:tc>
        <w:tc>
          <w:tcPr>
            <w:tcW w:w="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1"/>
                <w:szCs w:val="11"/>
                <w:color w:val="auto"/>
              </w:rPr>
              <w:t>43.4</w:t>
            </w:r>
          </w:p>
        </w:tc>
        <w:tc>
          <w:tcPr>
            <w:tcW w:w="8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200"/>
              <w:spacing w:after="0" w:line="111" w:lineRule="exact"/>
              <w:rPr>
                <w:sz w:val="20"/>
                <w:szCs w:val="20"/>
                <w:color w:val="auto"/>
              </w:rPr>
            </w:pPr>
            <w:r>
              <w:rPr>
                <w:rFonts w:ascii="Arial" w:cs="Arial" w:eastAsia="Arial" w:hAnsi="Arial"/>
                <w:sz w:val="11"/>
                <w:szCs w:val="11"/>
                <w:color w:val="auto"/>
              </w:rPr>
              <w:t>27.4</w:t>
            </w:r>
          </w:p>
        </w:tc>
        <w:tc>
          <w:tcPr>
            <w:tcW w:w="14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200"/>
              <w:spacing w:after="0" w:line="111"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1"/>
                <w:szCs w:val="11"/>
                <w:color w:val="auto"/>
              </w:rPr>
              <w:t>1.1</w:t>
            </w:r>
          </w:p>
        </w:tc>
        <w:tc>
          <w:tcPr>
            <w:tcW w:w="6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80"/>
              <w:spacing w:after="0" w:line="111" w:lineRule="exact"/>
              <w:rPr>
                <w:sz w:val="20"/>
                <w:szCs w:val="20"/>
                <w:color w:val="auto"/>
              </w:rPr>
            </w:pPr>
            <w:r>
              <w:rPr>
                <w:rFonts w:ascii="Arial" w:cs="Arial" w:eastAsia="Arial" w:hAnsi="Arial"/>
                <w:sz w:val="11"/>
                <w:szCs w:val="11"/>
                <w:color w:val="auto"/>
              </w:rPr>
              <w:t>144.5</w:t>
            </w:r>
          </w:p>
        </w:tc>
        <w:tc>
          <w:tcPr>
            <w:tcW w:w="0" w:type="dxa"/>
            <w:vAlign w:val="bottom"/>
          </w:tcPr>
          <w:p>
            <w:pPr>
              <w:spacing w:after="0"/>
              <w:rPr>
                <w:sz w:val="1"/>
                <w:szCs w:val="1"/>
                <w:color w:val="auto"/>
              </w:rPr>
            </w:pPr>
          </w:p>
        </w:tc>
      </w:tr>
      <w:tr>
        <w:trPr>
          <w:trHeight w:val="111"/>
        </w:trPr>
        <w:tc>
          <w:tcPr>
            <w:tcW w:w="5400" w:type="dxa"/>
            <w:vAlign w:val="bottom"/>
          </w:tcPr>
          <w:p>
            <w:pPr>
              <w:spacing w:after="0" w:line="111" w:lineRule="exact"/>
              <w:rPr>
                <w:sz w:val="20"/>
                <w:szCs w:val="20"/>
                <w:color w:val="auto"/>
              </w:rPr>
            </w:pPr>
            <w:r>
              <w:rPr>
                <w:rFonts w:ascii="Arial" w:cs="Arial" w:eastAsia="Arial" w:hAnsi="Arial"/>
                <w:sz w:val="11"/>
                <w:szCs w:val="11"/>
                <w:color w:val="auto"/>
              </w:rPr>
              <w:t>Less: amortization expense fiscal 2008</w:t>
            </w:r>
          </w:p>
        </w:tc>
        <w:tc>
          <w:tcPr>
            <w:tcW w:w="60" w:type="dxa"/>
            <w:vAlign w:val="bottom"/>
          </w:tcPr>
          <w:p>
            <w:pPr>
              <w:spacing w:after="0"/>
              <w:rPr>
                <w:sz w:val="9"/>
                <w:szCs w:val="9"/>
                <w:color w:val="auto"/>
              </w:rPr>
            </w:pPr>
          </w:p>
        </w:tc>
        <w:tc>
          <w:tcPr>
            <w:tcW w:w="740" w:type="dxa"/>
            <w:vAlign w:val="bottom"/>
            <w:gridSpan w:val="2"/>
          </w:tcPr>
          <w:p>
            <w:pPr>
              <w:jc w:val="right"/>
              <w:ind w:right="160"/>
              <w:spacing w:after="0" w:line="111" w:lineRule="exact"/>
              <w:rPr>
                <w:sz w:val="20"/>
                <w:szCs w:val="20"/>
                <w:color w:val="auto"/>
              </w:rPr>
            </w:pPr>
            <w:r>
              <w:rPr>
                <w:rFonts w:ascii="Arial" w:cs="Arial" w:eastAsia="Arial" w:hAnsi="Arial"/>
                <w:sz w:val="11"/>
                <w:szCs w:val="11"/>
                <w:color w:val="auto"/>
              </w:rPr>
              <w:t>(7.9)</w:t>
            </w:r>
          </w:p>
        </w:tc>
        <w:tc>
          <w:tcPr>
            <w:tcW w:w="60" w:type="dxa"/>
            <w:vAlign w:val="bottom"/>
          </w:tcPr>
          <w:p>
            <w:pPr>
              <w:spacing w:after="0"/>
              <w:rPr>
                <w:sz w:val="9"/>
                <w:szCs w:val="9"/>
                <w:color w:val="auto"/>
              </w:rPr>
            </w:pPr>
          </w:p>
        </w:tc>
        <w:tc>
          <w:tcPr>
            <w:tcW w:w="740" w:type="dxa"/>
            <w:vAlign w:val="bottom"/>
            <w:gridSpan w:val="2"/>
          </w:tcPr>
          <w:p>
            <w:pPr>
              <w:jc w:val="right"/>
              <w:ind w:right="160"/>
              <w:spacing w:after="0" w:line="111" w:lineRule="exact"/>
              <w:rPr>
                <w:sz w:val="20"/>
                <w:szCs w:val="20"/>
                <w:color w:val="auto"/>
              </w:rPr>
            </w:pPr>
            <w:r>
              <w:rPr>
                <w:rFonts w:ascii="Arial" w:cs="Arial" w:eastAsia="Arial" w:hAnsi="Arial"/>
                <w:sz w:val="11"/>
                <w:szCs w:val="11"/>
                <w:color w:val="auto"/>
              </w:rPr>
              <w:t>(2.2)</w:t>
            </w:r>
          </w:p>
        </w:tc>
        <w:tc>
          <w:tcPr>
            <w:tcW w:w="80" w:type="dxa"/>
            <w:vAlign w:val="bottom"/>
          </w:tcPr>
          <w:p>
            <w:pPr>
              <w:spacing w:after="0"/>
              <w:rPr>
                <w:sz w:val="9"/>
                <w:szCs w:val="9"/>
                <w:color w:val="auto"/>
              </w:rPr>
            </w:pPr>
          </w:p>
        </w:tc>
        <w:tc>
          <w:tcPr>
            <w:tcW w:w="840" w:type="dxa"/>
            <w:vAlign w:val="bottom"/>
            <w:gridSpan w:val="2"/>
          </w:tcPr>
          <w:p>
            <w:pPr>
              <w:jc w:val="right"/>
              <w:ind w:right="160"/>
              <w:spacing w:after="0" w:line="111" w:lineRule="exact"/>
              <w:rPr>
                <w:sz w:val="20"/>
                <w:szCs w:val="20"/>
                <w:color w:val="auto"/>
              </w:rPr>
            </w:pPr>
            <w:r>
              <w:rPr>
                <w:rFonts w:ascii="Arial" w:cs="Arial" w:eastAsia="Arial" w:hAnsi="Arial"/>
                <w:sz w:val="11"/>
                <w:szCs w:val="11"/>
                <w:color w:val="auto"/>
              </w:rPr>
              <w:t>(3.3)</w:t>
            </w:r>
          </w:p>
        </w:tc>
        <w:tc>
          <w:tcPr>
            <w:tcW w:w="140" w:type="dxa"/>
            <w:vAlign w:val="bottom"/>
          </w:tcPr>
          <w:p>
            <w:pPr>
              <w:spacing w:after="0"/>
              <w:rPr>
                <w:sz w:val="9"/>
                <w:szCs w:val="9"/>
                <w:color w:val="auto"/>
              </w:rPr>
            </w:pPr>
          </w:p>
        </w:tc>
        <w:tc>
          <w:tcPr>
            <w:tcW w:w="460" w:type="dxa"/>
            <w:vAlign w:val="bottom"/>
            <w:gridSpan w:val="2"/>
          </w:tcPr>
          <w:p>
            <w:pPr>
              <w:jc w:val="right"/>
              <w:ind w:right="200"/>
              <w:spacing w:after="0" w:line="111"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720" w:type="dxa"/>
            <w:vAlign w:val="bottom"/>
            <w:gridSpan w:val="2"/>
          </w:tcPr>
          <w:p>
            <w:pPr>
              <w:jc w:val="right"/>
              <w:ind w:right="140"/>
              <w:spacing w:after="0" w:line="111" w:lineRule="exact"/>
              <w:rPr>
                <w:sz w:val="20"/>
                <w:szCs w:val="20"/>
                <w:color w:val="auto"/>
              </w:rPr>
            </w:pPr>
            <w:r>
              <w:rPr>
                <w:rFonts w:ascii="Arial" w:cs="Arial" w:eastAsia="Arial" w:hAnsi="Arial"/>
                <w:sz w:val="11"/>
                <w:szCs w:val="11"/>
                <w:color w:val="auto"/>
              </w:rPr>
              <w:t>(1.1)</w:t>
            </w:r>
          </w:p>
        </w:tc>
        <w:tc>
          <w:tcPr>
            <w:tcW w:w="60" w:type="dxa"/>
            <w:vAlign w:val="bottom"/>
          </w:tcPr>
          <w:p>
            <w:pPr>
              <w:spacing w:after="0"/>
              <w:rPr>
                <w:sz w:val="9"/>
                <w:szCs w:val="9"/>
                <w:color w:val="auto"/>
              </w:rPr>
            </w:pPr>
          </w:p>
        </w:tc>
        <w:tc>
          <w:tcPr>
            <w:tcW w:w="620" w:type="dxa"/>
            <w:vAlign w:val="bottom"/>
            <w:gridSpan w:val="2"/>
          </w:tcPr>
          <w:p>
            <w:pPr>
              <w:jc w:val="right"/>
              <w:ind w:right="60"/>
              <w:spacing w:after="0" w:line="111" w:lineRule="exact"/>
              <w:rPr>
                <w:sz w:val="20"/>
                <w:szCs w:val="20"/>
                <w:color w:val="auto"/>
              </w:rPr>
            </w:pPr>
            <w:r>
              <w:rPr>
                <w:rFonts w:ascii="Arial" w:cs="Arial" w:eastAsia="Arial" w:hAnsi="Arial"/>
                <w:sz w:val="11"/>
                <w:szCs w:val="11"/>
                <w:color w:val="auto"/>
              </w:rPr>
              <w:t>(14.5)</w:t>
            </w:r>
          </w:p>
        </w:tc>
        <w:tc>
          <w:tcPr>
            <w:tcW w:w="0" w:type="dxa"/>
            <w:vAlign w:val="bottom"/>
          </w:tcPr>
          <w:p>
            <w:pPr>
              <w:spacing w:after="0"/>
              <w:rPr>
                <w:sz w:val="1"/>
                <w:szCs w:val="1"/>
                <w:color w:val="auto"/>
              </w:rPr>
            </w:pPr>
          </w:p>
        </w:tc>
      </w:tr>
      <w:tr>
        <w:trPr>
          <w:trHeight w:val="111"/>
        </w:trPr>
        <w:tc>
          <w:tcPr>
            <w:tcW w:w="5400" w:type="dxa"/>
            <w:vAlign w:val="bottom"/>
            <w:shd w:val="clear" w:color="auto" w:fill="CCEEFF"/>
          </w:tcPr>
          <w:p>
            <w:pPr>
              <w:spacing w:after="0" w:line="111" w:lineRule="exact"/>
              <w:rPr>
                <w:sz w:val="20"/>
                <w:szCs w:val="20"/>
                <w:color w:val="auto"/>
              </w:rPr>
            </w:pPr>
            <w:r>
              <w:rPr>
                <w:rFonts w:ascii="Arial" w:cs="Arial" w:eastAsia="Arial" w:hAnsi="Arial"/>
                <w:sz w:val="11"/>
                <w:szCs w:val="11"/>
                <w:color w:val="auto"/>
              </w:rPr>
              <w:t>Foreign currency translation fiscal 2008</w:t>
            </w:r>
          </w:p>
        </w:tc>
        <w:tc>
          <w:tcPr>
            <w:tcW w:w="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200"/>
              <w:spacing w:after="0" w:line="111" w:lineRule="exact"/>
              <w:rPr>
                <w:sz w:val="20"/>
                <w:szCs w:val="20"/>
                <w:color w:val="auto"/>
              </w:rPr>
            </w:pPr>
            <w:r>
              <w:rPr>
                <w:rFonts w:ascii="Arial" w:cs="Arial" w:eastAsia="Arial" w:hAnsi="Arial"/>
                <w:sz w:val="11"/>
                <w:szCs w:val="11"/>
                <w:color w:val="auto"/>
              </w:rPr>
              <w:t>0.1</w:t>
            </w:r>
          </w:p>
        </w:tc>
        <w:tc>
          <w:tcPr>
            <w:tcW w:w="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200"/>
              <w:spacing w:after="0" w:line="111"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200"/>
              <w:spacing w:after="0" w:line="111"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80"/>
              <w:spacing w:after="0" w:line="111" w:lineRule="exact"/>
              <w:rPr>
                <w:sz w:val="20"/>
                <w:szCs w:val="20"/>
                <w:color w:val="auto"/>
              </w:rPr>
            </w:pPr>
            <w:r>
              <w:rPr>
                <w:rFonts w:ascii="Arial" w:cs="Arial" w:eastAsia="Arial" w:hAnsi="Arial"/>
                <w:sz w:val="11"/>
                <w:szCs w:val="11"/>
                <w:color w:val="auto"/>
              </w:rPr>
              <w:t>0.1</w:t>
            </w:r>
          </w:p>
        </w:tc>
        <w:tc>
          <w:tcPr>
            <w:tcW w:w="0" w:type="dxa"/>
            <w:vAlign w:val="bottom"/>
          </w:tcPr>
          <w:p>
            <w:pPr>
              <w:spacing w:after="0"/>
              <w:rPr>
                <w:sz w:val="1"/>
                <w:szCs w:val="1"/>
                <w:color w:val="auto"/>
              </w:rPr>
            </w:pPr>
          </w:p>
        </w:tc>
      </w:tr>
      <w:tr>
        <w:trPr>
          <w:trHeight w:val="111"/>
        </w:trPr>
        <w:tc>
          <w:tcPr>
            <w:tcW w:w="5400" w:type="dxa"/>
            <w:vAlign w:val="bottom"/>
          </w:tcPr>
          <w:p>
            <w:pPr>
              <w:spacing w:after="0" w:line="111" w:lineRule="exact"/>
              <w:rPr>
                <w:sz w:val="20"/>
                <w:szCs w:val="20"/>
                <w:color w:val="auto"/>
              </w:rPr>
            </w:pPr>
            <w:r>
              <w:rPr>
                <w:rFonts w:ascii="Arial" w:cs="Arial" w:eastAsia="Arial" w:hAnsi="Arial"/>
                <w:sz w:val="11"/>
                <w:szCs w:val="11"/>
                <w:color w:val="auto"/>
              </w:rPr>
              <w:t>Net identifiable intangible assets as of June 27, 2008</w:t>
            </w:r>
          </w:p>
        </w:tc>
        <w:tc>
          <w:tcPr>
            <w:tcW w:w="6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jc w:val="right"/>
              <w:spacing w:after="0" w:line="111" w:lineRule="exact"/>
              <w:rPr>
                <w:sz w:val="20"/>
                <w:szCs w:val="20"/>
                <w:color w:val="auto"/>
              </w:rPr>
            </w:pPr>
            <w:r>
              <w:rPr>
                <w:rFonts w:ascii="Arial" w:cs="Arial" w:eastAsia="Arial" w:hAnsi="Arial"/>
                <w:sz w:val="11"/>
                <w:szCs w:val="11"/>
                <w:color w:val="auto"/>
              </w:rPr>
              <w:t>64.8</w:t>
            </w:r>
          </w:p>
        </w:tc>
        <w:tc>
          <w:tcPr>
            <w:tcW w:w="2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jc w:val="right"/>
              <w:spacing w:after="0" w:line="111" w:lineRule="exact"/>
              <w:rPr>
                <w:sz w:val="20"/>
                <w:szCs w:val="20"/>
                <w:color w:val="auto"/>
              </w:rPr>
            </w:pPr>
            <w:r>
              <w:rPr>
                <w:rFonts w:ascii="Arial" w:cs="Arial" w:eastAsia="Arial" w:hAnsi="Arial"/>
                <w:sz w:val="11"/>
                <w:szCs w:val="11"/>
                <w:color w:val="auto"/>
              </w:rPr>
              <w:t>41.2</w:t>
            </w:r>
          </w:p>
        </w:tc>
        <w:tc>
          <w:tcPr>
            <w:tcW w:w="2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jc w:val="right"/>
              <w:spacing w:after="0" w:line="111" w:lineRule="exact"/>
              <w:rPr>
                <w:sz w:val="20"/>
                <w:szCs w:val="20"/>
                <w:color w:val="auto"/>
              </w:rPr>
            </w:pPr>
            <w:r>
              <w:rPr>
                <w:rFonts w:ascii="Arial" w:cs="Arial" w:eastAsia="Arial" w:hAnsi="Arial"/>
                <w:sz w:val="11"/>
                <w:szCs w:val="11"/>
                <w:color w:val="auto"/>
              </w:rPr>
              <w:t>24.1</w:t>
            </w:r>
          </w:p>
        </w:tc>
        <w:tc>
          <w:tcPr>
            <w:tcW w:w="2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jc w:val="right"/>
              <w:spacing w:after="0" w:line="111" w:lineRule="exact"/>
              <w:rPr>
                <w:sz w:val="20"/>
                <w:szCs w:val="20"/>
                <w:color w:val="auto"/>
              </w:rPr>
            </w:pPr>
            <w:r>
              <w:rPr>
                <w:rFonts w:ascii="Arial" w:cs="Arial" w:eastAsia="Arial" w:hAnsi="Arial"/>
                <w:sz w:val="11"/>
                <w:szCs w:val="11"/>
                <w:color w:val="auto"/>
              </w:rPr>
              <w:t>—</w:t>
            </w:r>
          </w:p>
        </w:tc>
        <w:tc>
          <w:tcPr>
            <w:tcW w:w="2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ind w:left="440"/>
              <w:spacing w:after="0" w:line="111" w:lineRule="exact"/>
              <w:rPr>
                <w:sz w:val="20"/>
                <w:szCs w:val="20"/>
                <w:color w:val="auto"/>
              </w:rPr>
            </w:pPr>
            <w:r>
              <w:rPr>
                <w:rFonts w:ascii="Arial" w:cs="Arial" w:eastAsia="Arial" w:hAnsi="Arial"/>
                <w:sz w:val="11"/>
                <w:szCs w:val="11"/>
                <w:color w:val="auto"/>
                <w:w w:val="72"/>
              </w:rPr>
              <w:t>—</w:t>
            </w:r>
          </w:p>
        </w:tc>
        <w:tc>
          <w:tcPr>
            <w:tcW w:w="18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jc w:val="right"/>
              <w:spacing w:after="0" w:line="111" w:lineRule="exact"/>
              <w:rPr>
                <w:sz w:val="20"/>
                <w:szCs w:val="20"/>
                <w:color w:val="auto"/>
              </w:rPr>
            </w:pPr>
            <w:r>
              <w:rPr>
                <w:rFonts w:ascii="Arial" w:cs="Arial" w:eastAsia="Arial" w:hAnsi="Arial"/>
                <w:sz w:val="11"/>
                <w:szCs w:val="11"/>
                <w:color w:val="auto"/>
              </w:rPr>
              <w:t>130.1</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5400" w:type="dxa"/>
            <w:vAlign w:val="bottom"/>
            <w:shd w:val="clear" w:color="auto" w:fill="CCEEFF"/>
          </w:tcPr>
          <w:p>
            <w:pPr>
              <w:spacing w:after="0" w:line="111" w:lineRule="exact"/>
              <w:rPr>
                <w:sz w:val="20"/>
                <w:szCs w:val="20"/>
                <w:color w:val="auto"/>
              </w:rPr>
            </w:pPr>
            <w:r>
              <w:rPr>
                <w:rFonts w:ascii="Arial" w:cs="Arial" w:eastAsia="Arial" w:hAnsi="Arial"/>
                <w:sz w:val="11"/>
                <w:szCs w:val="11"/>
                <w:color w:val="auto"/>
              </w:rPr>
              <w:t>Add: acquired fair value of Telsima identifiable intangible assets</w:t>
            </w:r>
          </w:p>
        </w:tc>
        <w:tc>
          <w:tcPr>
            <w:tcW w:w="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200"/>
              <w:spacing w:after="0" w:line="111" w:lineRule="exact"/>
              <w:rPr>
                <w:sz w:val="20"/>
                <w:szCs w:val="20"/>
                <w:color w:val="auto"/>
              </w:rPr>
            </w:pPr>
            <w:r>
              <w:rPr>
                <w:rFonts w:ascii="Arial" w:cs="Arial" w:eastAsia="Arial" w:hAnsi="Arial"/>
                <w:sz w:val="11"/>
                <w:szCs w:val="11"/>
                <w:color w:val="auto"/>
              </w:rPr>
              <w:t>6.9</w:t>
            </w:r>
          </w:p>
        </w:tc>
        <w:tc>
          <w:tcPr>
            <w:tcW w:w="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1"/>
                <w:szCs w:val="11"/>
                <w:color w:val="auto"/>
              </w:rPr>
              <w:t>0.1</w:t>
            </w:r>
          </w:p>
        </w:tc>
        <w:tc>
          <w:tcPr>
            <w:tcW w:w="8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200"/>
              <w:spacing w:after="0" w:line="111" w:lineRule="exact"/>
              <w:rPr>
                <w:sz w:val="20"/>
                <w:szCs w:val="20"/>
                <w:color w:val="auto"/>
              </w:rPr>
            </w:pPr>
            <w:r>
              <w:rPr>
                <w:rFonts w:ascii="Arial" w:cs="Arial" w:eastAsia="Arial" w:hAnsi="Arial"/>
                <w:sz w:val="11"/>
                <w:szCs w:val="11"/>
                <w:color w:val="auto"/>
              </w:rPr>
              <w:t>0.6</w:t>
            </w:r>
          </w:p>
        </w:tc>
        <w:tc>
          <w:tcPr>
            <w:tcW w:w="14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200"/>
              <w:spacing w:after="0" w:line="111"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80"/>
              <w:spacing w:after="0" w:line="111" w:lineRule="exact"/>
              <w:rPr>
                <w:sz w:val="20"/>
                <w:szCs w:val="20"/>
                <w:color w:val="auto"/>
              </w:rPr>
            </w:pPr>
            <w:r>
              <w:rPr>
                <w:rFonts w:ascii="Arial" w:cs="Arial" w:eastAsia="Arial" w:hAnsi="Arial"/>
                <w:sz w:val="11"/>
                <w:szCs w:val="11"/>
                <w:color w:val="auto"/>
              </w:rPr>
              <w:t>7.6</w:t>
            </w:r>
          </w:p>
        </w:tc>
        <w:tc>
          <w:tcPr>
            <w:tcW w:w="0" w:type="dxa"/>
            <w:vAlign w:val="bottom"/>
          </w:tcPr>
          <w:p>
            <w:pPr>
              <w:spacing w:after="0"/>
              <w:rPr>
                <w:sz w:val="1"/>
                <w:szCs w:val="1"/>
                <w:color w:val="auto"/>
              </w:rPr>
            </w:pPr>
          </w:p>
        </w:tc>
      </w:tr>
      <w:tr>
        <w:trPr>
          <w:trHeight w:val="111"/>
        </w:trPr>
        <w:tc>
          <w:tcPr>
            <w:tcW w:w="5400" w:type="dxa"/>
            <w:vAlign w:val="bottom"/>
          </w:tcPr>
          <w:p>
            <w:pPr>
              <w:spacing w:after="0" w:line="111" w:lineRule="exact"/>
              <w:rPr>
                <w:sz w:val="20"/>
                <w:szCs w:val="20"/>
                <w:color w:val="auto"/>
              </w:rPr>
            </w:pPr>
            <w:r>
              <w:rPr>
                <w:rFonts w:ascii="Arial" w:cs="Arial" w:eastAsia="Arial" w:hAnsi="Arial"/>
                <w:sz w:val="11"/>
                <w:szCs w:val="11"/>
                <w:color w:val="auto"/>
              </w:rPr>
              <w:t>Less: amortization expense fiscal 2009</w:t>
            </w:r>
          </w:p>
        </w:tc>
        <w:tc>
          <w:tcPr>
            <w:tcW w:w="60" w:type="dxa"/>
            <w:vAlign w:val="bottom"/>
          </w:tcPr>
          <w:p>
            <w:pPr>
              <w:spacing w:after="0"/>
              <w:rPr>
                <w:sz w:val="9"/>
                <w:szCs w:val="9"/>
                <w:color w:val="auto"/>
              </w:rPr>
            </w:pPr>
          </w:p>
        </w:tc>
        <w:tc>
          <w:tcPr>
            <w:tcW w:w="740" w:type="dxa"/>
            <w:vAlign w:val="bottom"/>
            <w:gridSpan w:val="2"/>
          </w:tcPr>
          <w:p>
            <w:pPr>
              <w:jc w:val="right"/>
              <w:ind w:right="160"/>
              <w:spacing w:after="0" w:line="111" w:lineRule="exact"/>
              <w:rPr>
                <w:sz w:val="20"/>
                <w:szCs w:val="20"/>
                <w:color w:val="auto"/>
              </w:rPr>
            </w:pPr>
            <w:r>
              <w:rPr>
                <w:rFonts w:ascii="Arial" w:cs="Arial" w:eastAsia="Arial" w:hAnsi="Arial"/>
                <w:sz w:val="11"/>
                <w:szCs w:val="11"/>
                <w:color w:val="auto"/>
              </w:rPr>
              <w:t>(8.1)</w:t>
            </w:r>
          </w:p>
        </w:tc>
        <w:tc>
          <w:tcPr>
            <w:tcW w:w="60" w:type="dxa"/>
            <w:vAlign w:val="bottom"/>
          </w:tcPr>
          <w:p>
            <w:pPr>
              <w:spacing w:after="0"/>
              <w:rPr>
                <w:sz w:val="9"/>
                <w:szCs w:val="9"/>
                <w:color w:val="auto"/>
              </w:rPr>
            </w:pPr>
          </w:p>
        </w:tc>
        <w:tc>
          <w:tcPr>
            <w:tcW w:w="740" w:type="dxa"/>
            <w:vAlign w:val="bottom"/>
            <w:gridSpan w:val="2"/>
          </w:tcPr>
          <w:p>
            <w:pPr>
              <w:jc w:val="right"/>
              <w:ind w:right="160"/>
              <w:spacing w:after="0" w:line="111" w:lineRule="exact"/>
              <w:rPr>
                <w:sz w:val="20"/>
                <w:szCs w:val="20"/>
                <w:color w:val="auto"/>
              </w:rPr>
            </w:pPr>
            <w:r>
              <w:rPr>
                <w:rFonts w:ascii="Arial" w:cs="Arial" w:eastAsia="Arial" w:hAnsi="Arial"/>
                <w:sz w:val="11"/>
                <w:szCs w:val="11"/>
                <w:color w:val="auto"/>
              </w:rPr>
              <w:t>(2.3)</w:t>
            </w:r>
          </w:p>
        </w:tc>
        <w:tc>
          <w:tcPr>
            <w:tcW w:w="80" w:type="dxa"/>
            <w:vAlign w:val="bottom"/>
          </w:tcPr>
          <w:p>
            <w:pPr>
              <w:spacing w:after="0"/>
              <w:rPr>
                <w:sz w:val="9"/>
                <w:szCs w:val="9"/>
                <w:color w:val="auto"/>
              </w:rPr>
            </w:pPr>
          </w:p>
        </w:tc>
        <w:tc>
          <w:tcPr>
            <w:tcW w:w="840" w:type="dxa"/>
            <w:vAlign w:val="bottom"/>
            <w:gridSpan w:val="2"/>
          </w:tcPr>
          <w:p>
            <w:pPr>
              <w:jc w:val="right"/>
              <w:ind w:right="160"/>
              <w:spacing w:after="0" w:line="111" w:lineRule="exact"/>
              <w:rPr>
                <w:sz w:val="20"/>
                <w:szCs w:val="20"/>
                <w:color w:val="auto"/>
              </w:rPr>
            </w:pPr>
            <w:r>
              <w:rPr>
                <w:rFonts w:ascii="Arial" w:cs="Arial" w:eastAsia="Arial" w:hAnsi="Arial"/>
                <w:sz w:val="11"/>
                <w:szCs w:val="11"/>
                <w:color w:val="auto"/>
              </w:rPr>
              <w:t>(3.3)</w:t>
            </w:r>
          </w:p>
        </w:tc>
        <w:tc>
          <w:tcPr>
            <w:tcW w:w="140" w:type="dxa"/>
            <w:vAlign w:val="bottom"/>
          </w:tcPr>
          <w:p>
            <w:pPr>
              <w:spacing w:after="0"/>
              <w:rPr>
                <w:sz w:val="9"/>
                <w:szCs w:val="9"/>
                <w:color w:val="auto"/>
              </w:rPr>
            </w:pPr>
          </w:p>
        </w:tc>
        <w:tc>
          <w:tcPr>
            <w:tcW w:w="460" w:type="dxa"/>
            <w:vAlign w:val="bottom"/>
            <w:gridSpan w:val="2"/>
          </w:tcPr>
          <w:p>
            <w:pPr>
              <w:jc w:val="right"/>
              <w:ind w:right="200"/>
              <w:spacing w:after="0" w:line="111"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720" w:type="dxa"/>
            <w:vAlign w:val="bottom"/>
            <w:gridSpan w:val="2"/>
          </w:tcPr>
          <w:p>
            <w:pPr>
              <w:jc w:val="right"/>
              <w:ind w:right="180"/>
              <w:spacing w:after="0" w:line="111"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620" w:type="dxa"/>
            <w:vAlign w:val="bottom"/>
            <w:gridSpan w:val="2"/>
          </w:tcPr>
          <w:p>
            <w:pPr>
              <w:jc w:val="right"/>
              <w:ind w:right="60"/>
              <w:spacing w:after="0" w:line="111" w:lineRule="exact"/>
              <w:rPr>
                <w:sz w:val="20"/>
                <w:szCs w:val="20"/>
                <w:color w:val="auto"/>
              </w:rPr>
            </w:pPr>
            <w:r>
              <w:rPr>
                <w:rFonts w:ascii="Arial" w:cs="Arial" w:eastAsia="Arial" w:hAnsi="Arial"/>
                <w:sz w:val="11"/>
                <w:szCs w:val="11"/>
                <w:color w:val="auto"/>
              </w:rPr>
              <w:t>(13.7)</w:t>
            </w:r>
          </w:p>
        </w:tc>
        <w:tc>
          <w:tcPr>
            <w:tcW w:w="0" w:type="dxa"/>
            <w:vAlign w:val="bottom"/>
          </w:tcPr>
          <w:p>
            <w:pPr>
              <w:spacing w:after="0"/>
              <w:rPr>
                <w:sz w:val="1"/>
                <w:szCs w:val="1"/>
                <w:color w:val="auto"/>
              </w:rPr>
            </w:pPr>
          </w:p>
        </w:tc>
      </w:tr>
      <w:tr>
        <w:trPr>
          <w:trHeight w:val="111"/>
        </w:trPr>
        <w:tc>
          <w:tcPr>
            <w:tcW w:w="5400" w:type="dxa"/>
            <w:vAlign w:val="bottom"/>
            <w:shd w:val="clear" w:color="auto" w:fill="CCEEFF"/>
          </w:tcPr>
          <w:p>
            <w:pPr>
              <w:spacing w:after="0" w:line="111" w:lineRule="exact"/>
              <w:rPr>
                <w:sz w:val="20"/>
                <w:szCs w:val="20"/>
                <w:color w:val="auto"/>
              </w:rPr>
            </w:pPr>
            <w:r>
              <w:rPr>
                <w:rFonts w:ascii="Arial" w:cs="Arial" w:eastAsia="Arial" w:hAnsi="Arial"/>
                <w:sz w:val="11"/>
                <w:szCs w:val="11"/>
                <w:color w:val="auto"/>
              </w:rPr>
              <w:t>Impairment charge fiscal 2009</w:t>
            </w:r>
          </w:p>
        </w:tc>
        <w:tc>
          <w:tcPr>
            <w:tcW w:w="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200"/>
              <w:spacing w:after="0" w:line="111"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160"/>
              <w:spacing w:after="0" w:line="111" w:lineRule="exact"/>
              <w:rPr>
                <w:sz w:val="20"/>
                <w:szCs w:val="20"/>
                <w:color w:val="auto"/>
              </w:rPr>
            </w:pPr>
            <w:r>
              <w:rPr>
                <w:rFonts w:ascii="Arial" w:cs="Arial" w:eastAsia="Arial" w:hAnsi="Arial"/>
                <w:sz w:val="11"/>
                <w:szCs w:val="11"/>
                <w:color w:val="auto"/>
              </w:rPr>
              <w:t>(32.6)</w:t>
            </w:r>
          </w:p>
        </w:tc>
        <w:tc>
          <w:tcPr>
            <w:tcW w:w="8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200"/>
              <w:spacing w:after="0" w:line="111"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200"/>
              <w:spacing w:after="0" w:line="111"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60"/>
              <w:spacing w:after="0" w:line="111" w:lineRule="exact"/>
              <w:rPr>
                <w:sz w:val="20"/>
                <w:szCs w:val="20"/>
                <w:color w:val="auto"/>
              </w:rPr>
            </w:pPr>
            <w:r>
              <w:rPr>
                <w:rFonts w:ascii="Arial" w:cs="Arial" w:eastAsia="Arial" w:hAnsi="Arial"/>
                <w:sz w:val="11"/>
                <w:szCs w:val="11"/>
                <w:color w:val="auto"/>
              </w:rPr>
              <w:t>(32.6)</w:t>
            </w:r>
          </w:p>
        </w:tc>
        <w:tc>
          <w:tcPr>
            <w:tcW w:w="0" w:type="dxa"/>
            <w:vAlign w:val="bottom"/>
          </w:tcPr>
          <w:p>
            <w:pPr>
              <w:spacing w:after="0"/>
              <w:rPr>
                <w:sz w:val="1"/>
                <w:szCs w:val="1"/>
                <w:color w:val="auto"/>
              </w:rPr>
            </w:pPr>
          </w:p>
        </w:tc>
      </w:tr>
      <w:tr>
        <w:trPr>
          <w:trHeight w:val="111"/>
        </w:trPr>
        <w:tc>
          <w:tcPr>
            <w:tcW w:w="5400" w:type="dxa"/>
            <w:vAlign w:val="bottom"/>
          </w:tcPr>
          <w:p>
            <w:pPr>
              <w:spacing w:after="0" w:line="111" w:lineRule="exact"/>
              <w:rPr>
                <w:sz w:val="20"/>
                <w:szCs w:val="20"/>
                <w:color w:val="auto"/>
              </w:rPr>
            </w:pPr>
            <w:r>
              <w:rPr>
                <w:rFonts w:ascii="Arial" w:cs="Arial" w:eastAsia="Arial" w:hAnsi="Arial"/>
                <w:sz w:val="11"/>
                <w:szCs w:val="11"/>
                <w:color w:val="auto"/>
              </w:rPr>
              <w:t>Tax adjustments related to valuation allowance</w:t>
            </w:r>
          </w:p>
        </w:tc>
        <w:tc>
          <w:tcPr>
            <w:tcW w:w="60" w:type="dxa"/>
            <w:vAlign w:val="bottom"/>
          </w:tcPr>
          <w:p>
            <w:pPr>
              <w:spacing w:after="0"/>
              <w:rPr>
                <w:sz w:val="9"/>
                <w:szCs w:val="9"/>
                <w:color w:val="auto"/>
              </w:rPr>
            </w:pPr>
          </w:p>
        </w:tc>
        <w:tc>
          <w:tcPr>
            <w:tcW w:w="740" w:type="dxa"/>
            <w:vAlign w:val="bottom"/>
            <w:gridSpan w:val="2"/>
          </w:tcPr>
          <w:p>
            <w:pPr>
              <w:jc w:val="right"/>
              <w:ind w:right="160"/>
              <w:spacing w:after="0" w:line="111" w:lineRule="exact"/>
              <w:rPr>
                <w:sz w:val="20"/>
                <w:szCs w:val="20"/>
                <w:color w:val="auto"/>
              </w:rPr>
            </w:pPr>
            <w:r>
              <w:rPr>
                <w:rFonts w:ascii="Arial" w:cs="Arial" w:eastAsia="Arial" w:hAnsi="Arial"/>
                <w:sz w:val="11"/>
                <w:szCs w:val="11"/>
                <w:color w:val="auto"/>
              </w:rPr>
              <w:t>(3.8)</w:t>
            </w:r>
          </w:p>
        </w:tc>
        <w:tc>
          <w:tcPr>
            <w:tcW w:w="60" w:type="dxa"/>
            <w:vAlign w:val="bottom"/>
          </w:tcPr>
          <w:p>
            <w:pPr>
              <w:spacing w:after="0"/>
              <w:rPr>
                <w:sz w:val="9"/>
                <w:szCs w:val="9"/>
                <w:color w:val="auto"/>
              </w:rPr>
            </w:pPr>
          </w:p>
        </w:tc>
        <w:tc>
          <w:tcPr>
            <w:tcW w:w="740" w:type="dxa"/>
            <w:vAlign w:val="bottom"/>
            <w:gridSpan w:val="2"/>
          </w:tcPr>
          <w:p>
            <w:pPr>
              <w:jc w:val="right"/>
              <w:ind w:right="160"/>
              <w:spacing w:after="0" w:line="111" w:lineRule="exact"/>
              <w:rPr>
                <w:sz w:val="20"/>
                <w:szCs w:val="20"/>
                <w:color w:val="auto"/>
              </w:rPr>
            </w:pPr>
            <w:r>
              <w:rPr>
                <w:rFonts w:ascii="Arial" w:cs="Arial" w:eastAsia="Arial" w:hAnsi="Arial"/>
                <w:sz w:val="11"/>
                <w:szCs w:val="11"/>
                <w:color w:val="auto"/>
              </w:rPr>
              <w:t>(3.0)</w:t>
            </w:r>
          </w:p>
        </w:tc>
        <w:tc>
          <w:tcPr>
            <w:tcW w:w="80" w:type="dxa"/>
            <w:vAlign w:val="bottom"/>
          </w:tcPr>
          <w:p>
            <w:pPr>
              <w:spacing w:after="0"/>
              <w:rPr>
                <w:sz w:val="9"/>
                <w:szCs w:val="9"/>
                <w:color w:val="auto"/>
              </w:rPr>
            </w:pPr>
          </w:p>
        </w:tc>
        <w:tc>
          <w:tcPr>
            <w:tcW w:w="840" w:type="dxa"/>
            <w:vAlign w:val="bottom"/>
            <w:gridSpan w:val="2"/>
          </w:tcPr>
          <w:p>
            <w:pPr>
              <w:jc w:val="right"/>
              <w:ind w:right="200"/>
              <w:spacing w:after="0" w:line="111"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460" w:type="dxa"/>
            <w:vAlign w:val="bottom"/>
            <w:gridSpan w:val="2"/>
          </w:tcPr>
          <w:p>
            <w:pPr>
              <w:jc w:val="right"/>
              <w:ind w:right="200"/>
              <w:spacing w:after="0" w:line="111"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720" w:type="dxa"/>
            <w:vAlign w:val="bottom"/>
            <w:gridSpan w:val="2"/>
          </w:tcPr>
          <w:p>
            <w:pPr>
              <w:jc w:val="right"/>
              <w:ind w:right="180"/>
              <w:spacing w:after="0" w:line="111"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620" w:type="dxa"/>
            <w:vAlign w:val="bottom"/>
            <w:gridSpan w:val="2"/>
          </w:tcPr>
          <w:p>
            <w:pPr>
              <w:jc w:val="right"/>
              <w:ind w:right="60"/>
              <w:spacing w:after="0" w:line="111" w:lineRule="exact"/>
              <w:rPr>
                <w:sz w:val="20"/>
                <w:szCs w:val="20"/>
                <w:color w:val="auto"/>
              </w:rPr>
            </w:pPr>
            <w:r>
              <w:rPr>
                <w:rFonts w:ascii="Arial" w:cs="Arial" w:eastAsia="Arial" w:hAnsi="Arial"/>
                <w:sz w:val="11"/>
                <w:szCs w:val="11"/>
                <w:color w:val="auto"/>
              </w:rPr>
              <w:t>(6.8)</w:t>
            </w:r>
          </w:p>
        </w:tc>
        <w:tc>
          <w:tcPr>
            <w:tcW w:w="0" w:type="dxa"/>
            <w:vAlign w:val="bottom"/>
          </w:tcPr>
          <w:p>
            <w:pPr>
              <w:spacing w:after="0"/>
              <w:rPr>
                <w:sz w:val="1"/>
                <w:szCs w:val="1"/>
                <w:color w:val="auto"/>
              </w:rPr>
            </w:pPr>
          </w:p>
        </w:tc>
      </w:tr>
      <w:tr>
        <w:trPr>
          <w:trHeight w:val="111"/>
        </w:trPr>
        <w:tc>
          <w:tcPr>
            <w:tcW w:w="5400" w:type="dxa"/>
            <w:vAlign w:val="bottom"/>
            <w:shd w:val="clear" w:color="auto" w:fill="CCEEFF"/>
          </w:tcPr>
          <w:p>
            <w:pPr>
              <w:spacing w:after="0" w:line="111" w:lineRule="exact"/>
              <w:rPr>
                <w:sz w:val="20"/>
                <w:szCs w:val="20"/>
                <w:color w:val="auto"/>
              </w:rPr>
            </w:pPr>
            <w:r>
              <w:rPr>
                <w:rFonts w:ascii="Arial" w:cs="Arial" w:eastAsia="Arial" w:hAnsi="Arial"/>
                <w:sz w:val="11"/>
                <w:szCs w:val="11"/>
                <w:color w:val="auto"/>
              </w:rPr>
              <w:t>Foreign currency translation fiscal 2009</w:t>
            </w:r>
          </w:p>
        </w:tc>
        <w:tc>
          <w:tcPr>
            <w:tcW w:w="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160"/>
              <w:spacing w:after="0" w:line="111" w:lineRule="exact"/>
              <w:rPr>
                <w:sz w:val="20"/>
                <w:szCs w:val="20"/>
                <w:color w:val="auto"/>
              </w:rPr>
            </w:pPr>
            <w:r>
              <w:rPr>
                <w:rFonts w:ascii="Arial" w:cs="Arial" w:eastAsia="Arial" w:hAnsi="Arial"/>
                <w:sz w:val="11"/>
                <w:szCs w:val="11"/>
                <w:color w:val="auto"/>
              </w:rPr>
              <w:t>(0.5)</w:t>
            </w:r>
          </w:p>
        </w:tc>
        <w:tc>
          <w:tcPr>
            <w:tcW w:w="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200"/>
              <w:spacing w:after="0" w:line="111"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200"/>
              <w:spacing w:after="0" w:line="111"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60"/>
              <w:spacing w:after="0" w:line="111" w:lineRule="exact"/>
              <w:rPr>
                <w:sz w:val="20"/>
                <w:szCs w:val="20"/>
                <w:color w:val="auto"/>
              </w:rPr>
            </w:pPr>
            <w:r>
              <w:rPr>
                <w:rFonts w:ascii="Arial" w:cs="Arial" w:eastAsia="Arial" w:hAnsi="Arial"/>
                <w:sz w:val="11"/>
                <w:szCs w:val="11"/>
                <w:color w:val="auto"/>
              </w:rPr>
              <w:t>(0.5)</w:t>
            </w:r>
          </w:p>
        </w:tc>
        <w:tc>
          <w:tcPr>
            <w:tcW w:w="0" w:type="dxa"/>
            <w:vAlign w:val="bottom"/>
          </w:tcPr>
          <w:p>
            <w:pPr>
              <w:spacing w:after="0"/>
              <w:rPr>
                <w:sz w:val="1"/>
                <w:szCs w:val="1"/>
                <w:color w:val="auto"/>
              </w:rPr>
            </w:pPr>
          </w:p>
        </w:tc>
      </w:tr>
      <w:tr>
        <w:trPr>
          <w:trHeight w:val="111"/>
        </w:trPr>
        <w:tc>
          <w:tcPr>
            <w:tcW w:w="5400" w:type="dxa"/>
            <w:vAlign w:val="bottom"/>
          </w:tcPr>
          <w:p>
            <w:pPr>
              <w:spacing w:after="0" w:line="111" w:lineRule="exact"/>
              <w:rPr>
                <w:sz w:val="20"/>
                <w:szCs w:val="20"/>
                <w:color w:val="auto"/>
              </w:rPr>
            </w:pPr>
            <w:r>
              <w:rPr>
                <w:rFonts w:ascii="Arial" w:cs="Arial" w:eastAsia="Arial" w:hAnsi="Arial"/>
                <w:sz w:val="11"/>
                <w:szCs w:val="11"/>
                <w:color w:val="auto"/>
              </w:rPr>
              <w:t>Net identifiable intangible assets as of July 3, 2009</w:t>
            </w:r>
          </w:p>
        </w:tc>
        <w:tc>
          <w:tcPr>
            <w:tcW w:w="60" w:type="dxa"/>
            <w:vAlign w:val="bottom"/>
            <w:tcBorders>
              <w:top w:val="single" w:sz="8" w:color="auto"/>
              <w:bottom w:val="single" w:sz="8" w:color="auto"/>
            </w:tcBorders>
          </w:tcPr>
          <w:p>
            <w:pPr>
              <w:jc w:val="right"/>
              <w:spacing w:after="0" w:line="111" w:lineRule="exact"/>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line="111" w:lineRule="exact"/>
              <w:rPr>
                <w:sz w:val="20"/>
                <w:szCs w:val="20"/>
                <w:color w:val="auto"/>
              </w:rPr>
            </w:pPr>
            <w:r>
              <w:rPr>
                <w:rFonts w:ascii="Arial" w:cs="Arial" w:eastAsia="Arial" w:hAnsi="Arial"/>
                <w:sz w:val="11"/>
                <w:szCs w:val="11"/>
                <w:color w:val="auto"/>
              </w:rPr>
              <w:t>59.3</w:t>
            </w:r>
          </w:p>
        </w:tc>
        <w:tc>
          <w:tcPr>
            <w:tcW w:w="200" w:type="dxa"/>
            <w:vAlign w:val="bottom"/>
          </w:tcPr>
          <w:p>
            <w:pPr>
              <w:spacing w:after="0"/>
              <w:rPr>
                <w:sz w:val="9"/>
                <w:szCs w:val="9"/>
                <w:color w:val="auto"/>
              </w:rPr>
            </w:pPr>
          </w:p>
        </w:tc>
        <w:tc>
          <w:tcPr>
            <w:tcW w:w="60" w:type="dxa"/>
            <w:vAlign w:val="bottom"/>
            <w:tcBorders>
              <w:top w:val="single" w:sz="8" w:color="auto"/>
              <w:bottom w:val="single" w:sz="8" w:color="auto"/>
            </w:tcBorders>
          </w:tcPr>
          <w:p>
            <w:pPr>
              <w:jc w:val="right"/>
              <w:spacing w:after="0" w:line="111" w:lineRule="exact"/>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line="111" w:lineRule="exact"/>
              <w:rPr>
                <w:sz w:val="20"/>
                <w:szCs w:val="20"/>
                <w:color w:val="auto"/>
              </w:rPr>
            </w:pPr>
            <w:r>
              <w:rPr>
                <w:rFonts w:ascii="Arial" w:cs="Arial" w:eastAsia="Arial" w:hAnsi="Arial"/>
                <w:sz w:val="11"/>
                <w:szCs w:val="11"/>
                <w:color w:val="auto"/>
              </w:rPr>
              <w:t>3.4</w:t>
            </w:r>
          </w:p>
        </w:tc>
        <w:tc>
          <w:tcPr>
            <w:tcW w:w="200" w:type="dxa"/>
            <w:vAlign w:val="bottom"/>
          </w:tcPr>
          <w:p>
            <w:pPr>
              <w:spacing w:after="0"/>
              <w:rPr>
                <w:sz w:val="9"/>
                <w:szCs w:val="9"/>
                <w:color w:val="auto"/>
              </w:rPr>
            </w:pPr>
          </w:p>
        </w:tc>
        <w:tc>
          <w:tcPr>
            <w:tcW w:w="80" w:type="dxa"/>
            <w:vAlign w:val="bottom"/>
            <w:tcBorders>
              <w:top w:val="single" w:sz="8" w:color="auto"/>
              <w:bottom w:val="single" w:sz="8" w:color="auto"/>
            </w:tcBorders>
          </w:tcPr>
          <w:p>
            <w:pPr>
              <w:jc w:val="right"/>
              <w:spacing w:after="0" w:line="111" w:lineRule="exact"/>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line="111" w:lineRule="exact"/>
              <w:rPr>
                <w:sz w:val="20"/>
                <w:szCs w:val="20"/>
                <w:color w:val="auto"/>
              </w:rPr>
            </w:pPr>
            <w:r>
              <w:rPr>
                <w:rFonts w:ascii="Arial" w:cs="Arial" w:eastAsia="Arial" w:hAnsi="Arial"/>
                <w:sz w:val="11"/>
                <w:szCs w:val="11"/>
                <w:color w:val="auto"/>
              </w:rPr>
              <w:t>21.4</w:t>
            </w:r>
          </w:p>
        </w:tc>
        <w:tc>
          <w:tcPr>
            <w:tcW w:w="200" w:type="dxa"/>
            <w:vAlign w:val="bottom"/>
          </w:tcPr>
          <w:p>
            <w:pPr>
              <w:spacing w:after="0"/>
              <w:rPr>
                <w:sz w:val="9"/>
                <w:szCs w:val="9"/>
                <w:color w:val="auto"/>
              </w:rPr>
            </w:pPr>
          </w:p>
        </w:tc>
        <w:tc>
          <w:tcPr>
            <w:tcW w:w="140" w:type="dxa"/>
            <w:vAlign w:val="bottom"/>
            <w:tcBorders>
              <w:top w:val="single" w:sz="8" w:color="auto"/>
              <w:bottom w:val="single" w:sz="8" w:color="auto"/>
            </w:tcBorders>
          </w:tcPr>
          <w:p>
            <w:pPr>
              <w:jc w:val="right"/>
              <w:ind w:right="32"/>
              <w:spacing w:after="0" w:line="111" w:lineRule="exact"/>
              <w:rPr>
                <w:sz w:val="20"/>
                <w:szCs w:val="20"/>
                <w:color w:val="auto"/>
              </w:rPr>
            </w:pPr>
            <w:r>
              <w:rPr>
                <w:rFonts w:ascii="Arial" w:cs="Arial" w:eastAsia="Arial" w:hAnsi="Arial"/>
                <w:sz w:val="10"/>
                <w:szCs w:val="10"/>
                <w:color w:val="auto"/>
                <w:w w:val="71"/>
              </w:rPr>
              <w:t>$</w:t>
            </w:r>
          </w:p>
        </w:tc>
        <w:tc>
          <w:tcPr>
            <w:tcW w:w="260" w:type="dxa"/>
            <w:vAlign w:val="bottom"/>
            <w:tcBorders>
              <w:top w:val="single" w:sz="8" w:color="auto"/>
              <w:bottom w:val="single" w:sz="8" w:color="auto"/>
            </w:tcBorders>
          </w:tcPr>
          <w:p>
            <w:pPr>
              <w:jc w:val="right"/>
              <w:spacing w:after="0" w:line="111" w:lineRule="exact"/>
              <w:rPr>
                <w:sz w:val="20"/>
                <w:szCs w:val="20"/>
                <w:color w:val="auto"/>
              </w:rPr>
            </w:pPr>
            <w:r>
              <w:rPr>
                <w:rFonts w:ascii="Arial" w:cs="Arial" w:eastAsia="Arial" w:hAnsi="Arial"/>
                <w:sz w:val="11"/>
                <w:szCs w:val="11"/>
                <w:color w:val="auto"/>
              </w:rPr>
              <w:t>—</w:t>
            </w:r>
          </w:p>
        </w:tc>
        <w:tc>
          <w:tcPr>
            <w:tcW w:w="200" w:type="dxa"/>
            <w:vAlign w:val="bottom"/>
          </w:tcPr>
          <w:p>
            <w:pPr>
              <w:spacing w:after="0"/>
              <w:rPr>
                <w:sz w:val="9"/>
                <w:szCs w:val="9"/>
                <w:color w:val="auto"/>
              </w:rPr>
            </w:pPr>
          </w:p>
        </w:tc>
        <w:tc>
          <w:tcPr>
            <w:tcW w:w="60" w:type="dxa"/>
            <w:vAlign w:val="bottom"/>
            <w:tcBorders>
              <w:top w:val="single" w:sz="8" w:color="auto"/>
              <w:bottom w:val="single" w:sz="8" w:color="auto"/>
            </w:tcBorders>
          </w:tcPr>
          <w:p>
            <w:pPr>
              <w:jc w:val="right"/>
              <w:spacing w:after="0" w:line="111" w:lineRule="exact"/>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ind w:left="440"/>
              <w:spacing w:after="0" w:line="111" w:lineRule="exact"/>
              <w:rPr>
                <w:sz w:val="20"/>
                <w:szCs w:val="20"/>
                <w:color w:val="auto"/>
              </w:rPr>
            </w:pPr>
            <w:r>
              <w:rPr>
                <w:rFonts w:ascii="Arial" w:cs="Arial" w:eastAsia="Arial" w:hAnsi="Arial"/>
                <w:sz w:val="11"/>
                <w:szCs w:val="11"/>
                <w:color w:val="auto"/>
                <w:w w:val="72"/>
              </w:rPr>
              <w:t>—</w:t>
            </w:r>
          </w:p>
        </w:tc>
        <w:tc>
          <w:tcPr>
            <w:tcW w:w="180" w:type="dxa"/>
            <w:vAlign w:val="bottom"/>
          </w:tcPr>
          <w:p>
            <w:pPr>
              <w:spacing w:after="0"/>
              <w:rPr>
                <w:sz w:val="9"/>
                <w:szCs w:val="9"/>
                <w:color w:val="auto"/>
              </w:rPr>
            </w:pPr>
          </w:p>
        </w:tc>
        <w:tc>
          <w:tcPr>
            <w:tcW w:w="60" w:type="dxa"/>
            <w:vAlign w:val="bottom"/>
            <w:tcBorders>
              <w:top w:val="single" w:sz="8" w:color="auto"/>
              <w:bottom w:val="single" w:sz="8" w:color="auto"/>
            </w:tcBorders>
          </w:tcPr>
          <w:p>
            <w:pPr>
              <w:jc w:val="right"/>
              <w:spacing w:after="0" w:line="111" w:lineRule="exact"/>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line="111" w:lineRule="exact"/>
              <w:rPr>
                <w:sz w:val="20"/>
                <w:szCs w:val="20"/>
                <w:color w:val="auto"/>
              </w:rPr>
            </w:pPr>
            <w:r>
              <w:rPr>
                <w:rFonts w:ascii="Arial" w:cs="Arial" w:eastAsia="Arial" w:hAnsi="Arial"/>
                <w:sz w:val="11"/>
                <w:szCs w:val="11"/>
                <w:color w:val="auto"/>
              </w:rPr>
              <w:t>84.1</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
        </w:trPr>
        <w:tc>
          <w:tcPr>
            <w:tcW w:w="5400" w:type="dxa"/>
            <w:vAlign w:val="bottom"/>
            <w:shd w:val="clear" w:color="auto" w:fill="CCEEFF"/>
          </w:tcPr>
          <w:p>
            <w:pPr>
              <w:spacing w:after="0" w:line="92" w:lineRule="exact"/>
              <w:rPr>
                <w:sz w:val="20"/>
                <w:szCs w:val="20"/>
                <w:color w:val="auto"/>
              </w:rPr>
            </w:pPr>
            <w:r>
              <w:rPr>
                <w:rFonts w:ascii="Arial" w:cs="Arial" w:eastAsia="Arial" w:hAnsi="Arial"/>
                <w:sz w:val="10"/>
                <w:szCs w:val="10"/>
                <w:color w:val="auto"/>
              </w:rPr>
              <w:t>Gross identifiable intangible assets as of July 3, 2009</w:t>
            </w:r>
          </w:p>
        </w:tc>
        <w:tc>
          <w:tcPr>
            <w:tcW w:w="60" w:type="dxa"/>
            <w:vAlign w:val="bottom"/>
            <w:shd w:val="clear" w:color="auto" w:fill="CCEEFF"/>
          </w:tcPr>
          <w:p>
            <w:pPr>
              <w:jc w:val="right"/>
              <w:spacing w:after="0" w:line="92" w:lineRule="exact"/>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200"/>
              <w:spacing w:after="0" w:line="92" w:lineRule="exact"/>
              <w:rPr>
                <w:sz w:val="20"/>
                <w:szCs w:val="20"/>
                <w:color w:val="auto"/>
              </w:rPr>
            </w:pPr>
            <w:r>
              <w:rPr>
                <w:rFonts w:ascii="Arial" w:cs="Arial" w:eastAsia="Arial" w:hAnsi="Arial"/>
                <w:sz w:val="10"/>
                <w:szCs w:val="10"/>
                <w:color w:val="auto"/>
              </w:rPr>
              <w:t>87.9</w:t>
            </w:r>
          </w:p>
        </w:tc>
        <w:tc>
          <w:tcPr>
            <w:tcW w:w="60" w:type="dxa"/>
            <w:vAlign w:val="bottom"/>
            <w:shd w:val="clear" w:color="auto" w:fill="CCEEFF"/>
          </w:tcPr>
          <w:p>
            <w:pPr>
              <w:jc w:val="right"/>
              <w:spacing w:after="0" w:line="92" w:lineRule="exact"/>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180"/>
              <w:spacing w:after="0" w:line="92" w:lineRule="exact"/>
              <w:rPr>
                <w:sz w:val="20"/>
                <w:szCs w:val="20"/>
                <w:color w:val="auto"/>
              </w:rPr>
            </w:pPr>
            <w:r>
              <w:rPr>
                <w:rFonts w:ascii="Arial" w:cs="Arial" w:eastAsia="Arial" w:hAnsi="Arial"/>
                <w:sz w:val="10"/>
                <w:szCs w:val="10"/>
                <w:color w:val="auto"/>
              </w:rPr>
              <w:t>11.9</w:t>
            </w:r>
          </w:p>
        </w:tc>
        <w:tc>
          <w:tcPr>
            <w:tcW w:w="80" w:type="dxa"/>
            <w:vAlign w:val="bottom"/>
            <w:shd w:val="clear" w:color="auto" w:fill="CCEEFF"/>
          </w:tcPr>
          <w:p>
            <w:pPr>
              <w:jc w:val="right"/>
              <w:spacing w:after="0" w:line="92" w:lineRule="exact"/>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200"/>
              <w:spacing w:after="0" w:line="92" w:lineRule="exact"/>
              <w:rPr>
                <w:sz w:val="20"/>
                <w:szCs w:val="20"/>
                <w:color w:val="auto"/>
              </w:rPr>
            </w:pPr>
            <w:r>
              <w:rPr>
                <w:rFonts w:ascii="Arial" w:cs="Arial" w:eastAsia="Arial" w:hAnsi="Arial"/>
                <w:sz w:val="10"/>
                <w:szCs w:val="10"/>
                <w:color w:val="auto"/>
              </w:rPr>
              <w:t>29.3</w:t>
            </w:r>
          </w:p>
        </w:tc>
        <w:tc>
          <w:tcPr>
            <w:tcW w:w="140" w:type="dxa"/>
            <w:vAlign w:val="bottom"/>
            <w:shd w:val="clear" w:color="auto" w:fill="CCEEFF"/>
          </w:tcPr>
          <w:p>
            <w:pPr>
              <w:jc w:val="right"/>
              <w:ind w:right="32"/>
              <w:spacing w:after="0" w:line="92" w:lineRule="exact"/>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200"/>
              <w:spacing w:after="0" w:line="92"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jc w:val="right"/>
              <w:spacing w:after="0" w:line="92" w:lineRule="exact"/>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180"/>
              <w:spacing w:after="0" w:line="92"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jc w:val="right"/>
              <w:spacing w:after="0" w:line="92" w:lineRule="exact"/>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80"/>
              <w:spacing w:after="0" w:line="92" w:lineRule="exact"/>
              <w:rPr>
                <w:sz w:val="20"/>
                <w:szCs w:val="20"/>
                <w:color w:val="auto"/>
              </w:rPr>
            </w:pPr>
            <w:r>
              <w:rPr>
                <w:rFonts w:ascii="Arial" w:cs="Arial" w:eastAsia="Arial" w:hAnsi="Arial"/>
                <w:sz w:val="10"/>
                <w:szCs w:val="10"/>
                <w:color w:val="auto"/>
              </w:rPr>
              <w:t>129.1</w:t>
            </w:r>
          </w:p>
        </w:tc>
        <w:tc>
          <w:tcPr>
            <w:tcW w:w="0" w:type="dxa"/>
            <w:vAlign w:val="bottom"/>
          </w:tcPr>
          <w:p>
            <w:pPr>
              <w:spacing w:after="0"/>
              <w:rPr>
                <w:sz w:val="1"/>
                <w:szCs w:val="1"/>
                <w:color w:val="auto"/>
              </w:rPr>
            </w:pPr>
          </w:p>
        </w:tc>
      </w:tr>
      <w:tr>
        <w:trPr>
          <w:trHeight w:val="111"/>
        </w:trPr>
        <w:tc>
          <w:tcPr>
            <w:tcW w:w="5400" w:type="dxa"/>
            <w:vAlign w:val="bottom"/>
          </w:tcPr>
          <w:p>
            <w:pPr>
              <w:spacing w:after="0" w:line="111" w:lineRule="exact"/>
              <w:rPr>
                <w:sz w:val="20"/>
                <w:szCs w:val="20"/>
                <w:color w:val="auto"/>
              </w:rPr>
            </w:pPr>
            <w:r>
              <w:rPr>
                <w:rFonts w:ascii="Arial" w:cs="Arial" w:eastAsia="Arial" w:hAnsi="Arial"/>
                <w:sz w:val="11"/>
                <w:szCs w:val="11"/>
                <w:color w:val="auto"/>
              </w:rPr>
              <w:t>Less accumulated amortization</w:t>
            </w:r>
          </w:p>
        </w:tc>
        <w:tc>
          <w:tcPr>
            <w:tcW w:w="60" w:type="dxa"/>
            <w:vAlign w:val="bottom"/>
          </w:tcPr>
          <w:p>
            <w:pPr>
              <w:spacing w:after="0"/>
              <w:rPr>
                <w:sz w:val="9"/>
                <w:szCs w:val="9"/>
                <w:color w:val="auto"/>
              </w:rPr>
            </w:pPr>
          </w:p>
        </w:tc>
        <w:tc>
          <w:tcPr>
            <w:tcW w:w="740" w:type="dxa"/>
            <w:vAlign w:val="bottom"/>
            <w:gridSpan w:val="2"/>
          </w:tcPr>
          <w:p>
            <w:pPr>
              <w:jc w:val="right"/>
              <w:ind w:right="160"/>
              <w:spacing w:after="0" w:line="111" w:lineRule="exact"/>
              <w:rPr>
                <w:sz w:val="20"/>
                <w:szCs w:val="20"/>
                <w:color w:val="auto"/>
              </w:rPr>
            </w:pPr>
            <w:r>
              <w:rPr>
                <w:rFonts w:ascii="Arial" w:cs="Arial" w:eastAsia="Arial" w:hAnsi="Arial"/>
                <w:sz w:val="11"/>
                <w:szCs w:val="11"/>
                <w:color w:val="auto"/>
              </w:rPr>
              <w:t>(28.6)</w:t>
            </w:r>
          </w:p>
        </w:tc>
        <w:tc>
          <w:tcPr>
            <w:tcW w:w="60" w:type="dxa"/>
            <w:vAlign w:val="bottom"/>
          </w:tcPr>
          <w:p>
            <w:pPr>
              <w:spacing w:after="0"/>
              <w:rPr>
                <w:sz w:val="9"/>
                <w:szCs w:val="9"/>
                <w:color w:val="auto"/>
              </w:rPr>
            </w:pPr>
          </w:p>
        </w:tc>
        <w:tc>
          <w:tcPr>
            <w:tcW w:w="740" w:type="dxa"/>
            <w:vAlign w:val="bottom"/>
            <w:gridSpan w:val="2"/>
          </w:tcPr>
          <w:p>
            <w:pPr>
              <w:jc w:val="right"/>
              <w:ind w:right="160"/>
              <w:spacing w:after="0" w:line="111" w:lineRule="exact"/>
              <w:rPr>
                <w:sz w:val="20"/>
                <w:szCs w:val="20"/>
                <w:color w:val="auto"/>
              </w:rPr>
            </w:pPr>
            <w:r>
              <w:rPr>
                <w:rFonts w:ascii="Arial" w:cs="Arial" w:eastAsia="Arial" w:hAnsi="Arial"/>
                <w:sz w:val="11"/>
                <w:szCs w:val="11"/>
                <w:color w:val="auto"/>
              </w:rPr>
              <w:t>(8.5)</w:t>
            </w:r>
          </w:p>
        </w:tc>
        <w:tc>
          <w:tcPr>
            <w:tcW w:w="80" w:type="dxa"/>
            <w:vAlign w:val="bottom"/>
          </w:tcPr>
          <w:p>
            <w:pPr>
              <w:spacing w:after="0"/>
              <w:rPr>
                <w:sz w:val="9"/>
                <w:szCs w:val="9"/>
                <w:color w:val="auto"/>
              </w:rPr>
            </w:pPr>
          </w:p>
        </w:tc>
        <w:tc>
          <w:tcPr>
            <w:tcW w:w="840" w:type="dxa"/>
            <w:vAlign w:val="bottom"/>
            <w:gridSpan w:val="2"/>
          </w:tcPr>
          <w:p>
            <w:pPr>
              <w:jc w:val="right"/>
              <w:ind w:right="160"/>
              <w:spacing w:after="0" w:line="111" w:lineRule="exact"/>
              <w:rPr>
                <w:sz w:val="20"/>
                <w:szCs w:val="20"/>
                <w:color w:val="auto"/>
              </w:rPr>
            </w:pPr>
            <w:r>
              <w:rPr>
                <w:rFonts w:ascii="Arial" w:cs="Arial" w:eastAsia="Arial" w:hAnsi="Arial"/>
                <w:sz w:val="11"/>
                <w:szCs w:val="11"/>
                <w:color w:val="auto"/>
              </w:rPr>
              <w:t>(7.9)</w:t>
            </w:r>
          </w:p>
        </w:tc>
        <w:tc>
          <w:tcPr>
            <w:tcW w:w="140" w:type="dxa"/>
            <w:vAlign w:val="bottom"/>
          </w:tcPr>
          <w:p>
            <w:pPr>
              <w:spacing w:after="0"/>
              <w:rPr>
                <w:sz w:val="9"/>
                <w:szCs w:val="9"/>
                <w:color w:val="auto"/>
              </w:rPr>
            </w:pPr>
          </w:p>
        </w:tc>
        <w:tc>
          <w:tcPr>
            <w:tcW w:w="460" w:type="dxa"/>
            <w:vAlign w:val="bottom"/>
            <w:gridSpan w:val="2"/>
          </w:tcPr>
          <w:p>
            <w:pPr>
              <w:jc w:val="right"/>
              <w:ind w:right="200"/>
              <w:spacing w:after="0" w:line="111"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720" w:type="dxa"/>
            <w:vAlign w:val="bottom"/>
            <w:gridSpan w:val="2"/>
          </w:tcPr>
          <w:p>
            <w:pPr>
              <w:jc w:val="right"/>
              <w:ind w:right="180"/>
              <w:spacing w:after="0" w:line="111"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620" w:type="dxa"/>
            <w:vAlign w:val="bottom"/>
            <w:gridSpan w:val="2"/>
          </w:tcPr>
          <w:p>
            <w:pPr>
              <w:jc w:val="right"/>
              <w:ind w:right="60"/>
              <w:spacing w:after="0" w:line="111" w:lineRule="exact"/>
              <w:rPr>
                <w:sz w:val="20"/>
                <w:szCs w:val="20"/>
                <w:color w:val="auto"/>
              </w:rPr>
            </w:pPr>
            <w:r>
              <w:rPr>
                <w:rFonts w:ascii="Arial" w:cs="Arial" w:eastAsia="Arial" w:hAnsi="Arial"/>
                <w:sz w:val="11"/>
                <w:szCs w:val="11"/>
                <w:color w:val="auto"/>
              </w:rPr>
              <w:t>(45.0)</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5400" w:type="dxa"/>
            <w:vAlign w:val="bottom"/>
            <w:shd w:val="clear" w:color="auto" w:fill="CCEEFF"/>
          </w:tcPr>
          <w:p>
            <w:pPr>
              <w:spacing w:after="0" w:line="111" w:lineRule="exact"/>
              <w:rPr>
                <w:sz w:val="20"/>
                <w:szCs w:val="20"/>
                <w:color w:val="auto"/>
              </w:rPr>
            </w:pPr>
            <w:r>
              <w:rPr>
                <w:rFonts w:ascii="Arial" w:cs="Arial" w:eastAsia="Arial" w:hAnsi="Arial"/>
                <w:sz w:val="11"/>
                <w:szCs w:val="11"/>
                <w:color w:val="auto"/>
              </w:rPr>
              <w:t>Net identifiable intangible assets as of July 3, 2009</w:t>
            </w:r>
          </w:p>
        </w:tc>
        <w:tc>
          <w:tcPr>
            <w:tcW w:w="6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200"/>
              <w:spacing w:after="0" w:line="111" w:lineRule="exact"/>
              <w:rPr>
                <w:sz w:val="20"/>
                <w:szCs w:val="20"/>
                <w:color w:val="auto"/>
              </w:rPr>
            </w:pPr>
            <w:r>
              <w:rPr>
                <w:rFonts w:ascii="Arial" w:cs="Arial" w:eastAsia="Arial" w:hAnsi="Arial"/>
                <w:sz w:val="11"/>
                <w:szCs w:val="11"/>
                <w:color w:val="auto"/>
              </w:rPr>
              <w:t>59.3</w:t>
            </w:r>
          </w:p>
        </w:tc>
        <w:tc>
          <w:tcPr>
            <w:tcW w:w="6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1"/>
                <w:szCs w:val="11"/>
                <w:color w:val="auto"/>
              </w:rPr>
              <w:t>3.4</w:t>
            </w:r>
          </w:p>
        </w:tc>
        <w:tc>
          <w:tcPr>
            <w:tcW w:w="8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200"/>
              <w:spacing w:after="0" w:line="111" w:lineRule="exact"/>
              <w:rPr>
                <w:sz w:val="20"/>
                <w:szCs w:val="20"/>
                <w:color w:val="auto"/>
              </w:rPr>
            </w:pPr>
            <w:r>
              <w:rPr>
                <w:rFonts w:ascii="Arial" w:cs="Arial" w:eastAsia="Arial" w:hAnsi="Arial"/>
                <w:sz w:val="11"/>
                <w:szCs w:val="11"/>
                <w:color w:val="auto"/>
              </w:rPr>
              <w:t>21.4</w:t>
            </w:r>
          </w:p>
        </w:tc>
        <w:tc>
          <w:tcPr>
            <w:tcW w:w="140" w:type="dxa"/>
            <w:vAlign w:val="bottom"/>
            <w:shd w:val="clear" w:color="auto" w:fill="CCEEFF"/>
          </w:tcPr>
          <w:p>
            <w:pPr>
              <w:jc w:val="right"/>
              <w:ind w:right="32"/>
              <w:spacing w:after="0" w:line="111" w:lineRule="exact"/>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200"/>
              <w:spacing w:after="0" w:line="111"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80"/>
              <w:spacing w:after="0" w:line="111" w:lineRule="exact"/>
              <w:rPr>
                <w:sz w:val="20"/>
                <w:szCs w:val="20"/>
                <w:color w:val="auto"/>
              </w:rPr>
            </w:pPr>
            <w:r>
              <w:rPr>
                <w:rFonts w:ascii="Arial" w:cs="Arial" w:eastAsia="Arial" w:hAnsi="Arial"/>
                <w:sz w:val="11"/>
                <w:szCs w:val="11"/>
                <w:color w:val="auto"/>
              </w:rPr>
              <w:t>84.1</w:t>
            </w: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Arial" w:cs="Arial" w:eastAsia="Arial" w:hAnsi="Arial"/>
                <w:sz w:val="11"/>
                <w:szCs w:val="11"/>
                <w:color w:val="auto"/>
              </w:rPr>
              <w:t>Amortization expense fiscal 2009</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
        </w:trPr>
        <w:tc>
          <w:tcPr>
            <w:tcW w:w="540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jc w:val="right"/>
              <w:spacing w:after="0" w:line="92" w:lineRule="exact"/>
              <w:rPr>
                <w:sz w:val="20"/>
                <w:szCs w:val="20"/>
                <w:color w:val="auto"/>
              </w:rPr>
            </w:pPr>
            <w:r>
              <w:rPr>
                <w:rFonts w:ascii="Arial" w:cs="Arial" w:eastAsia="Arial" w:hAnsi="Arial"/>
                <w:sz w:val="10"/>
                <w:szCs w:val="10"/>
                <w:color w:val="auto"/>
              </w:rPr>
              <w:t>8.1</w:t>
            </w: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jc w:val="right"/>
              <w:spacing w:after="0" w:line="92" w:lineRule="exact"/>
              <w:rPr>
                <w:sz w:val="20"/>
                <w:szCs w:val="20"/>
                <w:color w:val="auto"/>
              </w:rPr>
            </w:pPr>
            <w:r>
              <w:rPr>
                <w:rFonts w:ascii="Arial" w:cs="Arial" w:eastAsia="Arial" w:hAnsi="Arial"/>
                <w:sz w:val="10"/>
                <w:szCs w:val="10"/>
                <w:color w:val="auto"/>
              </w:rPr>
              <w:t>2.3</w:t>
            </w: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jc w:val="right"/>
              <w:spacing w:after="0" w:line="92" w:lineRule="exact"/>
              <w:rPr>
                <w:sz w:val="20"/>
                <w:szCs w:val="20"/>
                <w:color w:val="auto"/>
              </w:rPr>
            </w:pPr>
            <w:r>
              <w:rPr>
                <w:rFonts w:ascii="Arial" w:cs="Arial" w:eastAsia="Arial" w:hAnsi="Arial"/>
                <w:sz w:val="10"/>
                <w:szCs w:val="10"/>
                <w:color w:val="auto"/>
              </w:rPr>
              <w:t>3.3</w:t>
            </w: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jc w:val="right"/>
              <w:spacing w:after="0" w:line="92" w:lineRule="exact"/>
              <w:rPr>
                <w:sz w:val="20"/>
                <w:szCs w:val="20"/>
                <w:color w:val="auto"/>
              </w:rPr>
            </w:pPr>
            <w:r>
              <w:rPr>
                <w:rFonts w:ascii="Arial" w:cs="Arial" w:eastAsia="Arial" w:hAnsi="Arial"/>
                <w:sz w:val="10"/>
                <w:szCs w:val="10"/>
                <w:color w:val="auto"/>
              </w:rPr>
              <w:t>—</w:t>
            </w: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ind w:left="440"/>
              <w:spacing w:after="0" w:line="92" w:lineRule="exact"/>
              <w:rPr>
                <w:sz w:val="20"/>
                <w:szCs w:val="20"/>
                <w:color w:val="auto"/>
              </w:rPr>
            </w:pPr>
            <w:r>
              <w:rPr>
                <w:rFonts w:ascii="Arial" w:cs="Arial" w:eastAsia="Arial" w:hAnsi="Arial"/>
                <w:sz w:val="10"/>
                <w:szCs w:val="10"/>
                <w:color w:val="auto"/>
                <w:w w:val="79"/>
              </w:rPr>
              <w:t>—</w:t>
            </w: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jc w:val="right"/>
              <w:spacing w:after="0" w:line="92" w:lineRule="exact"/>
              <w:rPr>
                <w:sz w:val="20"/>
                <w:szCs w:val="20"/>
                <w:color w:val="auto"/>
              </w:rPr>
            </w:pPr>
            <w:r>
              <w:rPr>
                <w:rFonts w:ascii="Arial" w:cs="Arial" w:eastAsia="Arial" w:hAnsi="Arial"/>
                <w:sz w:val="10"/>
                <w:szCs w:val="10"/>
                <w:color w:val="auto"/>
              </w:rPr>
              <w:t>13.7</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1"/>
        </w:trPr>
        <w:tc>
          <w:tcPr>
            <w:tcW w:w="5400" w:type="dxa"/>
            <w:vAlign w:val="bottom"/>
            <w:shd w:val="clear" w:color="auto" w:fill="CCEEFF"/>
          </w:tcPr>
          <w:p>
            <w:pPr>
              <w:spacing w:after="0" w:line="111" w:lineRule="exact"/>
              <w:rPr>
                <w:sz w:val="20"/>
                <w:szCs w:val="20"/>
                <w:color w:val="auto"/>
              </w:rPr>
            </w:pPr>
            <w:r>
              <w:rPr>
                <w:rFonts w:ascii="Arial" w:cs="Arial" w:eastAsia="Arial" w:hAnsi="Arial"/>
                <w:sz w:val="11"/>
                <w:szCs w:val="11"/>
                <w:color w:val="auto"/>
              </w:rPr>
              <w:t>Amortization expense fiscal 2008</w:t>
            </w:r>
          </w:p>
        </w:tc>
        <w:tc>
          <w:tcPr>
            <w:tcW w:w="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200"/>
              <w:spacing w:after="0" w:line="111" w:lineRule="exact"/>
              <w:rPr>
                <w:sz w:val="20"/>
                <w:szCs w:val="20"/>
                <w:color w:val="auto"/>
              </w:rPr>
            </w:pPr>
            <w:r>
              <w:rPr>
                <w:rFonts w:ascii="Arial" w:cs="Arial" w:eastAsia="Arial" w:hAnsi="Arial"/>
                <w:sz w:val="11"/>
                <w:szCs w:val="11"/>
                <w:color w:val="auto"/>
              </w:rPr>
              <w:t>7.9</w:t>
            </w:r>
          </w:p>
        </w:tc>
        <w:tc>
          <w:tcPr>
            <w:tcW w:w="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1"/>
                <w:szCs w:val="11"/>
                <w:color w:val="auto"/>
              </w:rPr>
              <w:t>2.2</w:t>
            </w:r>
          </w:p>
        </w:tc>
        <w:tc>
          <w:tcPr>
            <w:tcW w:w="8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200"/>
              <w:spacing w:after="0" w:line="111" w:lineRule="exact"/>
              <w:rPr>
                <w:sz w:val="20"/>
                <w:szCs w:val="20"/>
                <w:color w:val="auto"/>
              </w:rPr>
            </w:pPr>
            <w:r>
              <w:rPr>
                <w:rFonts w:ascii="Arial" w:cs="Arial" w:eastAsia="Arial" w:hAnsi="Arial"/>
                <w:sz w:val="11"/>
                <w:szCs w:val="11"/>
                <w:color w:val="auto"/>
              </w:rPr>
              <w:t>3.3</w:t>
            </w:r>
          </w:p>
        </w:tc>
        <w:tc>
          <w:tcPr>
            <w:tcW w:w="14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200"/>
              <w:spacing w:after="0" w:line="111"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1"/>
                <w:szCs w:val="11"/>
                <w:color w:val="auto"/>
              </w:rPr>
              <w:t>1.1</w:t>
            </w:r>
          </w:p>
        </w:tc>
        <w:tc>
          <w:tcPr>
            <w:tcW w:w="6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80"/>
              <w:spacing w:after="0" w:line="111" w:lineRule="exact"/>
              <w:rPr>
                <w:sz w:val="20"/>
                <w:szCs w:val="20"/>
                <w:color w:val="auto"/>
              </w:rPr>
            </w:pPr>
            <w:r>
              <w:rPr>
                <w:rFonts w:ascii="Arial" w:cs="Arial" w:eastAsia="Arial" w:hAnsi="Arial"/>
                <w:sz w:val="11"/>
                <w:szCs w:val="11"/>
                <w:color w:val="auto"/>
              </w:rPr>
              <w:t>14.5</w:t>
            </w:r>
          </w:p>
        </w:tc>
        <w:tc>
          <w:tcPr>
            <w:tcW w:w="0" w:type="dxa"/>
            <w:vAlign w:val="bottom"/>
          </w:tcPr>
          <w:p>
            <w:pPr>
              <w:spacing w:after="0"/>
              <w:rPr>
                <w:sz w:val="1"/>
                <w:szCs w:val="1"/>
                <w:color w:val="auto"/>
              </w:rPr>
            </w:pPr>
          </w:p>
        </w:tc>
      </w:tr>
      <w:tr>
        <w:trPr>
          <w:trHeight w:val="111"/>
        </w:trPr>
        <w:tc>
          <w:tcPr>
            <w:tcW w:w="5400" w:type="dxa"/>
            <w:vAlign w:val="bottom"/>
          </w:tcPr>
          <w:p>
            <w:pPr>
              <w:spacing w:after="0" w:line="111" w:lineRule="exact"/>
              <w:rPr>
                <w:sz w:val="20"/>
                <w:szCs w:val="20"/>
                <w:color w:val="auto"/>
              </w:rPr>
            </w:pPr>
            <w:r>
              <w:rPr>
                <w:rFonts w:ascii="Arial" w:cs="Arial" w:eastAsia="Arial" w:hAnsi="Arial"/>
                <w:sz w:val="11"/>
                <w:szCs w:val="11"/>
                <w:color w:val="auto"/>
              </w:rPr>
              <w:t>Amortization expense fiscal 2007</w:t>
            </w:r>
          </w:p>
        </w:tc>
        <w:tc>
          <w:tcPr>
            <w:tcW w:w="60" w:type="dxa"/>
            <w:vAlign w:val="bottom"/>
          </w:tcPr>
          <w:p>
            <w:pPr>
              <w:spacing w:after="0"/>
              <w:rPr>
                <w:sz w:val="9"/>
                <w:szCs w:val="9"/>
                <w:color w:val="auto"/>
              </w:rPr>
            </w:pPr>
          </w:p>
        </w:tc>
        <w:tc>
          <w:tcPr>
            <w:tcW w:w="740" w:type="dxa"/>
            <w:vAlign w:val="bottom"/>
            <w:gridSpan w:val="2"/>
          </w:tcPr>
          <w:p>
            <w:pPr>
              <w:jc w:val="right"/>
              <w:ind w:right="200"/>
              <w:spacing w:after="0" w:line="111" w:lineRule="exact"/>
              <w:rPr>
                <w:sz w:val="20"/>
                <w:szCs w:val="20"/>
                <w:color w:val="auto"/>
              </w:rPr>
            </w:pPr>
            <w:r>
              <w:rPr>
                <w:rFonts w:ascii="Arial" w:cs="Arial" w:eastAsia="Arial" w:hAnsi="Arial"/>
                <w:sz w:val="11"/>
                <w:szCs w:val="11"/>
                <w:color w:val="auto"/>
              </w:rPr>
              <w:t>4.1</w:t>
            </w:r>
          </w:p>
        </w:tc>
        <w:tc>
          <w:tcPr>
            <w:tcW w:w="60" w:type="dxa"/>
            <w:vAlign w:val="bottom"/>
          </w:tcPr>
          <w:p>
            <w:pPr>
              <w:spacing w:after="0"/>
              <w:rPr>
                <w:sz w:val="9"/>
                <w:szCs w:val="9"/>
                <w:color w:val="auto"/>
              </w:rPr>
            </w:pPr>
          </w:p>
        </w:tc>
        <w:tc>
          <w:tcPr>
            <w:tcW w:w="740" w:type="dxa"/>
            <w:vAlign w:val="bottom"/>
            <w:gridSpan w:val="2"/>
          </w:tcPr>
          <w:p>
            <w:pPr>
              <w:jc w:val="right"/>
              <w:ind w:right="180"/>
              <w:spacing w:after="0" w:line="111" w:lineRule="exact"/>
              <w:rPr>
                <w:sz w:val="20"/>
                <w:szCs w:val="20"/>
                <w:color w:val="auto"/>
              </w:rPr>
            </w:pPr>
            <w:r>
              <w:rPr>
                <w:rFonts w:ascii="Arial" w:cs="Arial" w:eastAsia="Arial" w:hAnsi="Arial"/>
                <w:sz w:val="11"/>
                <w:szCs w:val="11"/>
                <w:color w:val="auto"/>
              </w:rPr>
              <w:t>1.0</w:t>
            </w:r>
          </w:p>
        </w:tc>
        <w:tc>
          <w:tcPr>
            <w:tcW w:w="80" w:type="dxa"/>
            <w:vAlign w:val="bottom"/>
          </w:tcPr>
          <w:p>
            <w:pPr>
              <w:spacing w:after="0"/>
              <w:rPr>
                <w:sz w:val="9"/>
                <w:szCs w:val="9"/>
                <w:color w:val="auto"/>
              </w:rPr>
            </w:pPr>
          </w:p>
        </w:tc>
        <w:tc>
          <w:tcPr>
            <w:tcW w:w="840" w:type="dxa"/>
            <w:vAlign w:val="bottom"/>
            <w:gridSpan w:val="2"/>
          </w:tcPr>
          <w:p>
            <w:pPr>
              <w:jc w:val="right"/>
              <w:ind w:right="200"/>
              <w:spacing w:after="0" w:line="111" w:lineRule="exact"/>
              <w:rPr>
                <w:sz w:val="20"/>
                <w:szCs w:val="20"/>
                <w:color w:val="auto"/>
              </w:rPr>
            </w:pPr>
            <w:r>
              <w:rPr>
                <w:rFonts w:ascii="Arial" w:cs="Arial" w:eastAsia="Arial" w:hAnsi="Arial"/>
                <w:sz w:val="11"/>
                <w:szCs w:val="11"/>
                <w:color w:val="auto"/>
              </w:rPr>
              <w:t>1.4</w:t>
            </w:r>
          </w:p>
        </w:tc>
        <w:tc>
          <w:tcPr>
            <w:tcW w:w="140" w:type="dxa"/>
            <w:vAlign w:val="bottom"/>
          </w:tcPr>
          <w:p>
            <w:pPr>
              <w:spacing w:after="0"/>
              <w:rPr>
                <w:sz w:val="9"/>
                <w:szCs w:val="9"/>
                <w:color w:val="auto"/>
              </w:rPr>
            </w:pPr>
          </w:p>
        </w:tc>
        <w:tc>
          <w:tcPr>
            <w:tcW w:w="460" w:type="dxa"/>
            <w:vAlign w:val="bottom"/>
            <w:gridSpan w:val="2"/>
          </w:tcPr>
          <w:p>
            <w:pPr>
              <w:jc w:val="right"/>
              <w:ind w:right="200"/>
              <w:spacing w:after="0" w:line="111" w:lineRule="exact"/>
              <w:rPr>
                <w:sz w:val="20"/>
                <w:szCs w:val="20"/>
                <w:color w:val="auto"/>
              </w:rPr>
            </w:pPr>
            <w:r>
              <w:rPr>
                <w:rFonts w:ascii="Arial" w:cs="Arial" w:eastAsia="Arial" w:hAnsi="Arial"/>
                <w:sz w:val="11"/>
                <w:szCs w:val="11"/>
                <w:color w:val="auto"/>
              </w:rPr>
              <w:t>4.3</w:t>
            </w:r>
          </w:p>
        </w:tc>
        <w:tc>
          <w:tcPr>
            <w:tcW w:w="60" w:type="dxa"/>
            <w:vAlign w:val="bottom"/>
          </w:tcPr>
          <w:p>
            <w:pPr>
              <w:spacing w:after="0"/>
              <w:rPr>
                <w:sz w:val="9"/>
                <w:szCs w:val="9"/>
                <w:color w:val="auto"/>
              </w:rPr>
            </w:pPr>
          </w:p>
        </w:tc>
        <w:tc>
          <w:tcPr>
            <w:tcW w:w="720" w:type="dxa"/>
            <w:vAlign w:val="bottom"/>
            <w:gridSpan w:val="2"/>
          </w:tcPr>
          <w:p>
            <w:pPr>
              <w:jc w:val="right"/>
              <w:ind w:right="180"/>
              <w:spacing w:after="0" w:line="111" w:lineRule="exact"/>
              <w:rPr>
                <w:sz w:val="20"/>
                <w:szCs w:val="20"/>
                <w:color w:val="auto"/>
              </w:rPr>
            </w:pPr>
            <w:r>
              <w:rPr>
                <w:rFonts w:ascii="Arial" w:cs="Arial" w:eastAsia="Arial" w:hAnsi="Arial"/>
                <w:sz w:val="11"/>
                <w:szCs w:val="11"/>
                <w:color w:val="auto"/>
              </w:rPr>
              <w:t>0.8</w:t>
            </w:r>
          </w:p>
        </w:tc>
        <w:tc>
          <w:tcPr>
            <w:tcW w:w="60" w:type="dxa"/>
            <w:vAlign w:val="bottom"/>
          </w:tcPr>
          <w:p>
            <w:pPr>
              <w:spacing w:after="0"/>
              <w:rPr>
                <w:sz w:val="9"/>
                <w:szCs w:val="9"/>
                <w:color w:val="auto"/>
              </w:rPr>
            </w:pPr>
          </w:p>
        </w:tc>
        <w:tc>
          <w:tcPr>
            <w:tcW w:w="620" w:type="dxa"/>
            <w:vAlign w:val="bottom"/>
            <w:gridSpan w:val="2"/>
          </w:tcPr>
          <w:p>
            <w:pPr>
              <w:jc w:val="right"/>
              <w:ind w:right="80"/>
              <w:spacing w:after="0" w:line="111" w:lineRule="exact"/>
              <w:rPr>
                <w:sz w:val="20"/>
                <w:szCs w:val="20"/>
                <w:color w:val="auto"/>
              </w:rPr>
            </w:pPr>
            <w:r>
              <w:rPr>
                <w:rFonts w:ascii="Arial" w:cs="Arial" w:eastAsia="Arial" w:hAnsi="Arial"/>
                <w:sz w:val="11"/>
                <w:szCs w:val="11"/>
                <w:color w:val="auto"/>
              </w:rPr>
              <w:t>11.6</w:t>
            </w:r>
          </w:p>
        </w:tc>
        <w:tc>
          <w:tcPr>
            <w:tcW w:w="0" w:type="dxa"/>
            <w:vAlign w:val="bottom"/>
          </w:tcPr>
          <w:p>
            <w:pPr>
              <w:spacing w:after="0"/>
              <w:rPr>
                <w:sz w:val="1"/>
                <w:szCs w:val="1"/>
                <w:color w:val="auto"/>
              </w:rPr>
            </w:pPr>
          </w:p>
        </w:tc>
      </w:tr>
      <w:tr>
        <w:trPr>
          <w:trHeight w:val="111"/>
        </w:trPr>
        <w:tc>
          <w:tcPr>
            <w:tcW w:w="5400" w:type="dxa"/>
            <w:vAlign w:val="bottom"/>
            <w:shd w:val="clear" w:color="auto" w:fill="CCEEFF"/>
          </w:tcPr>
          <w:p>
            <w:pPr>
              <w:spacing w:after="0" w:line="111" w:lineRule="exact"/>
              <w:rPr>
                <w:sz w:val="20"/>
                <w:szCs w:val="20"/>
                <w:color w:val="auto"/>
              </w:rPr>
            </w:pPr>
            <w:r>
              <w:rPr>
                <w:rFonts w:ascii="Arial" w:cs="Arial" w:eastAsia="Arial" w:hAnsi="Arial"/>
                <w:sz w:val="11"/>
                <w:szCs w:val="11"/>
                <w:color w:val="auto"/>
              </w:rPr>
              <w:t>Weighted Average Estimated Useful Life (in years)</w:t>
            </w:r>
          </w:p>
        </w:tc>
        <w:tc>
          <w:tcPr>
            <w:tcW w:w="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200"/>
              <w:spacing w:after="0" w:line="111" w:lineRule="exact"/>
              <w:rPr>
                <w:sz w:val="20"/>
                <w:szCs w:val="20"/>
                <w:color w:val="auto"/>
              </w:rPr>
            </w:pPr>
            <w:r>
              <w:rPr>
                <w:rFonts w:ascii="Arial" w:cs="Arial" w:eastAsia="Arial" w:hAnsi="Arial"/>
                <w:sz w:val="11"/>
                <w:szCs w:val="11"/>
                <w:color w:val="auto"/>
              </w:rPr>
              <w:t>7.3</w:t>
            </w:r>
          </w:p>
        </w:tc>
        <w:tc>
          <w:tcPr>
            <w:tcW w:w="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1"/>
                <w:szCs w:val="11"/>
                <w:color w:val="auto"/>
              </w:rPr>
              <w:t>2.5</w:t>
            </w:r>
          </w:p>
        </w:tc>
        <w:tc>
          <w:tcPr>
            <w:tcW w:w="8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200"/>
              <w:spacing w:after="0" w:line="111" w:lineRule="exact"/>
              <w:rPr>
                <w:sz w:val="20"/>
                <w:szCs w:val="20"/>
                <w:color w:val="auto"/>
              </w:rPr>
            </w:pPr>
            <w:r>
              <w:rPr>
                <w:rFonts w:ascii="Arial" w:cs="Arial" w:eastAsia="Arial" w:hAnsi="Arial"/>
                <w:sz w:val="11"/>
                <w:szCs w:val="11"/>
                <w:color w:val="auto"/>
              </w:rPr>
              <w:t>7.3</w:t>
            </w:r>
          </w:p>
        </w:tc>
        <w:tc>
          <w:tcPr>
            <w:tcW w:w="14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200"/>
              <w:spacing w:after="0" w:line="111"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86" w:name="page87"/>
    <w:bookmarkEnd w:id="8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3" w:lineRule="exact"/>
        <w:rPr>
          <w:sz w:val="20"/>
          <w:szCs w:val="20"/>
          <w:color w:val="auto"/>
        </w:rPr>
      </w:pPr>
    </w:p>
    <w:tbl>
      <w:tblPr>
        <w:tblLayout w:type="fixed"/>
        <w:tblInd w:w="680" w:type="dxa"/>
        <w:tblCellMar>
          <w:top w:w="0" w:type="dxa"/>
          <w:left w:w="0" w:type="dxa"/>
          <w:bottom w:w="0" w:type="dxa"/>
          <w:right w:w="0" w:type="dxa"/>
        </w:tblCellMar>
      </w:tblPr>
      <w:tr>
        <w:trPr>
          <w:trHeight w:val="174"/>
        </w:trPr>
        <w:tc>
          <w:tcPr>
            <w:tcW w:w="1300" w:type="dxa"/>
            <w:vAlign w:val="bottom"/>
          </w:tcPr>
          <w:p>
            <w:pPr>
              <w:spacing w:after="0"/>
              <w:rPr>
                <w:sz w:val="15"/>
                <w:szCs w:val="15"/>
                <w:color w:val="auto"/>
              </w:rPr>
            </w:pPr>
          </w:p>
        </w:tc>
        <w:tc>
          <w:tcPr>
            <w:tcW w:w="7600" w:type="dxa"/>
            <w:vAlign w:val="bottom"/>
          </w:tcPr>
          <w:p>
            <w:pPr>
              <w:jc w:val="center"/>
              <w:ind w:right="153"/>
              <w:spacing w:after="0"/>
              <w:rPr>
                <w:sz w:val="20"/>
                <w:szCs w:val="20"/>
                <w:color w:val="auto"/>
              </w:rPr>
            </w:pPr>
            <w:r>
              <w:rPr>
                <w:rFonts w:ascii="Arial" w:cs="Arial" w:eastAsia="Arial" w:hAnsi="Arial"/>
                <w:sz w:val="13"/>
                <w:szCs w:val="13"/>
                <w:b w:val="1"/>
                <w:bCs w:val="1"/>
                <w:color w:val="auto"/>
              </w:rPr>
              <w:t>HARRIS STRATEX NETWORKS, INC. AND SUBSIDIARIES</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52"/>
        </w:trPr>
        <w:tc>
          <w:tcPr>
            <w:tcW w:w="1300" w:type="dxa"/>
            <w:vAlign w:val="bottom"/>
          </w:tcPr>
          <w:p>
            <w:pPr>
              <w:spacing w:after="0"/>
              <w:rPr>
                <w:sz w:val="21"/>
                <w:szCs w:val="21"/>
                <w:color w:val="auto"/>
              </w:rPr>
            </w:pPr>
          </w:p>
        </w:tc>
        <w:tc>
          <w:tcPr>
            <w:tcW w:w="7600" w:type="dxa"/>
            <w:vAlign w:val="bottom"/>
          </w:tcPr>
          <w:p>
            <w:pPr>
              <w:jc w:val="center"/>
              <w:ind w:right="133"/>
              <w:spacing w:after="0"/>
              <w:rPr>
                <w:sz w:val="20"/>
                <w:szCs w:val="20"/>
                <w:color w:val="auto"/>
              </w:rPr>
            </w:pPr>
            <w:r>
              <w:rPr>
                <w:rFonts w:ascii="Arial" w:cs="Arial" w:eastAsia="Arial" w:hAnsi="Arial"/>
                <w:sz w:val="13"/>
                <w:szCs w:val="13"/>
                <w:b w:val="1"/>
                <w:bCs w:val="1"/>
                <w:color w:val="auto"/>
              </w:rPr>
              <w:t>NOTES TO CONSOLIDATED FINANCIAL STATEMENTS — (Continued)</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62"/>
        </w:trPr>
        <w:tc>
          <w:tcPr>
            <w:tcW w:w="1300" w:type="dxa"/>
            <w:vAlign w:val="bottom"/>
            <w:tcBorders>
              <w:bottom w:val="single" w:sz="8" w:color="auto"/>
            </w:tcBorders>
          </w:tcPr>
          <w:p>
            <w:pPr>
              <w:spacing w:after="0"/>
              <w:rPr>
                <w:sz w:val="22"/>
                <w:szCs w:val="22"/>
                <w:color w:val="auto"/>
              </w:rPr>
            </w:pPr>
          </w:p>
        </w:tc>
        <w:tc>
          <w:tcPr>
            <w:tcW w:w="7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01"/>
        </w:trPr>
        <w:tc>
          <w:tcPr>
            <w:tcW w:w="8900" w:type="dxa"/>
            <w:vAlign w:val="bottom"/>
            <w:gridSpan w:val="2"/>
          </w:tcPr>
          <w:p>
            <w:pPr>
              <w:ind w:left="320"/>
              <w:spacing w:after="0"/>
              <w:rPr>
                <w:sz w:val="20"/>
                <w:szCs w:val="20"/>
                <w:color w:val="auto"/>
              </w:rPr>
            </w:pPr>
            <w:r>
              <w:rPr>
                <w:rFonts w:ascii="Arial" w:cs="Arial" w:eastAsia="Arial" w:hAnsi="Arial"/>
                <w:sz w:val="13"/>
                <w:szCs w:val="13"/>
                <w:color w:val="auto"/>
              </w:rPr>
              <w:t>At July 3, 2009, we estimate our future amortization of identifiable intangible assets with definite lives by year as follows:</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5"/>
        </w:trPr>
        <w:tc>
          <w:tcPr>
            <w:tcW w:w="1300" w:type="dxa"/>
            <w:vAlign w:val="bottom"/>
          </w:tcPr>
          <w:p>
            <w:pPr>
              <w:spacing w:after="0"/>
              <w:rPr>
                <w:sz w:val="16"/>
                <w:szCs w:val="16"/>
                <w:color w:val="auto"/>
              </w:rPr>
            </w:pPr>
          </w:p>
        </w:tc>
        <w:tc>
          <w:tcPr>
            <w:tcW w:w="7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8"/>
              </w:rPr>
              <w:t>Years Ending</w:t>
            </w:r>
          </w:p>
        </w:tc>
      </w:tr>
      <w:tr>
        <w:trPr>
          <w:trHeight w:val="128"/>
        </w:trPr>
        <w:tc>
          <w:tcPr>
            <w:tcW w:w="1300" w:type="dxa"/>
            <w:vAlign w:val="bottom"/>
          </w:tcPr>
          <w:p>
            <w:pPr>
              <w:spacing w:after="0"/>
              <w:rPr>
                <w:sz w:val="11"/>
                <w:szCs w:val="11"/>
                <w:color w:val="auto"/>
              </w:rPr>
            </w:pPr>
          </w:p>
        </w:tc>
        <w:tc>
          <w:tcPr>
            <w:tcW w:w="7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8"/>
              </w:rPr>
              <w:t>in June</w:t>
            </w:r>
          </w:p>
        </w:tc>
      </w:tr>
      <w:tr>
        <w:trPr>
          <w:trHeight w:val="136"/>
        </w:trPr>
        <w:tc>
          <w:tcPr>
            <w:tcW w:w="1300" w:type="dxa"/>
            <w:vAlign w:val="bottom"/>
          </w:tcPr>
          <w:p>
            <w:pPr>
              <w:spacing w:after="0"/>
              <w:rPr>
                <w:sz w:val="11"/>
                <w:szCs w:val="11"/>
                <w:color w:val="auto"/>
              </w:rPr>
            </w:pPr>
          </w:p>
        </w:tc>
        <w:tc>
          <w:tcPr>
            <w:tcW w:w="76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center"/>
              <w:ind w:right="57"/>
              <w:spacing w:after="0"/>
              <w:rPr>
                <w:sz w:val="20"/>
                <w:szCs w:val="20"/>
                <w:color w:val="auto"/>
              </w:rPr>
            </w:pPr>
            <w:r>
              <w:rPr>
                <w:rFonts w:ascii="Arial" w:cs="Arial" w:eastAsia="Arial" w:hAnsi="Arial"/>
                <w:sz w:val="11"/>
                <w:szCs w:val="11"/>
                <w:b w:val="1"/>
                <w:bCs w:val="1"/>
                <w:color w:val="auto"/>
                <w:w w:val="90"/>
              </w:rPr>
              <w:t>(In millions)</w:t>
            </w:r>
          </w:p>
        </w:tc>
        <w:tc>
          <w:tcPr>
            <w:tcW w:w="80" w:type="dxa"/>
            <w:vAlign w:val="bottom"/>
          </w:tcPr>
          <w:p>
            <w:pPr>
              <w:spacing w:after="0"/>
              <w:rPr>
                <w:sz w:val="11"/>
                <w:szCs w:val="11"/>
                <w:color w:val="auto"/>
              </w:rPr>
            </w:pPr>
          </w:p>
        </w:tc>
      </w:tr>
      <w:tr>
        <w:trPr>
          <w:trHeight w:val="167"/>
        </w:trPr>
        <w:tc>
          <w:tcPr>
            <w:tcW w:w="1300" w:type="dxa"/>
            <w:vAlign w:val="bottom"/>
            <w:shd w:val="clear" w:color="auto" w:fill="CCEEFF"/>
          </w:tcPr>
          <w:p>
            <w:pPr>
              <w:spacing w:after="0"/>
              <w:rPr>
                <w:sz w:val="20"/>
                <w:szCs w:val="20"/>
                <w:color w:val="auto"/>
              </w:rPr>
            </w:pPr>
            <w:r>
              <w:rPr>
                <w:rFonts w:ascii="Arial" w:cs="Arial" w:eastAsia="Arial" w:hAnsi="Arial"/>
                <w:sz w:val="13"/>
                <w:szCs w:val="13"/>
                <w:color w:val="auto"/>
              </w:rPr>
              <w:t>2010</w:t>
            </w:r>
          </w:p>
        </w:tc>
        <w:tc>
          <w:tcPr>
            <w:tcW w:w="76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13.8</w:t>
            </w:r>
          </w:p>
        </w:tc>
      </w:tr>
      <w:tr>
        <w:trPr>
          <w:trHeight w:val="161"/>
        </w:trPr>
        <w:tc>
          <w:tcPr>
            <w:tcW w:w="1300" w:type="dxa"/>
            <w:vAlign w:val="bottom"/>
          </w:tcPr>
          <w:p>
            <w:pPr>
              <w:spacing w:after="0"/>
              <w:rPr>
                <w:sz w:val="20"/>
                <w:szCs w:val="20"/>
                <w:color w:val="auto"/>
              </w:rPr>
            </w:pPr>
            <w:r>
              <w:rPr>
                <w:rFonts w:ascii="Arial" w:cs="Arial" w:eastAsia="Arial" w:hAnsi="Arial"/>
                <w:sz w:val="13"/>
                <w:szCs w:val="13"/>
                <w:color w:val="auto"/>
              </w:rPr>
              <w:t>2011</w:t>
            </w:r>
          </w:p>
        </w:tc>
        <w:tc>
          <w:tcPr>
            <w:tcW w:w="7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3"/>
                <w:szCs w:val="13"/>
                <w:color w:val="auto"/>
              </w:rPr>
              <w:t>13.0</w:t>
            </w:r>
          </w:p>
        </w:tc>
      </w:tr>
      <w:tr>
        <w:trPr>
          <w:trHeight w:val="161"/>
        </w:trPr>
        <w:tc>
          <w:tcPr>
            <w:tcW w:w="1300" w:type="dxa"/>
            <w:vAlign w:val="bottom"/>
            <w:shd w:val="clear" w:color="auto" w:fill="CCEEFF"/>
          </w:tcPr>
          <w:p>
            <w:pPr>
              <w:spacing w:after="0"/>
              <w:rPr>
                <w:sz w:val="20"/>
                <w:szCs w:val="20"/>
                <w:color w:val="auto"/>
              </w:rPr>
            </w:pPr>
            <w:r>
              <w:rPr>
                <w:rFonts w:ascii="Arial" w:cs="Arial" w:eastAsia="Arial" w:hAnsi="Arial"/>
                <w:sz w:val="13"/>
                <w:szCs w:val="13"/>
                <w:color w:val="auto"/>
              </w:rPr>
              <w:t>2012</w:t>
            </w:r>
          </w:p>
        </w:tc>
        <w:tc>
          <w:tcPr>
            <w:tcW w:w="7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11.9</w:t>
            </w:r>
          </w:p>
        </w:tc>
      </w:tr>
      <w:tr>
        <w:trPr>
          <w:trHeight w:val="161"/>
        </w:trPr>
        <w:tc>
          <w:tcPr>
            <w:tcW w:w="1300" w:type="dxa"/>
            <w:vAlign w:val="bottom"/>
          </w:tcPr>
          <w:p>
            <w:pPr>
              <w:spacing w:after="0"/>
              <w:rPr>
                <w:sz w:val="20"/>
                <w:szCs w:val="20"/>
                <w:color w:val="auto"/>
              </w:rPr>
            </w:pPr>
            <w:r>
              <w:rPr>
                <w:rFonts w:ascii="Arial" w:cs="Arial" w:eastAsia="Arial" w:hAnsi="Arial"/>
                <w:sz w:val="13"/>
                <w:szCs w:val="13"/>
                <w:color w:val="auto"/>
              </w:rPr>
              <w:t>2013</w:t>
            </w:r>
          </w:p>
        </w:tc>
        <w:tc>
          <w:tcPr>
            <w:tcW w:w="7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3"/>
                <w:szCs w:val="13"/>
                <w:color w:val="auto"/>
              </w:rPr>
              <w:t>10.6</w:t>
            </w:r>
          </w:p>
        </w:tc>
      </w:tr>
      <w:tr>
        <w:trPr>
          <w:trHeight w:val="161"/>
        </w:trPr>
        <w:tc>
          <w:tcPr>
            <w:tcW w:w="1300" w:type="dxa"/>
            <w:vAlign w:val="bottom"/>
            <w:shd w:val="clear" w:color="auto" w:fill="CCEEFF"/>
          </w:tcPr>
          <w:p>
            <w:pPr>
              <w:spacing w:after="0"/>
              <w:rPr>
                <w:sz w:val="20"/>
                <w:szCs w:val="20"/>
                <w:color w:val="auto"/>
              </w:rPr>
            </w:pPr>
            <w:r>
              <w:rPr>
                <w:rFonts w:ascii="Arial" w:cs="Arial" w:eastAsia="Arial" w:hAnsi="Arial"/>
                <w:sz w:val="13"/>
                <w:szCs w:val="13"/>
                <w:color w:val="auto"/>
              </w:rPr>
              <w:t>2014</w:t>
            </w:r>
          </w:p>
        </w:tc>
        <w:tc>
          <w:tcPr>
            <w:tcW w:w="7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10.4</w:t>
            </w:r>
          </w:p>
        </w:tc>
      </w:tr>
      <w:tr>
        <w:trPr>
          <w:trHeight w:val="161"/>
        </w:trPr>
        <w:tc>
          <w:tcPr>
            <w:tcW w:w="8900" w:type="dxa"/>
            <w:vAlign w:val="bottom"/>
            <w:gridSpan w:val="2"/>
          </w:tcPr>
          <w:p>
            <w:pPr>
              <w:spacing w:after="0"/>
              <w:rPr>
                <w:sz w:val="20"/>
                <w:szCs w:val="20"/>
                <w:color w:val="auto"/>
              </w:rPr>
            </w:pPr>
            <w:r>
              <w:rPr>
                <w:rFonts w:ascii="Arial" w:cs="Arial" w:eastAsia="Arial" w:hAnsi="Arial"/>
                <w:sz w:val="13"/>
                <w:szCs w:val="13"/>
                <w:color w:val="auto"/>
              </w:rPr>
              <w:t>Thereafter</w:t>
            </w: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24.4</w:t>
            </w:r>
          </w:p>
        </w:tc>
        <w:tc>
          <w:tcPr>
            <w:tcW w:w="80" w:type="dxa"/>
            <w:vAlign w:val="bottom"/>
          </w:tcPr>
          <w:p>
            <w:pPr>
              <w:spacing w:after="0"/>
              <w:rPr>
                <w:sz w:val="14"/>
                <w:szCs w:val="14"/>
                <w:color w:val="auto"/>
              </w:rPr>
            </w:pPr>
          </w:p>
        </w:tc>
      </w:tr>
      <w:tr>
        <w:trPr>
          <w:trHeight w:val="161"/>
        </w:trPr>
        <w:tc>
          <w:tcPr>
            <w:tcW w:w="1300" w:type="dxa"/>
            <w:vAlign w:val="bottom"/>
            <w:shd w:val="clear" w:color="auto" w:fill="CCEEFF"/>
          </w:tcPr>
          <w:p>
            <w:pPr>
              <w:spacing w:after="0"/>
              <w:rPr>
                <w:sz w:val="14"/>
                <w:szCs w:val="14"/>
                <w:color w:val="auto"/>
              </w:rPr>
            </w:pPr>
          </w:p>
        </w:tc>
        <w:tc>
          <w:tcPr>
            <w:tcW w:w="76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84.1</w:t>
            </w:r>
          </w:p>
        </w:tc>
      </w:tr>
      <w:tr>
        <w:trPr>
          <w:trHeight w:val="20"/>
        </w:trPr>
        <w:tc>
          <w:tcPr>
            <w:tcW w:w="130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9"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Note D —</w:t>
      </w:r>
      <w:r>
        <w:rPr>
          <w:sz w:val="20"/>
          <w:szCs w:val="20"/>
          <w:color w:val="auto"/>
        </w:rPr>
        <w:tab/>
      </w:r>
      <w:r>
        <w:rPr>
          <w:rFonts w:ascii="Arial" w:cs="Arial" w:eastAsia="Arial" w:hAnsi="Arial"/>
          <w:sz w:val="12"/>
          <w:szCs w:val="12"/>
          <w:b w:val="1"/>
          <w:bCs w:val="1"/>
          <w:color w:val="auto"/>
        </w:rPr>
        <w:t>Fair Value Measurements of Financial Assets and Financial Liabilities</w:t>
      </w:r>
    </w:p>
    <w:p>
      <w:pPr>
        <w:spacing w:after="0" w:line="104" w:lineRule="exact"/>
        <w:rPr>
          <w:sz w:val="20"/>
          <w:szCs w:val="20"/>
          <w:color w:val="auto"/>
        </w:rPr>
      </w:pPr>
    </w:p>
    <w:p>
      <w:pPr>
        <w:ind w:left="680" w:right="800" w:firstLine="399"/>
        <w:spacing w:after="0" w:line="270" w:lineRule="auto"/>
        <w:rPr>
          <w:sz w:val="20"/>
          <w:szCs w:val="20"/>
          <w:color w:val="auto"/>
        </w:rPr>
      </w:pPr>
      <w:r>
        <w:rPr>
          <w:rFonts w:ascii="Arial" w:cs="Arial" w:eastAsia="Arial" w:hAnsi="Arial"/>
          <w:sz w:val="13"/>
          <w:szCs w:val="13"/>
          <w:color w:val="auto"/>
        </w:rPr>
        <w:t>We determine fair value as the price that would be received to sell an asset or paid to transfer a liability in the principal market (or most advantageous market, in the absence of a principal market) for the asset or liability in an orderly transaction between market participants as of the measurement date. We try to maximize the use of observable inputs and minimize the use of unobservable inputs in measuring fair value and establishes a three-level fair value hierarchy that prioritizes the inputs used to measure fair value. The three levels of inputs used to measure fair value are as follows:</w:t>
      </w:r>
    </w:p>
    <w:p>
      <w:pPr>
        <w:spacing w:after="0" w:line="63" w:lineRule="exact"/>
        <w:rPr>
          <w:sz w:val="20"/>
          <w:szCs w:val="20"/>
          <w:color w:val="auto"/>
        </w:rPr>
      </w:pPr>
    </w:p>
    <w:p>
      <w:pPr>
        <w:ind w:left="1300" w:hanging="208"/>
        <w:spacing w:after="0"/>
        <w:tabs>
          <w:tab w:leader="none" w:pos="1300" w:val="left"/>
        </w:tabs>
        <w:numPr>
          <w:ilvl w:val="0"/>
          <w:numId w:val="29"/>
        </w:numPr>
        <w:rPr>
          <w:rFonts w:ascii="Arial" w:cs="Arial" w:eastAsia="Arial" w:hAnsi="Arial"/>
          <w:sz w:val="13"/>
          <w:szCs w:val="13"/>
          <w:color w:val="auto"/>
        </w:rPr>
      </w:pPr>
      <w:r>
        <w:rPr>
          <w:rFonts w:ascii="Arial" w:cs="Arial" w:eastAsia="Arial" w:hAnsi="Arial"/>
          <w:sz w:val="13"/>
          <w:szCs w:val="13"/>
          <w:color w:val="auto"/>
        </w:rPr>
        <w:t>Level 1 — Observable inputs such as quoted prices in active markets for identical assets or liabilities;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29"/>
        </w:numPr>
        <w:rPr>
          <w:rFonts w:ascii="Arial" w:cs="Arial" w:eastAsia="Arial" w:hAnsi="Arial"/>
          <w:sz w:val="13"/>
          <w:szCs w:val="13"/>
          <w:color w:val="auto"/>
        </w:rPr>
      </w:pPr>
      <w:r>
        <w:rPr>
          <w:rFonts w:ascii="Arial" w:cs="Arial" w:eastAsia="Arial" w:hAnsi="Arial"/>
          <w:sz w:val="13"/>
          <w:szCs w:val="13"/>
          <w:color w:val="auto"/>
        </w:rPr>
        <w:t>Level 2 — Observable market-based inputs or observable inputs that are corroborated by market data;</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29"/>
        </w:numPr>
        <w:rPr>
          <w:rFonts w:ascii="Arial" w:cs="Arial" w:eastAsia="Arial" w:hAnsi="Arial"/>
          <w:sz w:val="13"/>
          <w:szCs w:val="13"/>
          <w:color w:val="auto"/>
        </w:rPr>
      </w:pPr>
      <w:r>
        <w:rPr>
          <w:rFonts w:ascii="Arial" w:cs="Arial" w:eastAsia="Arial" w:hAnsi="Arial"/>
          <w:sz w:val="13"/>
          <w:szCs w:val="13"/>
          <w:color w:val="auto"/>
        </w:rPr>
        <w:t>Level 3 — Unobservable inputs reflecting our own assumptions.</w:t>
      </w:r>
    </w:p>
    <w:p>
      <w:pPr>
        <w:spacing w:after="0" w:line="102" w:lineRule="exact"/>
        <w:rPr>
          <w:sz w:val="20"/>
          <w:szCs w:val="20"/>
          <w:color w:val="auto"/>
        </w:rPr>
      </w:pPr>
    </w:p>
    <w:p>
      <w:pPr>
        <w:jc w:val="center"/>
        <w:ind w:right="60"/>
        <w:spacing w:after="0"/>
        <w:rPr>
          <w:sz w:val="20"/>
          <w:szCs w:val="20"/>
          <w:color w:val="auto"/>
        </w:rPr>
      </w:pPr>
      <w:r>
        <w:rPr>
          <w:rFonts w:ascii="Arial" w:cs="Arial" w:eastAsia="Arial" w:hAnsi="Arial"/>
          <w:sz w:val="13"/>
          <w:szCs w:val="13"/>
          <w:color w:val="auto"/>
        </w:rPr>
        <w:t>The following table represents the fair value hierarchy of our financial assets and liabilities measured at fair value on a recurring basis (at least annually) as of July 3, 2009:</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68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1"/>
              </w:rPr>
              <w:t>Level 1</w:t>
            </w:r>
          </w:p>
        </w:tc>
        <w:tc>
          <w:tcPr>
            <w:tcW w:w="400" w:type="dxa"/>
            <w:vAlign w:val="bottom"/>
          </w:tcPr>
          <w:p>
            <w:pPr>
              <w:spacing w:after="0"/>
              <w:rPr>
                <w:sz w:val="11"/>
                <w:szCs w:val="11"/>
                <w:color w:val="auto"/>
              </w:rPr>
            </w:pP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w w:val="91"/>
              </w:rPr>
              <w:t>Level 2</w:t>
            </w:r>
          </w:p>
        </w:tc>
        <w:tc>
          <w:tcPr>
            <w:tcW w:w="380" w:type="dxa"/>
            <w:vAlign w:val="bottom"/>
          </w:tcPr>
          <w:p>
            <w:pPr>
              <w:spacing w:after="0"/>
              <w:rPr>
                <w:sz w:val="11"/>
                <w:szCs w:val="11"/>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1"/>
              </w:rPr>
              <w:t>Level 3</w:t>
            </w:r>
          </w:p>
        </w:tc>
        <w:tc>
          <w:tcPr>
            <w:tcW w:w="380" w:type="dxa"/>
            <w:vAlign w:val="bottom"/>
          </w:tcPr>
          <w:p>
            <w:pPr>
              <w:spacing w:after="0"/>
              <w:rPr>
                <w:sz w:val="11"/>
                <w:szCs w:val="11"/>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1"/>
              </w:rPr>
              <w:t>Total</w:t>
            </w: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6"/>
        </w:trPr>
        <w:tc>
          <w:tcPr>
            <w:tcW w:w="68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520" w:type="dxa"/>
            <w:vAlign w:val="bottom"/>
            <w:gridSpan w:val="4"/>
          </w:tcPr>
          <w:p>
            <w:pPr>
              <w:jc w:val="right"/>
              <w:ind w:right="660"/>
              <w:spacing w:after="0"/>
              <w:rPr>
                <w:sz w:val="20"/>
                <w:szCs w:val="20"/>
                <w:color w:val="auto"/>
              </w:rPr>
            </w:pPr>
            <w:r>
              <w:rPr>
                <w:rFonts w:ascii="Arial" w:cs="Arial" w:eastAsia="Arial" w:hAnsi="Arial"/>
                <w:sz w:val="11"/>
                <w:szCs w:val="11"/>
                <w:b w:val="1"/>
                <w:bCs w:val="1"/>
                <w:color w:val="auto"/>
              </w:rPr>
              <w:t>(In millions)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7"/>
        </w:trPr>
        <w:tc>
          <w:tcPr>
            <w:tcW w:w="680" w:type="dxa"/>
            <w:vAlign w:val="bottom"/>
          </w:tcPr>
          <w:p>
            <w:pPr>
              <w:spacing w:after="0"/>
              <w:rPr>
                <w:sz w:val="14"/>
                <w:szCs w:val="14"/>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3"/>
                <w:szCs w:val="13"/>
                <w:color w:val="auto"/>
              </w:rPr>
              <w:t>Financial Assets:</w:t>
            </w:r>
          </w:p>
        </w:tc>
        <w:tc>
          <w:tcPr>
            <w:tcW w:w="38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r>
      <w:tr>
        <w:trPr>
          <w:trHeight w:val="161"/>
        </w:trPr>
        <w:tc>
          <w:tcPr>
            <w:tcW w:w="680" w:type="dxa"/>
            <w:vAlign w:val="bottom"/>
          </w:tcPr>
          <w:p>
            <w:pPr>
              <w:spacing w:after="0"/>
              <w:rPr>
                <w:sz w:val="14"/>
                <w:szCs w:val="14"/>
                <w:color w:val="auto"/>
              </w:rPr>
            </w:pPr>
          </w:p>
        </w:tc>
        <w:tc>
          <w:tcPr>
            <w:tcW w:w="3500" w:type="dxa"/>
            <w:vAlign w:val="bottom"/>
          </w:tcPr>
          <w:p>
            <w:pPr>
              <w:ind w:left="140"/>
              <w:spacing w:after="0"/>
              <w:rPr>
                <w:sz w:val="20"/>
                <w:szCs w:val="20"/>
                <w:color w:val="auto"/>
              </w:rPr>
            </w:pPr>
            <w:r>
              <w:rPr>
                <w:rFonts w:ascii="Arial" w:cs="Arial" w:eastAsia="Arial" w:hAnsi="Arial"/>
                <w:sz w:val="13"/>
                <w:szCs w:val="13"/>
                <w:color w:val="auto"/>
              </w:rPr>
              <w:t>Short-term investments</w:t>
            </w:r>
          </w:p>
        </w:tc>
        <w:tc>
          <w:tcPr>
            <w:tcW w:w="4600" w:type="dxa"/>
            <w:vAlign w:val="bottom"/>
            <w:gridSpan w:val="3"/>
          </w:tcPr>
          <w:p>
            <w:pPr>
              <w:jc w:val="right"/>
              <w:ind w:right="400"/>
              <w:spacing w:after="0"/>
              <w:rPr>
                <w:sz w:val="20"/>
                <w:szCs w:val="20"/>
                <w:color w:val="auto"/>
              </w:rPr>
            </w:pPr>
            <w:r>
              <w:rPr>
                <w:rFonts w:ascii="Arial" w:cs="Arial" w:eastAsia="Arial" w:hAnsi="Arial"/>
                <w:sz w:val="13"/>
                <w:szCs w:val="13"/>
                <w:color w:val="auto"/>
              </w:rPr>
              <w:t>$   0.3</w:t>
            </w:r>
          </w:p>
        </w:tc>
        <w:tc>
          <w:tcPr>
            <w:tcW w:w="760" w:type="dxa"/>
            <w:vAlign w:val="bottom"/>
            <w:gridSpan w:val="2"/>
          </w:tcPr>
          <w:p>
            <w:pPr>
              <w:jc w:val="right"/>
              <w:ind w:right="380"/>
              <w:spacing w:after="0"/>
              <w:rPr>
                <w:sz w:val="20"/>
                <w:szCs w:val="20"/>
                <w:color w:val="auto"/>
              </w:rPr>
            </w:pPr>
            <w:r>
              <w:rPr>
                <w:rFonts w:ascii="Arial" w:cs="Arial" w:eastAsia="Arial" w:hAnsi="Arial"/>
                <w:sz w:val="13"/>
                <w:szCs w:val="13"/>
                <w:color w:val="auto"/>
              </w:rPr>
              <w:t>$   —</w:t>
            </w:r>
          </w:p>
        </w:tc>
        <w:tc>
          <w:tcPr>
            <w:tcW w:w="760" w:type="dxa"/>
            <w:vAlign w:val="bottom"/>
            <w:gridSpan w:val="2"/>
          </w:tcPr>
          <w:p>
            <w:pPr>
              <w:jc w:val="right"/>
              <w:ind w:right="380"/>
              <w:spacing w:after="0"/>
              <w:rPr>
                <w:sz w:val="20"/>
                <w:szCs w:val="20"/>
                <w:color w:val="auto"/>
              </w:rPr>
            </w:pPr>
            <w:r>
              <w:rPr>
                <w:rFonts w:ascii="Arial" w:cs="Arial" w:eastAsia="Arial" w:hAnsi="Arial"/>
                <w:sz w:val="13"/>
                <w:szCs w:val="13"/>
                <w:color w:val="auto"/>
              </w:rPr>
              <w:t>$   —</w:t>
            </w:r>
          </w:p>
        </w:tc>
        <w:tc>
          <w:tcPr>
            <w:tcW w:w="360" w:type="dxa"/>
            <w:vAlign w:val="bottom"/>
            <w:gridSpan w:val="2"/>
          </w:tcPr>
          <w:p>
            <w:pPr>
              <w:jc w:val="right"/>
              <w:ind w:right="80"/>
              <w:spacing w:after="0"/>
              <w:rPr>
                <w:sz w:val="20"/>
                <w:szCs w:val="20"/>
                <w:color w:val="auto"/>
              </w:rPr>
            </w:pPr>
            <w:r>
              <w:rPr>
                <w:rFonts w:ascii="Arial" w:cs="Arial" w:eastAsia="Arial" w:hAnsi="Arial"/>
                <w:sz w:val="13"/>
                <w:szCs w:val="13"/>
                <w:color w:val="auto"/>
                <w:w w:val="89"/>
              </w:rPr>
              <w:t>$ 0.3</w:t>
            </w:r>
          </w:p>
        </w:tc>
        <w:tc>
          <w:tcPr>
            <w:tcW w:w="800" w:type="dxa"/>
            <w:vAlign w:val="bottom"/>
          </w:tcPr>
          <w:p>
            <w:pPr>
              <w:spacing w:after="0"/>
              <w:rPr>
                <w:sz w:val="14"/>
                <w:szCs w:val="14"/>
                <w:color w:val="auto"/>
              </w:rPr>
            </w:pPr>
          </w:p>
        </w:tc>
      </w:tr>
      <w:tr>
        <w:trPr>
          <w:trHeight w:val="161"/>
        </w:trPr>
        <w:tc>
          <w:tcPr>
            <w:tcW w:w="680" w:type="dxa"/>
            <w:vAlign w:val="bottom"/>
          </w:tcPr>
          <w:p>
            <w:pPr>
              <w:spacing w:after="0"/>
              <w:rPr>
                <w:sz w:val="14"/>
                <w:szCs w:val="14"/>
                <w:color w:val="auto"/>
              </w:rPr>
            </w:pPr>
          </w:p>
        </w:tc>
        <w:tc>
          <w:tcPr>
            <w:tcW w:w="3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Foreign exchange forward contracts</w:t>
            </w:r>
          </w:p>
        </w:tc>
        <w:tc>
          <w:tcPr>
            <w:tcW w:w="38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1.1</w:t>
            </w: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1.1</w:t>
            </w:r>
          </w:p>
        </w:tc>
        <w:tc>
          <w:tcPr>
            <w:tcW w:w="800" w:type="dxa"/>
            <w:vAlign w:val="bottom"/>
          </w:tcPr>
          <w:p>
            <w:pPr>
              <w:spacing w:after="0"/>
              <w:rPr>
                <w:sz w:val="14"/>
                <w:szCs w:val="14"/>
                <w:color w:val="auto"/>
              </w:rPr>
            </w:pPr>
          </w:p>
        </w:tc>
      </w:tr>
      <w:tr>
        <w:trPr>
          <w:trHeight w:val="161"/>
        </w:trPr>
        <w:tc>
          <w:tcPr>
            <w:tcW w:w="680" w:type="dxa"/>
            <w:vAlign w:val="bottom"/>
          </w:tcPr>
          <w:p>
            <w:pPr>
              <w:spacing w:after="0"/>
              <w:rPr>
                <w:sz w:val="14"/>
                <w:szCs w:val="14"/>
                <w:color w:val="auto"/>
              </w:rPr>
            </w:pPr>
          </w:p>
        </w:tc>
        <w:tc>
          <w:tcPr>
            <w:tcW w:w="3500" w:type="dxa"/>
            <w:vAlign w:val="bottom"/>
          </w:tcPr>
          <w:p>
            <w:pPr>
              <w:spacing w:after="0"/>
              <w:rPr>
                <w:sz w:val="20"/>
                <w:szCs w:val="20"/>
                <w:color w:val="auto"/>
              </w:rPr>
            </w:pPr>
            <w:r>
              <w:rPr>
                <w:rFonts w:ascii="Arial" w:cs="Arial" w:eastAsia="Arial" w:hAnsi="Arial"/>
                <w:sz w:val="13"/>
                <w:szCs w:val="13"/>
                <w:color w:val="auto"/>
              </w:rPr>
              <w:t>Financial Liabilities:</w:t>
            </w:r>
          </w:p>
        </w:tc>
        <w:tc>
          <w:tcPr>
            <w:tcW w:w="3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1"/>
        </w:trPr>
        <w:tc>
          <w:tcPr>
            <w:tcW w:w="680" w:type="dxa"/>
            <w:vAlign w:val="bottom"/>
          </w:tcPr>
          <w:p>
            <w:pPr>
              <w:spacing w:after="0"/>
              <w:rPr>
                <w:sz w:val="14"/>
                <w:szCs w:val="14"/>
                <w:color w:val="auto"/>
              </w:rPr>
            </w:pPr>
          </w:p>
        </w:tc>
        <w:tc>
          <w:tcPr>
            <w:tcW w:w="3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Foreign exchange forward contracts</w:t>
            </w:r>
          </w:p>
        </w:tc>
        <w:tc>
          <w:tcPr>
            <w:tcW w:w="38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0.9</w:t>
            </w: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0.9</w:t>
            </w:r>
          </w:p>
        </w:tc>
        <w:tc>
          <w:tcPr>
            <w:tcW w:w="800" w:type="dxa"/>
            <w:vAlign w:val="bottom"/>
          </w:tcPr>
          <w:p>
            <w:pPr>
              <w:spacing w:after="0"/>
              <w:rPr>
                <w:sz w:val="14"/>
                <w:szCs w:val="14"/>
                <w:color w:val="auto"/>
              </w:rPr>
            </w:pPr>
          </w:p>
        </w:tc>
      </w:tr>
      <w:tr>
        <w:trPr>
          <w:trHeight w:val="172"/>
        </w:trPr>
        <w:tc>
          <w:tcPr>
            <w:tcW w:w="680" w:type="dxa"/>
            <w:vAlign w:val="bottom"/>
          </w:tcPr>
          <w:p>
            <w:pPr>
              <w:spacing w:after="0"/>
              <w:rPr>
                <w:sz w:val="14"/>
                <w:szCs w:val="14"/>
                <w:color w:val="auto"/>
              </w:rPr>
            </w:pPr>
          </w:p>
        </w:tc>
        <w:tc>
          <w:tcPr>
            <w:tcW w:w="3500" w:type="dxa"/>
            <w:vAlign w:val="bottom"/>
          </w:tcPr>
          <w:p>
            <w:pPr>
              <w:ind w:left="140"/>
              <w:spacing w:after="0"/>
              <w:rPr>
                <w:sz w:val="20"/>
                <w:szCs w:val="20"/>
                <w:color w:val="auto"/>
              </w:rPr>
            </w:pPr>
            <w:r>
              <w:rPr>
                <w:rFonts w:ascii="Arial" w:cs="Arial" w:eastAsia="Arial" w:hAnsi="Arial"/>
                <w:sz w:val="13"/>
                <w:szCs w:val="13"/>
                <w:color w:val="auto"/>
              </w:rPr>
              <w:t>Warrants</w:t>
            </w:r>
          </w:p>
        </w:tc>
        <w:tc>
          <w:tcPr>
            <w:tcW w:w="3800" w:type="dxa"/>
            <w:vAlign w:val="bottom"/>
          </w:tcPr>
          <w:p>
            <w:pPr>
              <w:spacing w:after="0"/>
              <w:rPr>
                <w:sz w:val="14"/>
                <w:szCs w:val="14"/>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3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4"/>
                <w:szCs w:val="14"/>
                <w:color w:val="auto"/>
              </w:rPr>
            </w:pPr>
          </w:p>
        </w:tc>
      </w:tr>
      <w:tr>
        <w:trPr>
          <w:trHeight w:val="443"/>
        </w:trPr>
        <w:tc>
          <w:tcPr>
            <w:tcW w:w="6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3800" w:type="dxa"/>
            <w:vAlign w:val="bottom"/>
          </w:tcPr>
          <w:p>
            <w:pPr>
              <w:jc w:val="right"/>
              <w:ind w:right="2173"/>
              <w:spacing w:after="0"/>
              <w:rPr>
                <w:sz w:val="20"/>
                <w:szCs w:val="20"/>
                <w:color w:val="auto"/>
              </w:rPr>
            </w:pPr>
            <w:r>
              <w:rPr>
                <w:rFonts w:ascii="Arial" w:cs="Arial" w:eastAsia="Arial" w:hAnsi="Arial"/>
                <w:sz w:val="13"/>
                <w:szCs w:val="13"/>
                <w:color w:val="auto"/>
              </w:rPr>
              <w:t>86</w:t>
            </w: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7"/>
        </w:trPr>
        <w:tc>
          <w:tcPr>
            <w:tcW w:w="680" w:type="dxa"/>
            <w:vAlign w:val="bottom"/>
            <w:tcBorders>
              <w:bottom w:val="single" w:sz="8" w:color="808080"/>
            </w:tcBorders>
          </w:tcPr>
          <w:p>
            <w:pPr>
              <w:spacing w:after="0"/>
              <w:rPr>
                <w:sz w:val="14"/>
                <w:szCs w:val="14"/>
                <w:color w:val="auto"/>
              </w:rPr>
            </w:pPr>
          </w:p>
        </w:tc>
        <w:tc>
          <w:tcPr>
            <w:tcW w:w="3500" w:type="dxa"/>
            <w:vAlign w:val="bottom"/>
            <w:tcBorders>
              <w:bottom w:val="single" w:sz="8" w:color="808080"/>
            </w:tcBorders>
          </w:tcPr>
          <w:p>
            <w:pPr>
              <w:spacing w:after="0"/>
              <w:rPr>
                <w:sz w:val="14"/>
                <w:szCs w:val="14"/>
                <w:color w:val="auto"/>
              </w:rPr>
            </w:pPr>
          </w:p>
        </w:tc>
        <w:tc>
          <w:tcPr>
            <w:tcW w:w="38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12700" cy="63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9" w:right="219" w:bottom="1440" w:gutter="0" w:footer="0" w:header="0"/>
        </w:sectPr>
      </w:pPr>
    </w:p>
    <w:bookmarkStart w:id="87" w:name="page88"/>
    <w:bookmarkEnd w:id="8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HARRIS STRATEX NETWORKS, INC. AND SUBSIDIARIES</w:t>
      </w:r>
    </w:p>
    <w:p>
      <w:pPr>
        <w:spacing w:after="0" w:line="102"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6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sets forth our financial instruments carried at fair value as of July 3, 2009.</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9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7"/>
              </w:rPr>
              <w:t>July 3,</w:t>
            </w:r>
          </w:p>
        </w:tc>
        <w:tc>
          <w:tcPr>
            <w:tcW w:w="0" w:type="dxa"/>
            <w:vAlign w:val="bottom"/>
          </w:tcPr>
          <w:p>
            <w:pPr>
              <w:spacing w:after="0"/>
              <w:rPr>
                <w:sz w:val="1"/>
                <w:szCs w:val="1"/>
                <w:color w:val="auto"/>
              </w:rPr>
            </w:pPr>
          </w:p>
        </w:tc>
      </w:tr>
      <w:tr>
        <w:trPr>
          <w:trHeight w:val="128"/>
        </w:trPr>
        <w:tc>
          <w:tcPr>
            <w:tcW w:w="90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center"/>
              <w:ind w:right="57"/>
              <w:spacing w:after="0"/>
              <w:rPr>
                <w:sz w:val="20"/>
                <w:szCs w:val="20"/>
                <w:color w:val="auto"/>
              </w:rPr>
            </w:pPr>
            <w:r>
              <w:rPr>
                <w:rFonts w:ascii="Arial" w:cs="Arial" w:eastAsia="Arial" w:hAnsi="Arial"/>
                <w:sz w:val="11"/>
                <w:szCs w:val="11"/>
                <w:b w:val="1"/>
                <w:bCs w:val="1"/>
                <w:color w:val="auto"/>
                <w:w w:val="89"/>
              </w:rPr>
              <w:t>2009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9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center"/>
              <w:ind w:right="77"/>
              <w:spacing w:after="0"/>
              <w:rPr>
                <w:sz w:val="20"/>
                <w:szCs w:val="20"/>
                <w:color w:val="auto"/>
              </w:rPr>
            </w:pPr>
            <w:r>
              <w:rPr>
                <w:rFonts w:ascii="Arial" w:cs="Arial" w:eastAsia="Arial" w:hAnsi="Arial"/>
                <w:sz w:val="11"/>
                <w:szCs w:val="11"/>
                <w:b w:val="1"/>
                <w:bCs w:val="1"/>
                <w:color w:val="auto"/>
                <w:w w:val="90"/>
              </w:rPr>
              <w:t>(In millions)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9000" w:type="dxa"/>
            <w:vAlign w:val="bottom"/>
          </w:tcPr>
          <w:p>
            <w:pPr>
              <w:spacing w:after="0"/>
              <w:rPr>
                <w:sz w:val="20"/>
                <w:szCs w:val="20"/>
                <w:color w:val="auto"/>
              </w:rPr>
            </w:pPr>
            <w:r>
              <w:rPr>
                <w:rFonts w:ascii="Arial" w:cs="Arial" w:eastAsia="Arial" w:hAnsi="Arial"/>
                <w:sz w:val="13"/>
                <w:szCs w:val="13"/>
                <w:color w:val="auto"/>
              </w:rPr>
              <w:t>Financial Assets:</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9000" w:type="dxa"/>
            <w:vAlign w:val="bottom"/>
          </w:tcPr>
          <w:p>
            <w:pPr>
              <w:ind w:left="140"/>
              <w:spacing w:after="0"/>
              <w:rPr>
                <w:sz w:val="20"/>
                <w:szCs w:val="20"/>
                <w:color w:val="auto"/>
              </w:rPr>
            </w:pPr>
            <w:r>
              <w:rPr>
                <w:rFonts w:ascii="Arial" w:cs="Arial" w:eastAsia="Arial" w:hAnsi="Arial"/>
                <w:sz w:val="13"/>
                <w:szCs w:val="13"/>
                <w:color w:val="auto"/>
              </w:rPr>
              <w:t>Short-term investments</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20"/>
              <w:spacing w:after="0"/>
              <w:rPr>
                <w:sz w:val="20"/>
                <w:szCs w:val="20"/>
                <w:color w:val="auto"/>
              </w:rPr>
            </w:pPr>
            <w:r>
              <w:rPr>
                <w:rFonts w:ascii="Arial" w:cs="Arial" w:eastAsia="Arial" w:hAnsi="Arial"/>
                <w:sz w:val="13"/>
                <w:szCs w:val="13"/>
                <w:color w:val="auto"/>
              </w:rPr>
              <w:t>0.3</w:t>
            </w:r>
          </w:p>
        </w:tc>
        <w:tc>
          <w:tcPr>
            <w:tcW w:w="0" w:type="dxa"/>
            <w:vAlign w:val="bottom"/>
          </w:tcPr>
          <w:p>
            <w:pPr>
              <w:spacing w:after="0"/>
              <w:rPr>
                <w:sz w:val="1"/>
                <w:szCs w:val="1"/>
                <w:color w:val="auto"/>
              </w:rPr>
            </w:pPr>
          </w:p>
        </w:tc>
      </w:tr>
      <w:tr>
        <w:trPr>
          <w:trHeight w:val="172"/>
        </w:trPr>
        <w:tc>
          <w:tcPr>
            <w:tcW w:w="9000" w:type="dxa"/>
            <w:vAlign w:val="bottom"/>
          </w:tcPr>
          <w:p>
            <w:pPr>
              <w:ind w:left="140"/>
              <w:spacing w:after="0"/>
              <w:rPr>
                <w:sz w:val="20"/>
                <w:szCs w:val="20"/>
                <w:color w:val="auto"/>
              </w:rPr>
            </w:pPr>
            <w:r>
              <w:rPr>
                <w:rFonts w:ascii="Arial" w:cs="Arial" w:eastAsia="Arial" w:hAnsi="Arial"/>
                <w:sz w:val="13"/>
                <w:szCs w:val="13"/>
                <w:color w:val="auto"/>
              </w:rPr>
              <w:t>Foreign exchange forward contracts</w:t>
            </w: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62"/>
        </w:trPr>
        <w:tc>
          <w:tcPr>
            <w:tcW w:w="9000" w:type="dxa"/>
            <w:vAlign w:val="bottom"/>
          </w:tcPr>
          <w:p>
            <w:pPr>
              <w:spacing w:after="0"/>
              <w:rPr>
                <w:sz w:val="20"/>
                <w:szCs w:val="20"/>
                <w:color w:val="auto"/>
              </w:rPr>
            </w:pPr>
            <w:r>
              <w:rPr>
                <w:rFonts w:ascii="Arial" w:cs="Arial" w:eastAsia="Arial" w:hAnsi="Arial"/>
                <w:sz w:val="13"/>
                <w:szCs w:val="13"/>
                <w:color w:val="auto"/>
              </w:rPr>
              <w:t>Total financial assets</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20"/>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20"/>
        </w:trPr>
        <w:tc>
          <w:tcPr>
            <w:tcW w:w="9000" w:type="dxa"/>
            <w:vAlign w:val="bottom"/>
            <w:vMerge w:val="restart"/>
          </w:tcPr>
          <w:p>
            <w:pPr>
              <w:spacing w:after="0"/>
              <w:rPr>
                <w:sz w:val="20"/>
                <w:szCs w:val="20"/>
                <w:color w:val="auto"/>
              </w:rPr>
            </w:pPr>
            <w:r>
              <w:rPr>
                <w:rFonts w:ascii="Arial" w:cs="Arial" w:eastAsia="Arial" w:hAnsi="Arial"/>
                <w:sz w:val="13"/>
                <w:szCs w:val="13"/>
                <w:color w:val="auto"/>
              </w:rPr>
              <w:t>Financial Liabilities: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90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9000" w:type="dxa"/>
            <w:vAlign w:val="bottom"/>
          </w:tcPr>
          <w:p>
            <w:pPr>
              <w:ind w:left="140"/>
              <w:spacing w:after="0"/>
              <w:rPr>
                <w:sz w:val="20"/>
                <w:szCs w:val="20"/>
                <w:color w:val="auto"/>
              </w:rPr>
            </w:pPr>
            <w:r>
              <w:rPr>
                <w:rFonts w:ascii="Arial" w:cs="Arial" w:eastAsia="Arial" w:hAnsi="Arial"/>
                <w:sz w:val="13"/>
                <w:szCs w:val="13"/>
                <w:color w:val="auto"/>
              </w:rPr>
              <w:t>Foreign exchange forward contracts</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20"/>
              <w:spacing w:after="0"/>
              <w:rPr>
                <w:sz w:val="20"/>
                <w:szCs w:val="20"/>
                <w:color w:val="auto"/>
              </w:rPr>
            </w:pPr>
            <w:r>
              <w:rPr>
                <w:rFonts w:ascii="Arial" w:cs="Arial" w:eastAsia="Arial" w:hAnsi="Arial"/>
                <w:sz w:val="13"/>
                <w:szCs w:val="13"/>
                <w:color w:val="auto"/>
              </w:rPr>
              <w:t>0.9</w:t>
            </w:r>
          </w:p>
        </w:tc>
        <w:tc>
          <w:tcPr>
            <w:tcW w:w="0" w:type="dxa"/>
            <w:vAlign w:val="bottom"/>
          </w:tcPr>
          <w:p>
            <w:pPr>
              <w:spacing w:after="0"/>
              <w:rPr>
                <w:sz w:val="1"/>
                <w:szCs w:val="1"/>
                <w:color w:val="auto"/>
              </w:rPr>
            </w:pPr>
          </w:p>
        </w:tc>
      </w:tr>
      <w:tr>
        <w:trPr>
          <w:trHeight w:val="172"/>
        </w:trPr>
        <w:tc>
          <w:tcPr>
            <w:tcW w:w="9000" w:type="dxa"/>
            <w:vAlign w:val="bottom"/>
          </w:tcPr>
          <w:p>
            <w:pPr>
              <w:ind w:left="140"/>
              <w:spacing w:after="0"/>
              <w:rPr>
                <w:sz w:val="20"/>
                <w:szCs w:val="20"/>
                <w:color w:val="auto"/>
              </w:rPr>
            </w:pPr>
            <w:r>
              <w:rPr>
                <w:rFonts w:ascii="Arial" w:cs="Arial" w:eastAsia="Arial" w:hAnsi="Arial"/>
                <w:sz w:val="13"/>
                <w:szCs w:val="13"/>
                <w:color w:val="auto"/>
              </w:rPr>
              <w:t>Warrants</w:t>
            </w: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162"/>
        </w:trPr>
        <w:tc>
          <w:tcPr>
            <w:tcW w:w="9000" w:type="dxa"/>
            <w:vAlign w:val="bottom"/>
          </w:tcPr>
          <w:p>
            <w:pPr>
              <w:spacing w:after="0"/>
              <w:rPr>
                <w:sz w:val="20"/>
                <w:szCs w:val="20"/>
                <w:color w:val="auto"/>
              </w:rPr>
            </w:pPr>
            <w:r>
              <w:rPr>
                <w:rFonts w:ascii="Arial" w:cs="Arial" w:eastAsia="Arial" w:hAnsi="Arial"/>
                <w:sz w:val="13"/>
                <w:szCs w:val="13"/>
                <w:color w:val="auto"/>
              </w:rPr>
              <w:t>Total financial liabilities</w:t>
            </w: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0.9</w:t>
            </w:r>
          </w:p>
        </w:tc>
        <w:tc>
          <w:tcPr>
            <w:tcW w:w="0" w:type="dxa"/>
            <w:vAlign w:val="bottom"/>
          </w:tcPr>
          <w:p>
            <w:pPr>
              <w:spacing w:after="0"/>
              <w:rPr>
                <w:sz w:val="1"/>
                <w:szCs w:val="1"/>
                <w:color w:val="auto"/>
              </w:rPr>
            </w:pPr>
          </w:p>
        </w:tc>
      </w:tr>
      <w:tr>
        <w:trPr>
          <w:trHeight w:val="20"/>
        </w:trPr>
        <w:tc>
          <w:tcPr>
            <w:tcW w:w="9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120" w:firstLine="399"/>
        <w:spacing w:after="0" w:line="270" w:lineRule="auto"/>
        <w:rPr>
          <w:sz w:val="20"/>
          <w:szCs w:val="20"/>
          <w:color w:val="auto"/>
        </w:rPr>
      </w:pPr>
      <w:r>
        <w:rPr>
          <w:rFonts w:ascii="Arial" w:cs="Arial" w:eastAsia="Arial" w:hAnsi="Arial"/>
          <w:sz w:val="13"/>
          <w:szCs w:val="13"/>
          <w:color w:val="auto"/>
        </w:rPr>
        <w:t>As of July 3, 2009, we had warrants outstanding to purchase shares of our Class A Common Stock. Our liability for warrants is classified as a Level 3 financial liability. As of July 3, 2009, warrants to purchase 520,445 shares of our Class A Common Stock were outstanding. These warrants have an exercise price of $11.80 per common share and will expire on September 24, 2009. The per share fair value of each warrant was $0.06 and $1.15 as of July 3, 2009 and June 27, 2008, determined based on the Black-Scholes-Merton model with the assumptions listed in the table below.</w:t>
      </w:r>
    </w:p>
    <w:p>
      <w:pPr>
        <w:spacing w:after="0" w:line="51"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3400" w:type="dxa"/>
            <w:vAlign w:val="bottom"/>
          </w:tcPr>
          <w:p>
            <w:pPr>
              <w:spacing w:after="0"/>
              <w:rPr>
                <w:sz w:val="10"/>
                <w:szCs w:val="10"/>
                <w:color w:val="auto"/>
              </w:rPr>
            </w:pPr>
          </w:p>
        </w:tc>
        <w:tc>
          <w:tcPr>
            <w:tcW w:w="2140" w:type="dxa"/>
            <w:vAlign w:val="bottom"/>
          </w:tcPr>
          <w:p>
            <w:pPr>
              <w:jc w:val="center"/>
              <w:ind w:left="726"/>
              <w:spacing w:after="0"/>
              <w:rPr>
                <w:sz w:val="20"/>
                <w:szCs w:val="20"/>
                <w:color w:val="auto"/>
              </w:rPr>
            </w:pPr>
            <w:r>
              <w:rPr>
                <w:rFonts w:ascii="Arial" w:cs="Arial" w:eastAsia="Arial" w:hAnsi="Arial"/>
                <w:sz w:val="11"/>
                <w:szCs w:val="11"/>
                <w:b w:val="1"/>
                <w:bCs w:val="1"/>
                <w:color w:val="auto"/>
                <w:w w:val="93"/>
              </w:rPr>
              <w:t>July 3,</w:t>
            </w:r>
          </w:p>
        </w:tc>
        <w:tc>
          <w:tcPr>
            <w:tcW w:w="7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1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6"/>
              </w:rPr>
              <w:t>June 27,</w:t>
            </w:r>
          </w:p>
        </w:tc>
      </w:tr>
      <w:tr>
        <w:trPr>
          <w:trHeight w:val="128"/>
        </w:trPr>
        <w:tc>
          <w:tcPr>
            <w:tcW w:w="3400" w:type="dxa"/>
            <w:vAlign w:val="bottom"/>
          </w:tcPr>
          <w:p>
            <w:pPr>
              <w:spacing w:after="0"/>
              <w:rPr>
                <w:sz w:val="11"/>
                <w:szCs w:val="11"/>
                <w:color w:val="auto"/>
              </w:rPr>
            </w:pPr>
          </w:p>
        </w:tc>
        <w:tc>
          <w:tcPr>
            <w:tcW w:w="2140" w:type="dxa"/>
            <w:vAlign w:val="bottom"/>
            <w:tcBorders>
              <w:bottom w:val="single" w:sz="8" w:color="auto"/>
            </w:tcBorders>
          </w:tcPr>
          <w:p>
            <w:pPr>
              <w:jc w:val="right"/>
              <w:ind w:right="526"/>
              <w:spacing w:after="0"/>
              <w:rPr>
                <w:sz w:val="20"/>
                <w:szCs w:val="20"/>
                <w:color w:val="auto"/>
              </w:rPr>
            </w:pPr>
            <w:r>
              <w:rPr>
                <w:rFonts w:ascii="Arial" w:cs="Arial" w:eastAsia="Arial" w:hAnsi="Arial"/>
                <w:sz w:val="11"/>
                <w:szCs w:val="11"/>
                <w:b w:val="1"/>
                <w:bCs w:val="1"/>
                <w:color w:val="auto"/>
              </w:rPr>
              <w:t>2009</w:t>
            </w:r>
          </w:p>
        </w:tc>
        <w:tc>
          <w:tcPr>
            <w:tcW w:w="78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900" w:type="dxa"/>
            <w:vAlign w:val="bottom"/>
            <w:tcBorders>
              <w:bottom w:val="single" w:sz="8" w:color="auto"/>
            </w:tcBorders>
          </w:tcPr>
          <w:p>
            <w:pPr>
              <w:jc w:val="right"/>
              <w:ind w:right="1277"/>
              <w:spacing w:after="0"/>
              <w:rPr>
                <w:sz w:val="20"/>
                <w:szCs w:val="20"/>
                <w:color w:val="auto"/>
              </w:rPr>
            </w:pPr>
            <w:r>
              <w:rPr>
                <w:rFonts w:ascii="Arial" w:cs="Arial" w:eastAsia="Arial" w:hAnsi="Arial"/>
                <w:sz w:val="11"/>
                <w:szCs w:val="11"/>
                <w:b w:val="1"/>
                <w:bCs w:val="1"/>
                <w:color w:val="auto"/>
              </w:rPr>
              <w:t>2008</w:t>
            </w:r>
          </w:p>
        </w:tc>
        <w:tc>
          <w:tcPr>
            <w:tcW w:w="240" w:type="dxa"/>
            <w:vAlign w:val="bottom"/>
          </w:tcPr>
          <w:p>
            <w:pPr>
              <w:spacing w:after="0"/>
              <w:rPr>
                <w:sz w:val="11"/>
                <w:szCs w:val="11"/>
                <w:color w:val="auto"/>
              </w:rPr>
            </w:pPr>
          </w:p>
        </w:tc>
      </w:tr>
      <w:tr>
        <w:trPr>
          <w:trHeight w:val="181"/>
        </w:trPr>
        <w:tc>
          <w:tcPr>
            <w:tcW w:w="5540" w:type="dxa"/>
            <w:vAlign w:val="bottom"/>
            <w:gridSpan w:val="2"/>
          </w:tcPr>
          <w:p>
            <w:pPr>
              <w:spacing w:after="0"/>
              <w:rPr>
                <w:sz w:val="20"/>
                <w:szCs w:val="20"/>
                <w:color w:val="auto"/>
              </w:rPr>
            </w:pPr>
            <w:r>
              <w:rPr>
                <w:rFonts w:ascii="Arial" w:cs="Arial" w:eastAsia="Arial" w:hAnsi="Arial"/>
                <w:sz w:val="13"/>
                <w:szCs w:val="13"/>
                <w:color w:val="auto"/>
              </w:rPr>
              <w:t>Dividend yield</w:t>
            </w:r>
          </w:p>
        </w:tc>
        <w:tc>
          <w:tcPr>
            <w:tcW w:w="1300" w:type="dxa"/>
            <w:vAlign w:val="bottom"/>
            <w:gridSpan w:val="2"/>
          </w:tcPr>
          <w:p>
            <w:pPr>
              <w:jc w:val="right"/>
              <w:ind w:right="420"/>
              <w:spacing w:after="0"/>
              <w:rPr>
                <w:sz w:val="20"/>
                <w:szCs w:val="20"/>
                <w:color w:val="auto"/>
              </w:rPr>
            </w:pPr>
            <w:r>
              <w:rPr>
                <w:rFonts w:ascii="Arial" w:cs="Arial" w:eastAsia="Arial" w:hAnsi="Arial"/>
                <w:sz w:val="13"/>
                <w:szCs w:val="13"/>
                <w:color w:val="auto"/>
              </w:rPr>
              <w:t>0.0%</w:t>
            </w:r>
          </w:p>
        </w:tc>
        <w:tc>
          <w:tcPr>
            <w:tcW w:w="3140" w:type="dxa"/>
            <w:vAlign w:val="bottom"/>
            <w:gridSpan w:val="2"/>
          </w:tcPr>
          <w:p>
            <w:pPr>
              <w:jc w:val="right"/>
              <w:ind w:right="120"/>
              <w:spacing w:after="0"/>
              <w:rPr>
                <w:sz w:val="20"/>
                <w:szCs w:val="20"/>
                <w:color w:val="auto"/>
              </w:rPr>
            </w:pPr>
            <w:r>
              <w:rPr>
                <w:rFonts w:ascii="Arial" w:cs="Arial" w:eastAsia="Arial" w:hAnsi="Arial"/>
                <w:sz w:val="13"/>
                <w:szCs w:val="13"/>
                <w:color w:val="auto"/>
              </w:rPr>
              <w:t>0.0%</w:t>
            </w:r>
          </w:p>
        </w:tc>
      </w:tr>
      <w:tr>
        <w:trPr>
          <w:trHeight w:val="161"/>
        </w:trPr>
        <w:tc>
          <w:tcPr>
            <w:tcW w:w="5540" w:type="dxa"/>
            <w:vAlign w:val="bottom"/>
            <w:gridSpan w:val="2"/>
          </w:tcPr>
          <w:p>
            <w:pPr>
              <w:spacing w:after="0"/>
              <w:rPr>
                <w:sz w:val="20"/>
                <w:szCs w:val="20"/>
                <w:color w:val="auto"/>
              </w:rPr>
            </w:pPr>
            <w:r>
              <w:rPr>
                <w:rFonts w:ascii="Arial" w:cs="Arial" w:eastAsia="Arial" w:hAnsi="Arial"/>
                <w:sz w:val="13"/>
                <w:szCs w:val="13"/>
                <w:color w:val="auto"/>
              </w:rPr>
              <w:t>Expected volatility</w:t>
            </w:r>
          </w:p>
        </w:tc>
        <w:tc>
          <w:tcPr>
            <w:tcW w:w="1300" w:type="dxa"/>
            <w:vAlign w:val="bottom"/>
            <w:gridSpan w:val="2"/>
          </w:tcPr>
          <w:p>
            <w:pPr>
              <w:jc w:val="right"/>
              <w:ind w:right="420"/>
              <w:spacing w:after="0"/>
              <w:rPr>
                <w:sz w:val="20"/>
                <w:szCs w:val="20"/>
                <w:color w:val="auto"/>
              </w:rPr>
            </w:pPr>
            <w:r>
              <w:rPr>
                <w:rFonts w:ascii="Arial" w:cs="Arial" w:eastAsia="Arial" w:hAnsi="Arial"/>
                <w:sz w:val="13"/>
                <w:szCs w:val="13"/>
                <w:color w:val="auto"/>
              </w:rPr>
              <w:t>79.8%</w:t>
            </w:r>
          </w:p>
        </w:tc>
        <w:tc>
          <w:tcPr>
            <w:tcW w:w="3140" w:type="dxa"/>
            <w:vAlign w:val="bottom"/>
            <w:gridSpan w:val="2"/>
          </w:tcPr>
          <w:p>
            <w:pPr>
              <w:jc w:val="right"/>
              <w:ind w:right="120"/>
              <w:spacing w:after="0"/>
              <w:rPr>
                <w:sz w:val="20"/>
                <w:szCs w:val="20"/>
                <w:color w:val="auto"/>
              </w:rPr>
            </w:pPr>
            <w:r>
              <w:rPr>
                <w:rFonts w:ascii="Arial" w:cs="Arial" w:eastAsia="Arial" w:hAnsi="Arial"/>
                <w:sz w:val="13"/>
                <w:szCs w:val="13"/>
                <w:color w:val="auto"/>
              </w:rPr>
              <w:t>58.9%</w:t>
            </w:r>
          </w:p>
        </w:tc>
      </w:tr>
      <w:tr>
        <w:trPr>
          <w:trHeight w:val="161"/>
        </w:trPr>
        <w:tc>
          <w:tcPr>
            <w:tcW w:w="5540" w:type="dxa"/>
            <w:vAlign w:val="bottom"/>
            <w:gridSpan w:val="2"/>
          </w:tcPr>
          <w:p>
            <w:pPr>
              <w:spacing w:after="0"/>
              <w:rPr>
                <w:sz w:val="20"/>
                <w:szCs w:val="20"/>
                <w:color w:val="auto"/>
              </w:rPr>
            </w:pPr>
            <w:r>
              <w:rPr>
                <w:rFonts w:ascii="Arial" w:cs="Arial" w:eastAsia="Arial" w:hAnsi="Arial"/>
                <w:sz w:val="13"/>
                <w:szCs w:val="13"/>
                <w:color w:val="auto"/>
              </w:rPr>
              <w:t>Risk-free interest rate</w:t>
            </w:r>
          </w:p>
        </w:tc>
        <w:tc>
          <w:tcPr>
            <w:tcW w:w="1300" w:type="dxa"/>
            <w:vAlign w:val="bottom"/>
            <w:gridSpan w:val="2"/>
          </w:tcPr>
          <w:p>
            <w:pPr>
              <w:jc w:val="right"/>
              <w:ind w:right="420"/>
              <w:spacing w:after="0"/>
              <w:rPr>
                <w:sz w:val="20"/>
                <w:szCs w:val="20"/>
                <w:color w:val="auto"/>
              </w:rPr>
            </w:pPr>
            <w:r>
              <w:rPr>
                <w:rFonts w:ascii="Arial" w:cs="Arial" w:eastAsia="Arial" w:hAnsi="Arial"/>
                <w:sz w:val="13"/>
                <w:szCs w:val="13"/>
                <w:color w:val="auto"/>
              </w:rPr>
              <w:t>0.17%</w:t>
            </w:r>
          </w:p>
        </w:tc>
        <w:tc>
          <w:tcPr>
            <w:tcW w:w="3140" w:type="dxa"/>
            <w:vAlign w:val="bottom"/>
            <w:gridSpan w:val="2"/>
          </w:tcPr>
          <w:p>
            <w:pPr>
              <w:jc w:val="right"/>
              <w:ind w:right="120"/>
              <w:spacing w:after="0"/>
              <w:rPr>
                <w:sz w:val="20"/>
                <w:szCs w:val="20"/>
                <w:color w:val="auto"/>
              </w:rPr>
            </w:pPr>
            <w:r>
              <w:rPr>
                <w:rFonts w:ascii="Arial" w:cs="Arial" w:eastAsia="Arial" w:hAnsi="Arial"/>
                <w:sz w:val="13"/>
                <w:szCs w:val="13"/>
                <w:color w:val="auto"/>
              </w:rPr>
              <w:t>2.31%</w:t>
            </w:r>
          </w:p>
        </w:tc>
      </w:tr>
      <w:tr>
        <w:trPr>
          <w:trHeight w:val="172"/>
        </w:trPr>
        <w:tc>
          <w:tcPr>
            <w:tcW w:w="5540" w:type="dxa"/>
            <w:vAlign w:val="bottom"/>
            <w:gridSpan w:val="2"/>
          </w:tcPr>
          <w:p>
            <w:pPr>
              <w:spacing w:after="0"/>
              <w:rPr>
                <w:sz w:val="20"/>
                <w:szCs w:val="20"/>
                <w:color w:val="auto"/>
              </w:rPr>
            </w:pPr>
            <w:r>
              <w:rPr>
                <w:rFonts w:ascii="Arial" w:cs="Arial" w:eastAsia="Arial" w:hAnsi="Arial"/>
                <w:sz w:val="13"/>
                <w:szCs w:val="13"/>
                <w:color w:val="auto"/>
              </w:rPr>
              <w:t>Expected holding period</w:t>
            </w:r>
          </w:p>
        </w:tc>
        <w:tc>
          <w:tcPr>
            <w:tcW w:w="1300" w:type="dxa"/>
            <w:vAlign w:val="bottom"/>
            <w:gridSpan w:val="2"/>
          </w:tcPr>
          <w:p>
            <w:pPr>
              <w:jc w:val="right"/>
              <w:ind w:right="300"/>
              <w:spacing w:after="0"/>
              <w:rPr>
                <w:sz w:val="20"/>
                <w:szCs w:val="20"/>
                <w:color w:val="auto"/>
              </w:rPr>
            </w:pPr>
            <w:r>
              <w:rPr>
                <w:rFonts w:ascii="Arial" w:cs="Arial" w:eastAsia="Arial" w:hAnsi="Arial"/>
                <w:sz w:val="13"/>
                <w:szCs w:val="13"/>
                <w:color w:val="auto"/>
              </w:rPr>
              <w:t>0.23 year</w:t>
            </w:r>
          </w:p>
        </w:tc>
        <w:tc>
          <w:tcPr>
            <w:tcW w:w="3140" w:type="dxa"/>
            <w:vAlign w:val="bottom"/>
            <w:gridSpan w:val="2"/>
          </w:tcPr>
          <w:p>
            <w:pPr>
              <w:jc w:val="right"/>
              <w:spacing w:after="0"/>
              <w:rPr>
                <w:sz w:val="20"/>
                <w:szCs w:val="20"/>
                <w:color w:val="auto"/>
              </w:rPr>
            </w:pPr>
            <w:r>
              <w:rPr>
                <w:rFonts w:ascii="Arial" w:cs="Arial" w:eastAsia="Arial" w:hAnsi="Arial"/>
                <w:sz w:val="13"/>
                <w:szCs w:val="13"/>
                <w:color w:val="auto"/>
              </w:rPr>
              <w:t>0.67 year</w:t>
            </w:r>
          </w:p>
        </w:tc>
      </w:tr>
    </w:tbl>
    <w:p>
      <w:pPr>
        <w:spacing w:after="0" w:line="80" w:lineRule="exact"/>
        <w:rPr>
          <w:sz w:val="20"/>
          <w:szCs w:val="20"/>
          <w:color w:val="auto"/>
        </w:rPr>
      </w:pPr>
    </w:p>
    <w:p>
      <w:pPr>
        <w:ind w:left="680" w:right="360" w:firstLine="399"/>
        <w:spacing w:after="0" w:line="309" w:lineRule="auto"/>
        <w:rPr>
          <w:sz w:val="20"/>
          <w:szCs w:val="20"/>
          <w:color w:val="auto"/>
        </w:rPr>
      </w:pPr>
      <w:r>
        <w:rPr>
          <w:rFonts w:ascii="Arial" w:cs="Arial" w:eastAsia="Arial" w:hAnsi="Arial"/>
          <w:sz w:val="12"/>
          <w:szCs w:val="12"/>
          <w:color w:val="auto"/>
        </w:rPr>
        <w:t>As a result of recording these outstanding warrants at fair value as of July 3, 2009, we recorded the change in fair value during fiscal 2009, 2008 and 2007 as a reduction of $0.6 million, $3.3 million and $0.6 million to selling and administrative expenses on our Consolidated Statements of Operations. During fiscal 2009 and 2008, no warrants were exercised. During fiscal 2007, warrants to purchase 18,750 shares of our Class A Common Stock were exercised with total proceeds to us of $0.2 million.</w:t>
      </w:r>
    </w:p>
    <w:p>
      <w:pPr>
        <w:spacing w:after="0" w:line="4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sets a summary of changes in the fair value of our Level 3 financial liabilities (warrants) during fiscal 2009:</w:t>
      </w:r>
    </w:p>
    <w:p>
      <w:pPr>
        <w:spacing w:after="0" w:line="106" w:lineRule="exact"/>
        <w:rPr>
          <w:sz w:val="20"/>
          <w:szCs w:val="20"/>
          <w:color w:val="auto"/>
        </w:rPr>
      </w:pPr>
    </w:p>
    <w:p>
      <w:pPr>
        <w:ind w:left="9840"/>
        <w:spacing w:after="0"/>
        <w:rPr>
          <w:sz w:val="20"/>
          <w:szCs w:val="20"/>
          <w:color w:val="auto"/>
        </w:rPr>
      </w:pPr>
      <w:r>
        <w:rPr>
          <w:rFonts w:ascii="Arial" w:cs="Arial" w:eastAsia="Arial" w:hAnsi="Arial"/>
          <w:sz w:val="11"/>
          <w:szCs w:val="11"/>
          <w:b w:val="1"/>
          <w:bCs w:val="1"/>
          <w:color w:val="auto"/>
        </w:rPr>
        <w:t>(In millions)</w:t>
      </w:r>
    </w:p>
    <w:p>
      <w:pPr>
        <w:sectPr>
          <w:pgSz w:w="11900" w:h="16838" w:orient="portrait"/>
          <w:cols w:equalWidth="0" w:num="1">
            <w:col w:w="10660"/>
          </w:cols>
          <w:pgMar w:left="220" w:top="349" w:right="1019" w:bottom="1440" w:gutter="0" w:footer="0" w:header="0"/>
        </w:sectPr>
      </w:pPr>
    </w:p>
    <w:p>
      <w:pPr>
        <w:spacing w:after="0" w:line="31"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Balance as of June 27,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-87630</wp:posOffset>
            </wp:positionV>
            <wp:extent cx="6334125" cy="1022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334125" cy="102235"/>
                    </a:xfrm>
                    <a:prstGeom prst="rect">
                      <a:avLst/>
                    </a:prstGeom>
                    <a:noFill/>
                  </pic:spPr>
                </pic:pic>
              </a:graphicData>
            </a:graphic>
          </wp:anchor>
        </w:drawing>
      </w:r>
    </w:p>
    <w:p>
      <w:pPr>
        <w:spacing w:after="0" w:line="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Transfers during the period</w:t>
      </w:r>
    </w:p>
    <w:p>
      <w:pPr>
        <w:spacing w:after="0" w:line="1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Repurchases during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-93980</wp:posOffset>
            </wp:positionV>
            <wp:extent cx="6334125" cy="1022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334125" cy="102235"/>
                    </a:xfrm>
                    <a:prstGeom prst="rect">
                      <a:avLst/>
                    </a:prstGeom>
                    <a:noFill/>
                  </pic:spPr>
                </pic:pic>
              </a:graphicData>
            </a:graphic>
          </wp:anchor>
        </w:drawing>
      </w:r>
    </w:p>
    <w:p>
      <w:pPr>
        <w:ind w:left="680"/>
        <w:spacing w:after="0"/>
        <w:rPr>
          <w:sz w:val="20"/>
          <w:szCs w:val="20"/>
          <w:color w:val="auto"/>
        </w:rPr>
      </w:pPr>
      <w:r>
        <w:rPr>
          <w:rFonts w:ascii="Arial" w:cs="Arial" w:eastAsia="Arial" w:hAnsi="Arial"/>
          <w:sz w:val="12"/>
          <w:szCs w:val="12"/>
          <w:color w:val="auto"/>
        </w:rPr>
        <w:t>Realized gains (losses) during the period</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Unrealized gain during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-93980</wp:posOffset>
            </wp:positionV>
            <wp:extent cx="6334125" cy="1022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334125" cy="102235"/>
                    </a:xfrm>
                    <a:prstGeom prst="rect">
                      <a:avLst/>
                    </a:prstGeom>
                    <a:noFill/>
                  </pic:spPr>
                </pic:pic>
              </a:graphicData>
            </a:graphic>
          </wp:anchor>
        </w:drawing>
      </w:r>
    </w:p>
    <w:p>
      <w:pPr>
        <w:spacing w:after="0" w:line="1"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Balance as of July 3, 2009</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ind w:left="723" w:hanging="723"/>
        <w:spacing w:after="0"/>
        <w:tabs>
          <w:tab w:leader="none" w:pos="723" w:val="left"/>
        </w:tabs>
        <w:numPr>
          <w:ilvl w:val="0"/>
          <w:numId w:val="30"/>
        </w:numPr>
        <w:rPr>
          <w:rFonts w:ascii="Arial" w:cs="Arial" w:eastAsia="Arial" w:hAnsi="Arial"/>
          <w:sz w:val="13"/>
          <w:szCs w:val="13"/>
          <w:color w:val="auto"/>
        </w:rPr>
      </w:pPr>
      <w:r>
        <w:rPr>
          <w:rFonts w:ascii="Arial" w:cs="Arial" w:eastAsia="Arial" w:hAnsi="Arial"/>
          <w:sz w:val="13"/>
          <w:szCs w:val="13"/>
          <w:color w:val="auto"/>
        </w:rPr>
        <w:t>0.6</w:t>
      </w:r>
    </w:p>
    <w:p>
      <w:pPr>
        <w:spacing w:after="0" w:line="22" w:lineRule="exact"/>
        <w:rPr>
          <w:rFonts w:ascii="Arial" w:cs="Arial" w:eastAsia="Arial" w:hAnsi="Arial"/>
          <w:sz w:val="13"/>
          <w:szCs w:val="13"/>
          <w:color w:val="auto"/>
        </w:rPr>
      </w:pPr>
    </w:p>
    <w:p>
      <w:pPr>
        <w:ind w:left="763"/>
        <w:spacing w:after="0"/>
        <w:rPr>
          <w:rFonts w:ascii="Arial" w:cs="Arial" w:eastAsia="Arial" w:hAnsi="Arial"/>
          <w:sz w:val="13"/>
          <w:szCs w:val="13"/>
          <w:color w:val="auto"/>
        </w:rPr>
      </w:pPr>
      <w:r>
        <w:rPr>
          <w:rFonts w:ascii="Arial" w:cs="Arial" w:eastAsia="Arial" w:hAnsi="Arial"/>
          <w:sz w:val="13"/>
          <w:szCs w:val="13"/>
          <w:color w:val="auto"/>
        </w:rPr>
        <w:t>—</w:t>
      </w:r>
    </w:p>
    <w:p>
      <w:pPr>
        <w:spacing w:after="0" w:line="11" w:lineRule="exact"/>
        <w:rPr>
          <w:rFonts w:ascii="Arial" w:cs="Arial" w:eastAsia="Arial" w:hAnsi="Arial"/>
          <w:sz w:val="13"/>
          <w:szCs w:val="13"/>
          <w:color w:val="auto"/>
        </w:rPr>
      </w:pPr>
    </w:p>
    <w:p>
      <w:pPr>
        <w:ind w:left="763"/>
        <w:spacing w:after="0"/>
        <w:rPr>
          <w:rFonts w:ascii="Arial" w:cs="Arial" w:eastAsia="Arial" w:hAnsi="Arial"/>
          <w:sz w:val="13"/>
          <w:szCs w:val="13"/>
          <w:color w:val="auto"/>
        </w:rPr>
      </w:pPr>
      <w:r>
        <w:rPr>
          <w:rFonts w:ascii="Arial" w:cs="Arial" w:eastAsia="Arial" w:hAnsi="Arial"/>
          <w:sz w:val="13"/>
          <w:szCs w:val="13"/>
          <w:color w:val="auto"/>
        </w:rPr>
        <w:t>—</w:t>
      </w:r>
    </w:p>
    <w:p>
      <w:pPr>
        <w:spacing w:after="0" w:line="11" w:lineRule="exact"/>
        <w:rPr>
          <w:rFonts w:ascii="Arial" w:cs="Arial" w:eastAsia="Arial" w:hAnsi="Arial"/>
          <w:sz w:val="13"/>
          <w:szCs w:val="13"/>
          <w:color w:val="auto"/>
        </w:rPr>
      </w:pPr>
    </w:p>
    <w:p>
      <w:pPr>
        <w:ind w:left="763"/>
        <w:spacing w:after="0"/>
        <w:rPr>
          <w:rFonts w:ascii="Arial" w:cs="Arial" w:eastAsia="Arial" w:hAnsi="Arial"/>
          <w:sz w:val="13"/>
          <w:szCs w:val="13"/>
          <w:color w:val="auto"/>
        </w:rPr>
      </w:pPr>
      <w:r>
        <w:rPr>
          <w:rFonts w:ascii="Arial" w:cs="Arial" w:eastAsia="Arial" w:hAnsi="Arial"/>
          <w:sz w:val="13"/>
          <w:szCs w:val="13"/>
          <w:color w:val="auto"/>
        </w:rPr>
        <w:t>—</w:t>
      </w:r>
    </w:p>
    <w:p>
      <w:pPr>
        <w:spacing w:after="0" w:line="12" w:lineRule="exact"/>
        <w:rPr>
          <w:sz w:val="20"/>
          <w:szCs w:val="20"/>
          <w:color w:val="auto"/>
        </w:rPr>
      </w:pPr>
    </w:p>
    <w:p>
      <w:pPr>
        <w:jc w:val="right"/>
        <w:ind w:right="40"/>
        <w:spacing w:after="0"/>
        <w:rPr>
          <w:sz w:val="20"/>
          <w:szCs w:val="20"/>
          <w:color w:val="auto"/>
        </w:rPr>
      </w:pPr>
      <w:r>
        <w:rPr>
          <w:rFonts w:ascii="Arial" w:cs="Arial" w:eastAsia="Arial" w:hAnsi="Arial"/>
          <w:sz w:val="13"/>
          <w:szCs w:val="13"/>
          <w:color w:val="auto"/>
        </w:rPr>
        <w:t>(0.6)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569595" cy="63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9595" cy="6350"/>
                    </a:xfrm>
                    <a:prstGeom prst="rect">
                      <a:avLst/>
                    </a:prstGeom>
                    <a:noFill/>
                  </pic:spPr>
                </pic:pic>
              </a:graphicData>
            </a:graphic>
          </wp:anchor>
        </w:drawing>
      </w:r>
    </w:p>
    <w:p>
      <w:pPr>
        <w:spacing w:after="0" w:line="1" w:lineRule="exact"/>
        <w:rPr>
          <w:sz w:val="20"/>
          <w:szCs w:val="20"/>
          <w:color w:val="auto"/>
        </w:rPr>
      </w:pPr>
    </w:p>
    <w:p>
      <w:pPr>
        <w:ind w:left="763" w:hanging="763"/>
        <w:spacing w:after="0"/>
        <w:tabs>
          <w:tab w:leader="none" w:pos="763" w:val="left"/>
        </w:tabs>
        <w:numPr>
          <w:ilvl w:val="0"/>
          <w:numId w:val="31"/>
        </w:numPr>
        <w:rPr>
          <w:rFonts w:ascii="Arial" w:cs="Arial" w:eastAsia="Arial" w:hAnsi="Arial"/>
          <w:sz w:val="13"/>
          <w:szCs w:val="13"/>
          <w:color w:val="auto"/>
        </w:rPr>
      </w:pP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569595" cy="63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9595" cy="635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27305</wp:posOffset>
            </wp:positionV>
            <wp:extent cx="569595" cy="63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9595" cy="63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957" w:space="720"/>
            <w:col w:w="983"/>
          </w:cols>
          <w:pgMar w:left="220" w:top="349" w:right="1019" w:bottom="1440" w:gutter="0" w:footer="0" w:header="0"/>
          <w:type w:val="continuous"/>
        </w:sectPr>
      </w:pPr>
    </w:p>
    <w:p>
      <w:pPr>
        <w:spacing w:after="0" w:line="154" w:lineRule="exact"/>
        <w:rPr>
          <w:sz w:val="20"/>
          <w:szCs w:val="20"/>
          <w:color w:val="auto"/>
        </w:rPr>
      </w:pPr>
    </w:p>
    <w:p>
      <w:pPr>
        <w:ind w:left="5600"/>
        <w:spacing w:after="0"/>
        <w:rPr>
          <w:sz w:val="20"/>
          <w:szCs w:val="20"/>
          <w:color w:val="auto"/>
        </w:rPr>
      </w:pPr>
      <w:r>
        <w:rPr>
          <w:rFonts w:ascii="Arial" w:cs="Arial" w:eastAsia="Arial" w:hAnsi="Arial"/>
          <w:sz w:val="12"/>
          <w:szCs w:val="1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120650</wp:posOffset>
            </wp:positionV>
            <wp:extent cx="7287895" cy="190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type w:val="continuous"/>
        </w:sectPr>
      </w:pPr>
    </w:p>
    <w:bookmarkStart w:id="88" w:name="page89"/>
    <w:bookmarkEnd w:id="8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HARRIS STRATEX NETWORKS, INC. AND SUBSIDIARIES</w:t>
      </w:r>
    </w:p>
    <w:p>
      <w:pPr>
        <w:spacing w:after="0" w:line="102"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6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Short-term investments as of July 3, 2009 and June 27, 2008 are as follows:</w:t>
      </w:r>
    </w:p>
    <w:p>
      <w:pPr>
        <w:spacing w:after="0" w:line="106" w:lineRule="exact"/>
        <w:rPr>
          <w:sz w:val="20"/>
          <w:szCs w:val="20"/>
          <w:color w:val="auto"/>
        </w:rPr>
      </w:pPr>
    </w:p>
    <w:tbl>
      <w:tblPr>
        <w:tblLayout w:type="fixed"/>
        <w:tblInd w:w="680" w:type="dxa"/>
        <w:tblCellMar>
          <w:top w:w="0" w:type="dxa"/>
          <w:left w:w="0" w:type="dxa"/>
          <w:bottom w:w="0" w:type="dxa"/>
          <w:right w:w="0" w:type="dxa"/>
        </w:tblCellMar>
      </w:tblPr>
      <w:tr>
        <w:trPr>
          <w:trHeight w:val="128"/>
        </w:trPr>
        <w:tc>
          <w:tcPr>
            <w:tcW w:w="6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gridSpan w:val="4"/>
          </w:tcPr>
          <w:p>
            <w:pPr>
              <w:jc w:val="center"/>
              <w:ind w:right="940"/>
              <w:spacing w:after="0"/>
              <w:rPr>
                <w:sz w:val="20"/>
                <w:szCs w:val="20"/>
                <w:color w:val="auto"/>
              </w:rPr>
            </w:pPr>
            <w:r>
              <w:rPr>
                <w:rFonts w:ascii="Arial" w:cs="Arial" w:eastAsia="Arial" w:hAnsi="Arial"/>
                <w:sz w:val="11"/>
                <w:szCs w:val="11"/>
                <w:b w:val="1"/>
                <w:bCs w:val="1"/>
                <w:color w:val="auto"/>
                <w:w w:val="87"/>
              </w:rPr>
              <w:t>July 3, 2009</w:t>
            </w: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6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2"/>
          </w:tcPr>
          <w:p>
            <w:pPr>
              <w:jc w:val="center"/>
              <w:ind w:right="100"/>
              <w:spacing w:after="0" w:line="84" w:lineRule="exact"/>
              <w:rPr>
                <w:sz w:val="20"/>
                <w:szCs w:val="20"/>
                <w:color w:val="auto"/>
              </w:rPr>
            </w:pPr>
            <w:r>
              <w:rPr>
                <w:rFonts w:ascii="Arial" w:cs="Arial" w:eastAsia="Arial" w:hAnsi="Arial"/>
                <w:sz w:val="9"/>
                <w:szCs w:val="9"/>
                <w:b w:val="1"/>
                <w:bCs w:val="1"/>
                <w:color w:val="auto"/>
                <w:w w:val="99"/>
              </w:rPr>
              <w:t>Gross</w:t>
            </w: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gridSpan w:val="2"/>
          </w:tcPr>
          <w:p>
            <w:pPr>
              <w:jc w:val="center"/>
              <w:ind w:right="460"/>
              <w:spacing w:after="0" w:line="84" w:lineRule="exact"/>
              <w:rPr>
                <w:sz w:val="20"/>
                <w:szCs w:val="20"/>
                <w:color w:val="auto"/>
              </w:rPr>
            </w:pPr>
            <w:r>
              <w:rPr>
                <w:rFonts w:ascii="Arial" w:cs="Arial" w:eastAsia="Arial" w:hAnsi="Arial"/>
                <w:sz w:val="9"/>
                <w:szCs w:val="9"/>
                <w:b w:val="1"/>
                <w:bCs w:val="1"/>
                <w:color w:val="auto"/>
                <w:w w:val="99"/>
              </w:rPr>
              <w:t>Gross</w:t>
            </w:r>
          </w:p>
        </w:tc>
        <w:tc>
          <w:tcPr>
            <w:tcW w:w="80" w:type="dxa"/>
            <w:vAlign w:val="bottom"/>
          </w:tcPr>
          <w:p>
            <w:pPr>
              <w:spacing w:after="0"/>
              <w:rPr>
                <w:sz w:val="7"/>
                <w:szCs w:val="7"/>
                <w:color w:val="auto"/>
              </w:rPr>
            </w:pPr>
          </w:p>
        </w:tc>
        <w:tc>
          <w:tcPr>
            <w:tcW w:w="500" w:type="dxa"/>
            <w:vAlign w:val="bottom"/>
            <w:gridSpan w:val="2"/>
            <w:vMerge w:val="restart"/>
          </w:tcPr>
          <w:p>
            <w:pPr>
              <w:jc w:val="center"/>
              <w:ind w:right="160"/>
              <w:spacing w:after="0"/>
              <w:rPr>
                <w:sz w:val="20"/>
                <w:szCs w:val="20"/>
                <w:color w:val="auto"/>
              </w:rPr>
            </w:pPr>
            <w:r>
              <w:rPr>
                <w:rFonts w:ascii="Arial" w:cs="Arial" w:eastAsia="Arial" w:hAnsi="Arial"/>
                <w:sz w:val="11"/>
                <w:szCs w:val="11"/>
                <w:b w:val="1"/>
                <w:bCs w:val="1"/>
                <w:color w:val="auto"/>
                <w:w w:val="95"/>
              </w:rPr>
              <w:t>Market</w:t>
            </w:r>
          </w:p>
        </w:tc>
        <w:tc>
          <w:tcPr>
            <w:tcW w:w="0" w:type="dxa"/>
            <w:vAlign w:val="bottom"/>
          </w:tcPr>
          <w:p>
            <w:pPr>
              <w:spacing w:after="0"/>
              <w:rPr>
                <w:sz w:val="1"/>
                <w:szCs w:val="1"/>
                <w:color w:val="auto"/>
              </w:rPr>
            </w:pPr>
          </w:p>
        </w:tc>
      </w:tr>
      <w:tr>
        <w:trPr>
          <w:trHeight w:val="111"/>
        </w:trPr>
        <w:tc>
          <w:tcPr>
            <w:tcW w:w="6500" w:type="dxa"/>
            <w:vAlign w:val="bottom"/>
          </w:tcPr>
          <w:p>
            <w:pPr>
              <w:spacing w:after="0"/>
              <w:rPr>
                <w:sz w:val="9"/>
                <w:szCs w:val="9"/>
                <w:color w:val="auto"/>
              </w:rPr>
            </w:pPr>
          </w:p>
        </w:tc>
        <w:tc>
          <w:tcPr>
            <w:tcW w:w="300" w:type="dxa"/>
            <w:vAlign w:val="bottom"/>
            <w:gridSpan w:val="2"/>
            <w:vMerge w:val="restart"/>
          </w:tcPr>
          <w:p>
            <w:pPr>
              <w:jc w:val="right"/>
              <w:spacing w:after="0"/>
              <w:rPr>
                <w:sz w:val="20"/>
                <w:szCs w:val="20"/>
                <w:color w:val="auto"/>
              </w:rPr>
            </w:pPr>
            <w:r>
              <w:rPr>
                <w:rFonts w:ascii="Arial" w:cs="Arial" w:eastAsia="Arial" w:hAnsi="Arial"/>
                <w:sz w:val="11"/>
                <w:szCs w:val="11"/>
                <w:b w:val="1"/>
                <w:bCs w:val="1"/>
                <w:color w:val="auto"/>
                <w:w w:val="97"/>
              </w:rPr>
              <w:t>Cost</w:t>
            </w:r>
          </w:p>
        </w:tc>
        <w:tc>
          <w:tcPr>
            <w:tcW w:w="400" w:type="dxa"/>
            <w:vAlign w:val="bottom"/>
            <w:gridSpan w:val="2"/>
            <w:vMerge w:val="restart"/>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tcPr>
          <w:p>
            <w:pPr>
              <w:jc w:val="center"/>
              <w:ind w:right="100"/>
              <w:spacing w:after="0" w:line="111" w:lineRule="exact"/>
              <w:rPr>
                <w:sz w:val="20"/>
                <w:szCs w:val="20"/>
                <w:color w:val="auto"/>
              </w:rPr>
            </w:pPr>
            <w:r>
              <w:rPr>
                <w:rFonts w:ascii="Arial" w:cs="Arial" w:eastAsia="Arial" w:hAnsi="Arial"/>
                <w:sz w:val="11"/>
                <w:szCs w:val="11"/>
                <w:b w:val="1"/>
                <w:bCs w:val="1"/>
                <w:color w:val="auto"/>
                <w:w w:val="89"/>
              </w:rPr>
              <w:t>Unrealized</w:t>
            </w: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tcPr>
          <w:p>
            <w:pPr>
              <w:jc w:val="center"/>
              <w:ind w:right="460"/>
              <w:spacing w:after="0" w:line="111" w:lineRule="exact"/>
              <w:rPr>
                <w:sz w:val="20"/>
                <w:szCs w:val="20"/>
                <w:color w:val="auto"/>
              </w:rPr>
            </w:pPr>
            <w:r>
              <w:rPr>
                <w:rFonts w:ascii="Arial" w:cs="Arial" w:eastAsia="Arial" w:hAnsi="Arial"/>
                <w:sz w:val="11"/>
                <w:szCs w:val="11"/>
                <w:b w:val="1"/>
                <w:bCs w:val="1"/>
                <w:color w:val="auto"/>
                <w:w w:val="89"/>
              </w:rPr>
              <w:t>Unrealized</w:t>
            </w:r>
          </w:p>
        </w:tc>
        <w:tc>
          <w:tcPr>
            <w:tcW w:w="80" w:type="dxa"/>
            <w:vAlign w:val="bottom"/>
          </w:tcPr>
          <w:p>
            <w:pPr>
              <w:spacing w:after="0"/>
              <w:rPr>
                <w:sz w:val="9"/>
                <w:szCs w:val="9"/>
                <w:color w:val="auto"/>
              </w:rPr>
            </w:pPr>
          </w:p>
        </w:tc>
        <w:tc>
          <w:tcPr>
            <w:tcW w:w="5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6500" w:type="dxa"/>
            <w:vAlign w:val="bottom"/>
          </w:tcPr>
          <w:p>
            <w:pPr>
              <w:spacing w:after="0"/>
              <w:rPr>
                <w:sz w:val="11"/>
                <w:szCs w:val="11"/>
                <w:color w:val="auto"/>
              </w:rPr>
            </w:pPr>
          </w:p>
        </w:tc>
        <w:tc>
          <w:tcPr>
            <w:tcW w:w="300" w:type="dxa"/>
            <w:vAlign w:val="bottom"/>
            <w:tcBorders>
              <w:bottom w:val="single" w:sz="8" w:color="auto"/>
            </w:tcBorders>
            <w:gridSpan w:val="2"/>
            <w:vMerge w:val="continue"/>
          </w:tcPr>
          <w:p>
            <w:pPr>
              <w:spacing w:after="0"/>
              <w:rPr>
                <w:sz w:val="11"/>
                <w:szCs w:val="11"/>
                <w:color w:val="auto"/>
              </w:rPr>
            </w:pPr>
          </w:p>
        </w:tc>
        <w:tc>
          <w:tcPr>
            <w:tcW w:w="400" w:type="dxa"/>
            <w:vAlign w:val="bottom"/>
            <w:gridSpan w:val="2"/>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center"/>
              <w:ind w:right="21"/>
              <w:spacing w:after="0"/>
              <w:rPr>
                <w:sz w:val="20"/>
                <w:szCs w:val="20"/>
                <w:color w:val="auto"/>
              </w:rPr>
            </w:pPr>
            <w:r>
              <w:rPr>
                <w:rFonts w:ascii="Arial" w:cs="Arial" w:eastAsia="Arial" w:hAnsi="Arial"/>
                <w:sz w:val="11"/>
                <w:szCs w:val="11"/>
                <w:b w:val="1"/>
                <w:bCs w:val="1"/>
                <w:color w:val="auto"/>
                <w:w w:val="89"/>
              </w:rPr>
              <w:t>Gain</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center"/>
              <w:ind w:right="40"/>
              <w:spacing w:after="0"/>
              <w:rPr>
                <w:sz w:val="20"/>
                <w:szCs w:val="20"/>
                <w:color w:val="auto"/>
              </w:rPr>
            </w:pPr>
            <w:r>
              <w:rPr>
                <w:rFonts w:ascii="Arial" w:cs="Arial" w:eastAsia="Arial" w:hAnsi="Arial"/>
                <w:sz w:val="11"/>
                <w:szCs w:val="11"/>
                <w:b w:val="1"/>
                <w:bCs w:val="1"/>
                <w:color w:val="auto"/>
                <w:w w:val="77"/>
              </w:rPr>
              <w:t>Loss</w:t>
            </w:r>
          </w:p>
        </w:tc>
        <w:tc>
          <w:tcPr>
            <w:tcW w:w="3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center"/>
              <w:ind w:right="17"/>
              <w:spacing w:after="0"/>
              <w:rPr>
                <w:sz w:val="20"/>
                <w:szCs w:val="20"/>
                <w:color w:val="auto"/>
              </w:rPr>
            </w:pPr>
            <w:r>
              <w:rPr>
                <w:rFonts w:ascii="Arial" w:cs="Arial" w:eastAsia="Arial" w:hAnsi="Arial"/>
                <w:sz w:val="11"/>
                <w:szCs w:val="11"/>
                <w:b w:val="1"/>
                <w:bCs w:val="1"/>
                <w:color w:val="auto"/>
                <w:w w:val="88"/>
              </w:rPr>
              <w:t>Value</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6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4"/>
          </w:tcPr>
          <w:p>
            <w:pPr>
              <w:ind w:left="540"/>
              <w:spacing w:after="0"/>
              <w:rPr>
                <w:sz w:val="20"/>
                <w:szCs w:val="20"/>
                <w:color w:val="auto"/>
              </w:rPr>
            </w:pPr>
            <w:r>
              <w:rPr>
                <w:rFonts w:ascii="Arial" w:cs="Arial" w:eastAsia="Arial" w:hAnsi="Arial"/>
                <w:sz w:val="11"/>
                <w:szCs w:val="11"/>
                <w:b w:val="1"/>
                <w:bCs w:val="1"/>
                <w:color w:val="auto"/>
                <w:w w:val="90"/>
              </w:rPr>
              <w:t>(In millions)</w:t>
            </w: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6500" w:type="dxa"/>
            <w:vAlign w:val="bottom"/>
          </w:tcPr>
          <w:p>
            <w:pPr>
              <w:spacing w:after="0"/>
              <w:rPr>
                <w:sz w:val="20"/>
                <w:szCs w:val="20"/>
                <w:color w:val="auto"/>
              </w:rPr>
            </w:pPr>
            <w:r>
              <w:rPr>
                <w:rFonts w:ascii="Arial" w:cs="Arial" w:eastAsia="Arial" w:hAnsi="Arial"/>
                <w:sz w:val="13"/>
                <w:szCs w:val="13"/>
                <w:color w:val="auto"/>
              </w:rPr>
              <w:t>Certificates of deposit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3"/>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gridSpan w:val="2"/>
          </w:tcPr>
          <w:p>
            <w:pPr>
              <w:ind w:left="500"/>
              <w:spacing w:after="0"/>
              <w:rPr>
                <w:sz w:val="20"/>
                <w:szCs w:val="20"/>
                <w:color w:val="auto"/>
              </w:rPr>
            </w:pPr>
            <w:r>
              <w:rPr>
                <w:rFonts w:ascii="Arial" w:cs="Arial" w:eastAsia="Arial" w:hAnsi="Arial"/>
                <w:sz w:val="13"/>
                <w:szCs w:val="13"/>
                <w:color w:val="auto"/>
                <w:w w:val="91"/>
              </w:rPr>
              <w:t>—</w:t>
            </w: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6500" w:type="dxa"/>
            <w:vAlign w:val="bottom"/>
          </w:tcPr>
          <w:p>
            <w:pPr>
              <w:spacing w:after="0"/>
              <w:rPr>
                <w:sz w:val="20"/>
                <w:szCs w:val="20"/>
                <w:color w:val="auto"/>
              </w:rPr>
            </w:pPr>
            <w:r>
              <w:rPr>
                <w:rFonts w:ascii="Arial" w:cs="Arial" w:eastAsia="Arial" w:hAnsi="Arial"/>
                <w:sz w:val="13"/>
                <w:szCs w:val="13"/>
                <w:color w:val="auto"/>
              </w:rPr>
              <w:t>Commercial paper</w:t>
            </w:r>
          </w:p>
        </w:tc>
        <w:tc>
          <w:tcPr>
            <w:tcW w:w="100" w:type="dxa"/>
            <w:vAlign w:val="bottom"/>
          </w:tcPr>
          <w:p>
            <w:pPr>
              <w:spacing w:after="0"/>
              <w:rPr>
                <w:sz w:val="14"/>
                <w:szCs w:val="14"/>
                <w:color w:val="auto"/>
              </w:rPr>
            </w:pPr>
          </w:p>
        </w:tc>
        <w:tc>
          <w:tcPr>
            <w:tcW w:w="600" w:type="dxa"/>
            <w:vAlign w:val="bottom"/>
            <w:gridSpan w:val="3"/>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40" w:type="dxa"/>
            <w:vAlign w:val="bottom"/>
            <w:gridSpan w:val="2"/>
          </w:tcPr>
          <w:p>
            <w:pPr>
              <w:ind w:left="500"/>
              <w:spacing w:after="0"/>
              <w:rPr>
                <w:sz w:val="20"/>
                <w:szCs w:val="20"/>
                <w:color w:val="auto"/>
              </w:rPr>
            </w:pPr>
            <w:r>
              <w:rPr>
                <w:rFonts w:ascii="Arial" w:cs="Arial" w:eastAsia="Arial" w:hAnsi="Arial"/>
                <w:sz w:val="13"/>
                <w:szCs w:val="13"/>
                <w:color w:val="auto"/>
                <w:w w:val="91"/>
              </w:rPr>
              <w:t>—</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6500" w:type="dxa"/>
            <w:vAlign w:val="bottom"/>
          </w:tcPr>
          <w:p>
            <w:pPr>
              <w:spacing w:after="0"/>
              <w:rPr>
                <w:sz w:val="20"/>
                <w:szCs w:val="20"/>
                <w:color w:val="auto"/>
              </w:rPr>
            </w:pPr>
            <w:r>
              <w:rPr>
                <w:rFonts w:ascii="Arial" w:cs="Arial" w:eastAsia="Arial" w:hAnsi="Arial"/>
                <w:sz w:val="13"/>
                <w:szCs w:val="13"/>
                <w:color w:val="auto"/>
              </w:rPr>
              <w:t>Corporate notes</w:t>
            </w:r>
          </w:p>
        </w:tc>
        <w:tc>
          <w:tcPr>
            <w:tcW w:w="100" w:type="dxa"/>
            <w:vAlign w:val="bottom"/>
          </w:tcPr>
          <w:p>
            <w:pPr>
              <w:spacing w:after="0"/>
              <w:rPr>
                <w:sz w:val="14"/>
                <w:szCs w:val="14"/>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3"/>
                <w:szCs w:val="13"/>
                <w:color w:val="auto"/>
                <w:w w:val="99"/>
              </w:rPr>
              <w:t>0.3</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ind w:left="500"/>
              <w:spacing w:after="0"/>
              <w:rPr>
                <w:sz w:val="20"/>
                <w:szCs w:val="20"/>
                <w:color w:val="auto"/>
              </w:rPr>
            </w:pPr>
            <w:r>
              <w:rPr>
                <w:rFonts w:ascii="Arial" w:cs="Arial" w:eastAsia="Arial" w:hAnsi="Arial"/>
                <w:sz w:val="13"/>
                <w:szCs w:val="13"/>
                <w:color w:val="auto"/>
                <w:w w:val="91"/>
              </w:rPr>
              <w:t>—</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3"/>
                <w:szCs w:val="13"/>
                <w:color w:val="auto"/>
              </w:rPr>
              <w:t>0.3</w:t>
            </w:r>
          </w:p>
        </w:tc>
        <w:tc>
          <w:tcPr>
            <w:tcW w:w="0" w:type="dxa"/>
            <w:vAlign w:val="bottom"/>
          </w:tcPr>
          <w:p>
            <w:pPr>
              <w:spacing w:after="0"/>
              <w:rPr>
                <w:sz w:val="1"/>
                <w:szCs w:val="1"/>
                <w:color w:val="auto"/>
              </w:rPr>
            </w:pPr>
          </w:p>
        </w:tc>
      </w:tr>
      <w:tr>
        <w:trPr>
          <w:trHeight w:val="162"/>
        </w:trPr>
        <w:tc>
          <w:tcPr>
            <w:tcW w:w="6500" w:type="dxa"/>
            <w:vAlign w:val="bottom"/>
          </w:tcPr>
          <w:p>
            <w:pPr>
              <w:spacing w:after="0"/>
              <w:rPr>
                <w:sz w:val="20"/>
                <w:szCs w:val="20"/>
                <w:color w:val="auto"/>
              </w:rPr>
            </w:pPr>
            <w:r>
              <w:rPr>
                <w:rFonts w:ascii="Arial" w:cs="Arial" w:eastAsia="Arial" w:hAnsi="Arial"/>
                <w:sz w:val="13"/>
                <w:szCs w:val="13"/>
                <w:color w:val="auto"/>
              </w:rPr>
              <w:t>Total short-term investments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9"/>
              </w:rPr>
              <w:t>0.3</w:t>
            </w:r>
          </w:p>
        </w:tc>
        <w:tc>
          <w:tcPr>
            <w:tcW w:w="20" w:type="dxa"/>
            <w:vAlign w:val="bottom"/>
            <w:tcBorders>
              <w:top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3"/>
                <w:szCs w:val="13"/>
                <w:color w:val="auto"/>
                <w:w w:val="76"/>
              </w:rPr>
              <w:t>—</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3"/>
                <w:szCs w:val="13"/>
                <w:color w:val="auto"/>
                <w:w w:val="91"/>
              </w:rPr>
              <w:t>—</w:t>
            </w:r>
          </w:p>
        </w:tc>
        <w:tc>
          <w:tcPr>
            <w:tcW w:w="3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0.3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650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120" w:type="dxa"/>
            <w:vAlign w:val="bottom"/>
            <w:tcBorders>
              <w:bottom w:val="single" w:sz="8" w:color="auto"/>
            </w:tcBorders>
            <w:gridSpan w:val="6"/>
          </w:tcPr>
          <w:p>
            <w:pPr>
              <w:jc w:val="center"/>
              <w:ind w:right="300"/>
              <w:spacing w:after="0"/>
              <w:rPr>
                <w:sz w:val="20"/>
                <w:szCs w:val="20"/>
                <w:color w:val="auto"/>
              </w:rPr>
            </w:pPr>
            <w:r>
              <w:rPr>
                <w:rFonts w:ascii="Arial" w:cs="Arial" w:eastAsia="Arial" w:hAnsi="Arial"/>
                <w:sz w:val="11"/>
                <w:szCs w:val="11"/>
                <w:b w:val="1"/>
                <w:bCs w:val="1"/>
                <w:color w:val="auto"/>
                <w:w w:val="86"/>
              </w:rPr>
              <w:t>June 27, 2008</w:t>
            </w:r>
          </w:p>
        </w:tc>
        <w:tc>
          <w:tcPr>
            <w:tcW w:w="8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4"/>
        </w:trPr>
        <w:tc>
          <w:tcPr>
            <w:tcW w:w="6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2"/>
          </w:tcPr>
          <w:p>
            <w:pPr>
              <w:jc w:val="center"/>
              <w:ind w:right="100"/>
              <w:spacing w:after="0" w:line="84" w:lineRule="exact"/>
              <w:rPr>
                <w:sz w:val="20"/>
                <w:szCs w:val="20"/>
                <w:color w:val="auto"/>
              </w:rPr>
            </w:pPr>
            <w:r>
              <w:rPr>
                <w:rFonts w:ascii="Arial" w:cs="Arial" w:eastAsia="Arial" w:hAnsi="Arial"/>
                <w:sz w:val="9"/>
                <w:szCs w:val="9"/>
                <w:b w:val="1"/>
                <w:bCs w:val="1"/>
                <w:color w:val="auto"/>
                <w:w w:val="99"/>
              </w:rPr>
              <w:t>Gross</w:t>
            </w: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gridSpan w:val="2"/>
          </w:tcPr>
          <w:p>
            <w:pPr>
              <w:jc w:val="center"/>
              <w:ind w:right="460"/>
              <w:spacing w:after="0" w:line="84" w:lineRule="exact"/>
              <w:rPr>
                <w:sz w:val="20"/>
                <w:szCs w:val="20"/>
                <w:color w:val="auto"/>
              </w:rPr>
            </w:pPr>
            <w:r>
              <w:rPr>
                <w:rFonts w:ascii="Arial" w:cs="Arial" w:eastAsia="Arial" w:hAnsi="Arial"/>
                <w:sz w:val="9"/>
                <w:szCs w:val="9"/>
                <w:b w:val="1"/>
                <w:bCs w:val="1"/>
                <w:color w:val="auto"/>
                <w:w w:val="99"/>
              </w:rPr>
              <w:t>Gross</w:t>
            </w:r>
          </w:p>
        </w:tc>
        <w:tc>
          <w:tcPr>
            <w:tcW w:w="80" w:type="dxa"/>
            <w:vAlign w:val="bottom"/>
          </w:tcPr>
          <w:p>
            <w:pPr>
              <w:spacing w:after="0"/>
              <w:rPr>
                <w:sz w:val="7"/>
                <w:szCs w:val="7"/>
                <w:color w:val="auto"/>
              </w:rPr>
            </w:pPr>
          </w:p>
        </w:tc>
        <w:tc>
          <w:tcPr>
            <w:tcW w:w="500" w:type="dxa"/>
            <w:vAlign w:val="bottom"/>
            <w:gridSpan w:val="2"/>
            <w:vMerge w:val="restart"/>
          </w:tcPr>
          <w:p>
            <w:pPr>
              <w:jc w:val="center"/>
              <w:ind w:right="160"/>
              <w:spacing w:after="0"/>
              <w:rPr>
                <w:sz w:val="20"/>
                <w:szCs w:val="20"/>
                <w:color w:val="auto"/>
              </w:rPr>
            </w:pPr>
            <w:r>
              <w:rPr>
                <w:rFonts w:ascii="Arial" w:cs="Arial" w:eastAsia="Arial" w:hAnsi="Arial"/>
                <w:sz w:val="11"/>
                <w:szCs w:val="11"/>
                <w:b w:val="1"/>
                <w:bCs w:val="1"/>
                <w:color w:val="auto"/>
                <w:w w:val="95"/>
              </w:rPr>
              <w:t>Market</w:t>
            </w:r>
          </w:p>
        </w:tc>
        <w:tc>
          <w:tcPr>
            <w:tcW w:w="0" w:type="dxa"/>
            <w:vAlign w:val="bottom"/>
          </w:tcPr>
          <w:p>
            <w:pPr>
              <w:spacing w:after="0"/>
              <w:rPr>
                <w:sz w:val="1"/>
                <w:szCs w:val="1"/>
                <w:color w:val="auto"/>
              </w:rPr>
            </w:pPr>
          </w:p>
        </w:tc>
      </w:tr>
      <w:tr>
        <w:trPr>
          <w:trHeight w:val="111"/>
        </w:trPr>
        <w:tc>
          <w:tcPr>
            <w:tcW w:w="6500" w:type="dxa"/>
            <w:vAlign w:val="bottom"/>
          </w:tcPr>
          <w:p>
            <w:pPr>
              <w:spacing w:after="0"/>
              <w:rPr>
                <w:sz w:val="9"/>
                <w:szCs w:val="9"/>
                <w:color w:val="auto"/>
              </w:rPr>
            </w:pPr>
          </w:p>
        </w:tc>
        <w:tc>
          <w:tcPr>
            <w:tcW w:w="300" w:type="dxa"/>
            <w:vAlign w:val="bottom"/>
            <w:gridSpan w:val="2"/>
            <w:vMerge w:val="restart"/>
          </w:tcPr>
          <w:p>
            <w:pPr>
              <w:jc w:val="right"/>
              <w:spacing w:after="0"/>
              <w:rPr>
                <w:sz w:val="20"/>
                <w:szCs w:val="20"/>
                <w:color w:val="auto"/>
              </w:rPr>
            </w:pPr>
            <w:r>
              <w:rPr>
                <w:rFonts w:ascii="Arial" w:cs="Arial" w:eastAsia="Arial" w:hAnsi="Arial"/>
                <w:sz w:val="11"/>
                <w:szCs w:val="11"/>
                <w:b w:val="1"/>
                <w:bCs w:val="1"/>
                <w:color w:val="auto"/>
                <w:w w:val="97"/>
              </w:rPr>
              <w:t>Cost</w:t>
            </w:r>
          </w:p>
        </w:tc>
        <w:tc>
          <w:tcPr>
            <w:tcW w:w="400" w:type="dxa"/>
            <w:vAlign w:val="bottom"/>
            <w:gridSpan w:val="2"/>
            <w:vMerge w:val="restart"/>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tcPr>
          <w:p>
            <w:pPr>
              <w:jc w:val="center"/>
              <w:ind w:right="100"/>
              <w:spacing w:after="0" w:line="111" w:lineRule="exact"/>
              <w:rPr>
                <w:sz w:val="20"/>
                <w:szCs w:val="20"/>
                <w:color w:val="auto"/>
              </w:rPr>
            </w:pPr>
            <w:r>
              <w:rPr>
                <w:rFonts w:ascii="Arial" w:cs="Arial" w:eastAsia="Arial" w:hAnsi="Arial"/>
                <w:sz w:val="11"/>
                <w:szCs w:val="11"/>
                <w:b w:val="1"/>
                <w:bCs w:val="1"/>
                <w:color w:val="auto"/>
                <w:w w:val="89"/>
              </w:rPr>
              <w:t>Unrealized</w:t>
            </w: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tcPr>
          <w:p>
            <w:pPr>
              <w:jc w:val="center"/>
              <w:ind w:right="460"/>
              <w:spacing w:after="0" w:line="111" w:lineRule="exact"/>
              <w:rPr>
                <w:sz w:val="20"/>
                <w:szCs w:val="20"/>
                <w:color w:val="auto"/>
              </w:rPr>
            </w:pPr>
            <w:r>
              <w:rPr>
                <w:rFonts w:ascii="Arial" w:cs="Arial" w:eastAsia="Arial" w:hAnsi="Arial"/>
                <w:sz w:val="11"/>
                <w:szCs w:val="11"/>
                <w:b w:val="1"/>
                <w:bCs w:val="1"/>
                <w:color w:val="auto"/>
                <w:w w:val="89"/>
              </w:rPr>
              <w:t>Unrealized</w:t>
            </w:r>
          </w:p>
        </w:tc>
        <w:tc>
          <w:tcPr>
            <w:tcW w:w="80" w:type="dxa"/>
            <w:vAlign w:val="bottom"/>
          </w:tcPr>
          <w:p>
            <w:pPr>
              <w:spacing w:after="0"/>
              <w:rPr>
                <w:sz w:val="9"/>
                <w:szCs w:val="9"/>
                <w:color w:val="auto"/>
              </w:rPr>
            </w:pPr>
          </w:p>
        </w:tc>
        <w:tc>
          <w:tcPr>
            <w:tcW w:w="5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6500" w:type="dxa"/>
            <w:vAlign w:val="bottom"/>
          </w:tcPr>
          <w:p>
            <w:pPr>
              <w:spacing w:after="0"/>
              <w:rPr>
                <w:sz w:val="11"/>
                <w:szCs w:val="11"/>
                <w:color w:val="auto"/>
              </w:rPr>
            </w:pPr>
          </w:p>
        </w:tc>
        <w:tc>
          <w:tcPr>
            <w:tcW w:w="300" w:type="dxa"/>
            <w:vAlign w:val="bottom"/>
            <w:tcBorders>
              <w:bottom w:val="single" w:sz="8" w:color="auto"/>
            </w:tcBorders>
            <w:gridSpan w:val="2"/>
            <w:vMerge w:val="continue"/>
          </w:tcPr>
          <w:p>
            <w:pPr>
              <w:spacing w:after="0"/>
              <w:rPr>
                <w:sz w:val="11"/>
                <w:szCs w:val="11"/>
                <w:color w:val="auto"/>
              </w:rPr>
            </w:pPr>
          </w:p>
        </w:tc>
        <w:tc>
          <w:tcPr>
            <w:tcW w:w="400" w:type="dxa"/>
            <w:vAlign w:val="bottom"/>
            <w:gridSpan w:val="2"/>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center"/>
              <w:ind w:right="21"/>
              <w:spacing w:after="0"/>
              <w:rPr>
                <w:sz w:val="20"/>
                <w:szCs w:val="20"/>
                <w:color w:val="auto"/>
              </w:rPr>
            </w:pPr>
            <w:r>
              <w:rPr>
                <w:rFonts w:ascii="Arial" w:cs="Arial" w:eastAsia="Arial" w:hAnsi="Arial"/>
                <w:sz w:val="11"/>
                <w:szCs w:val="11"/>
                <w:b w:val="1"/>
                <w:bCs w:val="1"/>
                <w:color w:val="auto"/>
                <w:w w:val="89"/>
              </w:rPr>
              <w:t>Gain</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center"/>
              <w:ind w:right="40"/>
              <w:spacing w:after="0"/>
              <w:rPr>
                <w:sz w:val="20"/>
                <w:szCs w:val="20"/>
                <w:color w:val="auto"/>
              </w:rPr>
            </w:pPr>
            <w:r>
              <w:rPr>
                <w:rFonts w:ascii="Arial" w:cs="Arial" w:eastAsia="Arial" w:hAnsi="Arial"/>
                <w:sz w:val="11"/>
                <w:szCs w:val="11"/>
                <w:b w:val="1"/>
                <w:bCs w:val="1"/>
                <w:color w:val="auto"/>
                <w:w w:val="77"/>
              </w:rPr>
              <w:t>Loss</w:t>
            </w:r>
          </w:p>
        </w:tc>
        <w:tc>
          <w:tcPr>
            <w:tcW w:w="3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center"/>
              <w:ind w:right="17"/>
              <w:spacing w:after="0"/>
              <w:rPr>
                <w:sz w:val="20"/>
                <w:szCs w:val="20"/>
                <w:color w:val="auto"/>
              </w:rPr>
            </w:pPr>
            <w:r>
              <w:rPr>
                <w:rFonts w:ascii="Arial" w:cs="Arial" w:eastAsia="Arial" w:hAnsi="Arial"/>
                <w:sz w:val="11"/>
                <w:szCs w:val="11"/>
                <w:b w:val="1"/>
                <w:bCs w:val="1"/>
                <w:color w:val="auto"/>
                <w:w w:val="88"/>
              </w:rPr>
              <w:t>Value</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6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4"/>
          </w:tcPr>
          <w:p>
            <w:pPr>
              <w:ind w:left="540"/>
              <w:spacing w:after="0"/>
              <w:rPr>
                <w:sz w:val="20"/>
                <w:szCs w:val="20"/>
                <w:color w:val="auto"/>
              </w:rPr>
            </w:pPr>
            <w:r>
              <w:rPr>
                <w:rFonts w:ascii="Arial" w:cs="Arial" w:eastAsia="Arial" w:hAnsi="Arial"/>
                <w:sz w:val="11"/>
                <w:szCs w:val="11"/>
                <w:b w:val="1"/>
                <w:bCs w:val="1"/>
                <w:color w:val="auto"/>
                <w:w w:val="90"/>
              </w:rPr>
              <w:t>(In millions)</w:t>
            </w: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6500" w:type="dxa"/>
            <w:vAlign w:val="bottom"/>
            <w:shd w:val="clear" w:color="auto" w:fill="CCEEFF"/>
          </w:tcPr>
          <w:p>
            <w:pPr>
              <w:spacing w:after="0"/>
              <w:rPr>
                <w:sz w:val="20"/>
                <w:szCs w:val="20"/>
                <w:color w:val="auto"/>
              </w:rPr>
            </w:pPr>
            <w:r>
              <w:rPr>
                <w:rFonts w:ascii="Arial" w:cs="Arial" w:eastAsia="Arial" w:hAnsi="Arial"/>
                <w:sz w:val="13"/>
                <w:szCs w:val="13"/>
                <w:color w:val="auto"/>
              </w:rPr>
              <w:t>Certificates of deposit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99"/>
              </w:rPr>
              <w:t>0.6</w:t>
            </w: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w w:val="91"/>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0.6</w:t>
            </w:r>
          </w:p>
        </w:tc>
        <w:tc>
          <w:tcPr>
            <w:tcW w:w="0" w:type="dxa"/>
            <w:vAlign w:val="bottom"/>
          </w:tcPr>
          <w:p>
            <w:pPr>
              <w:spacing w:after="0"/>
              <w:rPr>
                <w:sz w:val="1"/>
                <w:szCs w:val="1"/>
                <w:color w:val="auto"/>
              </w:rPr>
            </w:pPr>
          </w:p>
        </w:tc>
      </w:tr>
      <w:tr>
        <w:trPr>
          <w:trHeight w:val="161"/>
        </w:trPr>
        <w:tc>
          <w:tcPr>
            <w:tcW w:w="6500" w:type="dxa"/>
            <w:vAlign w:val="bottom"/>
          </w:tcPr>
          <w:p>
            <w:pPr>
              <w:spacing w:after="0"/>
              <w:rPr>
                <w:sz w:val="20"/>
                <w:szCs w:val="20"/>
                <w:color w:val="auto"/>
              </w:rPr>
            </w:pPr>
            <w:r>
              <w:rPr>
                <w:rFonts w:ascii="Arial" w:cs="Arial" w:eastAsia="Arial" w:hAnsi="Arial"/>
                <w:sz w:val="13"/>
                <w:szCs w:val="13"/>
                <w:color w:val="auto"/>
              </w:rPr>
              <w:t>Commercial paper</w:t>
            </w:r>
          </w:p>
        </w:tc>
        <w:tc>
          <w:tcPr>
            <w:tcW w:w="100" w:type="dxa"/>
            <w:vAlign w:val="bottom"/>
          </w:tcPr>
          <w:p>
            <w:pPr>
              <w:spacing w:after="0"/>
              <w:rPr>
                <w:sz w:val="14"/>
                <w:szCs w:val="14"/>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3"/>
                <w:szCs w:val="13"/>
                <w:color w:val="auto"/>
                <w:w w:val="99"/>
              </w:rPr>
              <w:t>1.4</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ind w:left="500"/>
              <w:spacing w:after="0"/>
              <w:rPr>
                <w:sz w:val="20"/>
                <w:szCs w:val="20"/>
                <w:color w:val="auto"/>
              </w:rPr>
            </w:pPr>
            <w:r>
              <w:rPr>
                <w:rFonts w:ascii="Arial" w:cs="Arial" w:eastAsia="Arial" w:hAnsi="Arial"/>
                <w:sz w:val="13"/>
                <w:szCs w:val="13"/>
                <w:color w:val="auto"/>
                <w:w w:val="91"/>
              </w:rPr>
              <w:t>—</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61"/>
        </w:trPr>
        <w:tc>
          <w:tcPr>
            <w:tcW w:w="6500" w:type="dxa"/>
            <w:vAlign w:val="bottom"/>
            <w:shd w:val="clear" w:color="auto" w:fill="CCEEFF"/>
          </w:tcPr>
          <w:p>
            <w:pPr>
              <w:spacing w:after="0"/>
              <w:rPr>
                <w:sz w:val="20"/>
                <w:szCs w:val="20"/>
                <w:color w:val="auto"/>
              </w:rPr>
            </w:pPr>
            <w:r>
              <w:rPr>
                <w:rFonts w:ascii="Arial" w:cs="Arial" w:eastAsia="Arial" w:hAnsi="Arial"/>
                <w:sz w:val="13"/>
                <w:szCs w:val="13"/>
                <w:color w:val="auto"/>
              </w:rPr>
              <w:t>Corporate notes</w:t>
            </w:r>
          </w:p>
        </w:tc>
        <w:tc>
          <w:tcPr>
            <w:tcW w:w="10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99"/>
              </w:rPr>
              <w:t>1.1</w:t>
            </w: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w w:val="91"/>
              </w:rPr>
              <w:t>—</w:t>
            </w: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61"/>
        </w:trPr>
        <w:tc>
          <w:tcPr>
            <w:tcW w:w="6500" w:type="dxa"/>
            <w:vAlign w:val="bottom"/>
          </w:tcPr>
          <w:p>
            <w:pPr>
              <w:spacing w:after="0"/>
              <w:rPr>
                <w:sz w:val="20"/>
                <w:szCs w:val="20"/>
                <w:color w:val="auto"/>
              </w:rPr>
            </w:pPr>
            <w:r>
              <w:rPr>
                <w:rFonts w:ascii="Arial" w:cs="Arial" w:eastAsia="Arial" w:hAnsi="Arial"/>
                <w:sz w:val="13"/>
                <w:szCs w:val="13"/>
                <w:color w:val="auto"/>
              </w:rPr>
              <w:t>Total short-term investments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9"/>
              </w:rPr>
              <w:t>3.1</w:t>
            </w:r>
          </w:p>
        </w:tc>
        <w:tc>
          <w:tcPr>
            <w:tcW w:w="2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3"/>
                <w:szCs w:val="13"/>
                <w:color w:val="auto"/>
                <w:w w:val="76"/>
              </w:rPr>
              <w:t>—</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3"/>
                <w:szCs w:val="13"/>
                <w:color w:val="auto"/>
                <w:w w:val="91"/>
              </w:rPr>
              <w:t>—</w:t>
            </w:r>
          </w:p>
        </w:tc>
        <w:tc>
          <w:tcPr>
            <w:tcW w:w="3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left="680" w:firstLine="399"/>
        <w:spacing w:after="0" w:line="294" w:lineRule="auto"/>
        <w:rPr>
          <w:sz w:val="20"/>
          <w:szCs w:val="20"/>
          <w:color w:val="auto"/>
        </w:rPr>
      </w:pPr>
      <w:r>
        <w:rPr>
          <w:rFonts w:ascii="Arial" w:cs="Arial" w:eastAsia="Arial" w:hAnsi="Arial"/>
          <w:sz w:val="13"/>
          <w:szCs w:val="13"/>
          <w:color w:val="auto"/>
        </w:rPr>
        <w:t>As of July 3, 2009, our short-term investment has a maturity date of July 15, 2009. Realized gains and losses from the sale of short-term investments during fiscal 2009, 2008 and 2007 were not significant.</w:t>
      </w:r>
    </w:p>
    <w:p>
      <w:pPr>
        <w:spacing w:after="0" w:line="125" w:lineRule="exact"/>
        <w:rPr>
          <w:sz w:val="20"/>
          <w:szCs w:val="20"/>
          <w:color w:val="auto"/>
        </w:rPr>
      </w:pPr>
    </w:p>
    <w:tbl>
      <w:tblPr>
        <w:tblLayout w:type="fixed"/>
        <w:tblInd w:w="680" w:type="dxa"/>
        <w:tblCellMar>
          <w:top w:w="0" w:type="dxa"/>
          <w:left w:w="0" w:type="dxa"/>
          <w:bottom w:w="0" w:type="dxa"/>
          <w:right w:w="0" w:type="dxa"/>
        </w:tblCellMar>
      </w:tblPr>
      <w:tr>
        <w:trPr>
          <w:trHeight w:val="174"/>
        </w:trPr>
        <w:tc>
          <w:tcPr>
            <w:tcW w:w="740" w:type="dxa"/>
            <w:vAlign w:val="bottom"/>
          </w:tcPr>
          <w:p>
            <w:pPr>
              <w:spacing w:after="0"/>
              <w:rPr>
                <w:sz w:val="20"/>
                <w:szCs w:val="20"/>
                <w:color w:val="auto"/>
              </w:rPr>
            </w:pPr>
            <w:r>
              <w:rPr>
                <w:rFonts w:ascii="Arial" w:cs="Arial" w:eastAsia="Arial" w:hAnsi="Arial"/>
                <w:sz w:val="13"/>
                <w:szCs w:val="13"/>
                <w:b w:val="1"/>
                <w:bCs w:val="1"/>
                <w:color w:val="auto"/>
              </w:rPr>
              <w:t>Note E —</w:t>
            </w:r>
          </w:p>
        </w:tc>
        <w:tc>
          <w:tcPr>
            <w:tcW w:w="6960" w:type="dxa"/>
            <w:vAlign w:val="bottom"/>
          </w:tcPr>
          <w:p>
            <w:pPr>
              <w:ind w:left="180"/>
              <w:spacing w:after="0"/>
              <w:rPr>
                <w:sz w:val="20"/>
                <w:szCs w:val="20"/>
                <w:color w:val="auto"/>
              </w:rPr>
            </w:pPr>
            <w:r>
              <w:rPr>
                <w:rFonts w:ascii="Arial" w:cs="Arial" w:eastAsia="Arial" w:hAnsi="Arial"/>
                <w:sz w:val="13"/>
                <w:szCs w:val="13"/>
                <w:b w:val="1"/>
                <w:bCs w:val="1"/>
                <w:color w:val="auto"/>
              </w:rPr>
              <w:t>Receivables</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52"/>
        </w:trPr>
        <w:tc>
          <w:tcPr>
            <w:tcW w:w="7700" w:type="dxa"/>
            <w:vAlign w:val="bottom"/>
            <w:gridSpan w:val="2"/>
          </w:tcPr>
          <w:p>
            <w:pPr>
              <w:ind w:left="400"/>
              <w:spacing w:after="0"/>
              <w:rPr>
                <w:sz w:val="20"/>
                <w:szCs w:val="20"/>
                <w:color w:val="auto"/>
              </w:rPr>
            </w:pPr>
            <w:r>
              <w:rPr>
                <w:rFonts w:ascii="Arial" w:cs="Arial" w:eastAsia="Arial" w:hAnsi="Arial"/>
                <w:sz w:val="13"/>
                <w:szCs w:val="13"/>
                <w:color w:val="auto"/>
              </w:rPr>
              <w:t>Our receivables are summarized below:</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2"/>
        </w:trPr>
        <w:tc>
          <w:tcPr>
            <w:tcW w:w="74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55"/>
              <w:spacing w:after="0"/>
              <w:rPr>
                <w:sz w:val="20"/>
                <w:szCs w:val="20"/>
                <w:color w:val="auto"/>
              </w:rPr>
            </w:pPr>
            <w:r>
              <w:rPr>
                <w:rFonts w:ascii="Arial" w:cs="Arial" w:eastAsia="Arial" w:hAnsi="Arial"/>
                <w:sz w:val="11"/>
                <w:szCs w:val="11"/>
                <w:b w:val="1"/>
                <w:bCs w:val="1"/>
                <w:color w:val="auto"/>
                <w:w w:val="90"/>
              </w:rPr>
              <w:t>July 3, 2009</w:t>
            </w:r>
          </w:p>
        </w:tc>
        <w:tc>
          <w:tcPr>
            <w:tcW w:w="4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15"/>
              <w:spacing w:after="0"/>
              <w:rPr>
                <w:sz w:val="20"/>
                <w:szCs w:val="20"/>
                <w:color w:val="auto"/>
              </w:rPr>
            </w:pPr>
            <w:r>
              <w:rPr>
                <w:rFonts w:ascii="Arial" w:cs="Arial" w:eastAsia="Arial" w:hAnsi="Arial"/>
                <w:sz w:val="11"/>
                <w:szCs w:val="11"/>
                <w:b w:val="1"/>
                <w:bCs w:val="1"/>
                <w:color w:val="auto"/>
                <w:w w:val="86"/>
              </w:rPr>
              <w:t>June 27, 2008</w:t>
            </w:r>
          </w:p>
        </w:tc>
        <w:tc>
          <w:tcPr>
            <w:tcW w:w="80" w:type="dxa"/>
            <w:vAlign w:val="bottom"/>
          </w:tcPr>
          <w:p>
            <w:pPr>
              <w:spacing w:after="0"/>
              <w:rPr>
                <w:sz w:val="18"/>
                <w:szCs w:val="18"/>
                <w:color w:val="auto"/>
              </w:rPr>
            </w:pPr>
          </w:p>
        </w:tc>
      </w:tr>
      <w:tr>
        <w:trPr>
          <w:trHeight w:val="135"/>
        </w:trPr>
        <w:tc>
          <w:tcPr>
            <w:tcW w:w="740" w:type="dxa"/>
            <w:vAlign w:val="bottom"/>
          </w:tcPr>
          <w:p>
            <w:pPr>
              <w:spacing w:after="0"/>
              <w:rPr>
                <w:sz w:val="11"/>
                <w:szCs w:val="11"/>
                <w:color w:val="auto"/>
              </w:rPr>
            </w:pPr>
          </w:p>
        </w:tc>
        <w:tc>
          <w:tcPr>
            <w:tcW w:w="6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2"/>
          </w:tcPr>
          <w:p>
            <w:pPr>
              <w:jc w:val="right"/>
              <w:spacing w:after="0"/>
              <w:rPr>
                <w:sz w:val="20"/>
                <w:szCs w:val="20"/>
                <w:color w:val="auto"/>
              </w:rPr>
            </w:pPr>
            <w:r>
              <w:rPr>
                <w:rFonts w:ascii="Arial" w:cs="Arial" w:eastAsia="Arial" w:hAnsi="Arial"/>
                <w:sz w:val="11"/>
                <w:szCs w:val="11"/>
                <w:b w:val="1"/>
                <w:bCs w:val="1"/>
                <w:color w:val="auto"/>
                <w:w w:val="90"/>
              </w:rPr>
              <w:t>(In millions)</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7"/>
        </w:trPr>
        <w:tc>
          <w:tcPr>
            <w:tcW w:w="7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Accounts receivable</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163.1</w:t>
            </w:r>
          </w:p>
        </w:tc>
        <w:tc>
          <w:tcPr>
            <w:tcW w:w="580" w:type="dxa"/>
            <w:vAlign w:val="bottom"/>
            <w:gridSpan w:val="2"/>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205.5</w:t>
            </w:r>
          </w:p>
        </w:tc>
      </w:tr>
      <w:tr>
        <w:trPr>
          <w:trHeight w:val="161"/>
        </w:trPr>
        <w:tc>
          <w:tcPr>
            <w:tcW w:w="7700" w:type="dxa"/>
            <w:vAlign w:val="bottom"/>
            <w:gridSpan w:val="2"/>
          </w:tcPr>
          <w:p>
            <w:pPr>
              <w:spacing w:after="0"/>
              <w:rPr>
                <w:sz w:val="20"/>
                <w:szCs w:val="20"/>
                <w:color w:val="auto"/>
              </w:rPr>
            </w:pPr>
            <w:r>
              <w:rPr>
                <w:rFonts w:ascii="Arial" w:cs="Arial" w:eastAsia="Arial" w:hAnsi="Arial"/>
                <w:sz w:val="13"/>
                <w:szCs w:val="13"/>
                <w:color w:val="auto"/>
              </w:rPr>
              <w:t>Notes receivable due within one year — net</w:t>
            </w: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6.8</w:t>
            </w:r>
          </w:p>
        </w:tc>
        <w:tc>
          <w:tcPr>
            <w:tcW w:w="4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6.8</w:t>
            </w:r>
          </w:p>
        </w:tc>
        <w:tc>
          <w:tcPr>
            <w:tcW w:w="80" w:type="dxa"/>
            <w:vAlign w:val="bottom"/>
          </w:tcPr>
          <w:p>
            <w:pPr>
              <w:spacing w:after="0"/>
              <w:rPr>
                <w:sz w:val="14"/>
                <w:szCs w:val="14"/>
                <w:color w:val="auto"/>
              </w:rPr>
            </w:pPr>
          </w:p>
        </w:tc>
      </w:tr>
      <w:tr>
        <w:trPr>
          <w:trHeight w:val="161"/>
        </w:trPr>
        <w:tc>
          <w:tcPr>
            <w:tcW w:w="740" w:type="dxa"/>
            <w:vAlign w:val="bottom"/>
            <w:shd w:val="clear" w:color="auto" w:fill="CCEEFF"/>
          </w:tcPr>
          <w:p>
            <w:pPr>
              <w:spacing w:after="0"/>
              <w:rPr>
                <w:sz w:val="14"/>
                <w:szCs w:val="14"/>
                <w:color w:val="auto"/>
              </w:rPr>
            </w:pPr>
          </w:p>
        </w:tc>
        <w:tc>
          <w:tcPr>
            <w:tcW w:w="6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169.9</w:t>
            </w: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212.3</w:t>
            </w:r>
          </w:p>
        </w:tc>
      </w:tr>
      <w:tr>
        <w:trPr>
          <w:trHeight w:val="161"/>
        </w:trPr>
        <w:tc>
          <w:tcPr>
            <w:tcW w:w="7700" w:type="dxa"/>
            <w:vAlign w:val="bottom"/>
            <w:gridSpan w:val="2"/>
          </w:tcPr>
          <w:p>
            <w:pPr>
              <w:spacing w:after="0"/>
              <w:rPr>
                <w:sz w:val="20"/>
                <w:szCs w:val="20"/>
                <w:color w:val="auto"/>
              </w:rPr>
            </w:pPr>
            <w:r>
              <w:rPr>
                <w:rFonts w:ascii="Arial" w:cs="Arial" w:eastAsia="Arial" w:hAnsi="Arial"/>
                <w:sz w:val="13"/>
                <w:szCs w:val="13"/>
                <w:color w:val="auto"/>
              </w:rPr>
              <w:t>Less allowances for collection losses</w:t>
            </w:r>
          </w:p>
        </w:tc>
        <w:tc>
          <w:tcPr>
            <w:tcW w:w="100" w:type="dxa"/>
            <w:vAlign w:val="bottom"/>
          </w:tcPr>
          <w:p>
            <w:pPr>
              <w:spacing w:after="0"/>
              <w:rPr>
                <w:sz w:val="14"/>
                <w:szCs w:val="14"/>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3"/>
                <w:szCs w:val="13"/>
                <w:color w:val="auto"/>
              </w:rPr>
              <w:t>(27.0)</w:t>
            </w:r>
          </w:p>
        </w:tc>
        <w:tc>
          <w:tcPr>
            <w:tcW w:w="180" w:type="dxa"/>
            <w:vAlign w:val="bottom"/>
          </w:tcPr>
          <w:p>
            <w:pPr>
              <w:spacing w:after="0"/>
              <w:rPr>
                <w:sz w:val="14"/>
                <w:szCs w:val="14"/>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3"/>
                <w:szCs w:val="13"/>
                <w:color w:val="auto"/>
              </w:rPr>
              <w:t>(12.6)</w:t>
            </w:r>
          </w:p>
        </w:tc>
      </w:tr>
      <w:tr>
        <w:trPr>
          <w:trHeight w:val="161"/>
        </w:trPr>
        <w:tc>
          <w:tcPr>
            <w:tcW w:w="740" w:type="dxa"/>
            <w:vAlign w:val="bottom"/>
            <w:shd w:val="clear" w:color="auto" w:fill="CCEEFF"/>
          </w:tcPr>
          <w:p>
            <w:pPr>
              <w:spacing w:after="0"/>
              <w:rPr>
                <w:sz w:val="14"/>
                <w:szCs w:val="14"/>
                <w:color w:val="auto"/>
              </w:rPr>
            </w:pPr>
          </w:p>
        </w:tc>
        <w:tc>
          <w:tcPr>
            <w:tcW w:w="6960" w:type="dxa"/>
            <w:vAlign w:val="bottom"/>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142.9</w:t>
            </w:r>
          </w:p>
        </w:tc>
        <w:tc>
          <w:tcPr>
            <w:tcW w:w="400" w:type="dxa"/>
            <w:vAlign w:val="bottom"/>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199.7</w:t>
            </w:r>
          </w:p>
        </w:tc>
        <w:tc>
          <w:tcPr>
            <w:tcW w:w="80" w:type="dxa"/>
            <w:vAlign w:val="bottom"/>
            <w:shd w:val="clear" w:color="auto" w:fill="CCEEFF"/>
          </w:tcPr>
          <w:p>
            <w:pPr>
              <w:spacing w:after="0"/>
              <w:rPr>
                <w:sz w:val="14"/>
                <w:szCs w:val="14"/>
                <w:color w:val="auto"/>
              </w:rPr>
            </w:pPr>
          </w:p>
        </w:tc>
      </w:tr>
      <w:tr>
        <w:trPr>
          <w:trHeight w:val="20"/>
        </w:trPr>
        <w:tc>
          <w:tcPr>
            <w:tcW w:w="74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During fiscal 2009, the net increase to our allowance for collection losses was $14.4 million. This net increase primarily consisted of an increase of $9.9 million from changes in customer status during the global recession and the downturn in the macro-economic environment and an increase of $6.4 million from the Telsima acquisition. We decreased the allowance for collection losses by $1.8 million for write-offs of accounts determined to be uncollectible.</w:t>
      </w:r>
    </w:p>
    <w:p>
      <w:pPr>
        <w:spacing w:after="0" w:line="270"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89" w:name="page90"/>
    <w:bookmarkEnd w:id="8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6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HARRIS STRATEX NETWORKS, INC. AND SUBSIDIARIES</w:t>
      </w:r>
    </w:p>
    <w:p>
      <w:pPr>
        <w:spacing w:after="0" w:line="102"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00" w:lineRule="exact"/>
        <w:rPr>
          <w:sz w:val="20"/>
          <w:szCs w:val="20"/>
          <w:color w:val="auto"/>
        </w:rPr>
      </w:pPr>
    </w:p>
    <w:p>
      <w:pPr>
        <w:spacing w:after="0" w:line="235" w:lineRule="exact"/>
        <w:rPr>
          <w:sz w:val="20"/>
          <w:szCs w:val="20"/>
          <w:color w:val="auto"/>
        </w:rPr>
      </w:pPr>
    </w:p>
    <w:tbl>
      <w:tblPr>
        <w:tblLayout w:type="fixed"/>
        <w:tblInd w:w="680" w:type="dxa"/>
        <w:tblCellMar>
          <w:top w:w="0" w:type="dxa"/>
          <w:left w:w="0" w:type="dxa"/>
          <w:bottom w:w="0" w:type="dxa"/>
          <w:right w:w="0" w:type="dxa"/>
        </w:tblCellMar>
      </w:tblPr>
      <w:tr>
        <w:trPr>
          <w:trHeight w:val="174"/>
        </w:trPr>
        <w:tc>
          <w:tcPr>
            <w:tcW w:w="680" w:type="dxa"/>
            <w:vAlign w:val="bottom"/>
          </w:tcPr>
          <w:p>
            <w:pPr>
              <w:spacing w:after="0"/>
              <w:rPr>
                <w:sz w:val="20"/>
                <w:szCs w:val="20"/>
                <w:color w:val="auto"/>
              </w:rPr>
            </w:pPr>
            <w:r>
              <w:rPr>
                <w:rFonts w:ascii="Arial" w:cs="Arial" w:eastAsia="Arial" w:hAnsi="Arial"/>
                <w:sz w:val="13"/>
                <w:szCs w:val="13"/>
                <w:b w:val="1"/>
                <w:bCs w:val="1"/>
                <w:color w:val="auto"/>
              </w:rPr>
              <w:t>Note F —</w:t>
            </w:r>
          </w:p>
        </w:tc>
        <w:tc>
          <w:tcPr>
            <w:tcW w:w="7020" w:type="dxa"/>
            <w:vAlign w:val="bottom"/>
          </w:tcPr>
          <w:p>
            <w:pPr>
              <w:ind w:left="140"/>
              <w:spacing w:after="0"/>
              <w:rPr>
                <w:sz w:val="20"/>
                <w:szCs w:val="20"/>
                <w:color w:val="auto"/>
              </w:rPr>
            </w:pPr>
            <w:r>
              <w:rPr>
                <w:rFonts w:ascii="Arial" w:cs="Arial" w:eastAsia="Arial" w:hAnsi="Arial"/>
                <w:sz w:val="13"/>
                <w:szCs w:val="13"/>
                <w:b w:val="1"/>
                <w:bCs w:val="1"/>
                <w:color w:val="auto"/>
              </w:rPr>
              <w:t>Inventories</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52"/>
        </w:trPr>
        <w:tc>
          <w:tcPr>
            <w:tcW w:w="7700" w:type="dxa"/>
            <w:vAlign w:val="bottom"/>
            <w:gridSpan w:val="2"/>
          </w:tcPr>
          <w:p>
            <w:pPr>
              <w:ind w:left="400"/>
              <w:spacing w:after="0"/>
              <w:rPr>
                <w:sz w:val="20"/>
                <w:szCs w:val="20"/>
                <w:color w:val="auto"/>
              </w:rPr>
            </w:pPr>
            <w:r>
              <w:rPr>
                <w:rFonts w:ascii="Arial" w:cs="Arial" w:eastAsia="Arial" w:hAnsi="Arial"/>
                <w:sz w:val="13"/>
                <w:szCs w:val="13"/>
                <w:color w:val="auto"/>
              </w:rPr>
              <w:t>Our inventories are summarized below:</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2"/>
        </w:trPr>
        <w:tc>
          <w:tcPr>
            <w:tcW w:w="68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55"/>
              <w:spacing w:after="0"/>
              <w:rPr>
                <w:sz w:val="20"/>
                <w:szCs w:val="20"/>
                <w:color w:val="auto"/>
              </w:rPr>
            </w:pPr>
            <w:r>
              <w:rPr>
                <w:rFonts w:ascii="Arial" w:cs="Arial" w:eastAsia="Arial" w:hAnsi="Arial"/>
                <w:sz w:val="11"/>
                <w:szCs w:val="11"/>
                <w:b w:val="1"/>
                <w:bCs w:val="1"/>
                <w:color w:val="auto"/>
                <w:w w:val="90"/>
              </w:rPr>
              <w:t>July 3, 2009</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15"/>
              <w:spacing w:after="0"/>
              <w:rPr>
                <w:sz w:val="20"/>
                <w:szCs w:val="20"/>
                <w:color w:val="auto"/>
              </w:rPr>
            </w:pPr>
            <w:r>
              <w:rPr>
                <w:rFonts w:ascii="Arial" w:cs="Arial" w:eastAsia="Arial" w:hAnsi="Arial"/>
                <w:sz w:val="11"/>
                <w:szCs w:val="11"/>
                <w:b w:val="1"/>
                <w:bCs w:val="1"/>
                <w:color w:val="auto"/>
                <w:w w:val="86"/>
              </w:rPr>
              <w:t>June 27, 2008</w:t>
            </w:r>
          </w:p>
        </w:tc>
        <w:tc>
          <w:tcPr>
            <w:tcW w:w="80" w:type="dxa"/>
            <w:vAlign w:val="bottom"/>
          </w:tcPr>
          <w:p>
            <w:pPr>
              <w:spacing w:after="0"/>
              <w:rPr>
                <w:sz w:val="18"/>
                <w:szCs w:val="18"/>
                <w:color w:val="auto"/>
              </w:rPr>
            </w:pPr>
          </w:p>
        </w:tc>
      </w:tr>
      <w:tr>
        <w:trPr>
          <w:trHeight w:val="135"/>
        </w:trPr>
        <w:tc>
          <w:tcPr>
            <w:tcW w:w="680" w:type="dxa"/>
            <w:vAlign w:val="bottom"/>
          </w:tcPr>
          <w:p>
            <w:pPr>
              <w:spacing w:after="0"/>
              <w:rPr>
                <w:sz w:val="11"/>
                <w:szCs w:val="11"/>
                <w:color w:val="auto"/>
              </w:rPr>
            </w:pPr>
          </w:p>
        </w:tc>
        <w:tc>
          <w:tcPr>
            <w:tcW w:w="7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gridSpan w:val="2"/>
          </w:tcPr>
          <w:p>
            <w:pPr>
              <w:jc w:val="right"/>
              <w:spacing w:after="0"/>
              <w:rPr>
                <w:sz w:val="20"/>
                <w:szCs w:val="20"/>
                <w:color w:val="auto"/>
              </w:rPr>
            </w:pPr>
            <w:r>
              <w:rPr>
                <w:rFonts w:ascii="Arial" w:cs="Arial" w:eastAsia="Arial" w:hAnsi="Arial"/>
                <w:sz w:val="11"/>
                <w:szCs w:val="11"/>
                <w:b w:val="1"/>
                <w:bCs w:val="1"/>
                <w:color w:val="auto"/>
                <w:w w:val="87"/>
              </w:rPr>
              <w:t>(In millions)</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7"/>
        </w:trPr>
        <w:tc>
          <w:tcPr>
            <w:tcW w:w="7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Finished products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69.9</w:t>
            </w:r>
          </w:p>
        </w:tc>
        <w:tc>
          <w:tcPr>
            <w:tcW w:w="560" w:type="dxa"/>
            <w:vAlign w:val="bottom"/>
            <w:gridSpan w:val="2"/>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55.5</w:t>
            </w:r>
          </w:p>
        </w:tc>
      </w:tr>
      <w:tr>
        <w:trPr>
          <w:trHeight w:val="161"/>
        </w:trPr>
        <w:tc>
          <w:tcPr>
            <w:tcW w:w="7700" w:type="dxa"/>
            <w:vAlign w:val="bottom"/>
            <w:gridSpan w:val="2"/>
          </w:tcPr>
          <w:p>
            <w:pPr>
              <w:spacing w:after="0"/>
              <w:rPr>
                <w:sz w:val="20"/>
                <w:szCs w:val="20"/>
                <w:color w:val="auto"/>
              </w:rPr>
            </w:pPr>
            <w:r>
              <w:rPr>
                <w:rFonts w:ascii="Arial" w:cs="Arial" w:eastAsia="Arial" w:hAnsi="Arial"/>
                <w:sz w:val="13"/>
                <w:szCs w:val="13"/>
                <w:color w:val="auto"/>
              </w:rPr>
              <w:t>Work in process</w:t>
            </w:r>
          </w:p>
        </w:tc>
        <w:tc>
          <w:tcPr>
            <w:tcW w:w="100" w:type="dxa"/>
            <w:vAlign w:val="bottom"/>
          </w:tcPr>
          <w:p>
            <w:pPr>
              <w:spacing w:after="0"/>
              <w:rPr>
                <w:sz w:val="14"/>
                <w:szCs w:val="1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3"/>
                <w:szCs w:val="13"/>
                <w:color w:val="auto"/>
              </w:rPr>
              <w:t>13.6</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3"/>
                <w:szCs w:val="13"/>
                <w:color w:val="auto"/>
              </w:rPr>
              <w:t>14.4</w:t>
            </w:r>
          </w:p>
        </w:tc>
      </w:tr>
      <w:tr>
        <w:trPr>
          <w:trHeight w:val="161"/>
        </w:trPr>
        <w:tc>
          <w:tcPr>
            <w:tcW w:w="7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Raw materials and supplies</w:t>
            </w: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65.0</w:t>
            </w:r>
          </w:p>
        </w:tc>
        <w:tc>
          <w:tcPr>
            <w:tcW w:w="3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59.2</w:t>
            </w:r>
          </w:p>
        </w:tc>
      </w:tr>
      <w:tr>
        <w:trPr>
          <w:trHeight w:val="161"/>
        </w:trPr>
        <w:tc>
          <w:tcPr>
            <w:tcW w:w="68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148.5</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129.1</w:t>
            </w:r>
          </w:p>
        </w:tc>
        <w:tc>
          <w:tcPr>
            <w:tcW w:w="80" w:type="dxa"/>
            <w:vAlign w:val="bottom"/>
          </w:tcPr>
          <w:p>
            <w:pPr>
              <w:spacing w:after="0"/>
              <w:rPr>
                <w:sz w:val="14"/>
                <w:szCs w:val="14"/>
                <w:color w:val="auto"/>
              </w:rPr>
            </w:pPr>
          </w:p>
        </w:tc>
      </w:tr>
      <w:tr>
        <w:trPr>
          <w:trHeight w:val="161"/>
        </w:trPr>
        <w:tc>
          <w:tcPr>
            <w:tcW w:w="7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Inventory reserves</w:t>
            </w:r>
          </w:p>
        </w:tc>
        <w:tc>
          <w:tcPr>
            <w:tcW w:w="100" w:type="dxa"/>
            <w:vAlign w:val="bottom"/>
            <w:shd w:val="clear" w:color="auto" w:fill="CCEEFF"/>
          </w:tcPr>
          <w:p>
            <w:pPr>
              <w:spacing w:after="0"/>
              <w:rPr>
                <w:sz w:val="14"/>
                <w:szCs w:val="14"/>
                <w:color w:val="auto"/>
              </w:rPr>
            </w:pPr>
          </w:p>
        </w:tc>
        <w:tc>
          <w:tcPr>
            <w:tcW w:w="110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(49.9)</w:t>
            </w:r>
          </w:p>
        </w:tc>
        <w:tc>
          <w:tcPr>
            <w:tcW w:w="1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(35.6)</w:t>
            </w:r>
          </w:p>
        </w:tc>
      </w:tr>
      <w:tr>
        <w:trPr>
          <w:trHeight w:val="161"/>
        </w:trPr>
        <w:tc>
          <w:tcPr>
            <w:tcW w:w="68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98.6</w:t>
            </w:r>
          </w:p>
        </w:tc>
        <w:tc>
          <w:tcPr>
            <w:tcW w:w="2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93.5</w:t>
            </w:r>
          </w:p>
        </w:tc>
        <w:tc>
          <w:tcPr>
            <w:tcW w:w="80" w:type="dxa"/>
            <w:vAlign w:val="bottom"/>
          </w:tcPr>
          <w:p>
            <w:pPr>
              <w:spacing w:after="0"/>
              <w:rPr>
                <w:sz w:val="14"/>
                <w:szCs w:val="14"/>
                <w:color w:val="auto"/>
              </w:rPr>
            </w:pPr>
          </w:p>
        </w:tc>
      </w:tr>
      <w:tr>
        <w:trPr>
          <w:trHeight w:val="20"/>
        </w:trPr>
        <w:tc>
          <w:tcPr>
            <w:tcW w:w="68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340" w:firstLine="399"/>
        <w:spacing w:after="0" w:line="276" w:lineRule="auto"/>
        <w:rPr>
          <w:sz w:val="20"/>
          <w:szCs w:val="20"/>
          <w:color w:val="auto"/>
        </w:rPr>
      </w:pPr>
      <w:r>
        <w:rPr>
          <w:rFonts w:ascii="Arial" w:cs="Arial" w:eastAsia="Arial" w:hAnsi="Arial"/>
          <w:sz w:val="13"/>
          <w:szCs w:val="13"/>
          <w:color w:val="auto"/>
        </w:rPr>
        <w:t>During fiscal 2009, we increased our net inventory reserves by $14.3 million primarily due to inventory mark-downs as a result of product transitioning and product discontinuance. During the third quarter of fiscal 2009, we also recorded $3.4 million included in “Charges for product transition” on the Consolidated Statement of Operations for estimated losses on future inventory purchase commitments.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During fiscal 2008, we increased our inventory reserves by $14.7 million relating to inventory impairment as a result of product transitioning and product discontinuance.</w:t>
      </w:r>
    </w:p>
    <w:p>
      <w:pPr>
        <w:spacing w:after="0" w:line="193" w:lineRule="exact"/>
        <w:rPr>
          <w:sz w:val="20"/>
          <w:szCs w:val="20"/>
          <w:color w:val="auto"/>
        </w:rPr>
      </w:pPr>
    </w:p>
    <w:tbl>
      <w:tblPr>
        <w:tblLayout w:type="fixed"/>
        <w:tblInd w:w="680" w:type="dxa"/>
        <w:tblCellMar>
          <w:top w:w="0" w:type="dxa"/>
          <w:left w:w="0" w:type="dxa"/>
          <w:bottom w:w="0" w:type="dxa"/>
          <w:right w:w="0" w:type="dxa"/>
        </w:tblCellMar>
      </w:tblPr>
      <w:tr>
        <w:trPr>
          <w:trHeight w:val="174"/>
        </w:trPr>
        <w:tc>
          <w:tcPr>
            <w:tcW w:w="740" w:type="dxa"/>
            <w:vAlign w:val="bottom"/>
          </w:tcPr>
          <w:p>
            <w:pPr>
              <w:spacing w:after="0"/>
              <w:rPr>
                <w:sz w:val="20"/>
                <w:szCs w:val="20"/>
                <w:color w:val="auto"/>
              </w:rPr>
            </w:pPr>
            <w:r>
              <w:rPr>
                <w:rFonts w:ascii="Arial" w:cs="Arial" w:eastAsia="Arial" w:hAnsi="Arial"/>
                <w:sz w:val="13"/>
                <w:szCs w:val="13"/>
                <w:b w:val="1"/>
                <w:bCs w:val="1"/>
                <w:color w:val="auto"/>
              </w:rPr>
              <w:t>Note G —</w:t>
            </w:r>
          </w:p>
        </w:tc>
        <w:tc>
          <w:tcPr>
            <w:tcW w:w="7060" w:type="dxa"/>
            <w:vAlign w:val="bottom"/>
            <w:gridSpan w:val="2"/>
          </w:tcPr>
          <w:p>
            <w:pPr>
              <w:jc w:val="right"/>
              <w:ind w:right="5080"/>
              <w:spacing w:after="0"/>
              <w:rPr>
                <w:sz w:val="20"/>
                <w:szCs w:val="20"/>
                <w:color w:val="auto"/>
              </w:rPr>
            </w:pPr>
            <w:r>
              <w:rPr>
                <w:rFonts w:ascii="Arial" w:cs="Arial" w:eastAsia="Arial" w:hAnsi="Arial"/>
                <w:sz w:val="13"/>
                <w:szCs w:val="13"/>
                <w:b w:val="1"/>
                <w:bCs w:val="1"/>
                <w:color w:val="auto"/>
              </w:rPr>
              <w:t>Property, Plant and Equipment</w:t>
            </w: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52"/>
        </w:trPr>
        <w:tc>
          <w:tcPr>
            <w:tcW w:w="7800" w:type="dxa"/>
            <w:vAlign w:val="bottom"/>
            <w:gridSpan w:val="3"/>
          </w:tcPr>
          <w:p>
            <w:pPr>
              <w:ind w:left="400"/>
              <w:spacing w:after="0"/>
              <w:rPr>
                <w:sz w:val="20"/>
                <w:szCs w:val="20"/>
                <w:color w:val="auto"/>
              </w:rPr>
            </w:pPr>
            <w:r>
              <w:rPr>
                <w:rFonts w:ascii="Arial" w:cs="Arial" w:eastAsia="Arial" w:hAnsi="Arial"/>
                <w:sz w:val="13"/>
                <w:szCs w:val="13"/>
                <w:color w:val="auto"/>
              </w:rPr>
              <w:t>Our property, plant and equipment are summarized below:</w:t>
            </w:r>
          </w:p>
        </w:tc>
        <w:tc>
          <w:tcPr>
            <w:tcW w:w="7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2"/>
        </w:trPr>
        <w:tc>
          <w:tcPr>
            <w:tcW w:w="74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55"/>
              <w:spacing w:after="0"/>
              <w:rPr>
                <w:sz w:val="20"/>
                <w:szCs w:val="20"/>
                <w:color w:val="auto"/>
              </w:rPr>
            </w:pPr>
            <w:r>
              <w:rPr>
                <w:rFonts w:ascii="Arial" w:cs="Arial" w:eastAsia="Arial" w:hAnsi="Arial"/>
                <w:sz w:val="11"/>
                <w:szCs w:val="11"/>
                <w:b w:val="1"/>
                <w:bCs w:val="1"/>
                <w:color w:val="auto"/>
                <w:w w:val="90"/>
              </w:rPr>
              <w:t>July 3, 2009</w:t>
            </w:r>
          </w:p>
        </w:tc>
        <w:tc>
          <w:tcPr>
            <w:tcW w:w="4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15"/>
              <w:spacing w:after="0"/>
              <w:rPr>
                <w:sz w:val="20"/>
                <w:szCs w:val="20"/>
                <w:color w:val="auto"/>
              </w:rPr>
            </w:pPr>
            <w:r>
              <w:rPr>
                <w:rFonts w:ascii="Arial" w:cs="Arial" w:eastAsia="Arial" w:hAnsi="Arial"/>
                <w:sz w:val="11"/>
                <w:szCs w:val="11"/>
                <w:b w:val="1"/>
                <w:bCs w:val="1"/>
                <w:color w:val="auto"/>
                <w:w w:val="86"/>
              </w:rPr>
              <w:t>June 27, 2008</w:t>
            </w:r>
          </w:p>
        </w:tc>
        <w:tc>
          <w:tcPr>
            <w:tcW w:w="80" w:type="dxa"/>
            <w:vAlign w:val="bottom"/>
          </w:tcPr>
          <w:p>
            <w:pPr>
              <w:spacing w:after="0"/>
              <w:rPr>
                <w:sz w:val="18"/>
                <w:szCs w:val="18"/>
                <w:color w:val="auto"/>
              </w:rPr>
            </w:pPr>
          </w:p>
        </w:tc>
      </w:tr>
      <w:tr>
        <w:trPr>
          <w:trHeight w:val="136"/>
        </w:trPr>
        <w:tc>
          <w:tcPr>
            <w:tcW w:w="740" w:type="dxa"/>
            <w:vAlign w:val="bottom"/>
          </w:tcPr>
          <w:p>
            <w:pPr>
              <w:spacing w:after="0"/>
              <w:rPr>
                <w:sz w:val="11"/>
                <w:szCs w:val="11"/>
                <w:color w:val="auto"/>
              </w:rPr>
            </w:pPr>
          </w:p>
        </w:tc>
        <w:tc>
          <w:tcPr>
            <w:tcW w:w="6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2"/>
          </w:tcPr>
          <w:p>
            <w:pPr>
              <w:jc w:val="right"/>
              <w:spacing w:after="0"/>
              <w:rPr>
                <w:sz w:val="20"/>
                <w:szCs w:val="20"/>
                <w:color w:val="auto"/>
              </w:rPr>
            </w:pPr>
            <w:r>
              <w:rPr>
                <w:rFonts w:ascii="Arial" w:cs="Arial" w:eastAsia="Arial" w:hAnsi="Arial"/>
                <w:sz w:val="11"/>
                <w:szCs w:val="11"/>
                <w:b w:val="1"/>
                <w:bCs w:val="1"/>
                <w:color w:val="auto"/>
                <w:w w:val="90"/>
              </w:rPr>
              <w:t>(In millions)</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7"/>
        </w:trPr>
        <w:tc>
          <w:tcPr>
            <w:tcW w:w="740" w:type="dxa"/>
            <w:vAlign w:val="bottom"/>
            <w:shd w:val="clear" w:color="auto" w:fill="CCEEFF"/>
          </w:tcPr>
          <w:p>
            <w:pPr>
              <w:spacing w:after="0"/>
              <w:rPr>
                <w:sz w:val="20"/>
                <w:szCs w:val="20"/>
                <w:color w:val="auto"/>
              </w:rPr>
            </w:pPr>
            <w:r>
              <w:rPr>
                <w:rFonts w:ascii="Arial" w:cs="Arial" w:eastAsia="Arial" w:hAnsi="Arial"/>
                <w:sz w:val="13"/>
                <w:szCs w:val="13"/>
                <w:color w:val="auto"/>
              </w:rPr>
              <w:t>Land</w:t>
            </w:r>
          </w:p>
        </w:tc>
        <w:tc>
          <w:tcPr>
            <w:tcW w:w="70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1.3</w:t>
            </w:r>
          </w:p>
        </w:tc>
      </w:tr>
      <w:tr>
        <w:trPr>
          <w:trHeight w:val="161"/>
        </w:trPr>
        <w:tc>
          <w:tcPr>
            <w:tcW w:w="740" w:type="dxa"/>
            <w:vAlign w:val="bottom"/>
          </w:tcPr>
          <w:p>
            <w:pPr>
              <w:spacing w:after="0"/>
              <w:rPr>
                <w:sz w:val="20"/>
                <w:szCs w:val="20"/>
                <w:color w:val="auto"/>
              </w:rPr>
            </w:pPr>
            <w:r>
              <w:rPr>
                <w:rFonts w:ascii="Arial" w:cs="Arial" w:eastAsia="Arial" w:hAnsi="Arial"/>
                <w:sz w:val="13"/>
                <w:szCs w:val="13"/>
                <w:color w:val="auto"/>
              </w:rPr>
              <w:t>Buildings</w:t>
            </w:r>
          </w:p>
        </w:tc>
        <w:tc>
          <w:tcPr>
            <w:tcW w:w="6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21.5</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3"/>
                <w:szCs w:val="13"/>
                <w:color w:val="auto"/>
              </w:rPr>
              <w:t>29.1</w:t>
            </w:r>
          </w:p>
        </w:tc>
      </w:tr>
      <w:tr>
        <w:trPr>
          <w:trHeight w:val="161"/>
        </w:trPr>
        <w:tc>
          <w:tcPr>
            <w:tcW w:w="78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Software developed for internal use</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w:t>
            </w: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13.9</w:t>
            </w:r>
          </w:p>
        </w:tc>
      </w:tr>
      <w:tr>
        <w:trPr>
          <w:trHeight w:val="161"/>
        </w:trPr>
        <w:tc>
          <w:tcPr>
            <w:tcW w:w="7700" w:type="dxa"/>
            <w:vAlign w:val="bottom"/>
            <w:gridSpan w:val="2"/>
          </w:tcPr>
          <w:p>
            <w:pPr>
              <w:spacing w:after="0"/>
              <w:rPr>
                <w:sz w:val="20"/>
                <w:szCs w:val="20"/>
                <w:color w:val="auto"/>
              </w:rPr>
            </w:pPr>
            <w:r>
              <w:rPr>
                <w:rFonts w:ascii="Arial" w:cs="Arial" w:eastAsia="Arial" w:hAnsi="Arial"/>
                <w:sz w:val="13"/>
                <w:szCs w:val="13"/>
                <w:color w:val="auto"/>
              </w:rPr>
              <w:t>Machinery and equipment</w:t>
            </w: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94.8</w:t>
            </w:r>
          </w:p>
        </w:tc>
        <w:tc>
          <w:tcPr>
            <w:tcW w:w="4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121.6</w:t>
            </w:r>
          </w:p>
        </w:tc>
        <w:tc>
          <w:tcPr>
            <w:tcW w:w="80" w:type="dxa"/>
            <w:vAlign w:val="bottom"/>
          </w:tcPr>
          <w:p>
            <w:pPr>
              <w:spacing w:after="0"/>
              <w:rPr>
                <w:sz w:val="14"/>
                <w:szCs w:val="14"/>
                <w:color w:val="auto"/>
              </w:rPr>
            </w:pPr>
          </w:p>
        </w:tc>
      </w:tr>
      <w:tr>
        <w:trPr>
          <w:trHeight w:val="161"/>
        </w:trPr>
        <w:tc>
          <w:tcPr>
            <w:tcW w:w="740" w:type="dxa"/>
            <w:vAlign w:val="bottom"/>
            <w:shd w:val="clear" w:color="auto" w:fill="CCEEFF"/>
          </w:tcPr>
          <w:p>
            <w:pPr>
              <w:spacing w:after="0"/>
              <w:rPr>
                <w:sz w:val="14"/>
                <w:szCs w:val="14"/>
                <w:color w:val="auto"/>
              </w:rPr>
            </w:pPr>
          </w:p>
        </w:tc>
        <w:tc>
          <w:tcPr>
            <w:tcW w:w="6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129.1</w:t>
            </w: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165.9</w:t>
            </w:r>
          </w:p>
        </w:tc>
      </w:tr>
      <w:tr>
        <w:trPr>
          <w:trHeight w:val="161"/>
        </w:trPr>
        <w:tc>
          <w:tcPr>
            <w:tcW w:w="7700" w:type="dxa"/>
            <w:vAlign w:val="bottom"/>
            <w:gridSpan w:val="2"/>
          </w:tcPr>
          <w:p>
            <w:pPr>
              <w:spacing w:after="0"/>
              <w:rPr>
                <w:sz w:val="20"/>
                <w:szCs w:val="20"/>
                <w:color w:val="auto"/>
              </w:rPr>
            </w:pPr>
            <w:r>
              <w:rPr>
                <w:rFonts w:ascii="Arial" w:cs="Arial" w:eastAsia="Arial" w:hAnsi="Arial"/>
                <w:sz w:val="13"/>
                <w:szCs w:val="13"/>
                <w:color w:val="auto"/>
              </w:rPr>
              <w:t>Less allowances for depreciation and amortization</w:t>
            </w:r>
          </w:p>
        </w:tc>
        <w:tc>
          <w:tcPr>
            <w:tcW w:w="100" w:type="dxa"/>
            <w:vAlign w:val="bottom"/>
          </w:tcPr>
          <w:p>
            <w:pPr>
              <w:spacing w:after="0"/>
              <w:rPr>
                <w:sz w:val="14"/>
                <w:szCs w:val="14"/>
                <w:color w:val="auto"/>
              </w:rPr>
            </w:pPr>
          </w:p>
        </w:tc>
        <w:tc>
          <w:tcPr>
            <w:tcW w:w="1100" w:type="dxa"/>
            <w:vAlign w:val="bottom"/>
            <w:gridSpan w:val="2"/>
          </w:tcPr>
          <w:p>
            <w:pPr>
              <w:jc w:val="right"/>
              <w:ind w:right="297"/>
              <w:spacing w:after="0"/>
              <w:rPr>
                <w:sz w:val="20"/>
                <w:szCs w:val="20"/>
                <w:color w:val="auto"/>
              </w:rPr>
            </w:pPr>
            <w:r>
              <w:rPr>
                <w:rFonts w:ascii="Arial" w:cs="Arial" w:eastAsia="Arial" w:hAnsi="Arial"/>
                <w:sz w:val="13"/>
                <w:szCs w:val="13"/>
                <w:color w:val="auto"/>
              </w:rPr>
              <w:t>(71.7)</w:t>
            </w:r>
          </w:p>
        </w:tc>
        <w:tc>
          <w:tcPr>
            <w:tcW w:w="180" w:type="dxa"/>
            <w:vAlign w:val="bottom"/>
          </w:tcPr>
          <w:p>
            <w:pPr>
              <w:spacing w:after="0"/>
              <w:rPr>
                <w:sz w:val="14"/>
                <w:szCs w:val="14"/>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3"/>
                <w:szCs w:val="13"/>
                <w:color w:val="auto"/>
              </w:rPr>
              <w:t>(90.3)</w:t>
            </w:r>
          </w:p>
        </w:tc>
      </w:tr>
      <w:tr>
        <w:trPr>
          <w:trHeight w:val="20"/>
        </w:trPr>
        <w:tc>
          <w:tcPr>
            <w:tcW w:w="74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1"/>
        </w:trPr>
        <w:tc>
          <w:tcPr>
            <w:tcW w:w="740" w:type="dxa"/>
            <w:vAlign w:val="bottom"/>
            <w:shd w:val="clear" w:color="auto" w:fill="CCEEFF"/>
          </w:tcPr>
          <w:p>
            <w:pPr>
              <w:spacing w:after="0"/>
              <w:rPr>
                <w:sz w:val="14"/>
                <w:szCs w:val="14"/>
                <w:color w:val="auto"/>
              </w:rPr>
            </w:pPr>
          </w:p>
        </w:tc>
        <w:tc>
          <w:tcPr>
            <w:tcW w:w="70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57.4</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75.6</w:t>
            </w:r>
          </w:p>
        </w:tc>
      </w:tr>
      <w:tr>
        <w:trPr>
          <w:trHeight w:val="20"/>
        </w:trPr>
        <w:tc>
          <w:tcPr>
            <w:tcW w:w="74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60" w:firstLine="399"/>
        <w:spacing w:after="0" w:line="270" w:lineRule="auto"/>
        <w:rPr>
          <w:sz w:val="20"/>
          <w:szCs w:val="20"/>
          <w:color w:val="auto"/>
        </w:rPr>
      </w:pPr>
      <w:r>
        <w:rPr>
          <w:rFonts w:ascii="Arial" w:cs="Arial" w:eastAsia="Arial" w:hAnsi="Arial"/>
          <w:sz w:val="13"/>
          <w:szCs w:val="13"/>
          <w:color w:val="auto"/>
        </w:rPr>
        <w:t>During fiscal 2009, we recorded a $3.2 million write-down of software developed for internal use and a $7.2 million write-down of machinery and equipment related to our product transitioning activities. We also recorded a $2.4 million impairment of a building used in manufacturing that we classified as property held for sale. During fiscal 2009, the cost of property, plant and equipment decreased $36.8 million. This decrease resulted primarily from write-downs and impairments with a total cost basis of $54.5 million, partially offset by $18.4 million of capital expenditures.</w:t>
      </w:r>
    </w:p>
    <w:p>
      <w:pPr>
        <w:spacing w:after="0" w:line="63" w:lineRule="exact"/>
        <w:rPr>
          <w:sz w:val="20"/>
          <w:szCs w:val="20"/>
          <w:color w:val="auto"/>
        </w:rPr>
      </w:pPr>
    </w:p>
    <w:p>
      <w:pPr>
        <w:ind w:left="680" w:right="540" w:firstLine="399"/>
        <w:spacing w:after="0" w:line="294" w:lineRule="auto"/>
        <w:rPr>
          <w:sz w:val="20"/>
          <w:szCs w:val="20"/>
          <w:color w:val="auto"/>
        </w:rPr>
      </w:pPr>
      <w:r>
        <w:rPr>
          <w:rFonts w:ascii="Arial" w:cs="Arial" w:eastAsia="Arial" w:hAnsi="Arial"/>
          <w:sz w:val="13"/>
          <w:szCs w:val="13"/>
          <w:color w:val="auto"/>
        </w:rPr>
        <w:t>Depreciation and amortization expense related to plant and equipment, including software developed for internal use amortization, was $20.5 million, $16.9 million and $14.5 million in fiscal 2009, 2008 and 2007.</w:t>
      </w:r>
    </w:p>
    <w:p>
      <w:pPr>
        <w:spacing w:after="0" w:line="25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90" w:name="page91"/>
    <w:bookmarkEnd w:id="9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3"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HARRIS STRATEX NETWORKS, INC. AND SUBSIDIARIES</w:t>
      </w:r>
    </w:p>
    <w:p>
      <w:pPr>
        <w:spacing w:after="0" w:line="102"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00" w:lineRule="exact"/>
        <w:rPr>
          <w:sz w:val="20"/>
          <w:szCs w:val="20"/>
          <w:color w:val="auto"/>
        </w:rPr>
      </w:pPr>
    </w:p>
    <w:p>
      <w:pPr>
        <w:spacing w:after="0" w:line="235" w:lineRule="exact"/>
        <w:rPr>
          <w:sz w:val="20"/>
          <w:szCs w:val="20"/>
          <w:color w:val="auto"/>
        </w:rPr>
      </w:pPr>
    </w:p>
    <w:tbl>
      <w:tblPr>
        <w:tblLayout w:type="fixed"/>
        <w:tblInd w:w="680" w:type="dxa"/>
        <w:tblCellMar>
          <w:top w:w="0" w:type="dxa"/>
          <w:left w:w="0" w:type="dxa"/>
          <w:bottom w:w="0" w:type="dxa"/>
          <w:right w:w="0" w:type="dxa"/>
        </w:tblCellMar>
      </w:tblPr>
      <w:tr>
        <w:trPr>
          <w:trHeight w:val="174"/>
        </w:trPr>
        <w:tc>
          <w:tcPr>
            <w:tcW w:w="740" w:type="dxa"/>
            <w:vAlign w:val="bottom"/>
          </w:tcPr>
          <w:p>
            <w:pPr>
              <w:spacing w:after="0"/>
              <w:rPr>
                <w:sz w:val="20"/>
                <w:szCs w:val="20"/>
                <w:color w:val="auto"/>
              </w:rPr>
            </w:pPr>
            <w:r>
              <w:rPr>
                <w:rFonts w:ascii="Arial" w:cs="Arial" w:eastAsia="Arial" w:hAnsi="Arial"/>
                <w:sz w:val="13"/>
                <w:szCs w:val="13"/>
                <w:b w:val="1"/>
                <w:bCs w:val="1"/>
                <w:color w:val="auto"/>
              </w:rPr>
              <w:t>Note H —</w:t>
            </w:r>
          </w:p>
        </w:tc>
        <w:tc>
          <w:tcPr>
            <w:tcW w:w="6960" w:type="dxa"/>
            <w:vAlign w:val="bottom"/>
          </w:tcPr>
          <w:p>
            <w:pPr>
              <w:ind w:left="180"/>
              <w:spacing w:after="0"/>
              <w:rPr>
                <w:sz w:val="20"/>
                <w:szCs w:val="20"/>
                <w:color w:val="auto"/>
              </w:rPr>
            </w:pPr>
            <w:r>
              <w:rPr>
                <w:rFonts w:ascii="Arial" w:cs="Arial" w:eastAsia="Arial" w:hAnsi="Arial"/>
                <w:sz w:val="13"/>
                <w:szCs w:val="13"/>
                <w:b w:val="1"/>
                <w:bCs w:val="1"/>
                <w:color w:val="auto"/>
              </w:rPr>
              <w:t>Credit Facility and Debt</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52"/>
        </w:trPr>
        <w:tc>
          <w:tcPr>
            <w:tcW w:w="7700" w:type="dxa"/>
            <w:vAlign w:val="bottom"/>
            <w:gridSpan w:val="2"/>
          </w:tcPr>
          <w:p>
            <w:pPr>
              <w:ind w:left="400"/>
              <w:spacing w:after="0"/>
              <w:rPr>
                <w:sz w:val="20"/>
                <w:szCs w:val="20"/>
                <w:color w:val="auto"/>
              </w:rPr>
            </w:pPr>
            <w:r>
              <w:rPr>
                <w:rFonts w:ascii="Arial" w:cs="Arial" w:eastAsia="Arial" w:hAnsi="Arial"/>
                <w:sz w:val="13"/>
                <w:szCs w:val="13"/>
                <w:color w:val="auto"/>
              </w:rPr>
              <w:t>Our debt consisted of the following as of July 3, 2009 and June 27, 2008:</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12"/>
        </w:trPr>
        <w:tc>
          <w:tcPr>
            <w:tcW w:w="74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55"/>
              <w:spacing w:after="0"/>
              <w:rPr>
                <w:sz w:val="20"/>
                <w:szCs w:val="20"/>
                <w:color w:val="auto"/>
              </w:rPr>
            </w:pPr>
            <w:r>
              <w:rPr>
                <w:rFonts w:ascii="Arial" w:cs="Arial" w:eastAsia="Arial" w:hAnsi="Arial"/>
                <w:sz w:val="11"/>
                <w:szCs w:val="11"/>
                <w:b w:val="1"/>
                <w:bCs w:val="1"/>
                <w:color w:val="auto"/>
                <w:w w:val="90"/>
              </w:rPr>
              <w:t>July 3, 2009</w:t>
            </w:r>
          </w:p>
        </w:tc>
        <w:tc>
          <w:tcPr>
            <w:tcW w:w="4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15"/>
              <w:spacing w:after="0"/>
              <w:rPr>
                <w:sz w:val="20"/>
                <w:szCs w:val="20"/>
                <w:color w:val="auto"/>
              </w:rPr>
            </w:pPr>
            <w:r>
              <w:rPr>
                <w:rFonts w:ascii="Arial" w:cs="Arial" w:eastAsia="Arial" w:hAnsi="Arial"/>
                <w:sz w:val="11"/>
                <w:szCs w:val="11"/>
                <w:b w:val="1"/>
                <w:bCs w:val="1"/>
                <w:color w:val="auto"/>
                <w:w w:val="86"/>
              </w:rPr>
              <w:t>June 27, 2008</w:t>
            </w:r>
          </w:p>
        </w:tc>
        <w:tc>
          <w:tcPr>
            <w:tcW w:w="40" w:type="dxa"/>
            <w:vAlign w:val="bottom"/>
          </w:tcPr>
          <w:p>
            <w:pPr>
              <w:spacing w:after="0"/>
              <w:rPr>
                <w:sz w:val="18"/>
                <w:szCs w:val="18"/>
                <w:color w:val="auto"/>
              </w:rPr>
            </w:pPr>
          </w:p>
        </w:tc>
      </w:tr>
      <w:tr>
        <w:trPr>
          <w:trHeight w:val="130"/>
        </w:trPr>
        <w:tc>
          <w:tcPr>
            <w:tcW w:w="740" w:type="dxa"/>
            <w:vAlign w:val="bottom"/>
          </w:tcPr>
          <w:p>
            <w:pPr>
              <w:spacing w:after="0"/>
              <w:rPr>
                <w:sz w:val="11"/>
                <w:szCs w:val="11"/>
                <w:color w:val="auto"/>
              </w:rPr>
            </w:pPr>
          </w:p>
        </w:tc>
        <w:tc>
          <w:tcPr>
            <w:tcW w:w="6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2"/>
          </w:tcPr>
          <w:p>
            <w:pPr>
              <w:jc w:val="right"/>
              <w:spacing w:after="0"/>
              <w:rPr>
                <w:sz w:val="20"/>
                <w:szCs w:val="20"/>
                <w:color w:val="auto"/>
              </w:rPr>
            </w:pPr>
            <w:r>
              <w:rPr>
                <w:rFonts w:ascii="Arial" w:cs="Arial" w:eastAsia="Arial" w:hAnsi="Arial"/>
                <w:sz w:val="11"/>
                <w:szCs w:val="11"/>
                <w:b w:val="1"/>
                <w:bCs w:val="1"/>
                <w:color w:val="auto"/>
                <w:w w:val="90"/>
              </w:rPr>
              <w:t>(In millions)</w:t>
            </w: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62"/>
        </w:trPr>
        <w:tc>
          <w:tcPr>
            <w:tcW w:w="7700" w:type="dxa"/>
            <w:vAlign w:val="bottom"/>
            <w:gridSpan w:val="2"/>
          </w:tcPr>
          <w:p>
            <w:pPr>
              <w:spacing w:after="0"/>
              <w:rPr>
                <w:sz w:val="20"/>
                <w:szCs w:val="20"/>
                <w:color w:val="auto"/>
              </w:rPr>
            </w:pPr>
            <w:r>
              <w:rPr>
                <w:rFonts w:ascii="Arial" w:cs="Arial" w:eastAsia="Arial" w:hAnsi="Arial"/>
                <w:sz w:val="13"/>
                <w:szCs w:val="13"/>
                <w:color w:val="auto"/>
              </w:rPr>
              <w:t>Long-term borrowings</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33"/>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3"/>
                <w:szCs w:val="13"/>
                <w:color w:val="auto"/>
              </w:rPr>
              <w:t>8.8</w:t>
            </w:r>
          </w:p>
        </w:tc>
      </w:tr>
      <w:tr>
        <w:trPr>
          <w:trHeight w:val="172"/>
        </w:trPr>
        <w:tc>
          <w:tcPr>
            <w:tcW w:w="7700" w:type="dxa"/>
            <w:vAlign w:val="bottom"/>
            <w:gridSpan w:val="2"/>
          </w:tcPr>
          <w:p>
            <w:pPr>
              <w:spacing w:after="0"/>
              <w:rPr>
                <w:sz w:val="20"/>
                <w:szCs w:val="20"/>
                <w:color w:val="auto"/>
              </w:rPr>
            </w:pPr>
            <w:r>
              <w:rPr>
                <w:rFonts w:ascii="Arial" w:cs="Arial" w:eastAsia="Arial" w:hAnsi="Arial"/>
                <w:sz w:val="13"/>
                <w:szCs w:val="13"/>
                <w:color w:val="auto"/>
              </w:rPr>
              <w:t>Short-term borrowings</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10.0</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r>
      <w:tr>
        <w:trPr>
          <w:trHeight w:val="151"/>
        </w:trPr>
        <w:tc>
          <w:tcPr>
            <w:tcW w:w="740" w:type="dxa"/>
            <w:vAlign w:val="bottom"/>
          </w:tcPr>
          <w:p>
            <w:pPr>
              <w:spacing w:after="0"/>
              <w:rPr>
                <w:sz w:val="20"/>
                <w:szCs w:val="20"/>
                <w:color w:val="auto"/>
              </w:rPr>
            </w:pPr>
            <w:r>
              <w:rPr>
                <w:rFonts w:ascii="Arial" w:cs="Arial" w:eastAsia="Arial" w:hAnsi="Arial"/>
                <w:sz w:val="13"/>
                <w:szCs w:val="13"/>
                <w:color w:val="auto"/>
              </w:rPr>
              <w:t>Total</w:t>
            </w:r>
          </w:p>
        </w:tc>
        <w:tc>
          <w:tcPr>
            <w:tcW w:w="69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10.0</w:t>
            </w:r>
          </w:p>
        </w:tc>
        <w:tc>
          <w:tcPr>
            <w:tcW w:w="4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8.8</w:t>
            </w:r>
          </w:p>
        </w:tc>
        <w:tc>
          <w:tcPr>
            <w:tcW w:w="40" w:type="dxa"/>
            <w:vAlign w:val="bottom"/>
          </w:tcPr>
          <w:p>
            <w:pPr>
              <w:spacing w:after="0"/>
              <w:rPr>
                <w:sz w:val="13"/>
                <w:szCs w:val="13"/>
                <w:color w:val="auto"/>
              </w:rPr>
            </w:pPr>
          </w:p>
        </w:tc>
      </w:tr>
      <w:tr>
        <w:trPr>
          <w:trHeight w:val="172"/>
        </w:trPr>
        <w:tc>
          <w:tcPr>
            <w:tcW w:w="7700" w:type="dxa"/>
            <w:vAlign w:val="bottom"/>
            <w:gridSpan w:val="2"/>
          </w:tcPr>
          <w:p>
            <w:pPr>
              <w:spacing w:after="0"/>
              <w:rPr>
                <w:sz w:val="20"/>
                <w:szCs w:val="20"/>
                <w:color w:val="auto"/>
              </w:rPr>
            </w:pPr>
            <w:r>
              <w:rPr>
                <w:rFonts w:ascii="Arial" w:cs="Arial" w:eastAsia="Arial" w:hAnsi="Arial"/>
                <w:sz w:val="13"/>
                <w:szCs w:val="13"/>
                <w:color w:val="auto"/>
              </w:rPr>
              <w:t>Less short-term borrowings and current portion of long-term debt</w:t>
            </w:r>
          </w:p>
        </w:tc>
        <w:tc>
          <w:tcPr>
            <w:tcW w:w="100" w:type="dxa"/>
            <w:vAlign w:val="bottom"/>
          </w:tcPr>
          <w:p>
            <w:pPr>
              <w:spacing w:after="0"/>
              <w:rPr>
                <w:sz w:val="14"/>
                <w:szCs w:val="14"/>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3"/>
                <w:szCs w:val="13"/>
                <w:color w:val="auto"/>
              </w:rPr>
              <w:t>(10.0)</w:t>
            </w:r>
          </w:p>
        </w:tc>
        <w:tc>
          <w:tcPr>
            <w:tcW w:w="18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(5.0)</w:t>
            </w:r>
          </w:p>
        </w:tc>
      </w:tr>
      <w:tr>
        <w:trPr>
          <w:trHeight w:val="162"/>
        </w:trPr>
        <w:tc>
          <w:tcPr>
            <w:tcW w:w="7700" w:type="dxa"/>
            <w:vAlign w:val="bottom"/>
            <w:gridSpan w:val="2"/>
          </w:tcPr>
          <w:p>
            <w:pPr>
              <w:spacing w:after="0"/>
              <w:rPr>
                <w:sz w:val="20"/>
                <w:szCs w:val="20"/>
                <w:color w:val="auto"/>
              </w:rPr>
            </w:pPr>
            <w:r>
              <w:rPr>
                <w:rFonts w:ascii="Arial" w:cs="Arial" w:eastAsia="Arial" w:hAnsi="Arial"/>
                <w:sz w:val="13"/>
                <w:szCs w:val="13"/>
                <w:color w:val="auto"/>
              </w:rPr>
              <w:t>Long-term debt outstanding</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3.8</w:t>
            </w:r>
          </w:p>
        </w:tc>
        <w:tc>
          <w:tcPr>
            <w:tcW w:w="40" w:type="dxa"/>
            <w:vAlign w:val="bottom"/>
          </w:tcPr>
          <w:p>
            <w:pPr>
              <w:spacing w:after="0"/>
              <w:rPr>
                <w:sz w:val="14"/>
                <w:szCs w:val="14"/>
                <w:color w:val="auto"/>
              </w:rPr>
            </w:pPr>
          </w:p>
        </w:tc>
      </w:tr>
      <w:tr>
        <w:trPr>
          <w:trHeight w:val="20"/>
        </w:trPr>
        <w:tc>
          <w:tcPr>
            <w:tcW w:w="74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left="680" w:right="180" w:firstLine="399"/>
        <w:spacing w:after="0" w:line="286" w:lineRule="auto"/>
        <w:rPr>
          <w:sz w:val="20"/>
          <w:szCs w:val="20"/>
          <w:color w:val="auto"/>
        </w:rPr>
      </w:pPr>
      <w:r>
        <w:rPr>
          <w:rFonts w:ascii="Arial" w:cs="Arial" w:eastAsia="Arial" w:hAnsi="Arial"/>
          <w:sz w:val="12"/>
          <w:szCs w:val="12"/>
          <w:color w:val="auto"/>
        </w:rPr>
        <w:t>As of June 27, 2008, we had a credit facility with Silicon Valley Bank (the “Original Credit Facility”) which provided for short-term and long-term borrowings. The Original Credit Facility allowed for revolving credit borrowings of up to $50 million with available credit defined as $50 million less the outstanding balance of the long-term portion and any usage under the revolving credit portion. As of June 27, 2008, the outstanding balance of the long-term portion of our Original Credit Facility was $8.8 million and there were</w:t>
      </w:r>
    </w:p>
    <w:p>
      <w:pPr>
        <w:spacing w:after="0" w:line="1" w:lineRule="exact"/>
        <w:rPr>
          <w:sz w:val="20"/>
          <w:szCs w:val="20"/>
          <w:color w:val="auto"/>
        </w:rPr>
      </w:pPr>
    </w:p>
    <w:p>
      <w:pPr>
        <w:ind w:left="680"/>
        <w:spacing w:after="0" w:line="277" w:lineRule="auto"/>
        <w:rPr>
          <w:sz w:val="20"/>
          <w:szCs w:val="20"/>
          <w:color w:val="auto"/>
        </w:rPr>
      </w:pPr>
      <w:r>
        <w:rPr>
          <w:rFonts w:ascii="Arial" w:cs="Arial" w:eastAsia="Arial" w:hAnsi="Arial"/>
          <w:sz w:val="13"/>
          <w:szCs w:val="13"/>
          <w:color w:val="auto"/>
        </w:rPr>
        <w:t>$8.6 million in outstanding standby letters of credit as of that date defined as usage under the revolving credit portion of the facility. As of July 3, 2009, the amount under standby letters of credit outstanding under the Original Credit Facility totaled $2.7 million.</w:t>
      </w:r>
    </w:p>
    <w:p>
      <w:pPr>
        <w:spacing w:after="0" w:line="58"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On June 30, 2008 the Original Credit Facility was terminated and replaced by a new revolving credit facility with Silicon Valley Bank and Bank of America as of that date (the “New Facility”). The outstanding balance of the Original Credit Facility was repaid in full, including all accrued interest, on June 30, 2008 with the proceeds of a $10 million short-term borrowing under the New Facility.</w:t>
      </w:r>
    </w:p>
    <w:p>
      <w:pPr>
        <w:spacing w:after="0" w:line="59" w:lineRule="exact"/>
        <w:rPr>
          <w:sz w:val="20"/>
          <w:szCs w:val="20"/>
          <w:color w:val="auto"/>
        </w:rPr>
      </w:pPr>
    </w:p>
    <w:p>
      <w:pPr>
        <w:jc w:val="both"/>
        <w:ind w:left="680" w:right="20" w:firstLine="399"/>
        <w:spacing w:after="0" w:line="295" w:lineRule="auto"/>
        <w:rPr>
          <w:sz w:val="20"/>
          <w:szCs w:val="20"/>
          <w:color w:val="auto"/>
        </w:rPr>
      </w:pPr>
      <w:r>
        <w:rPr>
          <w:rFonts w:ascii="Arial" w:cs="Arial" w:eastAsia="Arial" w:hAnsi="Arial"/>
          <w:sz w:val="12"/>
          <w:szCs w:val="12"/>
          <w:color w:val="auto"/>
        </w:rPr>
        <w:t>The New Facility provides for an initial committed amount of $70 million with an uncommitted option for an additional $50 million available with the same or additional banks. The initial term of the New Facility is three years and provides for (1) demand borrowings (with no stated maturity date) with an interest rate of the greater of Bank of America’s prime rate or the Federal Funds rate plus 0.5%, (2) fixed term Eurodollar loans for up to six months or more as agreed with the banks with an interest rate of LIBOR plus a spread of between 1.25% to 2.00% based on our current leverage ratio and (3) the issuance of standby or commercial letters of credit. The New Facility contains a minimum liquidity ratio covenant and a maximum leverage ratio covenant and is unsecured. As of July 3, 2009, we were in compliance with these financial covenants.</w:t>
      </w:r>
    </w:p>
    <w:p>
      <w:pPr>
        <w:spacing w:after="0" w:line="49"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The New Facility allows for borrowings of up to $70 million with available credit defined as $70 million less the outstanding balance of short-term borrowings ($10.0 million as of July 3, 2009) and letters of credit ($12.5 million as of July 3, 2009). Available credit as of July 3, 2009 was $47.5 million. The weighted average interest rate on our short-term borrowings was 2.10% as of July 3, 2009.</w:t>
      </w:r>
    </w:p>
    <w:p>
      <w:pPr>
        <w:spacing w:after="0" w:line="59"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We have uncommitted short-term lines of credit aggregating $0.4 million from various international banks, all of which was available on July 3, 2009. These lines provide for borrowings at various interest rates, typically may be terminated upon notice, may be used on such terms as mutually agreed to by the banks and us and are reviewed annually for renewal or modification.</w:t>
      </w:r>
    </w:p>
    <w:p>
      <w:pPr>
        <w:spacing w:after="0" w:line="270"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20"/>
          </w:cols>
          <w:pgMar w:left="220" w:top="349" w:right="1059" w:bottom="1440" w:gutter="0" w:footer="0" w:header="0"/>
        </w:sectPr>
      </w:pPr>
    </w:p>
    <w:bookmarkStart w:id="91" w:name="page92"/>
    <w:bookmarkEnd w:id="9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HARRIS STRATEX NETWORKS, INC. AND SUBSIDIARIES</w:t>
      </w:r>
    </w:p>
    <w:p>
      <w:pPr>
        <w:spacing w:after="0" w:line="102"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00" w:lineRule="exact"/>
        <w:rPr>
          <w:sz w:val="20"/>
          <w:szCs w:val="20"/>
          <w:color w:val="auto"/>
        </w:rPr>
      </w:pPr>
    </w:p>
    <w:p>
      <w:pPr>
        <w:spacing w:after="0" w:line="235"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Note I —</w:t>
      </w:r>
      <w:r>
        <w:rPr>
          <w:sz w:val="20"/>
          <w:szCs w:val="20"/>
          <w:color w:val="auto"/>
        </w:rPr>
        <w:tab/>
      </w:r>
      <w:r>
        <w:rPr>
          <w:rFonts w:ascii="Arial" w:cs="Arial" w:eastAsia="Arial" w:hAnsi="Arial"/>
          <w:sz w:val="12"/>
          <w:szCs w:val="12"/>
          <w:b w:val="1"/>
          <w:bCs w:val="1"/>
          <w:color w:val="auto"/>
        </w:rPr>
        <w:t>Accrued Warranties</w:t>
      </w:r>
    </w:p>
    <w:p>
      <w:pPr>
        <w:spacing w:after="0" w:line="104" w:lineRule="exact"/>
        <w:rPr>
          <w:sz w:val="20"/>
          <w:szCs w:val="20"/>
          <w:color w:val="auto"/>
        </w:rPr>
      </w:pPr>
    </w:p>
    <w:p>
      <w:pPr>
        <w:ind w:left="680" w:right="120" w:firstLine="399"/>
        <w:spacing w:after="0" w:line="294" w:lineRule="auto"/>
        <w:rPr>
          <w:sz w:val="20"/>
          <w:szCs w:val="20"/>
          <w:color w:val="auto"/>
        </w:rPr>
      </w:pPr>
      <w:r>
        <w:rPr>
          <w:rFonts w:ascii="Arial" w:cs="Arial" w:eastAsia="Arial" w:hAnsi="Arial"/>
          <w:sz w:val="13"/>
          <w:szCs w:val="13"/>
          <w:color w:val="auto"/>
        </w:rPr>
        <w:t>We have accrued for the estimated cost to repair or replace products under warranty at the time of sale. Changes in warranty liability, which is included as a component of other accrued items on the consolidated balance sheets, during the fiscal years ended July 3, 2009 and June 27, 2008, were as follows:</w:t>
      </w:r>
    </w:p>
    <w:p>
      <w:pPr>
        <w:spacing w:after="0" w:line="51" w:lineRule="exact"/>
        <w:rPr>
          <w:sz w:val="20"/>
          <w:szCs w:val="20"/>
          <w:color w:val="auto"/>
        </w:rPr>
      </w:pPr>
    </w:p>
    <w:tbl>
      <w:tblPr>
        <w:tblLayout w:type="fixed"/>
        <w:tblInd w:w="680" w:type="dxa"/>
        <w:tblCellMar>
          <w:top w:w="0" w:type="dxa"/>
          <w:left w:w="0" w:type="dxa"/>
          <w:bottom w:w="0" w:type="dxa"/>
          <w:right w:w="0" w:type="dxa"/>
        </w:tblCellMar>
      </w:tblPr>
      <w:tr>
        <w:trPr>
          <w:trHeight w:val="128"/>
        </w:trPr>
        <w:tc>
          <w:tcPr>
            <w:tcW w:w="7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80" w:type="dxa"/>
            <w:vAlign w:val="bottom"/>
            <w:gridSpan w:val="6"/>
          </w:tcPr>
          <w:p>
            <w:pPr>
              <w:jc w:val="right"/>
              <w:ind w:right="760"/>
              <w:spacing w:after="0"/>
              <w:rPr>
                <w:sz w:val="20"/>
                <w:szCs w:val="20"/>
                <w:color w:val="auto"/>
              </w:rPr>
            </w:pPr>
            <w:r>
              <w:rPr>
                <w:rFonts w:ascii="Arial" w:cs="Arial" w:eastAsia="Arial" w:hAnsi="Arial"/>
                <w:sz w:val="11"/>
                <w:szCs w:val="11"/>
                <w:b w:val="1"/>
                <w:bCs w:val="1"/>
                <w:color w:val="auto"/>
              </w:rPr>
              <w:t>Fiscal Year Ended</w:t>
            </w:r>
          </w:p>
        </w:tc>
      </w:tr>
      <w:tr>
        <w:trPr>
          <w:trHeight w:val="101"/>
        </w:trPr>
        <w:tc>
          <w:tcPr>
            <w:tcW w:w="7700" w:type="dxa"/>
            <w:vAlign w:val="bottom"/>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700" w:type="dxa"/>
            <w:vAlign w:val="bottom"/>
            <w:tcBorders>
              <w:top w:val="single" w:sz="8" w:color="auto"/>
              <w:bottom w:val="single" w:sz="8" w:color="auto"/>
            </w:tcBorders>
          </w:tcPr>
          <w:p>
            <w:pPr>
              <w:jc w:val="right"/>
              <w:ind w:right="56"/>
              <w:spacing w:after="0" w:line="101" w:lineRule="exact"/>
              <w:rPr>
                <w:sz w:val="20"/>
                <w:szCs w:val="20"/>
                <w:color w:val="auto"/>
              </w:rPr>
            </w:pPr>
            <w:r>
              <w:rPr>
                <w:rFonts w:ascii="Arial" w:cs="Arial" w:eastAsia="Arial" w:hAnsi="Arial"/>
                <w:sz w:val="11"/>
                <w:szCs w:val="11"/>
                <w:b w:val="1"/>
                <w:bCs w:val="1"/>
                <w:color w:val="auto"/>
                <w:w w:val="90"/>
              </w:rPr>
              <w:t>July 3, 2009</w:t>
            </w:r>
          </w:p>
        </w:tc>
        <w:tc>
          <w:tcPr>
            <w:tcW w:w="2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180" w:type="dxa"/>
            <w:vAlign w:val="bottom"/>
            <w:tcBorders>
              <w:top w:val="single" w:sz="8" w:color="auto"/>
              <w:bottom w:val="single" w:sz="8" w:color="auto"/>
            </w:tcBorders>
          </w:tcPr>
          <w:p>
            <w:pPr>
              <w:spacing w:after="0"/>
              <w:rPr>
                <w:sz w:val="8"/>
                <w:szCs w:val="8"/>
                <w:color w:val="auto"/>
              </w:rPr>
            </w:pPr>
          </w:p>
        </w:tc>
        <w:tc>
          <w:tcPr>
            <w:tcW w:w="820" w:type="dxa"/>
            <w:vAlign w:val="bottom"/>
            <w:tcBorders>
              <w:top w:val="single" w:sz="8" w:color="auto"/>
              <w:bottom w:val="single" w:sz="8" w:color="auto"/>
            </w:tcBorders>
          </w:tcPr>
          <w:p>
            <w:pPr>
              <w:jc w:val="right"/>
              <w:ind w:right="115"/>
              <w:spacing w:after="0" w:line="101" w:lineRule="exact"/>
              <w:rPr>
                <w:sz w:val="20"/>
                <w:szCs w:val="20"/>
                <w:color w:val="auto"/>
              </w:rPr>
            </w:pPr>
            <w:r>
              <w:rPr>
                <w:rFonts w:ascii="Arial" w:cs="Arial" w:eastAsia="Arial" w:hAnsi="Arial"/>
                <w:sz w:val="11"/>
                <w:szCs w:val="11"/>
                <w:b w:val="1"/>
                <w:bCs w:val="1"/>
                <w:color w:val="auto"/>
                <w:w w:val="86"/>
              </w:rPr>
              <w:t>June 27, 2008</w:t>
            </w:r>
          </w:p>
        </w:tc>
        <w:tc>
          <w:tcPr>
            <w:tcW w:w="80" w:type="dxa"/>
            <w:vAlign w:val="bottom"/>
          </w:tcPr>
          <w:p>
            <w:pPr>
              <w:spacing w:after="0"/>
              <w:rPr>
                <w:sz w:val="8"/>
                <w:szCs w:val="8"/>
                <w:color w:val="auto"/>
              </w:rPr>
            </w:pPr>
          </w:p>
        </w:tc>
      </w:tr>
      <w:tr>
        <w:trPr>
          <w:trHeight w:val="135"/>
        </w:trPr>
        <w:tc>
          <w:tcPr>
            <w:tcW w:w="7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gridSpan w:val="2"/>
          </w:tcPr>
          <w:p>
            <w:pPr>
              <w:jc w:val="right"/>
              <w:spacing w:after="0"/>
              <w:rPr>
                <w:sz w:val="20"/>
                <w:szCs w:val="20"/>
                <w:color w:val="auto"/>
              </w:rPr>
            </w:pPr>
            <w:r>
              <w:rPr>
                <w:rFonts w:ascii="Arial" w:cs="Arial" w:eastAsia="Arial" w:hAnsi="Arial"/>
                <w:sz w:val="11"/>
                <w:szCs w:val="11"/>
                <w:b w:val="1"/>
                <w:bCs w:val="1"/>
                <w:color w:val="auto"/>
                <w:w w:val="87"/>
              </w:rPr>
              <w:t>(In millions)</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7"/>
        </w:trPr>
        <w:tc>
          <w:tcPr>
            <w:tcW w:w="7700" w:type="dxa"/>
            <w:vAlign w:val="bottom"/>
            <w:shd w:val="clear" w:color="auto" w:fill="CCEEFF"/>
          </w:tcPr>
          <w:p>
            <w:pPr>
              <w:spacing w:after="0"/>
              <w:rPr>
                <w:sz w:val="20"/>
                <w:szCs w:val="20"/>
                <w:color w:val="auto"/>
              </w:rPr>
            </w:pPr>
            <w:r>
              <w:rPr>
                <w:rFonts w:ascii="Arial" w:cs="Arial" w:eastAsia="Arial" w:hAnsi="Arial"/>
                <w:sz w:val="13"/>
                <w:szCs w:val="13"/>
                <w:color w:val="auto"/>
              </w:rPr>
              <w:t>Balance as of the beginning of the fiscal year</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6.9</w:t>
            </w:r>
          </w:p>
        </w:tc>
        <w:tc>
          <w:tcPr>
            <w:tcW w:w="560" w:type="dxa"/>
            <w:vAlign w:val="bottom"/>
            <w:gridSpan w:val="2"/>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6.7</w:t>
            </w:r>
          </w:p>
        </w:tc>
      </w:tr>
      <w:tr>
        <w:trPr>
          <w:trHeight w:val="161"/>
        </w:trPr>
        <w:tc>
          <w:tcPr>
            <w:tcW w:w="7700" w:type="dxa"/>
            <w:vAlign w:val="bottom"/>
          </w:tcPr>
          <w:p>
            <w:pPr>
              <w:spacing w:after="0"/>
              <w:rPr>
                <w:sz w:val="20"/>
                <w:szCs w:val="20"/>
                <w:color w:val="auto"/>
              </w:rPr>
            </w:pPr>
            <w:r>
              <w:rPr>
                <w:rFonts w:ascii="Arial" w:cs="Arial" w:eastAsia="Arial" w:hAnsi="Arial"/>
                <w:sz w:val="13"/>
                <w:szCs w:val="13"/>
                <w:color w:val="auto"/>
              </w:rPr>
              <w:t>Acquisition of Telsima</w:t>
            </w:r>
          </w:p>
        </w:tc>
        <w:tc>
          <w:tcPr>
            <w:tcW w:w="100" w:type="dxa"/>
            <w:vAlign w:val="bottom"/>
          </w:tcPr>
          <w:p>
            <w:pPr>
              <w:spacing w:after="0"/>
              <w:rPr>
                <w:sz w:val="14"/>
                <w:szCs w:val="1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3"/>
                <w:szCs w:val="13"/>
                <w:color w:val="auto"/>
              </w:rPr>
              <w:t>0.3</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r>
      <w:tr>
        <w:trPr>
          <w:trHeight w:val="161"/>
        </w:trPr>
        <w:tc>
          <w:tcPr>
            <w:tcW w:w="7700" w:type="dxa"/>
            <w:vAlign w:val="bottom"/>
            <w:shd w:val="clear" w:color="auto" w:fill="CCEEFF"/>
          </w:tcPr>
          <w:p>
            <w:pPr>
              <w:spacing w:after="0"/>
              <w:rPr>
                <w:sz w:val="20"/>
                <w:szCs w:val="20"/>
                <w:color w:val="auto"/>
              </w:rPr>
            </w:pPr>
            <w:r>
              <w:rPr>
                <w:rFonts w:ascii="Arial" w:cs="Arial" w:eastAsia="Arial" w:hAnsi="Arial"/>
                <w:sz w:val="13"/>
                <w:szCs w:val="13"/>
                <w:color w:val="auto"/>
              </w:rPr>
              <w:t>Warranty provision for sales made during the fiscal year</w:t>
            </w: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4.0</w:t>
            </w:r>
          </w:p>
        </w:tc>
        <w:tc>
          <w:tcPr>
            <w:tcW w:w="3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8.5</w:t>
            </w:r>
          </w:p>
        </w:tc>
      </w:tr>
      <w:tr>
        <w:trPr>
          <w:trHeight w:val="161"/>
        </w:trPr>
        <w:tc>
          <w:tcPr>
            <w:tcW w:w="7700" w:type="dxa"/>
            <w:vAlign w:val="bottom"/>
          </w:tcPr>
          <w:p>
            <w:pPr>
              <w:spacing w:after="0"/>
              <w:rPr>
                <w:sz w:val="20"/>
                <w:szCs w:val="20"/>
                <w:color w:val="auto"/>
              </w:rPr>
            </w:pPr>
            <w:r>
              <w:rPr>
                <w:rFonts w:ascii="Arial" w:cs="Arial" w:eastAsia="Arial" w:hAnsi="Arial"/>
                <w:sz w:val="13"/>
                <w:szCs w:val="13"/>
                <w:color w:val="auto"/>
              </w:rPr>
              <w:t>Settlements made during the fiscal year</w:t>
            </w:r>
          </w:p>
        </w:tc>
        <w:tc>
          <w:tcPr>
            <w:tcW w:w="100" w:type="dxa"/>
            <w:vAlign w:val="bottom"/>
          </w:tcPr>
          <w:p>
            <w:pPr>
              <w:spacing w:after="0"/>
              <w:rPr>
                <w:sz w:val="14"/>
                <w:szCs w:val="14"/>
                <w:color w:val="auto"/>
              </w:rPr>
            </w:pPr>
          </w:p>
        </w:tc>
        <w:tc>
          <w:tcPr>
            <w:tcW w:w="1100" w:type="dxa"/>
            <w:vAlign w:val="bottom"/>
            <w:gridSpan w:val="3"/>
          </w:tcPr>
          <w:p>
            <w:pPr>
              <w:jc w:val="right"/>
              <w:ind w:right="300"/>
              <w:spacing w:after="0"/>
              <w:rPr>
                <w:sz w:val="20"/>
                <w:szCs w:val="20"/>
                <w:color w:val="auto"/>
              </w:rPr>
            </w:pPr>
            <w:r>
              <w:rPr>
                <w:rFonts w:ascii="Arial" w:cs="Arial" w:eastAsia="Arial" w:hAnsi="Arial"/>
                <w:sz w:val="13"/>
                <w:szCs w:val="13"/>
                <w:color w:val="auto"/>
              </w:rPr>
              <w:t>(5.7)</w:t>
            </w:r>
          </w:p>
        </w:tc>
        <w:tc>
          <w:tcPr>
            <w:tcW w:w="180" w:type="dxa"/>
            <w:vAlign w:val="bottom"/>
          </w:tcPr>
          <w:p>
            <w:pPr>
              <w:spacing w:after="0"/>
              <w:rPr>
                <w:sz w:val="14"/>
                <w:szCs w:val="14"/>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3"/>
                <w:szCs w:val="13"/>
                <w:color w:val="auto"/>
              </w:rPr>
              <w:t>(8.4)</w:t>
            </w:r>
          </w:p>
        </w:tc>
      </w:tr>
      <w:tr>
        <w:trPr>
          <w:trHeight w:val="161"/>
        </w:trPr>
        <w:tc>
          <w:tcPr>
            <w:tcW w:w="7700" w:type="dxa"/>
            <w:vAlign w:val="bottom"/>
            <w:shd w:val="clear" w:color="auto" w:fill="CCEEFF"/>
          </w:tcPr>
          <w:p>
            <w:pPr>
              <w:spacing w:after="0"/>
              <w:rPr>
                <w:sz w:val="20"/>
                <w:szCs w:val="20"/>
                <w:color w:val="auto"/>
              </w:rPr>
            </w:pPr>
            <w:r>
              <w:rPr>
                <w:rFonts w:ascii="Arial" w:cs="Arial" w:eastAsia="Arial" w:hAnsi="Arial"/>
                <w:sz w:val="13"/>
                <w:szCs w:val="13"/>
                <w:color w:val="auto"/>
              </w:rPr>
              <w:t>Other adjustments to the liability including foreign currency translation during the fiscal year</w:t>
            </w: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0.1</w:t>
            </w:r>
          </w:p>
        </w:tc>
      </w:tr>
      <w:tr>
        <w:trPr>
          <w:trHeight w:val="161"/>
        </w:trPr>
        <w:tc>
          <w:tcPr>
            <w:tcW w:w="7700" w:type="dxa"/>
            <w:vAlign w:val="bottom"/>
          </w:tcPr>
          <w:p>
            <w:pPr>
              <w:spacing w:after="0"/>
              <w:rPr>
                <w:sz w:val="20"/>
                <w:szCs w:val="20"/>
                <w:color w:val="auto"/>
              </w:rPr>
            </w:pPr>
            <w:r>
              <w:rPr>
                <w:rFonts w:ascii="Arial" w:cs="Arial" w:eastAsia="Arial" w:hAnsi="Arial"/>
                <w:sz w:val="13"/>
                <w:szCs w:val="13"/>
                <w:color w:val="auto"/>
              </w:rPr>
              <w:t>Balance as of the end of the fiscal year</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5.5</w:t>
            </w:r>
          </w:p>
        </w:tc>
        <w:tc>
          <w:tcPr>
            <w:tcW w:w="2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6.9</w:t>
            </w:r>
          </w:p>
        </w:tc>
        <w:tc>
          <w:tcPr>
            <w:tcW w:w="80" w:type="dxa"/>
            <w:vAlign w:val="bottom"/>
          </w:tcPr>
          <w:p>
            <w:pPr>
              <w:spacing w:after="0"/>
              <w:rPr>
                <w:sz w:val="14"/>
                <w:szCs w:val="14"/>
                <w:color w:val="auto"/>
              </w:rPr>
            </w:pPr>
          </w:p>
        </w:tc>
      </w:tr>
      <w:tr>
        <w:trPr>
          <w:trHeight w:val="20"/>
        </w:trPr>
        <w:tc>
          <w:tcPr>
            <w:tcW w:w="7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9"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Note J —</w:t>
      </w:r>
      <w:r>
        <w:rPr>
          <w:sz w:val="20"/>
          <w:szCs w:val="20"/>
          <w:color w:val="auto"/>
        </w:rPr>
        <w:tab/>
      </w:r>
      <w:r>
        <w:rPr>
          <w:rFonts w:ascii="Arial" w:cs="Arial" w:eastAsia="Arial" w:hAnsi="Arial"/>
          <w:sz w:val="11"/>
          <w:szCs w:val="11"/>
          <w:b w:val="1"/>
          <w:bCs w:val="1"/>
          <w:color w:val="auto"/>
        </w:rPr>
        <w:t>Redeemable Preference Shares</w:t>
      </w:r>
    </w:p>
    <w:p>
      <w:pPr>
        <w:spacing w:after="0" w:line="104" w:lineRule="exact"/>
        <w:rPr>
          <w:sz w:val="20"/>
          <w:szCs w:val="20"/>
          <w:color w:val="auto"/>
        </w:rPr>
      </w:pPr>
    </w:p>
    <w:p>
      <w:pPr>
        <w:ind w:left="680" w:right="60" w:firstLine="399"/>
        <w:spacing w:after="0" w:line="292" w:lineRule="auto"/>
        <w:rPr>
          <w:sz w:val="20"/>
          <w:szCs w:val="20"/>
          <w:color w:val="auto"/>
        </w:rPr>
      </w:pPr>
      <w:r>
        <w:rPr>
          <w:rFonts w:ascii="Arial" w:cs="Arial" w:eastAsia="Arial" w:hAnsi="Arial"/>
          <w:sz w:val="12"/>
          <w:szCs w:val="12"/>
          <w:color w:val="auto"/>
        </w:rPr>
        <w:t>During fiscal 2007, our Singapore subsidiary issued 8,250 redeemable preference shares to the U.S. parent company which, in turn, sold the shares to two unrelated investment companies at par value for total sale proceeds of $8.25 million. Upon original issuance in fiscal 2007, our former majority shareholder Harris guaranteed redemption of these preference shares directly with these two unrelated investment companies through the existence of put option arrangements. During May 2009, one of these unrelated investment companies exercised a put option with Harris and sold its entire interest in 3,250 redeemable preference shares at face value to Harris. Accordingly, Harris owns this partial interest in our redeemable preference shares outstanding as of July 3, 2009. In view of this transaction occurring within two months of July 3, 2009, and the existence of a put option held by the remaining unrelated investor, we believe the fair value of these redeemable preference approximates the carrying value on our balance sheet as of July 3, 2009.</w:t>
      </w:r>
    </w:p>
    <w:p>
      <w:pPr>
        <w:spacing w:after="0" w:line="51"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These redeemable preference shares represent less than a 1% interest in our Singapore subsidiary. The redeemable preference shares have an automatic redemption date of January 2017, which is 10 years from the date of issue. Preference dividends are cumulative and payable quarterly in cash at the rate of 12% per annum. The holders of the redeemable preference shares have liquidation rights in priority of all classes of capital stock of our Singapore subsidiary. The holders of the redeemable preference shares do not have any other participation in, or rights to, our profits, assets or capital shares, and do not have rights to vote as a shareholder of the Singapore subsidiary unless the preference dividend or any part thereof is in arrears and has remained unpaid for at least 12 months after it has been declared. During fiscal 2009, 2008 and 2007, preference dividends totaling $1.0 million, $1.0 million and $0.4 million were recorded as interest expense in the accompanying Consolidated Statements of Operations. We have classified the redeemable preference shares as a long-term liability due to the mandatory redemption provision 10 years from issue date.</w:t>
      </w:r>
    </w:p>
    <w:p>
      <w:pPr>
        <w:spacing w:after="0" w:line="6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Singapore subsidiary has the right at any time after 5 years from the issue date to redeem, in whole or in part, the redeemable preference shares as follows:</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105% of the issue price after 5 years but before 6 years from issue date</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104% of the issue price after 6 years but before 7 years from issue date</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103% of the issue price after 7 years but before 8 years from issue date</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102% of the issue price after 8 years but before 9 years from issue date</w:t>
      </w:r>
    </w:p>
    <w:p>
      <w:pPr>
        <w:spacing w:after="0" w:line="31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92" w:name="page93"/>
    <w:bookmarkEnd w:id="9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HARRIS STRATEX NETWORKS, INC. AND SUBSIDIARIES</w:t>
      </w:r>
    </w:p>
    <w:p>
      <w:pPr>
        <w:spacing w:after="0" w:line="102"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6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101% of the issue price after 9 years but before 10 years from issue date</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100% of the issue price at the automatic redemption date of 10 years from issue date</w:t>
      </w:r>
    </w:p>
    <w:p>
      <w:pPr>
        <w:spacing w:after="0" w:line="181"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Note K —</w:t>
      </w:r>
      <w:r>
        <w:rPr>
          <w:sz w:val="20"/>
          <w:szCs w:val="20"/>
          <w:color w:val="auto"/>
        </w:rPr>
        <w:tab/>
      </w:r>
      <w:r>
        <w:rPr>
          <w:rFonts w:ascii="Arial" w:cs="Arial" w:eastAsia="Arial" w:hAnsi="Arial"/>
          <w:sz w:val="12"/>
          <w:szCs w:val="12"/>
          <w:b w:val="1"/>
          <w:bCs w:val="1"/>
          <w:color w:val="auto"/>
        </w:rPr>
        <w:t>Restructuring Activities</w:t>
      </w:r>
    </w:p>
    <w:p>
      <w:pPr>
        <w:spacing w:after="0" w:line="104" w:lineRule="exact"/>
        <w:rPr>
          <w:sz w:val="20"/>
          <w:szCs w:val="20"/>
          <w:color w:val="auto"/>
        </w:rPr>
      </w:pPr>
    </w:p>
    <w:p>
      <w:pPr>
        <w:ind w:left="680" w:right="40" w:firstLine="399"/>
        <w:spacing w:after="0" w:line="270" w:lineRule="auto"/>
        <w:rPr>
          <w:sz w:val="20"/>
          <w:szCs w:val="20"/>
          <w:color w:val="auto"/>
        </w:rPr>
      </w:pPr>
      <w:r>
        <w:rPr>
          <w:rFonts w:ascii="Arial" w:cs="Arial" w:eastAsia="Arial" w:hAnsi="Arial"/>
          <w:sz w:val="13"/>
          <w:szCs w:val="13"/>
          <w:color w:val="auto"/>
        </w:rPr>
        <w:t>During the first quarter of fiscal 2009, we announced a new restructuring plan (the “Fiscal 2009 Plan”) to reduce our worldwide workforce. During fiscal 2008, Harris Stratex completed its restructuring activities implemented within the merger restructuring plans (the “Fiscal 2007 Plans”) approved in connection with the January 26, 2007 merger between the Microwave Communications Division of Harris Corporation and Stratex. These restructuring plans included the consolidation of facilities and operations of the predecessor entities in Canada, France, the U.S., China, Brazil and, to a lesser extent, Mexico, New Zealand and the United Kingdom.</w:t>
      </w:r>
    </w:p>
    <w:p>
      <w:pPr>
        <w:spacing w:after="0" w:line="6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During fiscal 2009, our net restructuring charges totaled $8.2 million and consisted of:</w:t>
      </w:r>
    </w:p>
    <w:p>
      <w:pPr>
        <w:spacing w:after="0" w:line="102" w:lineRule="exact"/>
        <w:rPr>
          <w:sz w:val="20"/>
          <w:szCs w:val="20"/>
          <w:color w:val="auto"/>
        </w:rPr>
      </w:pPr>
    </w:p>
    <w:p>
      <w:pPr>
        <w:ind w:left="1300" w:hanging="208"/>
        <w:spacing w:after="0"/>
        <w:tabs>
          <w:tab w:leader="none" w:pos="1300" w:val="left"/>
        </w:tabs>
        <w:numPr>
          <w:ilvl w:val="0"/>
          <w:numId w:val="32"/>
        </w:numPr>
        <w:rPr>
          <w:rFonts w:ascii="Arial" w:cs="Arial" w:eastAsia="Arial" w:hAnsi="Arial"/>
          <w:sz w:val="13"/>
          <w:szCs w:val="13"/>
          <w:color w:val="auto"/>
        </w:rPr>
      </w:pPr>
      <w:r>
        <w:rPr>
          <w:rFonts w:ascii="Arial" w:cs="Arial" w:eastAsia="Arial" w:hAnsi="Arial"/>
          <w:sz w:val="13"/>
          <w:szCs w:val="13"/>
          <w:color w:val="auto"/>
        </w:rPr>
        <w:t>Severance, retention and related charges associated with reduction in force activities totaling $8.0 million (Fiscal 2009 Plan).</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32"/>
        </w:numPr>
        <w:rPr>
          <w:rFonts w:ascii="Arial" w:cs="Arial" w:eastAsia="Arial" w:hAnsi="Arial"/>
          <w:sz w:val="13"/>
          <w:szCs w:val="13"/>
          <w:color w:val="auto"/>
        </w:rPr>
      </w:pPr>
      <w:r>
        <w:rPr>
          <w:rFonts w:ascii="Arial" w:cs="Arial" w:eastAsia="Arial" w:hAnsi="Arial"/>
          <w:sz w:val="13"/>
          <w:szCs w:val="13"/>
          <w:color w:val="auto"/>
        </w:rPr>
        <w:t>Impairment of fixed assets (non-cash charges) totaling $0.4 million and facility restoration costs of $0.3 million at our Canadian location (Fiscal 2009 Plan).</w:t>
      </w:r>
    </w:p>
    <w:p>
      <w:pPr>
        <w:spacing w:after="0" w:line="92" w:lineRule="exact"/>
        <w:rPr>
          <w:rFonts w:ascii="Arial" w:cs="Arial" w:eastAsia="Arial" w:hAnsi="Arial"/>
          <w:sz w:val="13"/>
          <w:szCs w:val="13"/>
          <w:color w:val="auto"/>
        </w:rPr>
      </w:pPr>
    </w:p>
    <w:p>
      <w:pPr>
        <w:ind w:left="1300" w:right="240" w:hanging="208"/>
        <w:spacing w:after="0" w:line="294" w:lineRule="auto"/>
        <w:tabs>
          <w:tab w:leader="none" w:pos="1300" w:val="left"/>
        </w:tabs>
        <w:numPr>
          <w:ilvl w:val="0"/>
          <w:numId w:val="32"/>
        </w:numPr>
        <w:rPr>
          <w:rFonts w:ascii="Arial" w:cs="Arial" w:eastAsia="Arial" w:hAnsi="Arial"/>
          <w:sz w:val="13"/>
          <w:szCs w:val="13"/>
          <w:color w:val="auto"/>
        </w:rPr>
      </w:pPr>
      <w:r>
        <w:rPr>
          <w:rFonts w:ascii="Arial" w:cs="Arial" w:eastAsia="Arial" w:hAnsi="Arial"/>
          <w:sz w:val="13"/>
          <w:szCs w:val="13"/>
          <w:color w:val="auto"/>
        </w:rPr>
        <w:t>Adjustments to the restructuring liability under the 2007 Restructuring Plans for changes in estimates related to sub-tenant activity at our U.S. ($0.1 million increase) and Canadian locations ($0.3 million decrease).</w:t>
      </w:r>
    </w:p>
    <w:p>
      <w:pPr>
        <w:spacing w:after="0" w:line="36" w:lineRule="exact"/>
        <w:rPr>
          <w:rFonts w:ascii="Arial" w:cs="Arial" w:eastAsia="Arial" w:hAnsi="Arial"/>
          <w:sz w:val="13"/>
          <w:szCs w:val="13"/>
          <w:color w:val="auto"/>
        </w:rPr>
      </w:pPr>
    </w:p>
    <w:p>
      <w:pPr>
        <w:ind w:left="1080" w:right="120" w:firstLine="12"/>
        <w:spacing w:after="0" w:line="368" w:lineRule="auto"/>
        <w:tabs>
          <w:tab w:leader="none" w:pos="1286" w:val="left"/>
        </w:tabs>
        <w:numPr>
          <w:ilvl w:val="0"/>
          <w:numId w:val="32"/>
        </w:numPr>
        <w:rPr>
          <w:rFonts w:ascii="Arial" w:cs="Arial" w:eastAsia="Arial" w:hAnsi="Arial"/>
          <w:sz w:val="12"/>
          <w:szCs w:val="12"/>
          <w:color w:val="auto"/>
        </w:rPr>
      </w:pPr>
      <w:r>
        <w:rPr>
          <w:rFonts w:ascii="Arial" w:cs="Arial" w:eastAsia="Arial" w:hAnsi="Arial"/>
          <w:sz w:val="12"/>
          <w:szCs w:val="12"/>
          <w:color w:val="auto"/>
        </w:rPr>
        <w:t>Adjustments to the restructuring liability under the 2007 Restructuring Plans for changes in estimates to reduce the severance liability in Canada ($0.3 million decrease). During fiscal 2008, we recorded $9.3 million of restructuring charges in connection with completion of the Fiscal 2007 Plans. These fiscal 2008 restructuring charges consisted</w:t>
      </w:r>
    </w:p>
    <w:p>
      <w:pPr>
        <w:ind w:left="680"/>
        <w:spacing w:after="0"/>
        <w:rPr>
          <w:sz w:val="20"/>
          <w:szCs w:val="20"/>
          <w:color w:val="auto"/>
        </w:rPr>
      </w:pPr>
      <w:r>
        <w:rPr>
          <w:rFonts w:ascii="Arial" w:cs="Arial" w:eastAsia="Arial" w:hAnsi="Arial"/>
          <w:sz w:val="13"/>
          <w:szCs w:val="13"/>
          <w:color w:val="auto"/>
        </w:rPr>
        <w:t>of:</w:t>
      </w:r>
    </w:p>
    <w:p>
      <w:pPr>
        <w:spacing w:after="0" w:line="92" w:lineRule="exact"/>
        <w:rPr>
          <w:sz w:val="20"/>
          <w:szCs w:val="20"/>
          <w:color w:val="auto"/>
        </w:rPr>
      </w:pPr>
    </w:p>
    <w:p>
      <w:pPr>
        <w:ind w:left="1080" w:right="60" w:firstLine="383"/>
        <w:spacing w:after="0" w:line="294" w:lineRule="auto"/>
        <w:rPr>
          <w:sz w:val="20"/>
          <w:szCs w:val="20"/>
          <w:color w:val="auto"/>
        </w:rPr>
      </w:pPr>
      <w:r>
        <w:rPr>
          <w:rFonts w:ascii="Arial" w:cs="Arial" w:eastAsia="Arial" w:hAnsi="Arial"/>
          <w:sz w:val="13"/>
          <w:szCs w:val="13"/>
          <w:color w:val="auto"/>
        </w:rPr>
        <w:t>Severance, retention and related charges associated with reduction in force activities totaling $3.4 million ($4.0 in fiscal 2008 charges, less $0.6 million for a reduction in the restructuring liability recorded for Canada and France as of June 29, 2007).</w:t>
      </w:r>
    </w:p>
    <w:p>
      <w:pPr>
        <w:spacing w:after="0" w:line="47" w:lineRule="exact"/>
        <w:rPr>
          <w:sz w:val="20"/>
          <w:szCs w:val="20"/>
          <w:color w:val="auto"/>
        </w:rPr>
      </w:pPr>
    </w:p>
    <w:p>
      <w:pPr>
        <w:ind w:left="1080" w:right="480" w:firstLine="383"/>
        <w:spacing w:after="0" w:line="294" w:lineRule="auto"/>
        <w:rPr>
          <w:sz w:val="20"/>
          <w:szCs w:val="20"/>
          <w:color w:val="auto"/>
        </w:rPr>
      </w:pPr>
      <w:r>
        <w:rPr>
          <w:rFonts w:ascii="Arial" w:cs="Arial" w:eastAsia="Arial" w:hAnsi="Arial"/>
          <w:sz w:val="13"/>
          <w:szCs w:val="13"/>
          <w:color w:val="auto"/>
        </w:rPr>
        <w:t>Lease impairment charges totaling $1.8 from implementation of fiscal 2007 plans and changes in estimates related to sub-tenant activity at our U.S. and Canadian locations.</w:t>
      </w:r>
    </w:p>
    <w:p>
      <w:pPr>
        <w:spacing w:after="0" w:line="47" w:lineRule="exact"/>
        <w:rPr>
          <w:sz w:val="20"/>
          <w:szCs w:val="20"/>
          <w:color w:val="auto"/>
        </w:rPr>
      </w:pPr>
    </w:p>
    <w:p>
      <w:pPr>
        <w:ind w:left="1480"/>
        <w:spacing w:after="0"/>
        <w:rPr>
          <w:sz w:val="20"/>
          <w:szCs w:val="20"/>
          <w:color w:val="auto"/>
        </w:rPr>
      </w:pPr>
      <w:r>
        <w:rPr>
          <w:rFonts w:ascii="Arial" w:cs="Arial" w:eastAsia="Arial" w:hAnsi="Arial"/>
          <w:sz w:val="13"/>
          <w:szCs w:val="13"/>
          <w:color w:val="auto"/>
        </w:rPr>
        <w:t>Impairment of fixed assets and leasehold improvements totaling $1.9 million at our Canadian location.</w:t>
      </w:r>
    </w:p>
    <w:p>
      <w:pPr>
        <w:spacing w:after="0" w:line="102" w:lineRule="exact"/>
        <w:rPr>
          <w:sz w:val="20"/>
          <w:szCs w:val="20"/>
          <w:color w:val="auto"/>
        </w:rPr>
      </w:pPr>
    </w:p>
    <w:p>
      <w:pPr>
        <w:ind w:left="1080" w:right="20" w:firstLine="383"/>
        <w:spacing w:after="0" w:line="294" w:lineRule="auto"/>
        <w:rPr>
          <w:sz w:val="20"/>
          <w:szCs w:val="20"/>
          <w:color w:val="auto"/>
        </w:rPr>
      </w:pPr>
      <w:r>
        <w:rPr>
          <w:rFonts w:ascii="Arial" w:cs="Arial" w:eastAsia="Arial" w:hAnsi="Arial"/>
          <w:sz w:val="13"/>
          <w:szCs w:val="13"/>
          <w:color w:val="auto"/>
        </w:rPr>
        <w:t>Impairment of a recoverable value-added type tax in Brazil totaling $2.2 million resulting from our scaled down operations and reduced activity which negatively affected the fair value of this recoverable asset (included in “Other current assets” on our consolidated balance sheets).</w:t>
      </w:r>
    </w:p>
    <w:p>
      <w:pPr>
        <w:spacing w:after="0" w:line="47" w:lineRule="exact"/>
        <w:rPr>
          <w:sz w:val="20"/>
          <w:szCs w:val="20"/>
          <w:color w:val="auto"/>
        </w:rPr>
      </w:pPr>
    </w:p>
    <w:p>
      <w:pPr>
        <w:ind w:left="680" w:firstLine="399"/>
        <w:spacing w:after="0" w:line="292" w:lineRule="auto"/>
        <w:rPr>
          <w:sz w:val="20"/>
          <w:szCs w:val="20"/>
          <w:color w:val="auto"/>
        </w:rPr>
      </w:pPr>
      <w:r>
        <w:rPr>
          <w:rFonts w:ascii="Arial" w:cs="Arial" w:eastAsia="Arial" w:hAnsi="Arial"/>
          <w:sz w:val="12"/>
          <w:szCs w:val="12"/>
          <w:color w:val="auto"/>
        </w:rPr>
        <w:t>During the third quarter of fiscal 2007, in connection with the Stratex acquisition on January 26, 2007, we assumed $12.0 million of restructuring liabilities representing the fair value of Stratex restructuring liabilities incurred prior to, and not related to, the acquisition as summarized in the table below. These charges related to building lease obligations at four of Stratex’ U.S. facilities. During fiscal 2008, we made payments of $4.8 million on these leases, which reduced the liability by $4.1 million, net of $0.7 million in interest expense. Also during the second quarter of fiscal 2008, new information became available with regard to our utilization of the space under these building lease obligations and we reduced our restructuring liability by $1.1 million with an offsetting decrease to goodwill under purchase accounting. Subsequent to the one-year window under purchase accounting, we updated our estimate of the utilization of this space under these lease obligations and increased the liability by $0.5 million with an increase to restructuring expense.</w:t>
      </w:r>
    </w:p>
    <w:p>
      <w:pPr>
        <w:spacing w:after="0" w:line="262"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9" w:right="1039" w:bottom="1440" w:gutter="0" w:footer="0" w:header="0"/>
        </w:sectPr>
      </w:pPr>
    </w:p>
    <w:bookmarkStart w:id="93" w:name="page94"/>
    <w:bookmarkEnd w:id="9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HARRIS STRATEX NETWORKS, INC. AND SUBSIDIARIES</w:t>
      </w:r>
    </w:p>
    <w:p>
      <w:pPr>
        <w:spacing w:after="0" w:line="102"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6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information in the following table summarizes our restructuring activity during the last three fiscal years and the remaining restructuring liability as of July 3, 2009.</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7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3"/>
          </w:tcPr>
          <w:p>
            <w:pPr>
              <w:jc w:val="center"/>
              <w:ind w:right="260"/>
              <w:spacing w:after="0"/>
              <w:rPr>
                <w:sz w:val="20"/>
                <w:szCs w:val="20"/>
                <w:color w:val="auto"/>
              </w:rPr>
            </w:pPr>
            <w:r>
              <w:rPr>
                <w:rFonts w:ascii="Arial" w:cs="Arial" w:eastAsia="Arial" w:hAnsi="Arial"/>
                <w:sz w:val="11"/>
                <w:szCs w:val="11"/>
                <w:b w:val="1"/>
                <w:bCs w:val="1"/>
                <w:color w:val="auto"/>
                <w:w w:val="83"/>
              </w:rPr>
              <w:t>Severance</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tcPr>
          <w:p>
            <w:pPr>
              <w:jc w:val="center"/>
              <w:ind w:right="460"/>
              <w:spacing w:after="0"/>
              <w:rPr>
                <w:sz w:val="20"/>
                <w:szCs w:val="20"/>
                <w:color w:val="auto"/>
              </w:rPr>
            </w:pPr>
            <w:r>
              <w:rPr>
                <w:rFonts w:ascii="Arial" w:cs="Arial" w:eastAsia="Arial" w:hAnsi="Arial"/>
                <w:sz w:val="11"/>
                <w:szCs w:val="11"/>
                <w:b w:val="1"/>
                <w:bCs w:val="1"/>
                <w:color w:val="auto"/>
                <w:w w:val="89"/>
              </w:rPr>
              <w:t>Facilities</w:t>
            </w: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73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3"/>
          </w:tcPr>
          <w:p>
            <w:pPr>
              <w:jc w:val="center"/>
              <w:ind w:right="260"/>
              <w:spacing w:after="0" w:line="111" w:lineRule="exact"/>
              <w:rPr>
                <w:sz w:val="20"/>
                <w:szCs w:val="20"/>
                <w:color w:val="auto"/>
              </w:rPr>
            </w:pPr>
            <w:r>
              <w:rPr>
                <w:rFonts w:ascii="Arial" w:cs="Arial" w:eastAsia="Arial" w:hAnsi="Arial"/>
                <w:sz w:val="11"/>
                <w:szCs w:val="11"/>
                <w:b w:val="1"/>
                <w:bCs w:val="1"/>
                <w:color w:val="auto"/>
                <w:w w:val="91"/>
              </w:rPr>
              <w:t>and</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2"/>
          </w:tcPr>
          <w:p>
            <w:pPr>
              <w:jc w:val="center"/>
              <w:ind w:right="460"/>
              <w:spacing w:after="0" w:line="111" w:lineRule="exact"/>
              <w:rPr>
                <w:sz w:val="20"/>
                <w:szCs w:val="20"/>
                <w:color w:val="auto"/>
              </w:rPr>
            </w:pPr>
            <w:r>
              <w:rPr>
                <w:rFonts w:ascii="Arial" w:cs="Arial" w:eastAsia="Arial" w:hAnsi="Arial"/>
                <w:sz w:val="11"/>
                <w:szCs w:val="11"/>
                <w:b w:val="1"/>
                <w:bCs w:val="1"/>
                <w:color w:val="auto"/>
                <w:w w:val="91"/>
              </w:rPr>
              <w:t>and</w:t>
            </w:r>
          </w:p>
        </w:tc>
        <w:tc>
          <w:tcPr>
            <w:tcW w:w="100" w:type="dxa"/>
            <w:vAlign w:val="bottom"/>
          </w:tcPr>
          <w:p>
            <w:pPr>
              <w:spacing w:after="0"/>
              <w:rPr>
                <w:sz w:val="9"/>
                <w:szCs w:val="9"/>
                <w:color w:val="auto"/>
              </w:rPr>
            </w:pPr>
          </w:p>
        </w:tc>
        <w:tc>
          <w:tcPr>
            <w:tcW w:w="400" w:type="dxa"/>
            <w:vAlign w:val="bottom"/>
            <w:vMerge w:val="restart"/>
          </w:tcPr>
          <w:p>
            <w:pPr>
              <w:jc w:val="right"/>
              <w:ind w:right="73"/>
              <w:spacing w:after="0"/>
              <w:rPr>
                <w:sz w:val="20"/>
                <w:szCs w:val="20"/>
                <w:color w:val="auto"/>
              </w:rPr>
            </w:pPr>
            <w:r>
              <w:rPr>
                <w:rFonts w:ascii="Arial" w:cs="Arial" w:eastAsia="Arial" w:hAnsi="Arial"/>
                <w:sz w:val="11"/>
                <w:szCs w:val="11"/>
                <w:b w:val="1"/>
                <w:bCs w:val="1"/>
                <w:color w:val="auto"/>
                <w:w w:val="91"/>
              </w:rPr>
              <w:t>Total</w:t>
            </w:r>
          </w:p>
        </w:tc>
        <w:tc>
          <w:tcPr>
            <w:tcW w:w="8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73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center"/>
              <w:ind w:right="15"/>
              <w:spacing w:after="0"/>
              <w:rPr>
                <w:sz w:val="20"/>
                <w:szCs w:val="20"/>
                <w:color w:val="auto"/>
              </w:rPr>
            </w:pPr>
            <w:r>
              <w:rPr>
                <w:rFonts w:ascii="Arial" w:cs="Arial" w:eastAsia="Arial" w:hAnsi="Arial"/>
                <w:sz w:val="11"/>
                <w:szCs w:val="11"/>
                <w:b w:val="1"/>
                <w:bCs w:val="1"/>
                <w:color w:val="auto"/>
                <w:w w:val="87"/>
              </w:rPr>
              <w:t>Benefits</w:t>
            </w:r>
          </w:p>
        </w:tc>
        <w:tc>
          <w:tcPr>
            <w:tcW w:w="180" w:type="dxa"/>
            <w:vAlign w:val="bottom"/>
            <w:gridSpan w:val="2"/>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center"/>
              <w:ind w:right="15"/>
              <w:spacing w:after="0"/>
              <w:rPr>
                <w:sz w:val="20"/>
                <w:szCs w:val="20"/>
                <w:color w:val="auto"/>
              </w:rPr>
            </w:pPr>
            <w:r>
              <w:rPr>
                <w:rFonts w:ascii="Arial" w:cs="Arial" w:eastAsia="Arial" w:hAnsi="Arial"/>
                <w:sz w:val="11"/>
                <w:szCs w:val="11"/>
                <w:b w:val="1"/>
                <w:bCs w:val="1"/>
                <w:color w:val="auto"/>
                <w:w w:val="95"/>
              </w:rPr>
              <w:t>Other</w:t>
            </w: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7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3"/>
          </w:tcPr>
          <w:p>
            <w:pPr>
              <w:jc w:val="right"/>
              <w:ind w:right="55"/>
              <w:spacing w:after="0"/>
              <w:rPr>
                <w:sz w:val="20"/>
                <w:szCs w:val="20"/>
                <w:color w:val="auto"/>
              </w:rPr>
            </w:pPr>
            <w:r>
              <w:rPr>
                <w:rFonts w:ascii="Arial" w:cs="Arial" w:eastAsia="Arial" w:hAnsi="Arial"/>
                <w:sz w:val="11"/>
                <w:szCs w:val="11"/>
                <w:b w:val="1"/>
                <w:bCs w:val="1"/>
                <w:color w:val="auto"/>
              </w:rPr>
              <w:t>(In millions)</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Total restructuring liability balance as of June 30, 2006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1.9</w:t>
            </w:r>
          </w:p>
        </w:tc>
        <w:tc>
          <w:tcPr>
            <w:tcW w:w="16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0.3</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161"/>
        </w:trPr>
        <w:tc>
          <w:tcPr>
            <w:tcW w:w="7300" w:type="dxa"/>
            <w:vAlign w:val="bottom"/>
          </w:tcPr>
          <w:p>
            <w:pPr>
              <w:spacing w:after="0"/>
              <w:rPr>
                <w:sz w:val="20"/>
                <w:szCs w:val="20"/>
                <w:color w:val="auto"/>
              </w:rPr>
            </w:pPr>
            <w:r>
              <w:rPr>
                <w:rFonts w:ascii="Arial" w:cs="Arial" w:eastAsia="Arial" w:hAnsi="Arial"/>
                <w:sz w:val="13"/>
                <w:szCs w:val="13"/>
                <w:color w:val="auto"/>
              </w:rPr>
              <w:t>Acquisition of Stratex restructuring liability on January 26, 2007</w:t>
            </w:r>
          </w:p>
        </w:tc>
        <w:tc>
          <w:tcPr>
            <w:tcW w:w="80" w:type="dxa"/>
            <w:vAlign w:val="bottom"/>
          </w:tcPr>
          <w:p>
            <w:pPr>
              <w:spacing w:after="0"/>
              <w:rPr>
                <w:sz w:val="14"/>
                <w:szCs w:val="14"/>
                <w:color w:val="auto"/>
              </w:rPr>
            </w:pPr>
          </w:p>
        </w:tc>
        <w:tc>
          <w:tcPr>
            <w:tcW w:w="80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12.0</w:t>
            </w:r>
          </w:p>
        </w:tc>
        <w:tc>
          <w:tcPr>
            <w:tcW w:w="100" w:type="dxa"/>
            <w:vAlign w:val="bottom"/>
          </w:tcPr>
          <w:p>
            <w:pPr>
              <w:spacing w:after="0"/>
              <w:rPr>
                <w:sz w:val="14"/>
                <w:szCs w:val="14"/>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3"/>
                <w:szCs w:val="13"/>
                <w:color w:val="auto"/>
              </w:rPr>
              <w:t>12.0</w:t>
            </w:r>
          </w:p>
        </w:tc>
        <w:tc>
          <w:tcPr>
            <w:tcW w:w="0" w:type="dxa"/>
            <w:vAlign w:val="bottom"/>
          </w:tcPr>
          <w:p>
            <w:pPr>
              <w:spacing w:after="0"/>
              <w:rPr>
                <w:sz w:val="1"/>
                <w:szCs w:val="1"/>
                <w:color w:val="auto"/>
              </w:rPr>
            </w:pPr>
          </w:p>
        </w:tc>
      </w:tr>
      <w:tr>
        <w:trPr>
          <w:trHeight w:val="161"/>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Provision in fiscal 2007</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9.3</w:t>
            </w: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9.3</w:t>
            </w:r>
          </w:p>
        </w:tc>
        <w:tc>
          <w:tcPr>
            <w:tcW w:w="0" w:type="dxa"/>
            <w:vAlign w:val="bottom"/>
          </w:tcPr>
          <w:p>
            <w:pPr>
              <w:spacing w:after="0"/>
              <w:rPr>
                <w:sz w:val="1"/>
                <w:szCs w:val="1"/>
                <w:color w:val="auto"/>
              </w:rPr>
            </w:pPr>
          </w:p>
        </w:tc>
      </w:tr>
      <w:tr>
        <w:trPr>
          <w:trHeight w:val="161"/>
        </w:trPr>
        <w:tc>
          <w:tcPr>
            <w:tcW w:w="7300" w:type="dxa"/>
            <w:vAlign w:val="bottom"/>
          </w:tcPr>
          <w:p>
            <w:pPr>
              <w:spacing w:after="0"/>
              <w:rPr>
                <w:sz w:val="20"/>
                <w:szCs w:val="20"/>
                <w:color w:val="auto"/>
              </w:rPr>
            </w:pPr>
            <w:r>
              <w:rPr>
                <w:rFonts w:ascii="Arial" w:cs="Arial" w:eastAsia="Arial" w:hAnsi="Arial"/>
                <w:sz w:val="13"/>
                <w:szCs w:val="13"/>
                <w:color w:val="auto"/>
              </w:rPr>
              <w:t>Cash payments in fiscal 2007</w:t>
            </w:r>
          </w:p>
        </w:tc>
        <w:tc>
          <w:tcPr>
            <w:tcW w:w="80" w:type="dxa"/>
            <w:vAlign w:val="bottom"/>
          </w:tcPr>
          <w:p>
            <w:pPr>
              <w:spacing w:after="0"/>
              <w:rPr>
                <w:sz w:val="14"/>
                <w:szCs w:val="14"/>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3"/>
                <w:szCs w:val="13"/>
                <w:color w:val="auto"/>
              </w:rPr>
              <w:t>(3.4)</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14"/>
                <w:szCs w:val="14"/>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(4.9)</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Total restructuring liability as of June 29, 2007</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10.8</w:t>
            </w:r>
          </w:p>
        </w:tc>
        <w:tc>
          <w:tcPr>
            <w:tcW w:w="10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18.6</w:t>
            </w:r>
          </w:p>
        </w:tc>
        <w:tc>
          <w:tcPr>
            <w:tcW w:w="0" w:type="dxa"/>
            <w:vAlign w:val="bottom"/>
          </w:tcPr>
          <w:p>
            <w:pPr>
              <w:spacing w:after="0"/>
              <w:rPr>
                <w:sz w:val="1"/>
                <w:szCs w:val="1"/>
                <w:color w:val="auto"/>
              </w:rPr>
            </w:pPr>
          </w:p>
        </w:tc>
      </w:tr>
      <w:tr>
        <w:trPr>
          <w:trHeight w:val="161"/>
        </w:trPr>
        <w:tc>
          <w:tcPr>
            <w:tcW w:w="7300" w:type="dxa"/>
            <w:vAlign w:val="bottom"/>
          </w:tcPr>
          <w:p>
            <w:pPr>
              <w:spacing w:after="0"/>
              <w:rPr>
                <w:sz w:val="20"/>
                <w:szCs w:val="20"/>
                <w:color w:val="auto"/>
              </w:rPr>
            </w:pPr>
            <w:r>
              <w:rPr>
                <w:rFonts w:ascii="Arial" w:cs="Arial" w:eastAsia="Arial" w:hAnsi="Arial"/>
                <w:sz w:val="13"/>
                <w:szCs w:val="13"/>
                <w:color w:val="auto"/>
              </w:rPr>
              <w:t>Provision in fiscal 2008</w:t>
            </w:r>
          </w:p>
        </w:tc>
        <w:tc>
          <w:tcPr>
            <w:tcW w:w="80" w:type="dxa"/>
            <w:vAlign w:val="bottom"/>
          </w:tcPr>
          <w:p>
            <w:pPr>
              <w:spacing w:after="0"/>
              <w:rPr>
                <w:sz w:val="14"/>
                <w:szCs w:val="14"/>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3"/>
                <w:szCs w:val="13"/>
                <w:color w:val="auto"/>
              </w:rPr>
              <w:t>4.0</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5.9</w:t>
            </w:r>
          </w:p>
        </w:tc>
        <w:tc>
          <w:tcPr>
            <w:tcW w:w="100" w:type="dxa"/>
            <w:vAlign w:val="bottom"/>
          </w:tcPr>
          <w:p>
            <w:pPr>
              <w:spacing w:after="0"/>
              <w:rPr>
                <w:sz w:val="14"/>
                <w:szCs w:val="14"/>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3"/>
                <w:szCs w:val="13"/>
                <w:color w:val="auto"/>
              </w:rPr>
              <w:t>9.9</w:t>
            </w:r>
          </w:p>
        </w:tc>
        <w:tc>
          <w:tcPr>
            <w:tcW w:w="0" w:type="dxa"/>
            <w:vAlign w:val="bottom"/>
          </w:tcPr>
          <w:p>
            <w:pPr>
              <w:spacing w:after="0"/>
              <w:rPr>
                <w:sz w:val="1"/>
                <w:szCs w:val="1"/>
                <w:color w:val="auto"/>
              </w:rPr>
            </w:pPr>
          </w:p>
        </w:tc>
      </w:tr>
      <w:tr>
        <w:trPr>
          <w:trHeight w:val="161"/>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Release of accrual to statement of operations in fiscal 2008</w:t>
            </w:r>
          </w:p>
        </w:tc>
        <w:tc>
          <w:tcPr>
            <w:tcW w:w="80" w:type="dxa"/>
            <w:vAlign w:val="bottom"/>
            <w:shd w:val="clear" w:color="auto" w:fill="CCEEFF"/>
          </w:tcPr>
          <w:p>
            <w:pPr>
              <w:spacing w:after="0"/>
              <w:rPr>
                <w:sz w:val="14"/>
                <w:szCs w:val="14"/>
                <w:color w:val="auto"/>
              </w:rPr>
            </w:pP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(0.6)</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(0.6)</w:t>
            </w:r>
          </w:p>
        </w:tc>
        <w:tc>
          <w:tcPr>
            <w:tcW w:w="0" w:type="dxa"/>
            <w:vAlign w:val="bottom"/>
          </w:tcPr>
          <w:p>
            <w:pPr>
              <w:spacing w:after="0"/>
              <w:rPr>
                <w:sz w:val="1"/>
                <w:szCs w:val="1"/>
                <w:color w:val="auto"/>
              </w:rPr>
            </w:pPr>
          </w:p>
        </w:tc>
      </w:tr>
      <w:tr>
        <w:trPr>
          <w:trHeight w:val="161"/>
        </w:trPr>
        <w:tc>
          <w:tcPr>
            <w:tcW w:w="7300" w:type="dxa"/>
            <w:vAlign w:val="bottom"/>
          </w:tcPr>
          <w:p>
            <w:pPr>
              <w:spacing w:after="0"/>
              <w:rPr>
                <w:sz w:val="20"/>
                <w:szCs w:val="20"/>
                <w:color w:val="auto"/>
              </w:rPr>
            </w:pPr>
            <w:r>
              <w:rPr>
                <w:rFonts w:ascii="Arial" w:cs="Arial" w:eastAsia="Arial" w:hAnsi="Arial"/>
                <w:sz w:val="13"/>
                <w:szCs w:val="13"/>
                <w:color w:val="auto"/>
              </w:rPr>
              <w:t>Amount credited to goodwill in fiscal 2008</w:t>
            </w:r>
          </w:p>
        </w:tc>
        <w:tc>
          <w:tcPr>
            <w:tcW w:w="80" w:type="dxa"/>
            <w:vAlign w:val="bottom"/>
          </w:tcPr>
          <w:p>
            <w:pPr>
              <w:spacing w:after="0"/>
              <w:rPr>
                <w:sz w:val="14"/>
                <w:szCs w:val="14"/>
                <w:color w:val="auto"/>
              </w:rPr>
            </w:pPr>
          </w:p>
        </w:tc>
        <w:tc>
          <w:tcPr>
            <w:tcW w:w="80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rPr>
                <w:sz w:val="14"/>
                <w:szCs w:val="14"/>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61"/>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Other adjustments to liability, including foreign currency translation during fiscal 2008</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0.6</w:t>
            </w: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0.2</w:t>
            </w:r>
          </w:p>
        </w:tc>
        <w:tc>
          <w:tcPr>
            <w:tcW w:w="10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0.8</w:t>
            </w:r>
          </w:p>
        </w:tc>
        <w:tc>
          <w:tcPr>
            <w:tcW w:w="0" w:type="dxa"/>
            <w:vAlign w:val="bottom"/>
          </w:tcPr>
          <w:p>
            <w:pPr>
              <w:spacing w:after="0"/>
              <w:rPr>
                <w:sz w:val="1"/>
                <w:szCs w:val="1"/>
                <w:color w:val="auto"/>
              </w:rPr>
            </w:pPr>
          </w:p>
        </w:tc>
      </w:tr>
      <w:tr>
        <w:trPr>
          <w:trHeight w:val="161"/>
        </w:trPr>
        <w:tc>
          <w:tcPr>
            <w:tcW w:w="7300" w:type="dxa"/>
            <w:vAlign w:val="bottom"/>
          </w:tcPr>
          <w:p>
            <w:pPr>
              <w:spacing w:after="0"/>
              <w:rPr>
                <w:sz w:val="20"/>
                <w:szCs w:val="20"/>
                <w:color w:val="auto"/>
              </w:rPr>
            </w:pPr>
            <w:r>
              <w:rPr>
                <w:rFonts w:ascii="Arial" w:cs="Arial" w:eastAsia="Arial" w:hAnsi="Arial"/>
                <w:sz w:val="13"/>
                <w:szCs w:val="13"/>
                <w:color w:val="auto"/>
              </w:rPr>
              <w:t>Non-cash charges in fiscal 2008</w:t>
            </w:r>
          </w:p>
        </w:tc>
        <w:tc>
          <w:tcPr>
            <w:tcW w:w="80" w:type="dxa"/>
            <w:vAlign w:val="bottom"/>
          </w:tcPr>
          <w:p>
            <w:pPr>
              <w:spacing w:after="0"/>
              <w:rPr>
                <w:sz w:val="14"/>
                <w:szCs w:val="14"/>
                <w:color w:val="auto"/>
              </w:rPr>
            </w:pPr>
          </w:p>
        </w:tc>
        <w:tc>
          <w:tcPr>
            <w:tcW w:w="80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3"/>
                <w:szCs w:val="13"/>
                <w:color w:val="auto"/>
              </w:rPr>
              <w:t>(4.1)</w:t>
            </w:r>
          </w:p>
        </w:tc>
        <w:tc>
          <w:tcPr>
            <w:tcW w:w="100" w:type="dxa"/>
            <w:vAlign w:val="bottom"/>
          </w:tcPr>
          <w:p>
            <w:pPr>
              <w:spacing w:after="0"/>
              <w:rPr>
                <w:sz w:val="14"/>
                <w:szCs w:val="14"/>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(4.1)</w:t>
            </w:r>
          </w:p>
        </w:tc>
        <w:tc>
          <w:tcPr>
            <w:tcW w:w="0" w:type="dxa"/>
            <w:vAlign w:val="bottom"/>
          </w:tcPr>
          <w:p>
            <w:pPr>
              <w:spacing w:after="0"/>
              <w:rPr>
                <w:sz w:val="1"/>
                <w:szCs w:val="1"/>
                <w:color w:val="auto"/>
              </w:rPr>
            </w:pPr>
          </w:p>
        </w:tc>
      </w:tr>
      <w:tr>
        <w:trPr>
          <w:trHeight w:val="161"/>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Cash payments in fiscal 2008</w:t>
            </w:r>
          </w:p>
        </w:tc>
        <w:tc>
          <w:tcPr>
            <w:tcW w:w="80" w:type="dxa"/>
            <w:vAlign w:val="bottom"/>
            <w:shd w:val="clear" w:color="auto" w:fill="CCEEFF"/>
          </w:tcPr>
          <w:p>
            <w:pPr>
              <w:spacing w:after="0"/>
              <w:rPr>
                <w:sz w:val="14"/>
                <w:szCs w:val="14"/>
                <w:color w:val="auto"/>
              </w:rPr>
            </w:pP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(10.0)</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(3.2)</w:t>
            </w:r>
          </w:p>
        </w:tc>
        <w:tc>
          <w:tcPr>
            <w:tcW w:w="10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(13.2)</w:t>
            </w:r>
          </w:p>
        </w:tc>
        <w:tc>
          <w:tcPr>
            <w:tcW w:w="0" w:type="dxa"/>
            <w:vAlign w:val="bottom"/>
          </w:tcPr>
          <w:p>
            <w:pPr>
              <w:spacing w:after="0"/>
              <w:rPr>
                <w:sz w:val="1"/>
                <w:szCs w:val="1"/>
                <w:color w:val="auto"/>
              </w:rPr>
            </w:pPr>
          </w:p>
        </w:tc>
      </w:tr>
      <w:tr>
        <w:trPr>
          <w:trHeight w:val="161"/>
        </w:trPr>
        <w:tc>
          <w:tcPr>
            <w:tcW w:w="7300" w:type="dxa"/>
            <w:vAlign w:val="bottom"/>
          </w:tcPr>
          <w:p>
            <w:pPr>
              <w:spacing w:after="0"/>
              <w:rPr>
                <w:sz w:val="20"/>
                <w:szCs w:val="20"/>
                <w:color w:val="auto"/>
              </w:rPr>
            </w:pPr>
            <w:r>
              <w:rPr>
                <w:rFonts w:ascii="Arial" w:cs="Arial" w:eastAsia="Arial" w:hAnsi="Arial"/>
                <w:sz w:val="13"/>
                <w:szCs w:val="13"/>
                <w:color w:val="auto"/>
              </w:rPr>
              <w:t>Total restructuring liability as of June 27, 2008</w:t>
            </w:r>
          </w:p>
        </w:tc>
        <w:tc>
          <w:tcPr>
            <w:tcW w:w="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1.8</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8.5</w:t>
            </w:r>
          </w:p>
        </w:tc>
        <w:tc>
          <w:tcPr>
            <w:tcW w:w="4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Provision in fiscal 2009 (Fiscal 2009 Plan)</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7.9</w:t>
            </w: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0.3</w:t>
            </w:r>
          </w:p>
        </w:tc>
        <w:tc>
          <w:tcPr>
            <w:tcW w:w="10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8.2</w:t>
            </w:r>
          </w:p>
        </w:tc>
        <w:tc>
          <w:tcPr>
            <w:tcW w:w="0" w:type="dxa"/>
            <w:vAlign w:val="bottom"/>
          </w:tcPr>
          <w:p>
            <w:pPr>
              <w:spacing w:after="0"/>
              <w:rPr>
                <w:sz w:val="1"/>
                <w:szCs w:val="1"/>
                <w:color w:val="auto"/>
              </w:rPr>
            </w:pPr>
          </w:p>
        </w:tc>
      </w:tr>
      <w:tr>
        <w:trPr>
          <w:trHeight w:val="161"/>
        </w:trPr>
        <w:tc>
          <w:tcPr>
            <w:tcW w:w="7300" w:type="dxa"/>
            <w:vAlign w:val="bottom"/>
          </w:tcPr>
          <w:p>
            <w:pPr>
              <w:spacing w:after="0"/>
              <w:rPr>
                <w:sz w:val="20"/>
                <w:szCs w:val="20"/>
                <w:color w:val="auto"/>
              </w:rPr>
            </w:pPr>
            <w:r>
              <w:rPr>
                <w:rFonts w:ascii="Arial" w:cs="Arial" w:eastAsia="Arial" w:hAnsi="Arial"/>
                <w:sz w:val="13"/>
                <w:szCs w:val="13"/>
                <w:color w:val="auto"/>
              </w:rPr>
              <w:t>Reversal of accrual in fiscal 2009 to statement of operations for changes in estimates (Fiscal 2007 Plans)</w:t>
            </w:r>
          </w:p>
        </w:tc>
        <w:tc>
          <w:tcPr>
            <w:tcW w:w="80" w:type="dxa"/>
            <w:vAlign w:val="bottom"/>
          </w:tcPr>
          <w:p>
            <w:pPr>
              <w:spacing w:after="0"/>
              <w:rPr>
                <w:sz w:val="14"/>
                <w:szCs w:val="14"/>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3"/>
                <w:szCs w:val="13"/>
                <w:color w:val="auto"/>
              </w:rPr>
              <w:t>(0.2)</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3"/>
                <w:szCs w:val="13"/>
                <w:color w:val="auto"/>
              </w:rPr>
              <w:t>(0.2)</w:t>
            </w:r>
          </w:p>
        </w:tc>
        <w:tc>
          <w:tcPr>
            <w:tcW w:w="100" w:type="dxa"/>
            <w:vAlign w:val="bottom"/>
          </w:tcPr>
          <w:p>
            <w:pPr>
              <w:spacing w:after="0"/>
              <w:rPr>
                <w:sz w:val="14"/>
                <w:szCs w:val="14"/>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(0.4)</w:t>
            </w:r>
          </w:p>
        </w:tc>
        <w:tc>
          <w:tcPr>
            <w:tcW w:w="0" w:type="dxa"/>
            <w:vAlign w:val="bottom"/>
          </w:tcPr>
          <w:p>
            <w:pPr>
              <w:spacing w:after="0"/>
              <w:rPr>
                <w:sz w:val="1"/>
                <w:szCs w:val="1"/>
                <w:color w:val="auto"/>
              </w:rPr>
            </w:pPr>
          </w:p>
        </w:tc>
      </w:tr>
      <w:tr>
        <w:trPr>
          <w:trHeight w:val="161"/>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Non-cash charges in fiscal 2009 (Fiscal 2009 Plan)</w:t>
            </w:r>
          </w:p>
        </w:tc>
        <w:tc>
          <w:tcPr>
            <w:tcW w:w="80" w:type="dxa"/>
            <w:vAlign w:val="bottom"/>
            <w:shd w:val="clear" w:color="auto" w:fill="CCEEFF"/>
          </w:tcPr>
          <w:p>
            <w:pPr>
              <w:spacing w:after="0"/>
              <w:rPr>
                <w:sz w:val="14"/>
                <w:szCs w:val="14"/>
                <w:color w:val="auto"/>
              </w:rPr>
            </w:pPr>
          </w:p>
        </w:tc>
        <w:tc>
          <w:tcPr>
            <w:tcW w:w="80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(0.4)</w:t>
            </w:r>
          </w:p>
        </w:tc>
        <w:tc>
          <w:tcPr>
            <w:tcW w:w="10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(0.4)</w:t>
            </w:r>
          </w:p>
        </w:tc>
        <w:tc>
          <w:tcPr>
            <w:tcW w:w="0" w:type="dxa"/>
            <w:vAlign w:val="bottom"/>
          </w:tcPr>
          <w:p>
            <w:pPr>
              <w:spacing w:after="0"/>
              <w:rPr>
                <w:sz w:val="1"/>
                <w:szCs w:val="1"/>
                <w:color w:val="auto"/>
              </w:rPr>
            </w:pPr>
          </w:p>
        </w:tc>
      </w:tr>
      <w:tr>
        <w:trPr>
          <w:trHeight w:val="161"/>
        </w:trPr>
        <w:tc>
          <w:tcPr>
            <w:tcW w:w="7300" w:type="dxa"/>
            <w:vAlign w:val="bottom"/>
          </w:tcPr>
          <w:p>
            <w:pPr>
              <w:spacing w:after="0"/>
              <w:rPr>
                <w:sz w:val="20"/>
                <w:szCs w:val="20"/>
                <w:color w:val="auto"/>
              </w:rPr>
            </w:pPr>
            <w:r>
              <w:rPr>
                <w:rFonts w:ascii="Arial" w:cs="Arial" w:eastAsia="Arial" w:hAnsi="Arial"/>
                <w:sz w:val="13"/>
                <w:szCs w:val="13"/>
                <w:color w:val="auto"/>
              </w:rPr>
              <w:t>Cash payments in fiscal 2009</w:t>
            </w:r>
          </w:p>
        </w:tc>
        <w:tc>
          <w:tcPr>
            <w:tcW w:w="80" w:type="dxa"/>
            <w:vAlign w:val="bottom"/>
          </w:tcPr>
          <w:p>
            <w:pPr>
              <w:spacing w:after="0"/>
              <w:rPr>
                <w:sz w:val="14"/>
                <w:szCs w:val="14"/>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3"/>
                <w:szCs w:val="13"/>
                <w:color w:val="auto"/>
              </w:rPr>
              <w:t>(7.0)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3"/>
                <w:szCs w:val="13"/>
                <w:color w:val="auto"/>
              </w:rPr>
              <w:t>(2.9)</w:t>
            </w:r>
          </w:p>
        </w:tc>
        <w:tc>
          <w:tcPr>
            <w:tcW w:w="100" w:type="dxa"/>
            <w:vAlign w:val="bottom"/>
          </w:tcPr>
          <w:p>
            <w:pPr>
              <w:spacing w:after="0"/>
              <w:rPr>
                <w:sz w:val="14"/>
                <w:szCs w:val="14"/>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(9.9)</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Total restructuring liability as of July 3, 2009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5.3</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7.8</w:t>
            </w:r>
          </w:p>
        </w:tc>
        <w:tc>
          <w:tcPr>
            <w:tcW w:w="0" w:type="dxa"/>
            <w:vAlign w:val="bottom"/>
          </w:tcPr>
          <w:p>
            <w:pPr>
              <w:spacing w:after="0"/>
              <w:rPr>
                <w:sz w:val="1"/>
                <w:szCs w:val="1"/>
                <w:color w:val="auto"/>
              </w:rPr>
            </w:pPr>
          </w:p>
        </w:tc>
      </w:tr>
      <w:tr>
        <w:trPr>
          <w:trHeight w:val="20"/>
        </w:trPr>
        <w:tc>
          <w:tcPr>
            <w:tcW w:w="7300" w:type="dxa"/>
            <w:vAlign w:val="bottom"/>
            <w:vMerge w:val="restart"/>
          </w:tcPr>
          <w:p>
            <w:pPr>
              <w:spacing w:after="0"/>
              <w:rPr>
                <w:sz w:val="20"/>
                <w:szCs w:val="20"/>
                <w:color w:val="auto"/>
              </w:rPr>
            </w:pPr>
            <w:r>
              <w:rPr>
                <w:rFonts w:ascii="Arial" w:cs="Arial" w:eastAsia="Arial" w:hAnsi="Arial"/>
                <w:sz w:val="13"/>
                <w:szCs w:val="13"/>
                <w:color w:val="auto"/>
              </w:rPr>
              <w:t>Current portion of restructuring liability as of July 3, 2009</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300" w:type="dxa"/>
            <w:vAlign w:val="bottom"/>
            <w:vMerge w:val="continue"/>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line="142" w:lineRule="exact"/>
              <w:rPr>
                <w:sz w:val="20"/>
                <w:szCs w:val="20"/>
                <w:color w:val="auto"/>
              </w:rPr>
            </w:pPr>
            <w:r>
              <w:rPr>
                <w:rFonts w:ascii="Arial" w:cs="Arial" w:eastAsia="Arial" w:hAnsi="Arial"/>
                <w:sz w:val="13"/>
                <w:szCs w:val="13"/>
                <w:color w:val="auto"/>
              </w:rPr>
              <w:t>2.5</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line="142" w:lineRule="exact"/>
              <w:rPr>
                <w:sz w:val="20"/>
                <w:szCs w:val="20"/>
                <w:color w:val="auto"/>
              </w:rPr>
            </w:pPr>
            <w:r>
              <w:rPr>
                <w:rFonts w:ascii="Arial" w:cs="Arial" w:eastAsia="Arial" w:hAnsi="Arial"/>
                <w:sz w:val="13"/>
                <w:szCs w:val="13"/>
                <w:color w:val="auto"/>
              </w:rPr>
              <w:t>2.8</w:t>
            </w:r>
          </w:p>
        </w:tc>
        <w:tc>
          <w:tcPr>
            <w:tcW w:w="400" w:type="dxa"/>
            <w:vAlign w:val="bottom"/>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Arial" w:cs="Arial" w:eastAsia="Arial" w:hAnsi="Arial"/>
                <w:sz w:val="13"/>
                <w:szCs w:val="13"/>
                <w:color w:val="auto"/>
                <w:w w:val="82"/>
              </w:rPr>
              <w:t>$</w:t>
            </w:r>
          </w:p>
        </w:tc>
        <w:tc>
          <w:tcPr>
            <w:tcW w:w="400" w:type="dxa"/>
            <w:vAlign w:val="bottom"/>
          </w:tcPr>
          <w:p>
            <w:pPr>
              <w:jc w:val="right"/>
              <w:spacing w:after="0" w:line="142" w:lineRule="exact"/>
              <w:rPr>
                <w:sz w:val="20"/>
                <w:szCs w:val="20"/>
                <w:color w:val="auto"/>
              </w:rPr>
            </w:pPr>
            <w:r>
              <w:rPr>
                <w:rFonts w:ascii="Arial" w:cs="Arial" w:eastAsia="Arial" w:hAnsi="Arial"/>
                <w:sz w:val="13"/>
                <w:szCs w:val="13"/>
                <w:color w:val="auto"/>
              </w:rPr>
              <w:t>5.3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Long-term portion of restructuring liability as of July 3, 2009</w:t>
            </w:r>
          </w:p>
        </w:tc>
        <w:tc>
          <w:tcPr>
            <w:tcW w:w="80" w:type="dxa"/>
            <w:vAlign w:val="bottom"/>
            <w:shd w:val="clear" w:color="auto" w:fill="CCEEFF"/>
          </w:tcPr>
          <w:p>
            <w:pPr>
              <w:spacing w:after="0"/>
              <w:rPr>
                <w:sz w:val="14"/>
                <w:szCs w:val="14"/>
                <w:color w:val="auto"/>
              </w:rPr>
            </w:pPr>
          </w:p>
        </w:tc>
        <w:tc>
          <w:tcPr>
            <w:tcW w:w="80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2.5</w:t>
            </w:r>
          </w:p>
        </w:tc>
        <w:tc>
          <w:tcPr>
            <w:tcW w:w="10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2.5</w:t>
            </w:r>
          </w:p>
        </w:tc>
        <w:tc>
          <w:tcPr>
            <w:tcW w:w="0" w:type="dxa"/>
            <w:vAlign w:val="bottom"/>
          </w:tcPr>
          <w:p>
            <w:pPr>
              <w:spacing w:after="0"/>
              <w:rPr>
                <w:sz w:val="1"/>
                <w:szCs w:val="1"/>
                <w:color w:val="auto"/>
              </w:rPr>
            </w:pPr>
          </w:p>
        </w:tc>
      </w:tr>
      <w:tr>
        <w:trPr>
          <w:trHeight w:val="161"/>
        </w:trPr>
        <w:tc>
          <w:tcPr>
            <w:tcW w:w="7300" w:type="dxa"/>
            <w:vAlign w:val="bottom"/>
          </w:tcPr>
          <w:p>
            <w:pPr>
              <w:spacing w:after="0"/>
              <w:rPr>
                <w:sz w:val="20"/>
                <w:szCs w:val="20"/>
                <w:color w:val="auto"/>
              </w:rPr>
            </w:pPr>
            <w:r>
              <w:rPr>
                <w:rFonts w:ascii="Arial" w:cs="Arial" w:eastAsia="Arial" w:hAnsi="Arial"/>
                <w:sz w:val="13"/>
                <w:szCs w:val="13"/>
                <w:color w:val="auto"/>
              </w:rPr>
              <w:t>Total restructuring liability as of July 3, 2009</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2.5</w:t>
            </w:r>
          </w:p>
        </w:tc>
        <w:tc>
          <w:tcPr>
            <w:tcW w:w="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5.3</w:t>
            </w:r>
          </w:p>
        </w:tc>
        <w:tc>
          <w:tcPr>
            <w:tcW w:w="4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do not anticipate any further restructuring charges under our Fiscal 2009 Plan.</w:t>
      </w:r>
    </w:p>
    <w:p>
      <w:pPr>
        <w:spacing w:after="0" w:line="31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94" w:name="page95"/>
    <w:bookmarkEnd w:id="9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HARRIS STRATEX NETWORKS, INC. AND SUBSIDIARIES</w:t>
      </w:r>
    </w:p>
    <w:p>
      <w:pPr>
        <w:spacing w:after="0" w:line="102"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00" w:lineRule="exact"/>
        <w:rPr>
          <w:sz w:val="20"/>
          <w:szCs w:val="20"/>
          <w:color w:val="auto"/>
        </w:rPr>
      </w:pPr>
    </w:p>
    <w:p>
      <w:pPr>
        <w:spacing w:after="0" w:line="235" w:lineRule="exact"/>
        <w:rPr>
          <w:sz w:val="20"/>
          <w:szCs w:val="20"/>
          <w:color w:val="auto"/>
        </w:rPr>
      </w:pPr>
    </w:p>
    <w:tbl>
      <w:tblPr>
        <w:tblLayout w:type="fixed"/>
        <w:tblInd w:w="680" w:type="dxa"/>
        <w:tblCellMar>
          <w:top w:w="0" w:type="dxa"/>
          <w:left w:w="0" w:type="dxa"/>
          <w:bottom w:w="0" w:type="dxa"/>
          <w:right w:w="0" w:type="dxa"/>
        </w:tblCellMar>
      </w:tblPr>
      <w:tr>
        <w:trPr>
          <w:trHeight w:val="174"/>
        </w:trPr>
        <w:tc>
          <w:tcPr>
            <w:tcW w:w="740" w:type="dxa"/>
            <w:vAlign w:val="bottom"/>
          </w:tcPr>
          <w:p>
            <w:pPr>
              <w:spacing w:after="0"/>
              <w:rPr>
                <w:sz w:val="20"/>
                <w:szCs w:val="20"/>
                <w:color w:val="auto"/>
              </w:rPr>
            </w:pPr>
            <w:r>
              <w:rPr>
                <w:rFonts w:ascii="Arial" w:cs="Arial" w:eastAsia="Arial" w:hAnsi="Arial"/>
                <w:sz w:val="13"/>
                <w:szCs w:val="13"/>
                <w:b w:val="1"/>
                <w:bCs w:val="1"/>
                <w:color w:val="auto"/>
              </w:rPr>
              <w:t>Note L —</w:t>
            </w:r>
          </w:p>
        </w:tc>
        <w:tc>
          <w:tcPr>
            <w:tcW w:w="4760" w:type="dxa"/>
            <w:vAlign w:val="bottom"/>
          </w:tcPr>
          <w:p>
            <w:pPr>
              <w:ind w:left="180"/>
              <w:spacing w:after="0"/>
              <w:rPr>
                <w:sz w:val="20"/>
                <w:szCs w:val="20"/>
                <w:color w:val="auto"/>
              </w:rPr>
            </w:pPr>
            <w:r>
              <w:rPr>
                <w:rFonts w:ascii="Arial" w:cs="Arial" w:eastAsia="Arial" w:hAnsi="Arial"/>
                <w:sz w:val="13"/>
                <w:szCs w:val="13"/>
                <w:b w:val="1"/>
                <w:bCs w:val="1"/>
                <w:color w:val="auto"/>
              </w:rPr>
              <w:t>Accumulated Other Comprehensive (Loss) Income</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7820" w:type="dxa"/>
            <w:vAlign w:val="bottom"/>
            <w:gridSpan w:val="10"/>
          </w:tcPr>
          <w:p>
            <w:pPr>
              <w:ind w:left="400"/>
              <w:spacing w:after="0"/>
              <w:rPr>
                <w:sz w:val="20"/>
                <w:szCs w:val="20"/>
                <w:color w:val="auto"/>
              </w:rPr>
            </w:pPr>
            <w:r>
              <w:rPr>
                <w:rFonts w:ascii="Arial" w:cs="Arial" w:eastAsia="Arial" w:hAnsi="Arial"/>
                <w:sz w:val="13"/>
                <w:szCs w:val="13"/>
                <w:color w:val="auto"/>
                <w:w w:val="96"/>
              </w:rPr>
              <w:t>The changes in components of our accumulated other comprehensive (loss) income during fiscal 2009, 2008 and 2007 are as follows:</w:t>
            </w:r>
          </w:p>
        </w:tc>
        <w:tc>
          <w:tcPr>
            <w:tcW w:w="7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740" w:type="dxa"/>
            <w:vAlign w:val="bottom"/>
          </w:tcPr>
          <w:p>
            <w:pPr>
              <w:spacing w:after="0"/>
              <w:rPr>
                <w:sz w:val="16"/>
                <w:szCs w:val="16"/>
                <w:color w:val="auto"/>
              </w:rPr>
            </w:pPr>
          </w:p>
        </w:tc>
        <w:tc>
          <w:tcPr>
            <w:tcW w:w="4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11"/>
        </w:trPr>
        <w:tc>
          <w:tcPr>
            <w:tcW w:w="740" w:type="dxa"/>
            <w:vAlign w:val="bottom"/>
          </w:tcPr>
          <w:p>
            <w:pPr>
              <w:spacing w:after="0"/>
              <w:rPr>
                <w:sz w:val="9"/>
                <w:szCs w:val="9"/>
                <w:color w:val="auto"/>
              </w:rPr>
            </w:pPr>
          </w:p>
        </w:tc>
        <w:tc>
          <w:tcPr>
            <w:tcW w:w="47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2"/>
            <w:vMerge w:val="restart"/>
          </w:tcPr>
          <w:p>
            <w:pPr>
              <w:jc w:val="center"/>
              <w:ind w:right="460"/>
              <w:spacing w:after="0"/>
              <w:rPr>
                <w:sz w:val="20"/>
                <w:szCs w:val="20"/>
                <w:color w:val="auto"/>
              </w:rPr>
            </w:pPr>
            <w:r>
              <w:rPr>
                <w:rFonts w:ascii="Arial" w:cs="Arial" w:eastAsia="Arial" w:hAnsi="Arial"/>
                <w:sz w:val="11"/>
                <w:szCs w:val="11"/>
                <w:b w:val="1"/>
                <w:bCs w:val="1"/>
                <w:color w:val="auto"/>
                <w:w w:val="89"/>
              </w:rPr>
              <w:t>Foreign</w:t>
            </w: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gridSpan w:val="2"/>
          </w:tcPr>
          <w:p>
            <w:pPr>
              <w:jc w:val="center"/>
              <w:ind w:right="180"/>
              <w:spacing w:after="0" w:line="111" w:lineRule="exact"/>
              <w:rPr>
                <w:sz w:val="20"/>
                <w:szCs w:val="20"/>
                <w:color w:val="auto"/>
              </w:rPr>
            </w:pPr>
            <w:r>
              <w:rPr>
                <w:rFonts w:ascii="Arial" w:cs="Arial" w:eastAsia="Arial" w:hAnsi="Arial"/>
                <w:sz w:val="11"/>
                <w:szCs w:val="11"/>
                <w:b w:val="1"/>
                <w:bCs w:val="1"/>
                <w:color w:val="auto"/>
                <w:w w:val="86"/>
              </w:rPr>
              <w:t>Accumulated</w:t>
            </w:r>
          </w:p>
        </w:tc>
        <w:tc>
          <w:tcPr>
            <w:tcW w:w="0" w:type="dxa"/>
            <w:vAlign w:val="bottom"/>
          </w:tcPr>
          <w:p>
            <w:pPr>
              <w:spacing w:after="0"/>
              <w:rPr>
                <w:sz w:val="1"/>
                <w:szCs w:val="1"/>
                <w:color w:val="auto"/>
              </w:rPr>
            </w:pPr>
          </w:p>
        </w:tc>
      </w:tr>
      <w:tr>
        <w:trPr>
          <w:trHeight w:val="111"/>
        </w:trPr>
        <w:tc>
          <w:tcPr>
            <w:tcW w:w="740" w:type="dxa"/>
            <w:vAlign w:val="bottom"/>
          </w:tcPr>
          <w:p>
            <w:pPr>
              <w:spacing w:after="0"/>
              <w:rPr>
                <w:sz w:val="9"/>
                <w:szCs w:val="9"/>
                <w:color w:val="auto"/>
              </w:rPr>
            </w:pPr>
          </w:p>
        </w:tc>
        <w:tc>
          <w:tcPr>
            <w:tcW w:w="47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vMerge w:val="restart"/>
          </w:tcPr>
          <w:p>
            <w:pPr>
              <w:jc w:val="right"/>
              <w:ind w:right="220"/>
              <w:spacing w:after="0"/>
              <w:rPr>
                <w:sz w:val="20"/>
                <w:szCs w:val="20"/>
                <w:color w:val="auto"/>
              </w:rPr>
            </w:pPr>
            <w:r>
              <w:rPr>
                <w:rFonts w:ascii="Arial" w:cs="Arial" w:eastAsia="Arial" w:hAnsi="Arial"/>
                <w:sz w:val="11"/>
                <w:szCs w:val="11"/>
                <w:b w:val="1"/>
                <w:bCs w:val="1"/>
                <w:color w:val="auto"/>
              </w:rPr>
              <w:t>Hedging</w:t>
            </w: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Short-Term</w:t>
            </w:r>
          </w:p>
        </w:tc>
        <w:tc>
          <w:tcPr>
            <w:tcW w:w="100" w:type="dxa"/>
            <w:vAlign w:val="bottom"/>
          </w:tcPr>
          <w:p>
            <w:pPr>
              <w:spacing w:after="0"/>
              <w:rPr>
                <w:sz w:val="9"/>
                <w:szCs w:val="9"/>
                <w:color w:val="auto"/>
              </w:rPr>
            </w:pPr>
          </w:p>
        </w:tc>
        <w:tc>
          <w:tcPr>
            <w:tcW w:w="980" w:type="dxa"/>
            <w:vAlign w:val="bottom"/>
            <w:gridSpan w:val="2"/>
          </w:tcPr>
          <w:p>
            <w:pPr>
              <w:jc w:val="center"/>
              <w:ind w:right="180"/>
              <w:spacing w:after="0" w:line="111" w:lineRule="exact"/>
              <w:rPr>
                <w:sz w:val="20"/>
                <w:szCs w:val="20"/>
                <w:color w:val="auto"/>
              </w:rPr>
            </w:pPr>
            <w:r>
              <w:rPr>
                <w:rFonts w:ascii="Arial" w:cs="Arial" w:eastAsia="Arial" w:hAnsi="Arial"/>
                <w:sz w:val="11"/>
                <w:szCs w:val="11"/>
                <w:b w:val="1"/>
                <w:bCs w:val="1"/>
                <w:color w:val="auto"/>
                <w:w w:val="95"/>
              </w:rPr>
              <w:t>Other</w:t>
            </w:r>
          </w:p>
        </w:tc>
        <w:tc>
          <w:tcPr>
            <w:tcW w:w="0" w:type="dxa"/>
            <w:vAlign w:val="bottom"/>
          </w:tcPr>
          <w:p>
            <w:pPr>
              <w:spacing w:after="0"/>
              <w:rPr>
                <w:sz w:val="1"/>
                <w:szCs w:val="1"/>
                <w:color w:val="auto"/>
              </w:rPr>
            </w:pPr>
          </w:p>
        </w:tc>
      </w:tr>
      <w:tr>
        <w:trPr>
          <w:trHeight w:val="111"/>
        </w:trPr>
        <w:tc>
          <w:tcPr>
            <w:tcW w:w="740" w:type="dxa"/>
            <w:vAlign w:val="bottom"/>
          </w:tcPr>
          <w:p>
            <w:pPr>
              <w:spacing w:after="0"/>
              <w:rPr>
                <w:sz w:val="9"/>
                <w:szCs w:val="9"/>
                <w:color w:val="auto"/>
              </w:rPr>
            </w:pPr>
          </w:p>
        </w:tc>
        <w:tc>
          <w:tcPr>
            <w:tcW w:w="47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2"/>
          </w:tcPr>
          <w:p>
            <w:pPr>
              <w:jc w:val="center"/>
              <w:ind w:right="460"/>
              <w:spacing w:after="0" w:line="111" w:lineRule="exact"/>
              <w:rPr>
                <w:sz w:val="20"/>
                <w:szCs w:val="20"/>
                <w:color w:val="auto"/>
              </w:rPr>
            </w:pPr>
            <w:r>
              <w:rPr>
                <w:rFonts w:ascii="Arial" w:cs="Arial" w:eastAsia="Arial" w:hAnsi="Arial"/>
                <w:sz w:val="11"/>
                <w:szCs w:val="11"/>
                <w:b w:val="1"/>
                <w:bCs w:val="1"/>
                <w:color w:val="auto"/>
                <w:w w:val="91"/>
              </w:rPr>
              <w:t>Currency</w:t>
            </w:r>
          </w:p>
        </w:tc>
        <w:tc>
          <w:tcPr>
            <w:tcW w:w="8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gridSpan w:val="2"/>
          </w:tcPr>
          <w:p>
            <w:pPr>
              <w:jc w:val="center"/>
              <w:ind w:right="180"/>
              <w:spacing w:after="0" w:line="111" w:lineRule="exact"/>
              <w:rPr>
                <w:sz w:val="20"/>
                <w:szCs w:val="20"/>
                <w:color w:val="auto"/>
              </w:rPr>
            </w:pPr>
            <w:r>
              <w:rPr>
                <w:rFonts w:ascii="Arial" w:cs="Arial" w:eastAsia="Arial" w:hAnsi="Arial"/>
                <w:sz w:val="11"/>
                <w:szCs w:val="11"/>
                <w:b w:val="1"/>
                <w:bCs w:val="1"/>
                <w:color w:val="auto"/>
                <w:w w:val="87"/>
              </w:rPr>
              <w:t>Comprehensive</w:t>
            </w:r>
          </w:p>
        </w:tc>
        <w:tc>
          <w:tcPr>
            <w:tcW w:w="0" w:type="dxa"/>
            <w:vAlign w:val="bottom"/>
          </w:tcPr>
          <w:p>
            <w:pPr>
              <w:spacing w:after="0"/>
              <w:rPr>
                <w:sz w:val="1"/>
                <w:szCs w:val="1"/>
                <w:color w:val="auto"/>
              </w:rPr>
            </w:pPr>
          </w:p>
        </w:tc>
      </w:tr>
      <w:tr>
        <w:trPr>
          <w:trHeight w:val="128"/>
        </w:trPr>
        <w:tc>
          <w:tcPr>
            <w:tcW w:w="740" w:type="dxa"/>
            <w:vAlign w:val="bottom"/>
          </w:tcPr>
          <w:p>
            <w:pPr>
              <w:spacing w:after="0"/>
              <w:rPr>
                <w:sz w:val="11"/>
                <w:szCs w:val="11"/>
                <w:color w:val="auto"/>
              </w:rPr>
            </w:pPr>
          </w:p>
        </w:tc>
        <w:tc>
          <w:tcPr>
            <w:tcW w:w="47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center"/>
              <w:ind w:right="16"/>
              <w:spacing w:after="0"/>
              <w:rPr>
                <w:sz w:val="20"/>
                <w:szCs w:val="20"/>
                <w:color w:val="auto"/>
              </w:rPr>
            </w:pPr>
            <w:r>
              <w:rPr>
                <w:rFonts w:ascii="Arial" w:cs="Arial" w:eastAsia="Arial" w:hAnsi="Arial"/>
                <w:sz w:val="11"/>
                <w:szCs w:val="11"/>
                <w:b w:val="1"/>
                <w:bCs w:val="1"/>
                <w:color w:val="auto"/>
                <w:w w:val="90"/>
              </w:rPr>
              <w:t>Translation</w:t>
            </w:r>
          </w:p>
        </w:tc>
        <w:tc>
          <w:tcPr>
            <w:tcW w:w="4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35"/>
              <w:spacing w:after="0"/>
              <w:rPr>
                <w:sz w:val="20"/>
                <w:szCs w:val="20"/>
                <w:color w:val="auto"/>
              </w:rPr>
            </w:pPr>
            <w:r>
              <w:rPr>
                <w:rFonts w:ascii="Arial" w:cs="Arial" w:eastAsia="Arial" w:hAnsi="Arial"/>
                <w:sz w:val="11"/>
                <w:szCs w:val="11"/>
                <w:b w:val="1"/>
                <w:bCs w:val="1"/>
                <w:color w:val="auto"/>
                <w:w w:val="88"/>
              </w:rPr>
              <w:t>Derivatives</w:t>
            </w: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Investments</w:t>
            </w: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center"/>
              <w:ind w:right="37"/>
              <w:spacing w:after="0"/>
              <w:rPr>
                <w:sz w:val="20"/>
                <w:szCs w:val="20"/>
                <w:color w:val="auto"/>
              </w:rPr>
            </w:pPr>
            <w:r>
              <w:rPr>
                <w:rFonts w:ascii="Arial" w:cs="Arial" w:eastAsia="Arial" w:hAnsi="Arial"/>
                <w:sz w:val="11"/>
                <w:szCs w:val="11"/>
                <w:b w:val="1"/>
                <w:bCs w:val="1"/>
                <w:color w:val="auto"/>
                <w:w w:val="85"/>
              </w:rPr>
              <w:t>(Loss) Income</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40" w:type="dxa"/>
            <w:vAlign w:val="bottom"/>
          </w:tcPr>
          <w:p>
            <w:pPr>
              <w:spacing w:after="0"/>
              <w:rPr>
                <w:sz w:val="11"/>
                <w:szCs w:val="11"/>
                <w:color w:val="auto"/>
              </w:rPr>
            </w:pPr>
          </w:p>
        </w:tc>
        <w:tc>
          <w:tcPr>
            <w:tcW w:w="4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3"/>
          </w:tcPr>
          <w:p>
            <w:pPr>
              <w:ind w:left="40"/>
              <w:spacing w:after="0"/>
              <w:rPr>
                <w:sz w:val="20"/>
                <w:szCs w:val="20"/>
                <w:color w:val="auto"/>
              </w:rPr>
            </w:pPr>
            <w:r>
              <w:rPr>
                <w:rFonts w:ascii="Arial" w:cs="Arial" w:eastAsia="Arial" w:hAnsi="Arial"/>
                <w:sz w:val="11"/>
                <w:szCs w:val="11"/>
                <w:b w:val="1"/>
                <w:bCs w:val="1"/>
                <w:color w:val="auto"/>
              </w:rPr>
              <w:t>(In millions)</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5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Balance as of June 30, 2006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(1.5)</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0.1</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61"/>
        </w:trPr>
        <w:tc>
          <w:tcPr>
            <w:tcW w:w="5500" w:type="dxa"/>
            <w:vAlign w:val="bottom"/>
            <w:gridSpan w:val="2"/>
          </w:tcPr>
          <w:p>
            <w:pPr>
              <w:spacing w:after="0"/>
              <w:rPr>
                <w:sz w:val="20"/>
                <w:szCs w:val="20"/>
                <w:color w:val="auto"/>
              </w:rPr>
            </w:pPr>
            <w:r>
              <w:rPr>
                <w:rFonts w:ascii="Arial" w:cs="Arial" w:eastAsia="Arial" w:hAnsi="Arial"/>
                <w:sz w:val="13"/>
                <w:szCs w:val="13"/>
                <w:color w:val="auto"/>
              </w:rPr>
              <w:t>Foreign currency translation</w:t>
            </w:r>
          </w:p>
        </w:tc>
        <w:tc>
          <w:tcPr>
            <w:tcW w:w="80" w:type="dxa"/>
            <w:vAlign w:val="bottom"/>
          </w:tcPr>
          <w:p>
            <w:pPr>
              <w:spacing w:after="0"/>
              <w:rPr>
                <w:sz w:val="14"/>
                <w:szCs w:val="14"/>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1.5</w:t>
            </w:r>
          </w:p>
        </w:tc>
        <w:tc>
          <w:tcPr>
            <w:tcW w:w="80" w:type="dxa"/>
            <w:vAlign w:val="bottom"/>
          </w:tcPr>
          <w:p>
            <w:pPr>
              <w:spacing w:after="0"/>
              <w:rPr>
                <w:sz w:val="14"/>
                <w:szCs w:val="14"/>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61"/>
        </w:trPr>
        <w:tc>
          <w:tcPr>
            <w:tcW w:w="5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unrealized loss on hedging activities, net of tax</w:t>
            </w:r>
          </w:p>
        </w:tc>
        <w:tc>
          <w:tcPr>
            <w:tcW w:w="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(0.1)</w:t>
            </w: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61"/>
        </w:trPr>
        <w:tc>
          <w:tcPr>
            <w:tcW w:w="5500" w:type="dxa"/>
            <w:vAlign w:val="bottom"/>
            <w:gridSpan w:val="2"/>
          </w:tcPr>
          <w:p>
            <w:pPr>
              <w:spacing w:after="0"/>
              <w:rPr>
                <w:sz w:val="20"/>
                <w:szCs w:val="20"/>
                <w:color w:val="auto"/>
              </w:rPr>
            </w:pPr>
            <w:r>
              <w:rPr>
                <w:rFonts w:ascii="Arial" w:cs="Arial" w:eastAsia="Arial" w:hAnsi="Arial"/>
                <w:sz w:val="13"/>
                <w:szCs w:val="13"/>
                <w:color w:val="auto"/>
              </w:rPr>
              <w:t>Balance as of June 29, 2007</w:t>
            </w:r>
          </w:p>
        </w:tc>
        <w:tc>
          <w:tcPr>
            <w:tcW w:w="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ind w:left="560"/>
              <w:spacing w:after="0"/>
              <w:rPr>
                <w:sz w:val="20"/>
                <w:szCs w:val="20"/>
                <w:color w:val="auto"/>
              </w:rPr>
            </w:pPr>
            <w:r>
              <w:rPr>
                <w:rFonts w:ascii="Arial" w:cs="Arial" w:eastAsia="Arial" w:hAnsi="Arial"/>
                <w:sz w:val="13"/>
                <w:szCs w:val="13"/>
                <w:color w:val="auto"/>
                <w:w w:val="91"/>
              </w:rPr>
              <w:t>—</w:t>
            </w:r>
          </w:p>
        </w:tc>
        <w:tc>
          <w:tcPr>
            <w:tcW w:w="3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Foreign currency translation</w:t>
            </w:r>
          </w:p>
        </w:tc>
        <w:tc>
          <w:tcPr>
            <w:tcW w:w="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4.1</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4.1</w:t>
            </w:r>
          </w:p>
        </w:tc>
        <w:tc>
          <w:tcPr>
            <w:tcW w:w="0" w:type="dxa"/>
            <w:vAlign w:val="bottom"/>
          </w:tcPr>
          <w:p>
            <w:pPr>
              <w:spacing w:after="0"/>
              <w:rPr>
                <w:sz w:val="1"/>
                <w:szCs w:val="1"/>
                <w:color w:val="auto"/>
              </w:rPr>
            </w:pPr>
          </w:p>
        </w:tc>
      </w:tr>
      <w:tr>
        <w:trPr>
          <w:trHeight w:val="161"/>
        </w:trPr>
        <w:tc>
          <w:tcPr>
            <w:tcW w:w="5500" w:type="dxa"/>
            <w:vAlign w:val="bottom"/>
            <w:gridSpan w:val="2"/>
          </w:tcPr>
          <w:p>
            <w:pPr>
              <w:spacing w:after="0"/>
              <w:rPr>
                <w:sz w:val="20"/>
                <w:szCs w:val="20"/>
                <w:color w:val="auto"/>
              </w:rPr>
            </w:pPr>
            <w:r>
              <w:rPr>
                <w:rFonts w:ascii="Arial" w:cs="Arial" w:eastAsia="Arial" w:hAnsi="Arial"/>
                <w:sz w:val="13"/>
                <w:szCs w:val="13"/>
                <w:color w:val="auto"/>
              </w:rPr>
              <w:t>Net unrealized loss on hedging activities, net of tax</w:t>
            </w:r>
          </w:p>
        </w:tc>
        <w:tc>
          <w:tcPr>
            <w:tcW w:w="80" w:type="dxa"/>
            <w:vAlign w:val="bottom"/>
          </w:tcPr>
          <w:p>
            <w:pPr>
              <w:spacing w:after="0"/>
              <w:rPr>
                <w:sz w:val="14"/>
                <w:szCs w:val="14"/>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3"/>
                <w:szCs w:val="13"/>
                <w:color w:val="auto"/>
              </w:rPr>
              <w:t>(0.3)</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3"/>
                <w:szCs w:val="13"/>
                <w:color w:val="auto"/>
              </w:rPr>
              <w:t>(0.3)</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5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Balance as of June 27, 2008</w:t>
            </w:r>
          </w:p>
        </w:tc>
        <w:tc>
          <w:tcPr>
            <w:tcW w:w="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4.1</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(0.3)</w:t>
            </w: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3.8</w:t>
            </w:r>
          </w:p>
        </w:tc>
        <w:tc>
          <w:tcPr>
            <w:tcW w:w="0" w:type="dxa"/>
            <w:vAlign w:val="bottom"/>
          </w:tcPr>
          <w:p>
            <w:pPr>
              <w:spacing w:after="0"/>
              <w:rPr>
                <w:sz w:val="1"/>
                <w:szCs w:val="1"/>
                <w:color w:val="auto"/>
              </w:rPr>
            </w:pPr>
          </w:p>
        </w:tc>
      </w:tr>
      <w:tr>
        <w:trPr>
          <w:trHeight w:val="161"/>
        </w:trPr>
        <w:tc>
          <w:tcPr>
            <w:tcW w:w="5500" w:type="dxa"/>
            <w:vAlign w:val="bottom"/>
            <w:gridSpan w:val="2"/>
          </w:tcPr>
          <w:p>
            <w:pPr>
              <w:spacing w:after="0"/>
              <w:rPr>
                <w:sz w:val="20"/>
                <w:szCs w:val="20"/>
                <w:color w:val="auto"/>
              </w:rPr>
            </w:pPr>
            <w:r>
              <w:rPr>
                <w:rFonts w:ascii="Arial" w:cs="Arial" w:eastAsia="Arial" w:hAnsi="Arial"/>
                <w:sz w:val="13"/>
                <w:szCs w:val="13"/>
                <w:color w:val="auto"/>
              </w:rPr>
              <w:t>Foreign currency translation</w:t>
            </w:r>
          </w:p>
        </w:tc>
        <w:tc>
          <w:tcPr>
            <w:tcW w:w="80" w:type="dxa"/>
            <w:vAlign w:val="bottom"/>
          </w:tcPr>
          <w:p>
            <w:pPr>
              <w:spacing w:after="0"/>
              <w:rPr>
                <w:sz w:val="14"/>
                <w:szCs w:val="14"/>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3"/>
                <w:szCs w:val="13"/>
                <w:color w:val="auto"/>
              </w:rPr>
              <w:t>(8.5)</w:t>
            </w:r>
          </w:p>
        </w:tc>
        <w:tc>
          <w:tcPr>
            <w:tcW w:w="80" w:type="dxa"/>
            <w:vAlign w:val="bottom"/>
          </w:tcPr>
          <w:p>
            <w:pPr>
              <w:spacing w:after="0"/>
              <w:rPr>
                <w:sz w:val="14"/>
                <w:szCs w:val="14"/>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3"/>
                <w:szCs w:val="13"/>
                <w:color w:val="auto"/>
              </w:rPr>
              <w:t>(8.5)</w:t>
            </w:r>
          </w:p>
        </w:tc>
        <w:tc>
          <w:tcPr>
            <w:tcW w:w="0" w:type="dxa"/>
            <w:vAlign w:val="bottom"/>
          </w:tcPr>
          <w:p>
            <w:pPr>
              <w:spacing w:after="0"/>
              <w:rPr>
                <w:sz w:val="1"/>
                <w:szCs w:val="1"/>
                <w:color w:val="auto"/>
              </w:rPr>
            </w:pPr>
          </w:p>
        </w:tc>
      </w:tr>
      <w:tr>
        <w:trPr>
          <w:trHeight w:val="161"/>
        </w:trPr>
        <w:tc>
          <w:tcPr>
            <w:tcW w:w="5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unrealized loss on hedging activities, net of tax</w:t>
            </w:r>
          </w:p>
        </w:tc>
        <w:tc>
          <w:tcPr>
            <w:tcW w:w="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(0.1)</w:t>
            </w: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20"/>
        </w:trPr>
        <w:tc>
          <w:tcPr>
            <w:tcW w:w="5500" w:type="dxa"/>
            <w:vAlign w:val="bottom"/>
            <w:gridSpan w:val="2"/>
            <w:vMerge w:val="restart"/>
          </w:tcPr>
          <w:p>
            <w:pPr>
              <w:spacing w:after="0"/>
              <w:rPr>
                <w:sz w:val="20"/>
                <w:szCs w:val="20"/>
                <w:color w:val="auto"/>
              </w:rPr>
            </w:pPr>
            <w:r>
              <w:rPr>
                <w:rFonts w:ascii="Arial" w:cs="Arial" w:eastAsia="Arial" w:hAnsi="Arial"/>
                <w:sz w:val="13"/>
                <w:szCs w:val="13"/>
                <w:color w:val="auto"/>
              </w:rPr>
              <w:t>Balance as of July 3, 2009</w:t>
            </w: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5500" w:type="dxa"/>
            <w:vAlign w:val="bottom"/>
            <w:gridSpan w:val="2"/>
            <w:vMerge w:val="continue"/>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340"/>
              <w:spacing w:after="0"/>
              <w:rPr>
                <w:sz w:val="20"/>
                <w:szCs w:val="20"/>
                <w:color w:val="auto"/>
              </w:rPr>
            </w:pPr>
            <w:r>
              <w:rPr>
                <w:rFonts w:ascii="Arial" w:cs="Arial" w:eastAsia="Arial" w:hAnsi="Arial"/>
                <w:sz w:val="13"/>
                <w:szCs w:val="13"/>
                <w:color w:val="auto"/>
              </w:rPr>
              <w:t>(4.4)</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20"/>
              <w:spacing w:after="0"/>
              <w:rPr>
                <w:sz w:val="20"/>
                <w:szCs w:val="20"/>
                <w:color w:val="auto"/>
              </w:rPr>
            </w:pPr>
            <w:r>
              <w:rPr>
                <w:rFonts w:ascii="Arial" w:cs="Arial" w:eastAsia="Arial" w:hAnsi="Arial"/>
                <w:sz w:val="13"/>
                <w:szCs w:val="13"/>
                <w:color w:val="auto"/>
              </w:rPr>
              <w:t>(0.4)</w:t>
            </w:r>
          </w:p>
        </w:tc>
        <w:tc>
          <w:tcPr>
            <w:tcW w:w="340" w:type="dxa"/>
            <w:vAlign w:val="bottom"/>
            <w:vMerge w:val="continue"/>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Pr>
          <w:p>
            <w:pPr>
              <w:ind w:left="560"/>
              <w:spacing w:after="0"/>
              <w:rPr>
                <w:sz w:val="20"/>
                <w:szCs w:val="20"/>
                <w:color w:val="auto"/>
              </w:rPr>
            </w:pPr>
            <w:r>
              <w:rPr>
                <w:rFonts w:ascii="Arial" w:cs="Arial" w:eastAsia="Arial" w:hAnsi="Arial"/>
                <w:sz w:val="13"/>
                <w:szCs w:val="13"/>
                <w:color w:val="auto"/>
                <w:w w:val="91"/>
              </w:rPr>
              <w:t>—</w:t>
            </w:r>
          </w:p>
        </w:tc>
        <w:tc>
          <w:tcPr>
            <w:tcW w:w="380" w:type="dxa"/>
            <w:vAlign w:val="bottom"/>
            <w:vMerge w:val="continue"/>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gridSpan w:val="2"/>
          </w:tcPr>
          <w:p>
            <w:pPr>
              <w:jc w:val="right"/>
              <w:ind w:right="40"/>
              <w:spacing w:after="0"/>
              <w:rPr>
                <w:sz w:val="20"/>
                <w:szCs w:val="20"/>
                <w:color w:val="auto"/>
              </w:rPr>
            </w:pPr>
            <w:r>
              <w:rPr>
                <w:rFonts w:ascii="Arial" w:cs="Arial" w:eastAsia="Arial" w:hAnsi="Arial"/>
                <w:sz w:val="13"/>
                <w:szCs w:val="13"/>
                <w:color w:val="auto"/>
              </w:rPr>
              <w:t>(4.8)</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Note M —</w:t>
      </w:r>
      <w:r>
        <w:rPr>
          <w:sz w:val="20"/>
          <w:szCs w:val="20"/>
          <w:color w:val="auto"/>
        </w:rPr>
        <w:tab/>
      </w:r>
      <w:r>
        <w:rPr>
          <w:rFonts w:ascii="Arial" w:cs="Arial" w:eastAsia="Arial" w:hAnsi="Arial"/>
          <w:sz w:val="11"/>
          <w:szCs w:val="11"/>
          <w:b w:val="1"/>
          <w:bCs w:val="1"/>
          <w:color w:val="auto"/>
        </w:rPr>
        <w:t>Share-Based Compensation</w:t>
      </w:r>
    </w:p>
    <w:p>
      <w:pPr>
        <w:spacing w:after="0" w:line="104" w:lineRule="exact"/>
        <w:rPr>
          <w:sz w:val="20"/>
          <w:szCs w:val="20"/>
          <w:color w:val="auto"/>
        </w:rPr>
      </w:pPr>
    </w:p>
    <w:p>
      <w:pPr>
        <w:ind w:left="680" w:right="120" w:firstLine="399"/>
        <w:spacing w:after="0" w:line="270" w:lineRule="auto"/>
        <w:rPr>
          <w:sz w:val="20"/>
          <w:szCs w:val="20"/>
          <w:color w:val="auto"/>
        </w:rPr>
      </w:pPr>
      <w:r>
        <w:rPr>
          <w:rFonts w:ascii="Arial" w:cs="Arial" w:eastAsia="Arial" w:hAnsi="Arial"/>
          <w:sz w:val="13"/>
          <w:szCs w:val="13"/>
          <w:color w:val="auto"/>
        </w:rPr>
        <w:t>As of July 3, 2009, we had one stock incentive plan for our employees and outside directors, the 2007 Stock Equity Plan, which was adopted by our board of directors and approved by Harris as our sole shareholder in January 2007. Certain share-based awards provide for accelerated vesting if there is a change in control (as defined under our 2007 Stock Equity Plan). Shares of Class A Common Stock remaining available for future issuance under our stock incentive plan totaled 3,058,363 as of July 3, 2009. Our stock incentive plan provides for the issuance of share-based awards in the form of stock options, restricted stock and performance share awards.</w:t>
      </w:r>
    </w:p>
    <w:p>
      <w:pPr>
        <w:spacing w:after="0" w:line="63"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We also assumed all of the former Stratex outstanding stock options as of January 26, 2007, as part of the Stratex acquisition. We recognized $1.6 million, $2.8 million and</w:t>
      </w:r>
    </w:p>
    <w:p>
      <w:pPr>
        <w:spacing w:after="0" w:line="34"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$1.5 million in compensation expense relating to services provided during fiscal 2009, 2008 and fiscal 2007 for the portion of these stock options that were unvested as of January 26,</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2"/>
          <w:szCs w:val="12"/>
          <w:color w:val="auto"/>
        </w:rPr>
        <w:t>2007. During fiscal 2007, we also recognized $0.9 million in compensation expense related to the acceleration of options in connection with the employment termination of one of our</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2"/>
          <w:szCs w:val="12"/>
          <w:color w:val="auto"/>
        </w:rPr>
        <w:t>executive officers and $0.9 million in compensation cost related to the acceleration of options charged to goodwill, both items accounted for as a share-based award modifications. For</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portion of these assumed stock options that were vested at the date of the Stratex acquisition, we included their fair value of $15.5 million as part of the purchase price.</w:t>
      </w:r>
    </w:p>
    <w:p>
      <w:pPr>
        <w:spacing w:after="0" w:line="92" w:lineRule="exact"/>
        <w:rPr>
          <w:sz w:val="20"/>
          <w:szCs w:val="20"/>
          <w:color w:val="auto"/>
        </w:rPr>
      </w:pPr>
    </w:p>
    <w:p>
      <w:pPr>
        <w:ind w:left="680" w:firstLine="399"/>
        <w:spacing w:after="0" w:line="270" w:lineRule="auto"/>
        <w:rPr>
          <w:sz w:val="20"/>
          <w:szCs w:val="20"/>
          <w:color w:val="auto"/>
        </w:rPr>
      </w:pPr>
      <w:r>
        <w:rPr>
          <w:rFonts w:ascii="Arial" w:cs="Arial" w:eastAsia="Arial" w:hAnsi="Arial"/>
          <w:sz w:val="13"/>
          <w:szCs w:val="13"/>
          <w:color w:val="auto"/>
        </w:rPr>
        <w:t>Some of our employees who were formerly employed by MCD participate in Harris’ three shareholder-approved stock incentive plans (the “Harris Plans”) under which options or other share-based compensation is outstanding. In total, the compensation expense related to the Harris Plans’ share-based awards was $0.1 million, $1.4 million and $1.6 million during fiscal 2009, 2008 and 2007. These costs have been paid to Harris in cash. Harris has not made any awards to former MCD employees since the date of the Stratex acquisition, and has not made any further such awards under its plans.</w:t>
      </w:r>
    </w:p>
    <w:p>
      <w:pPr>
        <w:spacing w:after="0" w:line="63" w:lineRule="exact"/>
        <w:rPr>
          <w:sz w:val="20"/>
          <w:szCs w:val="20"/>
          <w:color w:val="auto"/>
        </w:rPr>
      </w:pPr>
    </w:p>
    <w:p>
      <w:pPr>
        <w:ind w:left="680" w:right="20" w:firstLine="399"/>
        <w:spacing w:after="0" w:line="294" w:lineRule="auto"/>
        <w:rPr>
          <w:sz w:val="20"/>
          <w:szCs w:val="20"/>
          <w:color w:val="auto"/>
        </w:rPr>
      </w:pPr>
      <w:r>
        <w:rPr>
          <w:rFonts w:ascii="Arial" w:cs="Arial" w:eastAsia="Arial" w:hAnsi="Arial"/>
          <w:sz w:val="13"/>
          <w:szCs w:val="13"/>
          <w:color w:val="auto"/>
        </w:rPr>
        <w:t>Upon the exercise of stock options, vesting of restricted stock awards, or vesting of performance share awards, we issue new shares of our Class A Common Stock. Currently, we do not anticipate repurchasing shares to provide a source of shares for our rewards of share-based compensation.</w:t>
      </w:r>
    </w:p>
    <w:p>
      <w:pPr>
        <w:spacing w:after="0" w:line="25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95" w:name="page96"/>
    <w:bookmarkEnd w:id="9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HARRIS STRATEX NETWORKS, INC. AND SUBSIDIARIES</w:t>
      </w:r>
    </w:p>
    <w:p>
      <w:pPr>
        <w:spacing w:after="0" w:line="102"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6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 total, compensation expense for share-based awards was $2.9 million, $7.8 million and $5.7 million for fiscal 2009, 2008 and 2007. Amounts were included in our</w:t>
      </w:r>
    </w:p>
    <w:p>
      <w:pPr>
        <w:spacing w:after="0" w:line="2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Consolidated Statements of Operations as follows:</w:t>
      </w:r>
    </w:p>
    <w:p>
      <w:pPr>
        <w:spacing w:after="0" w:line="96" w:lineRule="exact"/>
        <w:rPr>
          <w:sz w:val="20"/>
          <w:szCs w:val="20"/>
          <w:color w:val="auto"/>
        </w:rPr>
      </w:pPr>
    </w:p>
    <w:tbl>
      <w:tblPr>
        <w:tblLayout w:type="fixed"/>
        <w:tblInd w:w="680" w:type="dxa"/>
        <w:tblCellMar>
          <w:top w:w="0" w:type="dxa"/>
          <w:left w:w="0" w:type="dxa"/>
          <w:bottom w:w="0" w:type="dxa"/>
          <w:right w:w="0" w:type="dxa"/>
        </w:tblCellMar>
      </w:tblPr>
      <w:tr>
        <w:trPr>
          <w:trHeight w:val="128"/>
        </w:trPr>
        <w:tc>
          <w:tcPr>
            <w:tcW w:w="8200" w:type="dxa"/>
            <w:vAlign w:val="bottom"/>
          </w:tcPr>
          <w:p>
            <w:pPr>
              <w:spacing w:after="0"/>
              <w:rPr>
                <w:sz w:val="11"/>
                <w:szCs w:val="11"/>
                <w:color w:val="auto"/>
              </w:rPr>
            </w:pPr>
          </w:p>
        </w:tc>
        <w:tc>
          <w:tcPr>
            <w:tcW w:w="30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w w:val="97"/>
              </w:rPr>
              <w:t>2009</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2008</w:t>
            </w:r>
          </w:p>
        </w:tc>
        <w:tc>
          <w:tcPr>
            <w:tcW w:w="380" w:type="dxa"/>
            <w:vAlign w:val="bottom"/>
          </w:tcPr>
          <w:p>
            <w:pPr>
              <w:spacing w:after="0"/>
              <w:rPr>
                <w:sz w:val="11"/>
                <w:szCs w:val="11"/>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2007</w:t>
            </w:r>
          </w:p>
        </w:tc>
        <w:tc>
          <w:tcPr>
            <w:tcW w:w="80" w:type="dxa"/>
            <w:vAlign w:val="bottom"/>
          </w:tcPr>
          <w:p>
            <w:pPr>
              <w:spacing w:after="0"/>
              <w:rPr>
                <w:sz w:val="11"/>
                <w:szCs w:val="11"/>
                <w:color w:val="auto"/>
              </w:rPr>
            </w:pPr>
          </w:p>
        </w:tc>
      </w:tr>
      <w:tr>
        <w:trPr>
          <w:trHeight w:val="135"/>
        </w:trPr>
        <w:tc>
          <w:tcPr>
            <w:tcW w:w="8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ind w:left="240"/>
              <w:spacing w:after="0" w:line="120" w:lineRule="exact"/>
              <w:rPr>
                <w:sz w:val="20"/>
                <w:szCs w:val="20"/>
                <w:color w:val="auto"/>
              </w:rPr>
            </w:pPr>
            <w:r>
              <w:rPr>
                <w:rFonts w:ascii="Arial" w:cs="Arial" w:eastAsia="Arial" w:hAnsi="Arial"/>
                <w:sz w:val="11"/>
                <w:szCs w:val="11"/>
                <w:b w:val="1"/>
                <w:bCs w:val="1"/>
                <w:color w:val="auto"/>
                <w:w w:val="88"/>
              </w:rPr>
              <w:t>(In</w:t>
            </w:r>
          </w:p>
        </w:tc>
        <w:tc>
          <w:tcPr>
            <w:tcW w:w="700" w:type="dxa"/>
            <w:vAlign w:val="bottom"/>
            <w:gridSpan w:val="3"/>
          </w:tcPr>
          <w:p>
            <w:pPr>
              <w:ind w:left="20"/>
              <w:spacing w:after="0"/>
              <w:rPr>
                <w:sz w:val="20"/>
                <w:szCs w:val="20"/>
                <w:color w:val="auto"/>
              </w:rPr>
            </w:pPr>
            <w:r>
              <w:rPr>
                <w:rFonts w:ascii="Arial" w:cs="Arial" w:eastAsia="Arial" w:hAnsi="Arial"/>
                <w:sz w:val="11"/>
                <w:szCs w:val="11"/>
                <w:b w:val="1"/>
                <w:bCs w:val="1"/>
                <w:color w:val="auto"/>
              </w:rPr>
              <w:t>millions)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7"/>
        </w:trPr>
        <w:tc>
          <w:tcPr>
            <w:tcW w:w="8200" w:type="dxa"/>
            <w:vAlign w:val="bottom"/>
            <w:shd w:val="clear" w:color="auto" w:fill="CCEEFF"/>
          </w:tcPr>
          <w:p>
            <w:pPr>
              <w:spacing w:after="0"/>
              <w:rPr>
                <w:sz w:val="20"/>
                <w:szCs w:val="20"/>
                <w:color w:val="auto"/>
              </w:rPr>
            </w:pPr>
            <w:r>
              <w:rPr>
                <w:rFonts w:ascii="Arial" w:cs="Arial" w:eastAsia="Arial" w:hAnsi="Arial"/>
                <w:sz w:val="13"/>
                <w:szCs w:val="13"/>
                <w:color w:val="auto"/>
              </w:rPr>
              <w:t>Cost of product sales and services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99"/>
              </w:rPr>
              <w:t>0.3</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1.2</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6"/>
              </w:rPr>
              <w:t>$ 0.3</w:t>
            </w:r>
          </w:p>
        </w:tc>
      </w:tr>
      <w:tr>
        <w:trPr>
          <w:trHeight w:val="161"/>
        </w:trPr>
        <w:tc>
          <w:tcPr>
            <w:tcW w:w="8200" w:type="dxa"/>
            <w:vAlign w:val="bottom"/>
          </w:tcPr>
          <w:p>
            <w:pPr>
              <w:spacing w:after="0"/>
              <w:rPr>
                <w:sz w:val="20"/>
                <w:szCs w:val="20"/>
                <w:color w:val="auto"/>
              </w:rPr>
            </w:pPr>
            <w:r>
              <w:rPr>
                <w:rFonts w:ascii="Arial" w:cs="Arial" w:eastAsia="Arial" w:hAnsi="Arial"/>
                <w:sz w:val="13"/>
                <w:szCs w:val="13"/>
                <w:color w:val="auto"/>
              </w:rPr>
              <w:t>Research and development expenses</w:t>
            </w:r>
          </w:p>
        </w:tc>
        <w:tc>
          <w:tcPr>
            <w:tcW w:w="100" w:type="dxa"/>
            <w:vAlign w:val="bottom"/>
          </w:tcPr>
          <w:p>
            <w:pPr>
              <w:spacing w:after="0"/>
              <w:rPr>
                <w:sz w:val="14"/>
                <w:szCs w:val="14"/>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3"/>
                <w:szCs w:val="13"/>
                <w:color w:val="auto"/>
                <w:w w:val="99"/>
              </w:rPr>
              <w:t>0.7</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ind w:left="60"/>
              <w:spacing w:after="0"/>
              <w:rPr>
                <w:sz w:val="20"/>
                <w:szCs w:val="20"/>
                <w:color w:val="auto"/>
              </w:rPr>
            </w:pPr>
            <w:r>
              <w:rPr>
                <w:rFonts w:ascii="Arial" w:cs="Arial" w:eastAsia="Arial" w:hAnsi="Arial"/>
                <w:sz w:val="13"/>
                <w:szCs w:val="13"/>
                <w:color w:val="auto"/>
              </w:rPr>
              <w:t>1.3</w:t>
            </w:r>
          </w:p>
        </w:tc>
        <w:tc>
          <w:tcPr>
            <w:tcW w:w="380" w:type="dxa"/>
            <w:vAlign w:val="bottom"/>
            <w:gridSpan w:val="2"/>
          </w:tcPr>
          <w:p>
            <w:pPr>
              <w:jc w:val="right"/>
              <w:ind w:right="80"/>
              <w:spacing w:after="0"/>
              <w:rPr>
                <w:sz w:val="20"/>
                <w:szCs w:val="20"/>
                <w:color w:val="auto"/>
              </w:rPr>
            </w:pPr>
            <w:r>
              <w:rPr>
                <w:rFonts w:ascii="Arial" w:cs="Arial" w:eastAsia="Arial" w:hAnsi="Arial"/>
                <w:sz w:val="13"/>
                <w:szCs w:val="13"/>
                <w:color w:val="auto"/>
              </w:rPr>
              <w:t>2.0</w:t>
            </w:r>
          </w:p>
        </w:tc>
      </w:tr>
      <w:tr>
        <w:trPr>
          <w:trHeight w:val="161"/>
        </w:trPr>
        <w:tc>
          <w:tcPr>
            <w:tcW w:w="8200" w:type="dxa"/>
            <w:vAlign w:val="bottom"/>
            <w:shd w:val="clear" w:color="auto" w:fill="CCEEFF"/>
          </w:tcPr>
          <w:p>
            <w:pPr>
              <w:spacing w:after="0"/>
              <w:rPr>
                <w:sz w:val="20"/>
                <w:szCs w:val="20"/>
                <w:color w:val="auto"/>
              </w:rPr>
            </w:pPr>
            <w:r>
              <w:rPr>
                <w:rFonts w:ascii="Arial" w:cs="Arial" w:eastAsia="Arial" w:hAnsi="Arial"/>
                <w:sz w:val="13"/>
                <w:szCs w:val="13"/>
                <w:color w:val="auto"/>
              </w:rPr>
              <w:t>Selling and administrative expenses</w:t>
            </w:r>
          </w:p>
        </w:tc>
        <w:tc>
          <w:tcPr>
            <w:tcW w:w="10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99"/>
              </w:rPr>
              <w:t>1.9</w:t>
            </w: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5.3</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3.4</w:t>
            </w:r>
          </w:p>
        </w:tc>
      </w:tr>
      <w:tr>
        <w:trPr>
          <w:trHeight w:val="161"/>
        </w:trPr>
        <w:tc>
          <w:tcPr>
            <w:tcW w:w="8200" w:type="dxa"/>
            <w:vAlign w:val="bottom"/>
          </w:tcPr>
          <w:p>
            <w:pPr>
              <w:spacing w:after="0"/>
              <w:rPr>
                <w:sz w:val="20"/>
                <w:szCs w:val="20"/>
                <w:color w:val="auto"/>
              </w:rPr>
            </w:pPr>
            <w:r>
              <w:rPr>
                <w:rFonts w:ascii="Arial" w:cs="Arial" w:eastAsia="Arial" w:hAnsi="Arial"/>
                <w:sz w:val="13"/>
                <w:szCs w:val="13"/>
                <w:color w:val="auto"/>
              </w:rPr>
              <w:t>Total compensation expense</w:t>
            </w:r>
          </w:p>
        </w:tc>
        <w:tc>
          <w:tcPr>
            <w:tcW w:w="1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99"/>
              </w:rPr>
              <w:t>2.9</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ind w:left="60"/>
              <w:spacing w:after="0"/>
              <w:rPr>
                <w:sz w:val="20"/>
                <w:szCs w:val="20"/>
                <w:color w:val="auto"/>
              </w:rPr>
            </w:pPr>
            <w:r>
              <w:rPr>
                <w:rFonts w:ascii="Arial" w:cs="Arial" w:eastAsia="Arial" w:hAnsi="Arial"/>
                <w:sz w:val="13"/>
                <w:szCs w:val="13"/>
                <w:color w:val="auto"/>
                <w:w w:val="77"/>
              </w:rPr>
              <w:t>7.8</w:t>
            </w:r>
          </w:p>
        </w:tc>
        <w:tc>
          <w:tcPr>
            <w:tcW w:w="380" w:type="dxa"/>
            <w:vAlign w:val="bottom"/>
          </w:tcPr>
          <w:p>
            <w:pPr>
              <w:spacing w:after="0"/>
              <w:rPr>
                <w:sz w:val="14"/>
                <w:szCs w:val="14"/>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5.7</w:t>
            </w:r>
          </w:p>
        </w:tc>
        <w:tc>
          <w:tcPr>
            <w:tcW w:w="80" w:type="dxa"/>
            <w:vAlign w:val="bottom"/>
          </w:tcPr>
          <w:p>
            <w:pPr>
              <w:spacing w:after="0"/>
              <w:rPr>
                <w:sz w:val="14"/>
                <w:szCs w:val="14"/>
                <w:color w:val="auto"/>
              </w:rPr>
            </w:pPr>
          </w:p>
        </w:tc>
      </w:tr>
      <w:tr>
        <w:trPr>
          <w:trHeight w:val="161"/>
        </w:trPr>
        <w:tc>
          <w:tcPr>
            <w:tcW w:w="8200" w:type="dxa"/>
            <w:vAlign w:val="bottom"/>
            <w:shd w:val="clear" w:color="auto" w:fill="CCEEFF"/>
          </w:tcPr>
          <w:p>
            <w:pPr>
              <w:spacing w:after="0"/>
              <w:rPr>
                <w:sz w:val="20"/>
                <w:szCs w:val="20"/>
                <w:color w:val="auto"/>
              </w:rPr>
            </w:pPr>
            <w:r>
              <w:rPr>
                <w:rFonts w:ascii="Arial" w:cs="Arial" w:eastAsia="Arial" w:hAnsi="Arial"/>
                <w:sz w:val="13"/>
                <w:szCs w:val="13"/>
                <w:color w:val="auto"/>
              </w:rPr>
              <w:t>Less related income tax benefit recognized</w:t>
            </w:r>
          </w:p>
        </w:tc>
        <w:tc>
          <w:tcPr>
            <w:tcW w:w="10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(0.7)</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r>
      <w:tr>
        <w:trPr>
          <w:trHeight w:val="161"/>
        </w:trPr>
        <w:tc>
          <w:tcPr>
            <w:tcW w:w="8200" w:type="dxa"/>
            <w:vAlign w:val="bottom"/>
          </w:tcPr>
          <w:p>
            <w:pPr>
              <w:spacing w:after="0"/>
              <w:rPr>
                <w:sz w:val="20"/>
                <w:szCs w:val="20"/>
                <w:color w:val="auto"/>
              </w:rPr>
            </w:pPr>
            <w:r>
              <w:rPr>
                <w:rFonts w:ascii="Arial" w:cs="Arial" w:eastAsia="Arial" w:hAnsi="Arial"/>
                <w:sz w:val="13"/>
                <w:szCs w:val="13"/>
                <w:color w:val="auto"/>
              </w:rPr>
              <w:t>Total net of income tax benefits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9"/>
              </w:rPr>
              <w:t>2.9</w:t>
            </w:r>
          </w:p>
        </w:tc>
        <w:tc>
          <w:tcPr>
            <w:tcW w:w="2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22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3"/>
                <w:szCs w:val="13"/>
                <w:color w:val="auto"/>
                <w:w w:val="77"/>
              </w:rPr>
              <w:t>7.1</w:t>
            </w:r>
          </w:p>
        </w:tc>
        <w:tc>
          <w:tcPr>
            <w:tcW w:w="380" w:type="dxa"/>
            <w:vAlign w:val="bottom"/>
          </w:tcPr>
          <w:p>
            <w:pPr>
              <w:spacing w:after="0"/>
              <w:rPr>
                <w:sz w:val="14"/>
                <w:szCs w:val="14"/>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6"/>
              </w:rPr>
              <w:t>$ 5.7</w:t>
            </w:r>
          </w:p>
        </w:tc>
        <w:tc>
          <w:tcPr>
            <w:tcW w:w="80" w:type="dxa"/>
            <w:vAlign w:val="bottom"/>
          </w:tcPr>
          <w:p>
            <w:pPr>
              <w:spacing w:after="0"/>
              <w:rPr>
                <w:sz w:val="14"/>
                <w:szCs w:val="14"/>
                <w:color w:val="auto"/>
              </w:rPr>
            </w:pPr>
          </w:p>
        </w:tc>
      </w:tr>
      <w:tr>
        <w:trPr>
          <w:trHeight w:val="20"/>
        </w:trPr>
        <w:tc>
          <w:tcPr>
            <w:tcW w:w="8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Stock Options Awarded Under our 2007 Stock Equity Plan</w:t>
      </w:r>
    </w:p>
    <w:p>
      <w:pPr>
        <w:spacing w:after="0" w:line="102" w:lineRule="exact"/>
        <w:rPr>
          <w:sz w:val="20"/>
          <w:szCs w:val="20"/>
          <w:color w:val="auto"/>
        </w:rPr>
      </w:pPr>
    </w:p>
    <w:p>
      <w:pPr>
        <w:ind w:left="680" w:right="880" w:firstLine="399"/>
        <w:spacing w:after="0" w:line="276" w:lineRule="auto"/>
        <w:rPr>
          <w:sz w:val="20"/>
          <w:szCs w:val="20"/>
          <w:color w:val="auto"/>
        </w:rPr>
      </w:pPr>
      <w:r>
        <w:rPr>
          <w:rFonts w:ascii="Arial" w:cs="Arial" w:eastAsia="Arial" w:hAnsi="Arial"/>
          <w:sz w:val="13"/>
          <w:szCs w:val="13"/>
          <w:color w:val="auto"/>
        </w:rPr>
        <w:t>The following information relates to stock options that have been granted under our stock incentive plan. Option exercise prices are equal to the fair market value on the date the options are granted using our closing stock price. Options may be exercised for a period set at the time of grant, generally 7 years after the date of grant, and they generally vest in installments of 50% one year from the grant date, 25% two years from the grant date and 25% three years from the grant date.</w:t>
      </w:r>
    </w:p>
    <w:p>
      <w:pPr>
        <w:spacing w:after="0" w:line="59" w:lineRule="exact"/>
        <w:rPr>
          <w:sz w:val="20"/>
          <w:szCs w:val="20"/>
          <w:color w:val="auto"/>
        </w:rPr>
      </w:pPr>
    </w:p>
    <w:p>
      <w:pPr>
        <w:ind w:left="680" w:right="800" w:firstLine="399"/>
        <w:spacing w:after="0" w:line="264" w:lineRule="auto"/>
        <w:rPr>
          <w:sz w:val="20"/>
          <w:szCs w:val="20"/>
          <w:color w:val="auto"/>
        </w:rPr>
      </w:pPr>
      <w:r>
        <w:rPr>
          <w:rFonts w:ascii="Arial" w:cs="Arial" w:eastAsia="Arial" w:hAnsi="Arial"/>
          <w:sz w:val="13"/>
          <w:szCs w:val="13"/>
          <w:color w:val="auto"/>
        </w:rPr>
        <w:t>The fair value of each option award under our stock equity plan was estimated on the date of grant using the Black-Scholes-Merton option-pricing model using the assumptions set forth in the following table. Expected volatility is based on implied volatility for the expected term of the options from a group of peer companies developed with the assistance of an independent valuation firm. The expected term of the options is calculated using the simplified method described in the SEC’s Staff Accounting Bulletins No. 107 and No. 110. We use the simplified method because our stock does not have sufficient trading history and we do not have sufficient stock option exercise data since our company was formed in January 2007. We have used the simplified method to value all of our stock options since January 2007. The risk-free rate for the expected term of the option is based on the U.S. Treasury yield curve in effect at the time of grant. For stock options awarded under our 2007 Stock Equity Plan, we recognized $1.3 million, $1.4 million and $0.5 million of compensation expense during fiscal 2009, 2008 and 2007.</w:t>
      </w:r>
    </w:p>
    <w:p>
      <w:pPr>
        <w:spacing w:after="0" w:line="68" w:lineRule="exact"/>
        <w:rPr>
          <w:sz w:val="20"/>
          <w:szCs w:val="20"/>
          <w:color w:val="auto"/>
        </w:rPr>
      </w:pPr>
    </w:p>
    <w:p>
      <w:pPr>
        <w:jc w:val="center"/>
        <w:ind w:right="40"/>
        <w:spacing w:after="0"/>
        <w:rPr>
          <w:sz w:val="20"/>
          <w:szCs w:val="20"/>
          <w:color w:val="auto"/>
        </w:rPr>
      </w:pPr>
      <w:r>
        <w:rPr>
          <w:rFonts w:ascii="Arial" w:cs="Arial" w:eastAsia="Arial" w:hAnsi="Arial"/>
          <w:sz w:val="13"/>
          <w:szCs w:val="13"/>
          <w:color w:val="auto"/>
        </w:rPr>
        <w:t>A summary of the significant weighted average assumptions we used in calculating the fair value of our stock option grants during fiscal 2009, 2008 and 2007 is as follows: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80" w:type="dxa"/>
            <w:vAlign w:val="bottom"/>
          </w:tcPr>
          <w:p>
            <w:pPr>
              <w:spacing w:after="0"/>
              <w:rPr>
                <w:sz w:val="11"/>
                <w:szCs w:val="11"/>
                <w:color w:val="auto"/>
              </w:rPr>
            </w:pPr>
          </w:p>
        </w:tc>
        <w:tc>
          <w:tcPr>
            <w:tcW w:w="3480" w:type="dxa"/>
            <w:vAlign w:val="bottom"/>
            <w:gridSpan w:val="2"/>
          </w:tcPr>
          <w:p>
            <w:pPr>
              <w:spacing w:after="0"/>
              <w:rPr>
                <w:sz w:val="20"/>
                <w:szCs w:val="20"/>
                <w:color w:val="auto"/>
              </w:rPr>
            </w:pPr>
            <w:r>
              <w:rPr>
                <w:rFonts w:ascii="Arial" w:cs="Arial" w:eastAsia="Arial" w:hAnsi="Arial"/>
                <w:sz w:val="11"/>
                <w:szCs w:val="11"/>
                <w:b w:val="1"/>
                <w:bCs w:val="1"/>
                <w:color w:val="auto"/>
              </w:rPr>
              <w:t>Grant Date</w:t>
            </w:r>
          </w:p>
        </w:tc>
        <w:tc>
          <w:tcPr>
            <w:tcW w:w="3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jc w:val="right"/>
              <w:ind w:right="255"/>
              <w:spacing w:after="0"/>
              <w:rPr>
                <w:sz w:val="20"/>
                <w:szCs w:val="20"/>
                <w:color w:val="auto"/>
              </w:rPr>
            </w:pPr>
            <w:r>
              <w:rPr>
                <w:rFonts w:ascii="Arial" w:cs="Arial" w:eastAsia="Arial" w:hAnsi="Arial"/>
                <w:sz w:val="11"/>
                <w:szCs w:val="11"/>
                <w:b w:val="1"/>
                <w:bCs w:val="1"/>
                <w:color w:val="auto"/>
              </w:rPr>
              <w:t>2009</w:t>
            </w: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ind w:right="115"/>
              <w:spacing w:after="0"/>
              <w:rPr>
                <w:sz w:val="20"/>
                <w:szCs w:val="20"/>
                <w:color w:val="auto"/>
              </w:rPr>
            </w:pPr>
            <w:r>
              <w:rPr>
                <w:rFonts w:ascii="Arial" w:cs="Arial" w:eastAsia="Arial" w:hAnsi="Arial"/>
                <w:sz w:val="11"/>
                <w:szCs w:val="11"/>
                <w:b w:val="1"/>
                <w:bCs w:val="1"/>
                <w:color w:val="auto"/>
              </w:rPr>
              <w:t>2008</w:t>
            </w: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ind w:right="175"/>
              <w:spacing w:after="0"/>
              <w:rPr>
                <w:sz w:val="20"/>
                <w:szCs w:val="20"/>
                <w:color w:val="auto"/>
              </w:rPr>
            </w:pPr>
            <w:r>
              <w:rPr>
                <w:rFonts w:ascii="Arial" w:cs="Arial" w:eastAsia="Arial" w:hAnsi="Arial"/>
                <w:sz w:val="11"/>
                <w:szCs w:val="11"/>
                <w:b w:val="1"/>
                <w:bCs w:val="1"/>
                <w:color w:val="auto"/>
              </w:rPr>
              <w:t>2007</w:t>
            </w: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30"/>
        </w:trPr>
        <w:tc>
          <w:tcPr>
            <w:tcW w:w="6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40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61"/>
        </w:trPr>
        <w:tc>
          <w:tcPr>
            <w:tcW w:w="680" w:type="dxa"/>
            <w:vAlign w:val="bottom"/>
          </w:tcPr>
          <w:p>
            <w:pPr>
              <w:spacing w:after="0"/>
              <w:rPr>
                <w:sz w:val="14"/>
                <w:szCs w:val="14"/>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Expected dividends</w:t>
            </w:r>
          </w:p>
        </w:tc>
        <w:tc>
          <w:tcPr>
            <w:tcW w:w="34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0.0%</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0.0%</w:t>
            </w:r>
          </w:p>
        </w:tc>
        <w:tc>
          <w:tcPr>
            <w:tcW w:w="1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0.0%</w:t>
            </w:r>
          </w:p>
        </w:tc>
        <w:tc>
          <w:tcPr>
            <w:tcW w:w="800" w:type="dxa"/>
            <w:vAlign w:val="bottom"/>
          </w:tcPr>
          <w:p>
            <w:pPr>
              <w:spacing w:after="0"/>
              <w:rPr>
                <w:sz w:val="14"/>
                <w:szCs w:val="14"/>
                <w:color w:val="auto"/>
              </w:rPr>
            </w:pPr>
          </w:p>
        </w:tc>
      </w:tr>
      <w:tr>
        <w:trPr>
          <w:trHeight w:val="161"/>
        </w:trPr>
        <w:tc>
          <w:tcPr>
            <w:tcW w:w="680" w:type="dxa"/>
            <w:vAlign w:val="bottom"/>
          </w:tcPr>
          <w:p>
            <w:pPr>
              <w:spacing w:after="0"/>
              <w:rPr>
                <w:sz w:val="14"/>
                <w:szCs w:val="14"/>
                <w:color w:val="auto"/>
              </w:rPr>
            </w:pPr>
          </w:p>
        </w:tc>
        <w:tc>
          <w:tcPr>
            <w:tcW w:w="3480" w:type="dxa"/>
            <w:vAlign w:val="bottom"/>
            <w:gridSpan w:val="2"/>
          </w:tcPr>
          <w:p>
            <w:pPr>
              <w:spacing w:after="0"/>
              <w:rPr>
                <w:sz w:val="20"/>
                <w:szCs w:val="20"/>
                <w:color w:val="auto"/>
              </w:rPr>
            </w:pPr>
            <w:r>
              <w:rPr>
                <w:rFonts w:ascii="Arial" w:cs="Arial" w:eastAsia="Arial" w:hAnsi="Arial"/>
                <w:sz w:val="13"/>
                <w:szCs w:val="13"/>
                <w:color w:val="auto"/>
              </w:rPr>
              <w:t>Expected volatility</w:t>
            </w:r>
          </w:p>
        </w:tc>
        <w:tc>
          <w:tcPr>
            <w:tcW w:w="3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3"/>
                <w:szCs w:val="13"/>
                <w:color w:val="auto"/>
              </w:rPr>
              <w:t>54.2%</w:t>
            </w:r>
          </w:p>
        </w:tc>
        <w:tc>
          <w:tcPr>
            <w:tcW w:w="120" w:type="dxa"/>
            <w:vAlign w:val="bottom"/>
          </w:tcPr>
          <w:p>
            <w:pPr>
              <w:spacing w:after="0"/>
              <w:rPr>
                <w:sz w:val="14"/>
                <w:szCs w:val="14"/>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3"/>
                <w:szCs w:val="13"/>
                <w:color w:val="auto"/>
              </w:rPr>
              <w:t>55.6%</w:t>
            </w:r>
          </w:p>
        </w:tc>
        <w:tc>
          <w:tcPr>
            <w:tcW w:w="14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62.5%</w:t>
            </w:r>
          </w:p>
        </w:tc>
        <w:tc>
          <w:tcPr>
            <w:tcW w:w="800" w:type="dxa"/>
            <w:vAlign w:val="bottom"/>
          </w:tcPr>
          <w:p>
            <w:pPr>
              <w:spacing w:after="0"/>
              <w:rPr>
                <w:sz w:val="14"/>
                <w:szCs w:val="14"/>
                <w:color w:val="auto"/>
              </w:rPr>
            </w:pPr>
          </w:p>
        </w:tc>
      </w:tr>
      <w:tr>
        <w:trPr>
          <w:trHeight w:val="161"/>
        </w:trPr>
        <w:tc>
          <w:tcPr>
            <w:tcW w:w="680" w:type="dxa"/>
            <w:vAlign w:val="bottom"/>
          </w:tcPr>
          <w:p>
            <w:pPr>
              <w:spacing w:after="0"/>
              <w:rPr>
                <w:sz w:val="14"/>
                <w:szCs w:val="14"/>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Risk-free interest rate</w:t>
            </w:r>
          </w:p>
        </w:tc>
        <w:tc>
          <w:tcPr>
            <w:tcW w:w="34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2.36%</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3.14%</w:t>
            </w:r>
          </w:p>
        </w:tc>
        <w:tc>
          <w:tcPr>
            <w:tcW w:w="1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4.56%</w:t>
            </w:r>
          </w:p>
        </w:tc>
        <w:tc>
          <w:tcPr>
            <w:tcW w:w="800" w:type="dxa"/>
            <w:vAlign w:val="bottom"/>
          </w:tcPr>
          <w:p>
            <w:pPr>
              <w:spacing w:after="0"/>
              <w:rPr>
                <w:sz w:val="14"/>
                <w:szCs w:val="14"/>
                <w:color w:val="auto"/>
              </w:rPr>
            </w:pPr>
          </w:p>
        </w:tc>
      </w:tr>
      <w:tr>
        <w:trPr>
          <w:trHeight w:val="161"/>
        </w:trPr>
        <w:tc>
          <w:tcPr>
            <w:tcW w:w="680" w:type="dxa"/>
            <w:vAlign w:val="bottom"/>
          </w:tcPr>
          <w:p>
            <w:pPr>
              <w:spacing w:after="0"/>
              <w:rPr>
                <w:sz w:val="14"/>
                <w:szCs w:val="14"/>
                <w:color w:val="auto"/>
              </w:rPr>
            </w:pPr>
          </w:p>
        </w:tc>
        <w:tc>
          <w:tcPr>
            <w:tcW w:w="3480" w:type="dxa"/>
            <w:vAlign w:val="bottom"/>
            <w:gridSpan w:val="2"/>
          </w:tcPr>
          <w:p>
            <w:pPr>
              <w:spacing w:after="0"/>
              <w:rPr>
                <w:sz w:val="20"/>
                <w:szCs w:val="20"/>
                <w:color w:val="auto"/>
              </w:rPr>
            </w:pPr>
            <w:r>
              <w:rPr>
                <w:rFonts w:ascii="Arial" w:cs="Arial" w:eastAsia="Arial" w:hAnsi="Arial"/>
                <w:sz w:val="13"/>
                <w:szCs w:val="13"/>
                <w:color w:val="auto"/>
              </w:rPr>
              <w:t>Expected term (years)</w:t>
            </w:r>
          </w:p>
        </w:tc>
        <w:tc>
          <w:tcPr>
            <w:tcW w:w="3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3"/>
                <w:szCs w:val="13"/>
                <w:color w:val="auto"/>
              </w:rPr>
              <w:t>4.375</w:t>
            </w:r>
          </w:p>
        </w:tc>
        <w:tc>
          <w:tcPr>
            <w:tcW w:w="120" w:type="dxa"/>
            <w:vAlign w:val="bottom"/>
          </w:tcPr>
          <w:p>
            <w:pPr>
              <w:spacing w:after="0"/>
              <w:rPr>
                <w:sz w:val="14"/>
                <w:szCs w:val="14"/>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3"/>
                <w:szCs w:val="13"/>
                <w:color w:val="auto"/>
              </w:rPr>
              <w:t>4.375</w:t>
            </w:r>
          </w:p>
        </w:tc>
        <w:tc>
          <w:tcPr>
            <w:tcW w:w="14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4.375</w:t>
            </w:r>
          </w:p>
        </w:tc>
        <w:tc>
          <w:tcPr>
            <w:tcW w:w="800" w:type="dxa"/>
            <w:vAlign w:val="bottom"/>
          </w:tcPr>
          <w:p>
            <w:pPr>
              <w:spacing w:after="0"/>
              <w:rPr>
                <w:sz w:val="14"/>
                <w:szCs w:val="14"/>
                <w:color w:val="auto"/>
              </w:rPr>
            </w:pPr>
          </w:p>
        </w:tc>
      </w:tr>
      <w:tr>
        <w:trPr>
          <w:trHeight w:val="161"/>
        </w:trPr>
        <w:tc>
          <w:tcPr>
            <w:tcW w:w="680" w:type="dxa"/>
            <w:vAlign w:val="bottom"/>
          </w:tcPr>
          <w:p>
            <w:pPr>
              <w:spacing w:after="0"/>
              <w:rPr>
                <w:sz w:val="14"/>
                <w:szCs w:val="14"/>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Stock price on date of grant</w:t>
            </w:r>
          </w:p>
        </w:tc>
        <w:tc>
          <w:tcPr>
            <w:tcW w:w="36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5.68</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13.68</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20.15</w:t>
            </w:r>
          </w:p>
        </w:tc>
        <w:tc>
          <w:tcPr>
            <w:tcW w:w="800" w:type="dxa"/>
            <w:vAlign w:val="bottom"/>
          </w:tcPr>
          <w:p>
            <w:pPr>
              <w:spacing w:after="0"/>
              <w:rPr>
                <w:sz w:val="14"/>
                <w:szCs w:val="14"/>
                <w:color w:val="auto"/>
              </w:rPr>
            </w:pPr>
          </w:p>
        </w:tc>
      </w:tr>
      <w:tr>
        <w:trPr>
          <w:trHeight w:val="161"/>
        </w:trPr>
        <w:tc>
          <w:tcPr>
            <w:tcW w:w="680" w:type="dxa"/>
            <w:vAlign w:val="bottom"/>
          </w:tcPr>
          <w:p>
            <w:pPr>
              <w:spacing w:after="0"/>
              <w:rPr>
                <w:sz w:val="14"/>
                <w:szCs w:val="14"/>
                <w:color w:val="auto"/>
              </w:rPr>
            </w:pPr>
          </w:p>
        </w:tc>
        <w:tc>
          <w:tcPr>
            <w:tcW w:w="3480" w:type="dxa"/>
            <w:vAlign w:val="bottom"/>
            <w:gridSpan w:val="2"/>
          </w:tcPr>
          <w:p>
            <w:pPr>
              <w:spacing w:after="0"/>
              <w:rPr>
                <w:sz w:val="20"/>
                <w:szCs w:val="20"/>
                <w:color w:val="auto"/>
              </w:rPr>
            </w:pPr>
            <w:r>
              <w:rPr>
                <w:rFonts w:ascii="Arial" w:cs="Arial" w:eastAsia="Arial" w:hAnsi="Arial"/>
                <w:sz w:val="13"/>
                <w:szCs w:val="13"/>
                <w:color w:val="auto"/>
              </w:rPr>
              <w:t>Number of stock options granted</w:t>
            </w:r>
          </w:p>
        </w:tc>
        <w:tc>
          <w:tcPr>
            <w:tcW w:w="3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3"/>
                <w:szCs w:val="13"/>
                <w:color w:val="auto"/>
              </w:rPr>
              <w:t>1,043,405</w:t>
            </w:r>
          </w:p>
        </w:tc>
        <w:tc>
          <w:tcPr>
            <w:tcW w:w="120" w:type="dxa"/>
            <w:vAlign w:val="bottom"/>
          </w:tcPr>
          <w:p>
            <w:pPr>
              <w:spacing w:after="0"/>
              <w:rPr>
                <w:sz w:val="14"/>
                <w:szCs w:val="14"/>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3"/>
                <w:szCs w:val="13"/>
                <w:color w:val="auto"/>
              </w:rPr>
              <w:t>20,050</w:t>
            </w:r>
          </w:p>
        </w:tc>
        <w:tc>
          <w:tcPr>
            <w:tcW w:w="14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312,200</w:t>
            </w:r>
          </w:p>
        </w:tc>
        <w:tc>
          <w:tcPr>
            <w:tcW w:w="800" w:type="dxa"/>
            <w:vAlign w:val="bottom"/>
          </w:tcPr>
          <w:p>
            <w:pPr>
              <w:spacing w:after="0"/>
              <w:rPr>
                <w:sz w:val="14"/>
                <w:szCs w:val="14"/>
                <w:color w:val="auto"/>
              </w:rPr>
            </w:pPr>
          </w:p>
        </w:tc>
      </w:tr>
      <w:tr>
        <w:trPr>
          <w:trHeight w:val="161"/>
        </w:trPr>
        <w:tc>
          <w:tcPr>
            <w:tcW w:w="680" w:type="dxa"/>
            <w:vAlign w:val="bottom"/>
          </w:tcPr>
          <w:p>
            <w:pPr>
              <w:spacing w:after="0"/>
              <w:rPr>
                <w:sz w:val="14"/>
                <w:szCs w:val="14"/>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Fair value per option on date of grant</w:t>
            </w:r>
          </w:p>
        </w:tc>
        <w:tc>
          <w:tcPr>
            <w:tcW w:w="36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2.60</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6.55</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11.47</w:t>
            </w:r>
          </w:p>
        </w:tc>
        <w:tc>
          <w:tcPr>
            <w:tcW w:w="800" w:type="dxa"/>
            <w:vAlign w:val="bottom"/>
          </w:tcPr>
          <w:p>
            <w:pPr>
              <w:spacing w:after="0"/>
              <w:rPr>
                <w:sz w:val="14"/>
                <w:szCs w:val="14"/>
                <w:color w:val="auto"/>
              </w:rPr>
            </w:pPr>
          </w:p>
        </w:tc>
      </w:tr>
      <w:tr>
        <w:trPr>
          <w:trHeight w:val="463"/>
        </w:trPr>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3400" w:type="dxa"/>
            <w:vAlign w:val="bottom"/>
          </w:tcPr>
          <w:p>
            <w:pPr>
              <w:jc w:val="right"/>
              <w:ind w:right="1753"/>
              <w:spacing w:after="0"/>
              <w:rPr>
                <w:sz w:val="20"/>
                <w:szCs w:val="20"/>
                <w:color w:val="auto"/>
              </w:rPr>
            </w:pPr>
            <w:r>
              <w:rPr>
                <w:rFonts w:ascii="Arial" w:cs="Arial" w:eastAsia="Arial" w:hAnsi="Arial"/>
                <w:sz w:val="13"/>
                <w:szCs w:val="13"/>
                <w:color w:val="auto"/>
              </w:rPr>
              <w:t>95</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7"/>
        </w:trPr>
        <w:tc>
          <w:tcPr>
            <w:tcW w:w="6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400" w:type="dxa"/>
            <w:vAlign w:val="bottom"/>
            <w:tcBorders>
              <w:bottom w:val="single" w:sz="8" w:color="808080"/>
            </w:tcBorders>
          </w:tcPr>
          <w:p>
            <w:pPr>
              <w:spacing w:after="0"/>
              <w:rPr>
                <w:sz w:val="14"/>
                <w:szCs w:val="14"/>
                <w:color w:val="auto"/>
              </w:rPr>
            </w:pPr>
          </w:p>
        </w:tc>
        <w:tc>
          <w:tcPr>
            <w:tcW w:w="340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68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12700" cy="63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9" w:right="219" w:bottom="1440" w:gutter="0" w:footer="0" w:header="0"/>
        </w:sectPr>
      </w:pPr>
    </w:p>
    <w:bookmarkStart w:id="96" w:name="page97"/>
    <w:bookmarkEnd w:id="9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HARRIS STRATEX NETWORKS, INC. AND SUBSIDIARIES</w:t>
      </w:r>
    </w:p>
    <w:p>
      <w:pPr>
        <w:spacing w:after="0" w:line="102"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6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 summary of the status of stock options under our 2007 Stock Equity Plan as of July 3, 2009 and changes during fiscal 2009, are as follows: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130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20" w:type="dxa"/>
            <w:vAlign w:val="bottom"/>
            <w:gridSpan w:val="2"/>
            <w:vMerge w:val="restart"/>
          </w:tcPr>
          <w:p>
            <w:pPr>
              <w:jc w:val="center"/>
              <w:ind w:right="380"/>
              <w:spacing w:after="0"/>
              <w:rPr>
                <w:sz w:val="20"/>
                <w:szCs w:val="20"/>
                <w:color w:val="auto"/>
              </w:rPr>
            </w:pPr>
            <w:r>
              <w:rPr>
                <w:rFonts w:ascii="Arial" w:cs="Arial" w:eastAsia="Arial" w:hAnsi="Arial"/>
                <w:sz w:val="11"/>
                <w:szCs w:val="11"/>
                <w:b w:val="1"/>
                <w:bCs w:val="1"/>
                <w:color w:val="auto"/>
                <w:w w:val="88"/>
              </w:rPr>
              <w:t>Weighted</w:t>
            </w:r>
          </w:p>
        </w:tc>
        <w:tc>
          <w:tcPr>
            <w:tcW w:w="1100" w:type="dxa"/>
            <w:vAlign w:val="bottom"/>
            <w:gridSpan w:val="2"/>
            <w:vMerge w:val="restart"/>
          </w:tcPr>
          <w:p>
            <w:pPr>
              <w:jc w:val="center"/>
              <w:ind w:right="400"/>
              <w:spacing w:after="0"/>
              <w:rPr>
                <w:sz w:val="20"/>
                <w:szCs w:val="20"/>
                <w:color w:val="auto"/>
              </w:rPr>
            </w:pPr>
            <w:r>
              <w:rPr>
                <w:rFonts w:ascii="Arial" w:cs="Arial" w:eastAsia="Arial" w:hAnsi="Arial"/>
                <w:sz w:val="11"/>
                <w:szCs w:val="11"/>
                <w:b w:val="1"/>
                <w:bCs w:val="1"/>
                <w:color w:val="auto"/>
                <w:w w:val="84"/>
              </w:rPr>
              <w:t>Weighted</w:t>
            </w:r>
          </w:p>
        </w:tc>
        <w:tc>
          <w:tcPr>
            <w:tcW w:w="1180" w:type="dxa"/>
            <w:vAlign w:val="bottom"/>
            <w:gridSpan w:val="2"/>
          </w:tcPr>
          <w:p>
            <w:pPr>
              <w:jc w:val="center"/>
              <w:ind w:right="380"/>
              <w:spacing w:after="0"/>
              <w:rPr>
                <w:sz w:val="20"/>
                <w:szCs w:val="20"/>
                <w:color w:val="auto"/>
              </w:rPr>
            </w:pPr>
            <w:r>
              <w:rPr>
                <w:rFonts w:ascii="Arial" w:cs="Arial" w:eastAsia="Arial" w:hAnsi="Arial"/>
                <w:sz w:val="11"/>
                <w:szCs w:val="11"/>
                <w:b w:val="1"/>
                <w:bCs w:val="1"/>
                <w:color w:val="auto"/>
                <w:w w:val="88"/>
              </w:rPr>
              <w:t>Weighted</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1300" w:type="dxa"/>
            <w:vAlign w:val="bottom"/>
          </w:tcPr>
          <w:p>
            <w:pPr>
              <w:spacing w:after="0"/>
              <w:rPr>
                <w:sz w:val="9"/>
                <w:szCs w:val="9"/>
                <w:color w:val="auto"/>
              </w:rPr>
            </w:pPr>
          </w:p>
        </w:tc>
        <w:tc>
          <w:tcPr>
            <w:tcW w:w="3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180" w:type="dxa"/>
            <w:vAlign w:val="bottom"/>
            <w:gridSpan w:val="2"/>
          </w:tcPr>
          <w:p>
            <w:pPr>
              <w:jc w:val="center"/>
              <w:ind w:right="360"/>
              <w:spacing w:after="0" w:line="111" w:lineRule="exact"/>
              <w:rPr>
                <w:sz w:val="20"/>
                <w:szCs w:val="20"/>
                <w:color w:val="auto"/>
              </w:rPr>
            </w:pPr>
            <w:r>
              <w:rPr>
                <w:rFonts w:ascii="Arial" w:cs="Arial" w:eastAsia="Arial" w:hAnsi="Arial"/>
                <w:sz w:val="11"/>
                <w:szCs w:val="11"/>
                <w:b w:val="1"/>
                <w:bCs w:val="1"/>
                <w:color w:val="auto"/>
                <w:w w:val="87"/>
              </w:rPr>
              <w:t>Average</w:t>
            </w:r>
          </w:p>
        </w:tc>
        <w:tc>
          <w:tcPr>
            <w:tcW w:w="100" w:type="dxa"/>
            <w:vAlign w:val="bottom"/>
          </w:tcPr>
          <w:p>
            <w:pPr>
              <w:spacing w:after="0"/>
              <w:rPr>
                <w:sz w:val="9"/>
                <w:szCs w:val="9"/>
                <w:color w:val="auto"/>
              </w:rPr>
            </w:pPr>
          </w:p>
        </w:tc>
        <w:tc>
          <w:tcPr>
            <w:tcW w:w="880" w:type="dxa"/>
            <w:vAlign w:val="bottom"/>
            <w:gridSpan w:val="2"/>
            <w:vMerge w:val="restart"/>
          </w:tcPr>
          <w:p>
            <w:pPr>
              <w:jc w:val="center"/>
              <w:ind w:right="180"/>
              <w:spacing w:after="0"/>
              <w:rPr>
                <w:sz w:val="20"/>
                <w:szCs w:val="20"/>
                <w:color w:val="auto"/>
              </w:rPr>
            </w:pPr>
            <w:r>
              <w:rPr>
                <w:rFonts w:ascii="Arial" w:cs="Arial" w:eastAsia="Arial" w:hAnsi="Arial"/>
                <w:sz w:val="11"/>
                <w:szCs w:val="11"/>
                <w:b w:val="1"/>
                <w:bCs w:val="1"/>
                <w:color w:val="auto"/>
                <w:w w:val="84"/>
              </w:rPr>
              <w:t>Aggregate</w:t>
            </w:r>
          </w:p>
        </w:tc>
        <w:tc>
          <w:tcPr>
            <w:tcW w:w="0" w:type="dxa"/>
            <w:vAlign w:val="bottom"/>
          </w:tcPr>
          <w:p>
            <w:pPr>
              <w:spacing w:after="0"/>
              <w:rPr>
                <w:sz w:val="1"/>
                <w:szCs w:val="1"/>
                <w:color w:val="auto"/>
              </w:rPr>
            </w:pPr>
          </w:p>
        </w:tc>
      </w:tr>
      <w:tr>
        <w:trPr>
          <w:trHeight w:val="111"/>
        </w:trPr>
        <w:tc>
          <w:tcPr>
            <w:tcW w:w="1300" w:type="dxa"/>
            <w:vAlign w:val="bottom"/>
          </w:tcPr>
          <w:p>
            <w:pPr>
              <w:spacing w:after="0"/>
              <w:rPr>
                <w:sz w:val="9"/>
                <w:szCs w:val="9"/>
                <w:color w:val="auto"/>
              </w:rPr>
            </w:pPr>
          </w:p>
        </w:tc>
        <w:tc>
          <w:tcPr>
            <w:tcW w:w="3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20" w:type="dxa"/>
            <w:vAlign w:val="bottom"/>
            <w:gridSpan w:val="2"/>
          </w:tcPr>
          <w:p>
            <w:pPr>
              <w:jc w:val="center"/>
              <w:ind w:right="400"/>
              <w:spacing w:after="0" w:line="111" w:lineRule="exact"/>
              <w:rPr>
                <w:sz w:val="20"/>
                <w:szCs w:val="20"/>
                <w:color w:val="auto"/>
              </w:rPr>
            </w:pPr>
            <w:r>
              <w:rPr>
                <w:rFonts w:ascii="Arial" w:cs="Arial" w:eastAsia="Arial" w:hAnsi="Arial"/>
                <w:sz w:val="11"/>
                <w:szCs w:val="11"/>
                <w:b w:val="1"/>
                <w:bCs w:val="1"/>
                <w:color w:val="auto"/>
                <w:w w:val="87"/>
              </w:rPr>
              <w:t>Average</w:t>
            </w:r>
          </w:p>
        </w:tc>
        <w:tc>
          <w:tcPr>
            <w:tcW w:w="1100" w:type="dxa"/>
            <w:vAlign w:val="bottom"/>
            <w:gridSpan w:val="2"/>
          </w:tcPr>
          <w:p>
            <w:pPr>
              <w:jc w:val="center"/>
              <w:ind w:right="400"/>
              <w:spacing w:after="0" w:line="111" w:lineRule="exact"/>
              <w:rPr>
                <w:sz w:val="20"/>
                <w:szCs w:val="20"/>
                <w:color w:val="auto"/>
              </w:rPr>
            </w:pPr>
            <w:r>
              <w:rPr>
                <w:rFonts w:ascii="Arial" w:cs="Arial" w:eastAsia="Arial" w:hAnsi="Arial"/>
                <w:sz w:val="11"/>
                <w:szCs w:val="11"/>
                <w:b w:val="1"/>
                <w:bCs w:val="1"/>
                <w:color w:val="auto"/>
                <w:w w:val="87"/>
              </w:rPr>
              <w:t>Average</w:t>
            </w:r>
          </w:p>
        </w:tc>
        <w:tc>
          <w:tcPr>
            <w:tcW w:w="1180" w:type="dxa"/>
            <w:vAlign w:val="bottom"/>
            <w:gridSpan w:val="2"/>
          </w:tcPr>
          <w:p>
            <w:pPr>
              <w:jc w:val="center"/>
              <w:ind w:right="360"/>
              <w:spacing w:after="0" w:line="111" w:lineRule="exact"/>
              <w:rPr>
                <w:sz w:val="20"/>
                <w:szCs w:val="20"/>
                <w:color w:val="auto"/>
              </w:rPr>
            </w:pPr>
            <w:r>
              <w:rPr>
                <w:rFonts w:ascii="Arial" w:cs="Arial" w:eastAsia="Arial" w:hAnsi="Arial"/>
                <w:sz w:val="11"/>
                <w:szCs w:val="11"/>
                <w:b w:val="1"/>
                <w:bCs w:val="1"/>
                <w:color w:val="auto"/>
                <w:w w:val="88"/>
              </w:rPr>
              <w:t>Remaining</w:t>
            </w:r>
          </w:p>
        </w:tc>
        <w:tc>
          <w:tcPr>
            <w:tcW w:w="10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1300" w:type="dxa"/>
            <w:vAlign w:val="bottom"/>
          </w:tcPr>
          <w:p>
            <w:pPr>
              <w:spacing w:after="0"/>
              <w:rPr>
                <w:sz w:val="9"/>
                <w:szCs w:val="9"/>
                <w:color w:val="auto"/>
              </w:rPr>
            </w:pPr>
          </w:p>
        </w:tc>
        <w:tc>
          <w:tcPr>
            <w:tcW w:w="3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20" w:type="dxa"/>
            <w:vAlign w:val="bottom"/>
            <w:gridSpan w:val="2"/>
          </w:tcPr>
          <w:p>
            <w:pPr>
              <w:jc w:val="center"/>
              <w:ind w:right="400"/>
              <w:spacing w:after="0" w:line="111" w:lineRule="exact"/>
              <w:rPr>
                <w:sz w:val="20"/>
                <w:szCs w:val="20"/>
                <w:color w:val="auto"/>
              </w:rPr>
            </w:pPr>
            <w:r>
              <w:rPr>
                <w:rFonts w:ascii="Arial" w:cs="Arial" w:eastAsia="Arial" w:hAnsi="Arial"/>
                <w:sz w:val="11"/>
                <w:szCs w:val="11"/>
                <w:b w:val="1"/>
                <w:bCs w:val="1"/>
                <w:color w:val="auto"/>
                <w:w w:val="83"/>
              </w:rPr>
              <w:t>Exercise</w:t>
            </w:r>
          </w:p>
        </w:tc>
        <w:tc>
          <w:tcPr>
            <w:tcW w:w="1100" w:type="dxa"/>
            <w:vAlign w:val="bottom"/>
            <w:gridSpan w:val="2"/>
          </w:tcPr>
          <w:p>
            <w:pPr>
              <w:jc w:val="center"/>
              <w:ind w:right="380"/>
              <w:spacing w:after="0" w:line="111" w:lineRule="exact"/>
              <w:rPr>
                <w:sz w:val="20"/>
                <w:szCs w:val="20"/>
                <w:color w:val="auto"/>
              </w:rPr>
            </w:pPr>
            <w:r>
              <w:rPr>
                <w:rFonts w:ascii="Arial" w:cs="Arial" w:eastAsia="Arial" w:hAnsi="Arial"/>
                <w:sz w:val="11"/>
                <w:szCs w:val="11"/>
                <w:b w:val="1"/>
                <w:bCs w:val="1"/>
                <w:color w:val="auto"/>
                <w:w w:val="92"/>
              </w:rPr>
              <w:t>Grant Date</w:t>
            </w:r>
          </w:p>
        </w:tc>
        <w:tc>
          <w:tcPr>
            <w:tcW w:w="1180" w:type="dxa"/>
            <w:vAlign w:val="bottom"/>
            <w:gridSpan w:val="2"/>
          </w:tcPr>
          <w:p>
            <w:pPr>
              <w:jc w:val="center"/>
              <w:ind w:right="380"/>
              <w:spacing w:after="0" w:line="111" w:lineRule="exact"/>
              <w:rPr>
                <w:sz w:val="20"/>
                <w:szCs w:val="20"/>
                <w:color w:val="auto"/>
              </w:rPr>
            </w:pPr>
            <w:r>
              <w:rPr>
                <w:rFonts w:ascii="Arial" w:cs="Arial" w:eastAsia="Arial" w:hAnsi="Arial"/>
                <w:sz w:val="11"/>
                <w:szCs w:val="11"/>
                <w:b w:val="1"/>
                <w:bCs w:val="1"/>
                <w:color w:val="auto"/>
                <w:w w:val="91"/>
              </w:rPr>
              <w:t>Contractual</w:t>
            </w:r>
          </w:p>
        </w:tc>
        <w:tc>
          <w:tcPr>
            <w:tcW w:w="100" w:type="dxa"/>
            <w:vAlign w:val="bottom"/>
          </w:tcPr>
          <w:p>
            <w:pPr>
              <w:spacing w:after="0"/>
              <w:rPr>
                <w:sz w:val="9"/>
                <w:szCs w:val="9"/>
                <w:color w:val="auto"/>
              </w:rPr>
            </w:pPr>
          </w:p>
        </w:tc>
        <w:tc>
          <w:tcPr>
            <w:tcW w:w="880" w:type="dxa"/>
            <w:vAlign w:val="bottom"/>
            <w:gridSpan w:val="2"/>
          </w:tcPr>
          <w:p>
            <w:pPr>
              <w:jc w:val="center"/>
              <w:ind w:right="180"/>
              <w:spacing w:after="0" w:line="111" w:lineRule="exact"/>
              <w:rPr>
                <w:sz w:val="20"/>
                <w:szCs w:val="20"/>
                <w:color w:val="auto"/>
              </w:rPr>
            </w:pPr>
            <w:r>
              <w:rPr>
                <w:rFonts w:ascii="Arial" w:cs="Arial" w:eastAsia="Arial" w:hAnsi="Arial"/>
                <w:sz w:val="11"/>
                <w:szCs w:val="11"/>
                <w:b w:val="1"/>
                <w:bCs w:val="1"/>
                <w:color w:val="auto"/>
                <w:w w:val="88"/>
              </w:rPr>
              <w:t>Intrinsic</w:t>
            </w:r>
          </w:p>
        </w:tc>
        <w:tc>
          <w:tcPr>
            <w:tcW w:w="0" w:type="dxa"/>
            <w:vAlign w:val="bottom"/>
          </w:tcPr>
          <w:p>
            <w:pPr>
              <w:spacing w:after="0"/>
              <w:rPr>
                <w:sz w:val="1"/>
                <w:szCs w:val="1"/>
                <w:color w:val="auto"/>
              </w:rPr>
            </w:pPr>
          </w:p>
        </w:tc>
      </w:tr>
      <w:tr>
        <w:trPr>
          <w:trHeight w:val="111"/>
        </w:trPr>
        <w:tc>
          <w:tcPr>
            <w:tcW w:w="1300" w:type="dxa"/>
            <w:vAlign w:val="bottom"/>
          </w:tcPr>
          <w:p>
            <w:pPr>
              <w:spacing w:after="0"/>
              <w:rPr>
                <w:sz w:val="9"/>
                <w:szCs w:val="9"/>
                <w:color w:val="auto"/>
              </w:rPr>
            </w:pPr>
          </w:p>
        </w:tc>
        <w:tc>
          <w:tcPr>
            <w:tcW w:w="3300" w:type="dxa"/>
            <w:vAlign w:val="bottom"/>
          </w:tcPr>
          <w:p>
            <w:pPr>
              <w:spacing w:after="0"/>
              <w:rPr>
                <w:sz w:val="9"/>
                <w:szCs w:val="9"/>
                <w:color w:val="auto"/>
              </w:rPr>
            </w:pPr>
          </w:p>
        </w:tc>
        <w:tc>
          <w:tcPr>
            <w:tcW w:w="1100" w:type="dxa"/>
            <w:vAlign w:val="bottom"/>
            <w:gridSpan w:val="2"/>
            <w:vMerge w:val="restart"/>
          </w:tcPr>
          <w:p>
            <w:pPr>
              <w:jc w:val="right"/>
              <w:ind w:right="580"/>
              <w:spacing w:after="0"/>
              <w:rPr>
                <w:sz w:val="20"/>
                <w:szCs w:val="20"/>
                <w:color w:val="auto"/>
              </w:rPr>
            </w:pPr>
            <w:r>
              <w:rPr>
                <w:rFonts w:ascii="Arial" w:cs="Arial" w:eastAsia="Arial" w:hAnsi="Arial"/>
                <w:sz w:val="11"/>
                <w:szCs w:val="11"/>
                <w:b w:val="1"/>
                <w:bCs w:val="1"/>
                <w:color w:val="auto"/>
              </w:rPr>
              <w:t>Shares</w:t>
            </w:r>
          </w:p>
        </w:tc>
        <w:tc>
          <w:tcPr>
            <w:tcW w:w="1020" w:type="dxa"/>
            <w:vAlign w:val="bottom"/>
            <w:gridSpan w:val="2"/>
          </w:tcPr>
          <w:p>
            <w:pPr>
              <w:jc w:val="center"/>
              <w:ind w:right="380"/>
              <w:spacing w:after="0" w:line="111" w:lineRule="exact"/>
              <w:rPr>
                <w:sz w:val="20"/>
                <w:szCs w:val="20"/>
                <w:color w:val="auto"/>
              </w:rPr>
            </w:pPr>
            <w:r>
              <w:rPr>
                <w:rFonts w:ascii="Arial" w:cs="Arial" w:eastAsia="Arial" w:hAnsi="Arial"/>
                <w:sz w:val="11"/>
                <w:szCs w:val="11"/>
                <w:b w:val="1"/>
                <w:bCs w:val="1"/>
                <w:color w:val="auto"/>
                <w:w w:val="89"/>
              </w:rPr>
              <w:t>Price</w:t>
            </w:r>
          </w:p>
        </w:tc>
        <w:tc>
          <w:tcPr>
            <w:tcW w:w="1100" w:type="dxa"/>
            <w:vAlign w:val="bottom"/>
            <w:gridSpan w:val="2"/>
          </w:tcPr>
          <w:p>
            <w:pPr>
              <w:jc w:val="center"/>
              <w:ind w:right="380"/>
              <w:spacing w:after="0" w:line="111" w:lineRule="exact"/>
              <w:rPr>
                <w:sz w:val="20"/>
                <w:szCs w:val="20"/>
                <w:color w:val="auto"/>
              </w:rPr>
            </w:pPr>
            <w:r>
              <w:rPr>
                <w:rFonts w:ascii="Arial" w:cs="Arial" w:eastAsia="Arial" w:hAnsi="Arial"/>
                <w:sz w:val="11"/>
                <w:szCs w:val="11"/>
                <w:b w:val="1"/>
                <w:bCs w:val="1"/>
                <w:color w:val="auto"/>
                <w:w w:val="91"/>
              </w:rPr>
              <w:t>Fair Value</w:t>
            </w:r>
          </w:p>
        </w:tc>
        <w:tc>
          <w:tcPr>
            <w:tcW w:w="1180" w:type="dxa"/>
            <w:vAlign w:val="bottom"/>
            <w:gridSpan w:val="2"/>
          </w:tcPr>
          <w:p>
            <w:pPr>
              <w:jc w:val="center"/>
              <w:ind w:right="360"/>
              <w:spacing w:after="0" w:line="111" w:lineRule="exact"/>
              <w:rPr>
                <w:sz w:val="20"/>
                <w:szCs w:val="20"/>
                <w:color w:val="auto"/>
              </w:rPr>
            </w:pPr>
            <w:r>
              <w:rPr>
                <w:rFonts w:ascii="Arial" w:cs="Arial" w:eastAsia="Arial" w:hAnsi="Arial"/>
                <w:sz w:val="11"/>
                <w:szCs w:val="11"/>
                <w:b w:val="1"/>
                <w:bCs w:val="1"/>
                <w:color w:val="auto"/>
                <w:w w:val="91"/>
              </w:rPr>
              <w:t>Life</w:t>
            </w:r>
          </w:p>
        </w:tc>
        <w:tc>
          <w:tcPr>
            <w:tcW w:w="100" w:type="dxa"/>
            <w:vAlign w:val="bottom"/>
          </w:tcPr>
          <w:p>
            <w:pPr>
              <w:spacing w:after="0"/>
              <w:rPr>
                <w:sz w:val="9"/>
                <w:szCs w:val="9"/>
                <w:color w:val="auto"/>
              </w:rPr>
            </w:pPr>
          </w:p>
        </w:tc>
        <w:tc>
          <w:tcPr>
            <w:tcW w:w="880" w:type="dxa"/>
            <w:vAlign w:val="bottom"/>
            <w:gridSpan w:val="2"/>
          </w:tcPr>
          <w:p>
            <w:pPr>
              <w:jc w:val="center"/>
              <w:ind w:right="180"/>
              <w:spacing w:after="0" w:line="111" w:lineRule="exact"/>
              <w:rPr>
                <w:sz w:val="20"/>
                <w:szCs w:val="20"/>
                <w:color w:val="auto"/>
              </w:rPr>
            </w:pPr>
            <w:r>
              <w:rPr>
                <w:rFonts w:ascii="Arial" w:cs="Arial" w:eastAsia="Arial" w:hAnsi="Arial"/>
                <w:sz w:val="11"/>
                <w:szCs w:val="11"/>
                <w:b w:val="1"/>
                <w:bCs w:val="1"/>
                <w:color w:val="auto"/>
                <w:w w:val="88"/>
              </w:rPr>
              <w:t>Value</w:t>
            </w:r>
          </w:p>
        </w:tc>
        <w:tc>
          <w:tcPr>
            <w:tcW w:w="0" w:type="dxa"/>
            <w:vAlign w:val="bottom"/>
          </w:tcPr>
          <w:p>
            <w:pPr>
              <w:spacing w:after="0"/>
              <w:rPr>
                <w:sz w:val="1"/>
                <w:szCs w:val="1"/>
                <w:color w:val="auto"/>
              </w:rPr>
            </w:pPr>
          </w:p>
        </w:tc>
      </w:tr>
      <w:tr>
        <w:trPr>
          <w:trHeight w:val="128"/>
        </w:trPr>
        <w:tc>
          <w:tcPr>
            <w:tcW w:w="130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620" w:type="dxa"/>
            <w:vAlign w:val="bottom"/>
          </w:tcPr>
          <w:p>
            <w:pPr>
              <w:jc w:val="center"/>
              <w:spacing w:after="0"/>
              <w:rPr>
                <w:sz w:val="20"/>
                <w:szCs w:val="20"/>
                <w:color w:val="auto"/>
              </w:rPr>
            </w:pPr>
            <w:r>
              <w:rPr>
                <w:rFonts w:ascii="Arial" w:cs="Arial" w:eastAsia="Arial" w:hAnsi="Arial"/>
                <w:sz w:val="11"/>
                <w:szCs w:val="11"/>
                <w:b w:val="1"/>
                <w:bCs w:val="1"/>
                <w:color w:val="auto"/>
                <w:w w:val="88"/>
              </w:rPr>
              <w:t>($)</w:t>
            </w:r>
          </w:p>
        </w:tc>
        <w:tc>
          <w:tcPr>
            <w:tcW w:w="400" w:type="dxa"/>
            <w:vAlign w:val="bottom"/>
          </w:tcPr>
          <w:p>
            <w:pPr>
              <w:spacing w:after="0"/>
              <w:rPr>
                <w:sz w:val="11"/>
                <w:szCs w:val="11"/>
                <w:color w:val="auto"/>
              </w:rPr>
            </w:pP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rPr>
              <w:t>($)</w:t>
            </w:r>
          </w:p>
        </w:tc>
        <w:tc>
          <w:tcPr>
            <w:tcW w:w="400" w:type="dxa"/>
            <w:vAlign w:val="bottom"/>
          </w:tcPr>
          <w:p>
            <w:pPr>
              <w:spacing w:after="0"/>
              <w:rPr>
                <w:sz w:val="11"/>
                <w:szCs w:val="11"/>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1"/>
                <w:szCs w:val="11"/>
                <w:b w:val="1"/>
                <w:bCs w:val="1"/>
                <w:color w:val="auto"/>
                <w:w w:val="85"/>
              </w:rPr>
              <w:t>(Years)</w:t>
            </w:r>
          </w:p>
        </w:tc>
        <w:tc>
          <w:tcPr>
            <w:tcW w:w="100" w:type="dxa"/>
            <w:vAlign w:val="bottom"/>
          </w:tcPr>
          <w:p>
            <w:pPr>
              <w:spacing w:after="0"/>
              <w:rPr>
                <w:sz w:val="11"/>
                <w:szCs w:val="11"/>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7"/>
              </w:rPr>
              <w:t>($ in millions)</w:t>
            </w:r>
          </w:p>
        </w:tc>
        <w:tc>
          <w:tcPr>
            <w:tcW w:w="0" w:type="dxa"/>
            <w:vAlign w:val="bottom"/>
          </w:tcPr>
          <w:p>
            <w:pPr>
              <w:spacing w:after="0"/>
              <w:rPr>
                <w:sz w:val="1"/>
                <w:szCs w:val="1"/>
                <w:color w:val="auto"/>
              </w:rPr>
            </w:pPr>
          </w:p>
        </w:tc>
      </w:tr>
      <w:tr>
        <w:trPr>
          <w:trHeight w:val="30"/>
        </w:trPr>
        <w:tc>
          <w:tcPr>
            <w:tcW w:w="1300" w:type="dxa"/>
            <w:vAlign w:val="bottom"/>
          </w:tcPr>
          <w:p>
            <w:pPr>
              <w:spacing w:after="0"/>
              <w:rPr>
                <w:sz w:val="2"/>
                <w:szCs w:val="2"/>
                <w:color w:val="auto"/>
              </w:rPr>
            </w:pPr>
          </w:p>
        </w:tc>
        <w:tc>
          <w:tcPr>
            <w:tcW w:w="330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4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Stock options outstanding as of June 27, 2008</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289,750</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19.67</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11.23</w:t>
            </w:r>
          </w:p>
        </w:tc>
        <w:tc>
          <w:tcPr>
            <w:tcW w:w="8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600" w:type="dxa"/>
            <w:vAlign w:val="bottom"/>
            <w:gridSpan w:val="2"/>
          </w:tcPr>
          <w:p>
            <w:pPr>
              <w:spacing w:after="0"/>
              <w:rPr>
                <w:sz w:val="20"/>
                <w:szCs w:val="20"/>
                <w:color w:val="auto"/>
              </w:rPr>
            </w:pPr>
            <w:r>
              <w:rPr>
                <w:rFonts w:ascii="Arial" w:cs="Arial" w:eastAsia="Arial" w:hAnsi="Arial"/>
                <w:sz w:val="13"/>
                <w:szCs w:val="13"/>
                <w:color w:val="auto"/>
              </w:rPr>
              <w:t>Stock options forfeited</w:t>
            </w:r>
          </w:p>
        </w:tc>
        <w:tc>
          <w:tcPr>
            <w:tcW w:w="1100" w:type="dxa"/>
            <w:vAlign w:val="bottom"/>
            <w:gridSpan w:val="2"/>
          </w:tcPr>
          <w:p>
            <w:pPr>
              <w:jc w:val="right"/>
              <w:ind w:right="340"/>
              <w:spacing w:after="0"/>
              <w:rPr>
                <w:sz w:val="20"/>
                <w:szCs w:val="20"/>
                <w:color w:val="auto"/>
              </w:rPr>
            </w:pPr>
            <w:r>
              <w:rPr>
                <w:rFonts w:ascii="Arial" w:cs="Arial" w:eastAsia="Arial" w:hAnsi="Arial"/>
                <w:sz w:val="13"/>
                <w:szCs w:val="13"/>
                <w:color w:val="auto"/>
              </w:rPr>
              <w:t>(229,978)</w:t>
            </w: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12.50</w:t>
            </w: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6.68</w:t>
            </w: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Stock options granted</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1,043,405</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5.68</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2.60</w:t>
            </w:r>
          </w:p>
        </w:tc>
        <w:tc>
          <w:tcPr>
            <w:tcW w:w="8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600" w:type="dxa"/>
            <w:vAlign w:val="bottom"/>
            <w:gridSpan w:val="2"/>
          </w:tcPr>
          <w:p>
            <w:pPr>
              <w:spacing w:after="0"/>
              <w:rPr>
                <w:sz w:val="20"/>
                <w:szCs w:val="20"/>
                <w:color w:val="auto"/>
              </w:rPr>
            </w:pPr>
            <w:r>
              <w:rPr>
                <w:rFonts w:ascii="Arial" w:cs="Arial" w:eastAsia="Arial" w:hAnsi="Arial"/>
                <w:sz w:val="13"/>
                <w:szCs w:val="13"/>
                <w:color w:val="auto"/>
              </w:rPr>
              <w:t>Stock options exercised</w:t>
            </w: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4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Stock options outstanding as of July 3, 2009</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1,103,177</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7.94</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10.81</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6.2</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0.5</w:t>
            </w:r>
          </w:p>
        </w:tc>
        <w:tc>
          <w:tcPr>
            <w:tcW w:w="0" w:type="dxa"/>
            <w:vAlign w:val="bottom"/>
          </w:tcPr>
          <w:p>
            <w:pPr>
              <w:spacing w:after="0"/>
              <w:rPr>
                <w:sz w:val="1"/>
                <w:szCs w:val="1"/>
                <w:color w:val="auto"/>
              </w:rPr>
            </w:pPr>
          </w:p>
        </w:tc>
      </w:tr>
      <w:tr>
        <w:trPr>
          <w:trHeight w:val="20"/>
        </w:trPr>
        <w:tc>
          <w:tcPr>
            <w:tcW w:w="4600" w:type="dxa"/>
            <w:vAlign w:val="bottom"/>
            <w:gridSpan w:val="2"/>
            <w:vMerge w:val="restart"/>
          </w:tcPr>
          <w:p>
            <w:pPr>
              <w:spacing w:after="0"/>
              <w:rPr>
                <w:sz w:val="20"/>
                <w:szCs w:val="20"/>
                <w:color w:val="auto"/>
              </w:rPr>
            </w:pPr>
            <w:r>
              <w:rPr>
                <w:rFonts w:ascii="Arial" w:cs="Arial" w:eastAsia="Arial" w:hAnsi="Arial"/>
                <w:sz w:val="13"/>
                <w:szCs w:val="13"/>
                <w:color w:val="auto"/>
              </w:rPr>
              <w:t>Stock options exercisable as of July 3, 2009</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2"/>
            <w:vMerge w:val="restart"/>
          </w:tcPr>
          <w:p>
            <w:pPr>
              <w:jc w:val="right"/>
              <w:ind w:right="400"/>
              <w:spacing w:after="0"/>
              <w:rPr>
                <w:sz w:val="20"/>
                <w:szCs w:val="20"/>
                <w:color w:val="auto"/>
              </w:rPr>
            </w:pPr>
            <w:r>
              <w:rPr>
                <w:rFonts w:ascii="Arial" w:cs="Arial" w:eastAsia="Arial" w:hAnsi="Arial"/>
                <w:sz w:val="13"/>
                <w:szCs w:val="13"/>
                <w:color w:val="auto"/>
              </w:rPr>
              <w:t>19.70</w:t>
            </w:r>
          </w:p>
        </w:tc>
        <w:tc>
          <w:tcPr>
            <w:tcW w:w="1100" w:type="dxa"/>
            <w:vAlign w:val="bottom"/>
            <w:gridSpan w:val="2"/>
            <w:vMerge w:val="restart"/>
          </w:tcPr>
          <w:p>
            <w:pPr>
              <w:jc w:val="right"/>
              <w:ind w:right="400"/>
              <w:spacing w:after="0"/>
              <w:rPr>
                <w:sz w:val="20"/>
                <w:szCs w:val="20"/>
                <w:color w:val="auto"/>
              </w:rPr>
            </w:pPr>
            <w:r>
              <w:rPr>
                <w:rFonts w:ascii="Arial" w:cs="Arial" w:eastAsia="Arial" w:hAnsi="Arial"/>
                <w:sz w:val="13"/>
                <w:szCs w:val="13"/>
                <w:color w:val="auto"/>
              </w:rPr>
              <w:t>11.19</w:t>
            </w:r>
          </w:p>
        </w:tc>
        <w:tc>
          <w:tcPr>
            <w:tcW w:w="1180" w:type="dxa"/>
            <w:vAlign w:val="bottom"/>
            <w:gridSpan w:val="2"/>
            <w:vMerge w:val="restart"/>
          </w:tcPr>
          <w:p>
            <w:pPr>
              <w:jc w:val="right"/>
              <w:ind w:right="380"/>
              <w:spacing w:after="0"/>
              <w:rPr>
                <w:sz w:val="20"/>
                <w:szCs w:val="20"/>
                <w:color w:val="auto"/>
              </w:rPr>
            </w:pPr>
            <w:r>
              <w:rPr>
                <w:rFonts w:ascii="Arial" w:cs="Arial" w:eastAsia="Arial" w:hAnsi="Arial"/>
                <w:sz w:val="13"/>
                <w:szCs w:val="13"/>
                <w:color w:val="auto"/>
              </w:rPr>
              <w:t>4.7</w:t>
            </w:r>
          </w:p>
        </w:tc>
        <w:tc>
          <w:tcPr>
            <w:tcW w:w="100" w:type="dxa"/>
            <w:vAlign w:val="bottom"/>
          </w:tcPr>
          <w:p>
            <w:pPr>
              <w:spacing w:after="0" w:line="20" w:lineRule="exact"/>
              <w:rPr>
                <w:sz w:val="1"/>
                <w:szCs w:val="1"/>
                <w:color w:val="auto"/>
              </w:rPr>
            </w:pPr>
          </w:p>
        </w:tc>
        <w:tc>
          <w:tcPr>
            <w:tcW w:w="88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line="20" w:lineRule="exact"/>
              <w:rPr>
                <w:sz w:val="1"/>
                <w:szCs w:val="1"/>
                <w:color w:val="auto"/>
              </w:rPr>
            </w:pPr>
          </w:p>
        </w:tc>
      </w:tr>
      <w:tr>
        <w:trPr>
          <w:trHeight w:val="142"/>
        </w:trPr>
        <w:tc>
          <w:tcPr>
            <w:tcW w:w="4600" w:type="dxa"/>
            <w:vAlign w:val="bottom"/>
            <w:gridSpan w:val="2"/>
            <w:vMerge w:val="continue"/>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3"/>
                <w:szCs w:val="13"/>
                <w:color w:val="auto"/>
              </w:rPr>
              <w:t>132,845</w:t>
            </w:r>
          </w:p>
        </w:tc>
        <w:tc>
          <w:tcPr>
            <w:tcW w:w="4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Stock options vested and expected to vest as of July 3, 2009(1)</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1,048,109</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8.04</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10.81</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6.2</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0.4</w:t>
            </w:r>
          </w:p>
        </w:tc>
        <w:tc>
          <w:tcPr>
            <w:tcW w:w="0" w:type="dxa"/>
            <w:vAlign w:val="bottom"/>
          </w:tcPr>
          <w:p>
            <w:pPr>
              <w:spacing w:after="0"/>
              <w:rPr>
                <w:sz w:val="1"/>
                <w:szCs w:val="1"/>
                <w:color w:val="auto"/>
              </w:rPr>
            </w:pPr>
          </w:p>
        </w:tc>
      </w:tr>
      <w:tr>
        <w:trPr>
          <w:trHeight w:val="101"/>
        </w:trPr>
        <w:tc>
          <w:tcPr>
            <w:tcW w:w="1300" w:type="dxa"/>
            <w:vAlign w:val="bottom"/>
            <w:tcBorders>
              <w:bottom w:val="single" w:sz="8" w:color="auto"/>
            </w:tcBorders>
          </w:tcPr>
          <w:p>
            <w:pPr>
              <w:spacing w:after="0"/>
              <w:rPr>
                <w:sz w:val="8"/>
                <w:szCs w:val="8"/>
                <w:color w:val="auto"/>
              </w:rPr>
            </w:pPr>
          </w:p>
        </w:tc>
        <w:tc>
          <w:tcPr>
            <w:tcW w:w="3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740"/>
        <w:spacing w:after="0"/>
        <w:rPr>
          <w:sz w:val="20"/>
          <w:szCs w:val="20"/>
          <w:color w:val="auto"/>
        </w:rPr>
      </w:pPr>
      <w:r>
        <w:rPr>
          <w:rFonts w:ascii="Arial" w:cs="Arial" w:eastAsia="Arial" w:hAnsi="Arial"/>
          <w:sz w:val="13"/>
          <w:szCs w:val="13"/>
          <w:color w:val="auto"/>
        </w:rPr>
        <w:t>(1)  The options expected to vest are the result of applying the pre-vesting forfeiture rate assumptions to total outstanding options.</w:t>
      </w:r>
    </w:p>
    <w:p>
      <w:pPr>
        <w:spacing w:after="0" w:line="102"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The aggregate intrinsic value represents the total pre-tax intrinsic value or the aggregate difference between the closing price of our common stock on July 3, 2009 of $6.15 and the exercise price for in-the-money options that would have been received by the optionees if all options had been exercised on July 3, 2009. There was no intrinsic value of options exercised during fiscal 2009 since none were exercised.</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 summary of the status of our nonvested stock options as of July 3, 2009 granted under our 2007 Stock Equity Plan and changes during fiscal 2009, are as follows: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74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9"/>
              </w:rPr>
              <w:t>Weighted-Average</w:t>
            </w:r>
          </w:p>
        </w:tc>
        <w:tc>
          <w:tcPr>
            <w:tcW w:w="0" w:type="dxa"/>
            <w:vAlign w:val="bottom"/>
          </w:tcPr>
          <w:p>
            <w:pPr>
              <w:spacing w:after="0"/>
              <w:rPr>
                <w:sz w:val="1"/>
                <w:szCs w:val="1"/>
                <w:color w:val="auto"/>
              </w:rPr>
            </w:pPr>
          </w:p>
        </w:tc>
      </w:tr>
      <w:tr>
        <w:trPr>
          <w:trHeight w:val="111"/>
        </w:trPr>
        <w:tc>
          <w:tcPr>
            <w:tcW w:w="7400" w:type="dxa"/>
            <w:vAlign w:val="bottom"/>
          </w:tcPr>
          <w:p>
            <w:pPr>
              <w:spacing w:after="0"/>
              <w:rPr>
                <w:sz w:val="9"/>
                <w:szCs w:val="9"/>
                <w:color w:val="auto"/>
              </w:rPr>
            </w:pPr>
          </w:p>
        </w:tc>
        <w:tc>
          <w:tcPr>
            <w:tcW w:w="1200" w:type="dxa"/>
            <w:vAlign w:val="bottom"/>
            <w:gridSpan w:val="2"/>
            <w:vMerge w:val="restart"/>
          </w:tcPr>
          <w:p>
            <w:pPr>
              <w:jc w:val="right"/>
              <w:ind w:right="640"/>
              <w:spacing w:after="0"/>
              <w:rPr>
                <w:sz w:val="20"/>
                <w:szCs w:val="20"/>
                <w:color w:val="auto"/>
              </w:rPr>
            </w:pPr>
            <w:r>
              <w:rPr>
                <w:rFonts w:ascii="Arial" w:cs="Arial" w:eastAsia="Arial" w:hAnsi="Arial"/>
                <w:sz w:val="11"/>
                <w:szCs w:val="11"/>
                <w:b w:val="1"/>
                <w:bCs w:val="1"/>
                <w:color w:val="auto"/>
              </w:rPr>
              <w:t>Shares</w:t>
            </w:r>
          </w:p>
        </w:tc>
        <w:tc>
          <w:tcPr>
            <w:tcW w:w="140" w:type="dxa"/>
            <w:vAlign w:val="bottom"/>
          </w:tcPr>
          <w:p>
            <w:pPr>
              <w:spacing w:after="0"/>
              <w:rPr>
                <w:sz w:val="9"/>
                <w:szCs w:val="9"/>
                <w:color w:val="auto"/>
              </w:rPr>
            </w:pPr>
          </w:p>
        </w:tc>
        <w:tc>
          <w:tcPr>
            <w:tcW w:w="1240" w:type="dxa"/>
            <w:vAlign w:val="bottom"/>
            <w:gridSpan w:val="2"/>
          </w:tcPr>
          <w:p>
            <w:pPr>
              <w:jc w:val="center"/>
              <w:ind w:right="220"/>
              <w:spacing w:after="0" w:line="111" w:lineRule="exact"/>
              <w:rPr>
                <w:sz w:val="20"/>
                <w:szCs w:val="20"/>
                <w:color w:val="auto"/>
              </w:rPr>
            </w:pPr>
            <w:r>
              <w:rPr>
                <w:rFonts w:ascii="Arial" w:cs="Arial" w:eastAsia="Arial" w:hAnsi="Arial"/>
                <w:sz w:val="11"/>
                <w:szCs w:val="11"/>
                <w:b w:val="1"/>
                <w:bCs w:val="1"/>
                <w:color w:val="auto"/>
                <w:w w:val="94"/>
              </w:rPr>
              <w:t>Grant-Date</w:t>
            </w:r>
          </w:p>
        </w:tc>
        <w:tc>
          <w:tcPr>
            <w:tcW w:w="0" w:type="dxa"/>
            <w:vAlign w:val="bottom"/>
          </w:tcPr>
          <w:p>
            <w:pPr>
              <w:spacing w:after="0"/>
              <w:rPr>
                <w:sz w:val="1"/>
                <w:szCs w:val="1"/>
                <w:color w:val="auto"/>
              </w:rPr>
            </w:pPr>
          </w:p>
        </w:tc>
      </w:tr>
      <w:tr>
        <w:trPr>
          <w:trHeight w:val="128"/>
        </w:trPr>
        <w:tc>
          <w:tcPr>
            <w:tcW w:w="740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1"/>
              </w:rPr>
              <w:t>Fair Value</w:t>
            </w:r>
          </w:p>
        </w:tc>
        <w:tc>
          <w:tcPr>
            <w:tcW w:w="0" w:type="dxa"/>
            <w:vAlign w:val="bottom"/>
          </w:tcPr>
          <w:p>
            <w:pPr>
              <w:spacing w:after="0"/>
              <w:rPr>
                <w:sz w:val="1"/>
                <w:szCs w:val="1"/>
                <w:color w:val="auto"/>
              </w:rPr>
            </w:pPr>
          </w:p>
        </w:tc>
      </w:tr>
      <w:tr>
        <w:trPr>
          <w:trHeight w:val="30"/>
        </w:trPr>
        <w:tc>
          <w:tcPr>
            <w:tcW w:w="740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16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7400" w:type="dxa"/>
            <w:vAlign w:val="bottom"/>
            <w:shd w:val="clear" w:color="auto" w:fill="CCEEFF"/>
          </w:tcPr>
          <w:p>
            <w:pPr>
              <w:spacing w:after="0"/>
              <w:rPr>
                <w:sz w:val="20"/>
                <w:szCs w:val="20"/>
                <w:color w:val="auto"/>
              </w:rPr>
            </w:pPr>
            <w:r>
              <w:rPr>
                <w:rFonts w:ascii="Arial" w:cs="Arial" w:eastAsia="Arial" w:hAnsi="Arial"/>
                <w:sz w:val="13"/>
                <w:szCs w:val="13"/>
                <w:color w:val="auto"/>
              </w:rPr>
              <w:t>Nonvested stock options as of June 27, 2008</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142,050</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10.90</w:t>
            </w:r>
          </w:p>
        </w:tc>
        <w:tc>
          <w:tcPr>
            <w:tcW w:w="0" w:type="dxa"/>
            <w:vAlign w:val="bottom"/>
          </w:tcPr>
          <w:p>
            <w:pPr>
              <w:spacing w:after="0"/>
              <w:rPr>
                <w:sz w:val="1"/>
                <w:szCs w:val="1"/>
                <w:color w:val="auto"/>
              </w:rPr>
            </w:pPr>
          </w:p>
        </w:tc>
      </w:tr>
      <w:tr>
        <w:trPr>
          <w:trHeight w:val="161"/>
        </w:trPr>
        <w:tc>
          <w:tcPr>
            <w:tcW w:w="7400" w:type="dxa"/>
            <w:vAlign w:val="bottom"/>
          </w:tcPr>
          <w:p>
            <w:pPr>
              <w:spacing w:after="0"/>
              <w:rPr>
                <w:sz w:val="20"/>
                <w:szCs w:val="20"/>
                <w:color w:val="auto"/>
              </w:rPr>
            </w:pPr>
            <w:r>
              <w:rPr>
                <w:rFonts w:ascii="Arial" w:cs="Arial" w:eastAsia="Arial" w:hAnsi="Arial"/>
                <w:sz w:val="13"/>
                <w:szCs w:val="13"/>
                <w:color w:val="auto"/>
              </w:rPr>
              <w:t>Stock options granted</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1,043,405</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40" w:type="dxa"/>
            <w:vAlign w:val="bottom"/>
            <w:gridSpan w:val="2"/>
          </w:tcPr>
          <w:p>
            <w:pPr>
              <w:jc w:val="right"/>
              <w:ind w:right="80"/>
              <w:spacing w:after="0"/>
              <w:rPr>
                <w:sz w:val="20"/>
                <w:szCs w:val="20"/>
                <w:color w:val="auto"/>
              </w:rPr>
            </w:pPr>
            <w:r>
              <w:rPr>
                <w:rFonts w:ascii="Arial" w:cs="Arial" w:eastAsia="Arial" w:hAnsi="Arial"/>
                <w:sz w:val="13"/>
                <w:szCs w:val="13"/>
                <w:color w:val="auto"/>
              </w:rPr>
              <w:t>2.60</w:t>
            </w:r>
          </w:p>
        </w:tc>
        <w:tc>
          <w:tcPr>
            <w:tcW w:w="0" w:type="dxa"/>
            <w:vAlign w:val="bottom"/>
          </w:tcPr>
          <w:p>
            <w:pPr>
              <w:spacing w:after="0"/>
              <w:rPr>
                <w:sz w:val="1"/>
                <w:szCs w:val="1"/>
                <w:color w:val="auto"/>
              </w:rPr>
            </w:pPr>
          </w:p>
        </w:tc>
      </w:tr>
      <w:tr>
        <w:trPr>
          <w:trHeight w:val="161"/>
        </w:trPr>
        <w:tc>
          <w:tcPr>
            <w:tcW w:w="7400" w:type="dxa"/>
            <w:vAlign w:val="bottom"/>
            <w:shd w:val="clear" w:color="auto" w:fill="CCEEFF"/>
          </w:tcPr>
          <w:p>
            <w:pPr>
              <w:spacing w:after="0"/>
              <w:rPr>
                <w:sz w:val="20"/>
                <w:szCs w:val="20"/>
                <w:color w:val="auto"/>
              </w:rPr>
            </w:pPr>
            <w:r>
              <w:rPr>
                <w:rFonts w:ascii="Arial" w:cs="Arial" w:eastAsia="Arial" w:hAnsi="Arial"/>
                <w:sz w:val="13"/>
                <w:szCs w:val="13"/>
                <w:color w:val="auto"/>
              </w:rPr>
              <w:t>Stock options forfeited or expired</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(165,878)</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4.83</w:t>
            </w:r>
          </w:p>
        </w:tc>
        <w:tc>
          <w:tcPr>
            <w:tcW w:w="0" w:type="dxa"/>
            <w:vAlign w:val="bottom"/>
          </w:tcPr>
          <w:p>
            <w:pPr>
              <w:spacing w:after="0"/>
              <w:rPr>
                <w:sz w:val="1"/>
                <w:szCs w:val="1"/>
                <w:color w:val="auto"/>
              </w:rPr>
            </w:pPr>
          </w:p>
        </w:tc>
      </w:tr>
      <w:tr>
        <w:trPr>
          <w:trHeight w:val="161"/>
        </w:trPr>
        <w:tc>
          <w:tcPr>
            <w:tcW w:w="7400" w:type="dxa"/>
            <w:vAlign w:val="bottom"/>
          </w:tcPr>
          <w:p>
            <w:pPr>
              <w:spacing w:after="0"/>
              <w:rPr>
                <w:sz w:val="20"/>
                <w:szCs w:val="20"/>
                <w:color w:val="auto"/>
              </w:rPr>
            </w:pPr>
            <w:r>
              <w:rPr>
                <w:rFonts w:ascii="Arial" w:cs="Arial" w:eastAsia="Arial" w:hAnsi="Arial"/>
                <w:sz w:val="13"/>
                <w:szCs w:val="13"/>
                <w:color w:val="auto"/>
              </w:rPr>
              <w:t>Stock options vested</w:t>
            </w:r>
          </w:p>
        </w:tc>
        <w:tc>
          <w:tcPr>
            <w:tcW w:w="1200" w:type="dxa"/>
            <w:vAlign w:val="bottom"/>
            <w:gridSpan w:val="2"/>
          </w:tcPr>
          <w:p>
            <w:pPr>
              <w:jc w:val="right"/>
              <w:ind w:right="360"/>
              <w:spacing w:after="0"/>
              <w:rPr>
                <w:sz w:val="20"/>
                <w:szCs w:val="20"/>
                <w:color w:val="auto"/>
              </w:rPr>
            </w:pPr>
            <w:r>
              <w:rPr>
                <w:rFonts w:ascii="Arial" w:cs="Arial" w:eastAsia="Arial" w:hAnsi="Arial"/>
                <w:sz w:val="13"/>
                <w:szCs w:val="13"/>
                <w:color w:val="auto"/>
              </w:rPr>
              <w:t>(49,245)</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40" w:type="dxa"/>
            <w:vAlign w:val="bottom"/>
            <w:gridSpan w:val="2"/>
          </w:tcPr>
          <w:p>
            <w:pPr>
              <w:jc w:val="right"/>
              <w:ind w:right="80"/>
              <w:spacing w:after="0"/>
              <w:rPr>
                <w:sz w:val="20"/>
                <w:szCs w:val="20"/>
                <w:color w:val="auto"/>
              </w:rPr>
            </w:pPr>
            <w:r>
              <w:rPr>
                <w:rFonts w:ascii="Arial" w:cs="Arial" w:eastAsia="Arial" w:hAnsi="Arial"/>
                <w:sz w:val="13"/>
                <w:szCs w:val="13"/>
                <w:color w:val="auto"/>
              </w:rPr>
              <w:t>10.77</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7400" w:type="dxa"/>
            <w:vAlign w:val="bottom"/>
            <w:shd w:val="clear" w:color="auto" w:fill="CCEEFF"/>
          </w:tcPr>
          <w:p>
            <w:pPr>
              <w:spacing w:after="0"/>
              <w:rPr>
                <w:sz w:val="20"/>
                <w:szCs w:val="20"/>
                <w:color w:val="auto"/>
              </w:rPr>
            </w:pPr>
            <w:r>
              <w:rPr>
                <w:rFonts w:ascii="Arial" w:cs="Arial" w:eastAsia="Arial" w:hAnsi="Arial"/>
                <w:sz w:val="13"/>
                <w:szCs w:val="13"/>
                <w:color w:val="auto"/>
              </w:rPr>
              <w:t>Nonvested stock options as of July 3, 2009</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970,332</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3.02</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left="680" w:right="60" w:firstLine="399"/>
        <w:spacing w:after="0" w:line="276" w:lineRule="auto"/>
        <w:rPr>
          <w:sz w:val="20"/>
          <w:szCs w:val="20"/>
          <w:color w:val="auto"/>
        </w:rPr>
      </w:pPr>
      <w:r>
        <w:rPr>
          <w:rFonts w:ascii="Arial" w:cs="Arial" w:eastAsia="Arial" w:hAnsi="Arial"/>
          <w:sz w:val="13"/>
          <w:szCs w:val="13"/>
          <w:color w:val="auto"/>
        </w:rPr>
        <w:t>As of July 3, 2009, there was $2.3 million of total unrecognized compensation expense related to nonvested stock options granted under our 2007 Stock Equity Plan. This cost is expected to be recognized over a weighted-average period of 1.1 years. The total fair value of stock options that vested during fiscal 2009, 2008 and 2007 was $0.5 million, $1.7 million and zero.</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Restricted Stock Awards Under our 2007 Stock Equity Plan</w:t>
      </w:r>
    </w:p>
    <w:p>
      <w:pPr>
        <w:spacing w:after="0" w:line="102"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The following information relates to awards of restricted stock that were granted to employees and outside directors under our stock incentive plan. The restricted stock is not transferable until vested and the restrictions lapse upon the achievement of continued employment or service over a specified time period. Restricted stock issued to employees cliff vests three years after grant date. Restricted stock is issued to directors annually and</w:t>
      </w:r>
    </w:p>
    <w:p>
      <w:pPr>
        <w:spacing w:after="0" w:line="260"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97" w:name="page98"/>
    <w:bookmarkEnd w:id="9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HARRIS STRATEX NETWORKS, INC. AND SUBSIDIARIES</w:t>
      </w:r>
    </w:p>
    <w:p>
      <w:pPr>
        <w:spacing w:after="0" w:line="102"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66" w:lineRule="exact"/>
        <w:rPr>
          <w:sz w:val="20"/>
          <w:szCs w:val="20"/>
          <w:color w:val="auto"/>
        </w:rPr>
      </w:pPr>
    </w:p>
    <w:p>
      <w:pPr>
        <w:jc w:val="both"/>
        <w:ind w:left="680" w:right="160"/>
        <w:spacing w:after="0" w:line="276" w:lineRule="auto"/>
        <w:rPr>
          <w:sz w:val="20"/>
          <w:szCs w:val="20"/>
          <w:color w:val="auto"/>
        </w:rPr>
      </w:pPr>
      <w:r>
        <w:rPr>
          <w:rFonts w:ascii="Arial" w:cs="Arial" w:eastAsia="Arial" w:hAnsi="Arial"/>
          <w:sz w:val="13"/>
          <w:szCs w:val="13"/>
          <w:color w:val="auto"/>
        </w:rPr>
        <w:t>generally vests ratably on a quarterly basis through the annual service period. We recognized $1.0 million, $1.3 million and $0.7 million of compensation expense during fiscal 2009, 2008 and 2007. The fair value of each restricted stock grant is based on the closing price of our Class A Common Stock on the date of grant and is amortized to compensation expense over its vesting period.</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 summary of the status of our restricted stock as of July 3, 2009 and changes during fiscal 2009, are as follows: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7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9"/>
              </w:rPr>
              <w:t>Weighted-Average</w:t>
            </w:r>
          </w:p>
        </w:tc>
        <w:tc>
          <w:tcPr>
            <w:tcW w:w="0" w:type="dxa"/>
            <w:vAlign w:val="bottom"/>
          </w:tcPr>
          <w:p>
            <w:pPr>
              <w:spacing w:after="0"/>
              <w:rPr>
                <w:sz w:val="1"/>
                <w:szCs w:val="1"/>
                <w:color w:val="auto"/>
              </w:rPr>
            </w:pPr>
          </w:p>
        </w:tc>
      </w:tr>
      <w:tr>
        <w:trPr>
          <w:trHeight w:val="111"/>
        </w:trPr>
        <w:tc>
          <w:tcPr>
            <w:tcW w:w="7600" w:type="dxa"/>
            <w:vAlign w:val="bottom"/>
          </w:tcPr>
          <w:p>
            <w:pPr>
              <w:spacing w:after="0"/>
              <w:rPr>
                <w:sz w:val="9"/>
                <w:szCs w:val="9"/>
                <w:color w:val="auto"/>
              </w:rPr>
            </w:pPr>
          </w:p>
        </w:tc>
        <w:tc>
          <w:tcPr>
            <w:tcW w:w="1000" w:type="dxa"/>
            <w:vAlign w:val="bottom"/>
            <w:gridSpan w:val="2"/>
            <w:vMerge w:val="restart"/>
          </w:tcPr>
          <w:p>
            <w:pPr>
              <w:jc w:val="right"/>
              <w:ind w:right="540"/>
              <w:spacing w:after="0"/>
              <w:rPr>
                <w:sz w:val="20"/>
                <w:szCs w:val="20"/>
                <w:color w:val="auto"/>
              </w:rPr>
            </w:pPr>
            <w:r>
              <w:rPr>
                <w:rFonts w:ascii="Arial" w:cs="Arial" w:eastAsia="Arial" w:hAnsi="Arial"/>
                <w:sz w:val="11"/>
                <w:szCs w:val="11"/>
                <w:b w:val="1"/>
                <w:bCs w:val="1"/>
                <w:color w:val="auto"/>
              </w:rPr>
              <w:t>Shares</w:t>
            </w:r>
          </w:p>
        </w:tc>
        <w:tc>
          <w:tcPr>
            <w:tcW w:w="140" w:type="dxa"/>
            <w:vAlign w:val="bottom"/>
          </w:tcPr>
          <w:p>
            <w:pPr>
              <w:spacing w:after="0"/>
              <w:rPr>
                <w:sz w:val="9"/>
                <w:szCs w:val="9"/>
                <w:color w:val="auto"/>
              </w:rPr>
            </w:pPr>
          </w:p>
        </w:tc>
        <w:tc>
          <w:tcPr>
            <w:tcW w:w="1240" w:type="dxa"/>
            <w:vAlign w:val="bottom"/>
            <w:gridSpan w:val="2"/>
          </w:tcPr>
          <w:p>
            <w:pPr>
              <w:jc w:val="center"/>
              <w:ind w:right="240"/>
              <w:spacing w:after="0" w:line="111" w:lineRule="exact"/>
              <w:rPr>
                <w:sz w:val="20"/>
                <w:szCs w:val="20"/>
                <w:color w:val="auto"/>
              </w:rPr>
            </w:pPr>
            <w:r>
              <w:rPr>
                <w:rFonts w:ascii="Arial" w:cs="Arial" w:eastAsia="Arial" w:hAnsi="Arial"/>
                <w:sz w:val="11"/>
                <w:szCs w:val="11"/>
                <w:b w:val="1"/>
                <w:bCs w:val="1"/>
                <w:color w:val="auto"/>
                <w:w w:val="92"/>
              </w:rPr>
              <w:t>Grant Date</w:t>
            </w:r>
          </w:p>
        </w:tc>
        <w:tc>
          <w:tcPr>
            <w:tcW w:w="0" w:type="dxa"/>
            <w:vAlign w:val="bottom"/>
          </w:tcPr>
          <w:p>
            <w:pPr>
              <w:spacing w:after="0"/>
              <w:rPr>
                <w:sz w:val="1"/>
                <w:szCs w:val="1"/>
                <w:color w:val="auto"/>
              </w:rPr>
            </w:pPr>
          </w:p>
        </w:tc>
      </w:tr>
      <w:tr>
        <w:trPr>
          <w:trHeight w:val="128"/>
        </w:trPr>
        <w:tc>
          <w:tcPr>
            <w:tcW w:w="760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1"/>
              </w:rPr>
              <w:t>Fair Value</w:t>
            </w:r>
          </w:p>
        </w:tc>
        <w:tc>
          <w:tcPr>
            <w:tcW w:w="0" w:type="dxa"/>
            <w:vAlign w:val="bottom"/>
          </w:tcPr>
          <w:p>
            <w:pPr>
              <w:spacing w:after="0"/>
              <w:rPr>
                <w:sz w:val="1"/>
                <w:szCs w:val="1"/>
                <w:color w:val="auto"/>
              </w:rPr>
            </w:pPr>
          </w:p>
        </w:tc>
      </w:tr>
      <w:tr>
        <w:trPr>
          <w:trHeight w:val="30"/>
        </w:trPr>
        <w:tc>
          <w:tcPr>
            <w:tcW w:w="7600" w:type="dxa"/>
            <w:vAlign w:val="bottom"/>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16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7600" w:type="dxa"/>
            <w:vAlign w:val="bottom"/>
            <w:shd w:val="clear" w:color="auto" w:fill="CCEEFF"/>
          </w:tcPr>
          <w:p>
            <w:pPr>
              <w:spacing w:after="0"/>
              <w:rPr>
                <w:sz w:val="20"/>
                <w:szCs w:val="20"/>
                <w:color w:val="auto"/>
              </w:rPr>
            </w:pPr>
            <w:r>
              <w:rPr>
                <w:rFonts w:ascii="Arial" w:cs="Arial" w:eastAsia="Arial" w:hAnsi="Arial"/>
                <w:sz w:val="13"/>
                <w:szCs w:val="13"/>
                <w:color w:val="auto"/>
              </w:rPr>
              <w:t>Restricted stock outstanding as of June 27, 2008</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144,457</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16.89</w:t>
            </w:r>
          </w:p>
        </w:tc>
        <w:tc>
          <w:tcPr>
            <w:tcW w:w="0" w:type="dxa"/>
            <w:vAlign w:val="bottom"/>
          </w:tcPr>
          <w:p>
            <w:pPr>
              <w:spacing w:after="0"/>
              <w:rPr>
                <w:sz w:val="1"/>
                <w:szCs w:val="1"/>
                <w:color w:val="auto"/>
              </w:rPr>
            </w:pPr>
          </w:p>
        </w:tc>
      </w:tr>
      <w:tr>
        <w:trPr>
          <w:trHeight w:val="161"/>
        </w:trPr>
        <w:tc>
          <w:tcPr>
            <w:tcW w:w="7600" w:type="dxa"/>
            <w:vAlign w:val="bottom"/>
          </w:tcPr>
          <w:p>
            <w:pPr>
              <w:spacing w:after="0"/>
              <w:rPr>
                <w:sz w:val="20"/>
                <w:szCs w:val="20"/>
                <w:color w:val="auto"/>
              </w:rPr>
            </w:pPr>
            <w:r>
              <w:rPr>
                <w:rFonts w:ascii="Arial" w:cs="Arial" w:eastAsia="Arial" w:hAnsi="Arial"/>
                <w:sz w:val="13"/>
                <w:szCs w:val="13"/>
                <w:color w:val="auto"/>
              </w:rPr>
              <w:t>Restricted stock granted</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98,819</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40" w:type="dxa"/>
            <w:vAlign w:val="bottom"/>
            <w:gridSpan w:val="2"/>
          </w:tcPr>
          <w:p>
            <w:pPr>
              <w:jc w:val="right"/>
              <w:ind w:right="80"/>
              <w:spacing w:after="0"/>
              <w:rPr>
                <w:sz w:val="20"/>
                <w:szCs w:val="20"/>
                <w:color w:val="auto"/>
              </w:rPr>
            </w:pPr>
            <w:r>
              <w:rPr>
                <w:rFonts w:ascii="Arial" w:cs="Arial" w:eastAsia="Arial" w:hAnsi="Arial"/>
                <w:sz w:val="13"/>
                <w:szCs w:val="13"/>
                <w:color w:val="auto"/>
              </w:rPr>
              <w:t>4.25</w:t>
            </w:r>
          </w:p>
        </w:tc>
        <w:tc>
          <w:tcPr>
            <w:tcW w:w="0" w:type="dxa"/>
            <w:vAlign w:val="bottom"/>
          </w:tcPr>
          <w:p>
            <w:pPr>
              <w:spacing w:after="0"/>
              <w:rPr>
                <w:sz w:val="1"/>
                <w:szCs w:val="1"/>
                <w:color w:val="auto"/>
              </w:rPr>
            </w:pPr>
          </w:p>
        </w:tc>
      </w:tr>
      <w:tr>
        <w:trPr>
          <w:trHeight w:val="161"/>
        </w:trPr>
        <w:tc>
          <w:tcPr>
            <w:tcW w:w="7600" w:type="dxa"/>
            <w:vAlign w:val="bottom"/>
            <w:shd w:val="clear" w:color="auto" w:fill="CCEEFF"/>
          </w:tcPr>
          <w:p>
            <w:pPr>
              <w:spacing w:after="0"/>
              <w:rPr>
                <w:sz w:val="20"/>
                <w:szCs w:val="20"/>
                <w:color w:val="auto"/>
              </w:rPr>
            </w:pPr>
            <w:r>
              <w:rPr>
                <w:rFonts w:ascii="Arial" w:cs="Arial" w:eastAsia="Arial" w:hAnsi="Arial"/>
                <w:sz w:val="13"/>
                <w:szCs w:val="13"/>
                <w:color w:val="auto"/>
              </w:rPr>
              <w:t>Restricted stock vested and released</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(44,301)</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8.35</w:t>
            </w:r>
          </w:p>
        </w:tc>
        <w:tc>
          <w:tcPr>
            <w:tcW w:w="0" w:type="dxa"/>
            <w:vAlign w:val="bottom"/>
          </w:tcPr>
          <w:p>
            <w:pPr>
              <w:spacing w:after="0"/>
              <w:rPr>
                <w:sz w:val="1"/>
                <w:szCs w:val="1"/>
                <w:color w:val="auto"/>
              </w:rPr>
            </w:pPr>
          </w:p>
        </w:tc>
      </w:tr>
      <w:tr>
        <w:trPr>
          <w:trHeight w:val="161"/>
        </w:trPr>
        <w:tc>
          <w:tcPr>
            <w:tcW w:w="7600" w:type="dxa"/>
            <w:vAlign w:val="bottom"/>
          </w:tcPr>
          <w:p>
            <w:pPr>
              <w:spacing w:after="0"/>
              <w:rPr>
                <w:sz w:val="20"/>
                <w:szCs w:val="20"/>
                <w:color w:val="auto"/>
              </w:rPr>
            </w:pPr>
            <w:r>
              <w:rPr>
                <w:rFonts w:ascii="Arial" w:cs="Arial" w:eastAsia="Arial" w:hAnsi="Arial"/>
                <w:sz w:val="13"/>
                <w:szCs w:val="13"/>
                <w:color w:val="auto"/>
              </w:rPr>
              <w:t>Restricted stock forfeited</w:t>
            </w: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(22,000)</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40" w:type="dxa"/>
            <w:vAlign w:val="bottom"/>
            <w:gridSpan w:val="2"/>
          </w:tcPr>
          <w:p>
            <w:pPr>
              <w:jc w:val="right"/>
              <w:ind w:right="80"/>
              <w:spacing w:after="0"/>
              <w:rPr>
                <w:sz w:val="20"/>
                <w:szCs w:val="20"/>
                <w:color w:val="auto"/>
              </w:rPr>
            </w:pPr>
            <w:r>
              <w:rPr>
                <w:rFonts w:ascii="Arial" w:cs="Arial" w:eastAsia="Arial" w:hAnsi="Arial"/>
                <w:sz w:val="13"/>
                <w:szCs w:val="13"/>
                <w:color w:val="auto"/>
              </w:rPr>
              <w:t>20.40</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7600" w:type="dxa"/>
            <w:vAlign w:val="bottom"/>
            <w:shd w:val="clear" w:color="auto" w:fill="CCEEFF"/>
          </w:tcPr>
          <w:p>
            <w:pPr>
              <w:spacing w:after="0"/>
              <w:rPr>
                <w:sz w:val="20"/>
                <w:szCs w:val="20"/>
                <w:color w:val="auto"/>
              </w:rPr>
            </w:pPr>
            <w:r>
              <w:rPr>
                <w:rFonts w:ascii="Arial" w:cs="Arial" w:eastAsia="Arial" w:hAnsi="Arial"/>
                <w:sz w:val="13"/>
                <w:szCs w:val="13"/>
                <w:color w:val="auto"/>
              </w:rPr>
              <w:t>Restricted stock outstanding as of July 3, 2009</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176,975</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11.53</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340" w:firstLine="399"/>
        <w:spacing w:after="0" w:line="276" w:lineRule="auto"/>
        <w:rPr>
          <w:sz w:val="20"/>
          <w:szCs w:val="20"/>
          <w:color w:val="auto"/>
        </w:rPr>
      </w:pPr>
      <w:r>
        <w:rPr>
          <w:rFonts w:ascii="Arial" w:cs="Arial" w:eastAsia="Arial" w:hAnsi="Arial"/>
          <w:sz w:val="13"/>
          <w:szCs w:val="13"/>
          <w:color w:val="auto"/>
        </w:rPr>
        <w:t>As of July 3, 2009, there was $1.1 million of total unrecognized compensation expense related to restricted stock awards under our 2007 Stock Equity Plan. This expense is expected to be recognized over a weighted-average period of 0.5 years. The total fair value of restricted stock that vested during fiscal 2009, 2008 and 2007 was $0.4 million, $0.6 million and $0.2 million.</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Performance Share Awards</w:t>
      </w:r>
    </w:p>
    <w:p>
      <w:pPr>
        <w:spacing w:after="0" w:line="102" w:lineRule="exact"/>
        <w:rPr>
          <w:sz w:val="20"/>
          <w:szCs w:val="20"/>
          <w:color w:val="auto"/>
        </w:rPr>
      </w:pPr>
    </w:p>
    <w:p>
      <w:pPr>
        <w:ind w:left="680" w:right="20" w:firstLine="399"/>
        <w:spacing w:after="0" w:line="267" w:lineRule="auto"/>
        <w:rPr>
          <w:sz w:val="20"/>
          <w:szCs w:val="20"/>
          <w:color w:val="auto"/>
        </w:rPr>
      </w:pPr>
      <w:r>
        <w:rPr>
          <w:rFonts w:ascii="Arial" w:cs="Arial" w:eastAsia="Arial" w:hAnsi="Arial"/>
          <w:sz w:val="13"/>
          <w:szCs w:val="13"/>
          <w:color w:val="auto"/>
        </w:rPr>
        <w:t>The following information relates to awards of performance shares that have been granted to employees under our 2007 Stock Equity Plan. Vesting of performance share awards under our fiscal 2007 Long-Term Incentive Plan was subject to performance criteria including meeting net income and cash flow targets for the 30-month plan period ended July 3, 2009 and continued employment at the end of that period. During the third quarter of fiscal 2009, we determined that these net income and cash flow targets would not be achieved for performance share awards made under our fiscal year 2007 Long-Term Incentive Plan. Accordingly, these awards did not vest and were forfeited as of July 3, 2009. Accordingly, for these awards, we recorded a credit to compensation expense of $1.6 million during fiscal 2009.</w:t>
      </w:r>
    </w:p>
    <w:p>
      <w:pPr>
        <w:spacing w:after="0" w:line="65"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Vesting of performance share awards under our fiscal year 2009 Long-Term Incentive Plan is subject to performance criteria including meeting net income and cash flow targets for the 3-year plan period ending July 1, 2011 and continued employment at the end of that period. For these awards, we estimate that the performance measures will be achieved at target and recognized $0.5 million of expense during fiscal 2009.</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final determination of the number of performance shares vesting in respect of an award will be determined by our Board of Directors, or a committee of our Board.</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During fiscal 2009, 2008, and 2007, we recorded compensation expense (credit) of $(1.1) million, 1.2 million and $0.4 million for all performance share awards.</w:t>
      </w:r>
    </w:p>
    <w:p>
      <w:pPr>
        <w:spacing w:after="0" w:line="31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98" w:name="page99"/>
    <w:bookmarkEnd w:id="9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HARRIS STRATEX NETWORKS, INC. AND SUBSIDIARIES</w:t>
      </w:r>
    </w:p>
    <w:p>
      <w:pPr>
        <w:spacing w:after="0" w:line="102"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6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 summary of the status of our performance shares as of July 3, 2009, and changes during fiscal 2009, are as follows: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75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9"/>
              </w:rPr>
              <w:t>Weighted-Average</w:t>
            </w:r>
          </w:p>
        </w:tc>
        <w:tc>
          <w:tcPr>
            <w:tcW w:w="0" w:type="dxa"/>
            <w:vAlign w:val="bottom"/>
          </w:tcPr>
          <w:p>
            <w:pPr>
              <w:spacing w:after="0"/>
              <w:rPr>
                <w:sz w:val="1"/>
                <w:szCs w:val="1"/>
                <w:color w:val="auto"/>
              </w:rPr>
            </w:pPr>
          </w:p>
        </w:tc>
      </w:tr>
      <w:tr>
        <w:trPr>
          <w:trHeight w:val="111"/>
        </w:trPr>
        <w:tc>
          <w:tcPr>
            <w:tcW w:w="7500" w:type="dxa"/>
            <w:vAlign w:val="bottom"/>
          </w:tcPr>
          <w:p>
            <w:pPr>
              <w:spacing w:after="0"/>
              <w:rPr>
                <w:sz w:val="9"/>
                <w:szCs w:val="9"/>
                <w:color w:val="auto"/>
              </w:rPr>
            </w:pPr>
          </w:p>
        </w:tc>
        <w:tc>
          <w:tcPr>
            <w:tcW w:w="1100" w:type="dxa"/>
            <w:vAlign w:val="bottom"/>
            <w:gridSpan w:val="3"/>
            <w:vMerge w:val="restart"/>
          </w:tcPr>
          <w:p>
            <w:pPr>
              <w:jc w:val="right"/>
              <w:ind w:right="600"/>
              <w:spacing w:after="0"/>
              <w:rPr>
                <w:sz w:val="20"/>
                <w:szCs w:val="20"/>
                <w:color w:val="auto"/>
              </w:rPr>
            </w:pPr>
            <w:r>
              <w:rPr>
                <w:rFonts w:ascii="Arial" w:cs="Arial" w:eastAsia="Arial" w:hAnsi="Arial"/>
                <w:sz w:val="11"/>
                <w:szCs w:val="11"/>
                <w:b w:val="1"/>
                <w:bCs w:val="1"/>
                <w:color w:val="auto"/>
              </w:rPr>
              <w:t>Shares</w:t>
            </w:r>
          </w:p>
        </w:tc>
        <w:tc>
          <w:tcPr>
            <w:tcW w:w="140" w:type="dxa"/>
            <w:vAlign w:val="bottom"/>
          </w:tcPr>
          <w:p>
            <w:pPr>
              <w:spacing w:after="0"/>
              <w:rPr>
                <w:sz w:val="9"/>
                <w:szCs w:val="9"/>
                <w:color w:val="auto"/>
              </w:rPr>
            </w:pPr>
          </w:p>
        </w:tc>
        <w:tc>
          <w:tcPr>
            <w:tcW w:w="1240" w:type="dxa"/>
            <w:vAlign w:val="bottom"/>
            <w:gridSpan w:val="2"/>
          </w:tcPr>
          <w:p>
            <w:pPr>
              <w:jc w:val="center"/>
              <w:ind w:right="240"/>
              <w:spacing w:after="0" w:line="111" w:lineRule="exact"/>
              <w:rPr>
                <w:sz w:val="20"/>
                <w:szCs w:val="20"/>
                <w:color w:val="auto"/>
              </w:rPr>
            </w:pPr>
            <w:r>
              <w:rPr>
                <w:rFonts w:ascii="Arial" w:cs="Arial" w:eastAsia="Arial" w:hAnsi="Arial"/>
                <w:sz w:val="11"/>
                <w:szCs w:val="11"/>
                <w:b w:val="1"/>
                <w:bCs w:val="1"/>
                <w:color w:val="auto"/>
                <w:w w:val="92"/>
              </w:rPr>
              <w:t>Grant Date</w:t>
            </w:r>
          </w:p>
        </w:tc>
        <w:tc>
          <w:tcPr>
            <w:tcW w:w="0" w:type="dxa"/>
            <w:vAlign w:val="bottom"/>
          </w:tcPr>
          <w:p>
            <w:pPr>
              <w:spacing w:after="0"/>
              <w:rPr>
                <w:sz w:val="1"/>
                <w:szCs w:val="1"/>
                <w:color w:val="auto"/>
              </w:rPr>
            </w:pPr>
          </w:p>
        </w:tc>
      </w:tr>
      <w:tr>
        <w:trPr>
          <w:trHeight w:val="128"/>
        </w:trPr>
        <w:tc>
          <w:tcPr>
            <w:tcW w:w="7500" w:type="dxa"/>
            <w:vAlign w:val="bottom"/>
          </w:tcPr>
          <w:p>
            <w:pPr>
              <w:spacing w:after="0"/>
              <w:rPr>
                <w:sz w:val="11"/>
                <w:szCs w:val="11"/>
                <w:color w:val="auto"/>
              </w:rPr>
            </w:pPr>
          </w:p>
        </w:tc>
        <w:tc>
          <w:tcPr>
            <w:tcW w:w="110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1"/>
              </w:rPr>
              <w:t>Fair Value</w:t>
            </w:r>
          </w:p>
        </w:tc>
        <w:tc>
          <w:tcPr>
            <w:tcW w:w="0" w:type="dxa"/>
            <w:vAlign w:val="bottom"/>
          </w:tcPr>
          <w:p>
            <w:pPr>
              <w:spacing w:after="0"/>
              <w:rPr>
                <w:sz w:val="1"/>
                <w:szCs w:val="1"/>
                <w:color w:val="auto"/>
              </w:rPr>
            </w:pPr>
          </w:p>
        </w:tc>
      </w:tr>
      <w:tr>
        <w:trPr>
          <w:trHeight w:val="30"/>
        </w:trPr>
        <w:tc>
          <w:tcPr>
            <w:tcW w:w="750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16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7500" w:type="dxa"/>
            <w:vAlign w:val="bottom"/>
            <w:shd w:val="clear" w:color="auto" w:fill="CCEEFF"/>
          </w:tcPr>
          <w:p>
            <w:pPr>
              <w:spacing w:after="0"/>
              <w:rPr>
                <w:sz w:val="20"/>
                <w:szCs w:val="20"/>
                <w:color w:val="auto"/>
              </w:rPr>
            </w:pPr>
            <w:r>
              <w:rPr>
                <w:rFonts w:ascii="Arial" w:cs="Arial" w:eastAsia="Arial" w:hAnsi="Arial"/>
                <w:sz w:val="13"/>
                <w:szCs w:val="13"/>
                <w:color w:val="auto"/>
              </w:rPr>
              <w:t>Performance shares outstanding as of June 27, 2008</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124,800</w:t>
            </w: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19.80</w:t>
            </w:r>
          </w:p>
        </w:tc>
        <w:tc>
          <w:tcPr>
            <w:tcW w:w="0" w:type="dxa"/>
            <w:vAlign w:val="bottom"/>
          </w:tcPr>
          <w:p>
            <w:pPr>
              <w:spacing w:after="0"/>
              <w:rPr>
                <w:sz w:val="1"/>
                <w:szCs w:val="1"/>
                <w:color w:val="auto"/>
              </w:rPr>
            </w:pPr>
          </w:p>
        </w:tc>
      </w:tr>
      <w:tr>
        <w:trPr>
          <w:trHeight w:val="161"/>
        </w:trPr>
        <w:tc>
          <w:tcPr>
            <w:tcW w:w="7500" w:type="dxa"/>
            <w:vAlign w:val="bottom"/>
          </w:tcPr>
          <w:p>
            <w:pPr>
              <w:spacing w:after="0"/>
              <w:rPr>
                <w:sz w:val="20"/>
                <w:szCs w:val="20"/>
                <w:color w:val="auto"/>
              </w:rPr>
            </w:pPr>
            <w:r>
              <w:rPr>
                <w:rFonts w:ascii="Arial" w:cs="Arial" w:eastAsia="Arial" w:hAnsi="Arial"/>
                <w:sz w:val="13"/>
                <w:szCs w:val="13"/>
                <w:color w:val="auto"/>
              </w:rPr>
              <w:t>Performance shares granted</w:t>
            </w:r>
          </w:p>
        </w:tc>
        <w:tc>
          <w:tcPr>
            <w:tcW w:w="1100" w:type="dxa"/>
            <w:vAlign w:val="bottom"/>
            <w:gridSpan w:val="3"/>
          </w:tcPr>
          <w:p>
            <w:pPr>
              <w:jc w:val="right"/>
              <w:ind w:right="400"/>
              <w:spacing w:after="0"/>
              <w:rPr>
                <w:sz w:val="20"/>
                <w:szCs w:val="20"/>
                <w:color w:val="auto"/>
              </w:rPr>
            </w:pPr>
            <w:r>
              <w:rPr>
                <w:rFonts w:ascii="Arial" w:cs="Arial" w:eastAsia="Arial" w:hAnsi="Arial"/>
                <w:sz w:val="13"/>
                <w:szCs w:val="13"/>
                <w:color w:val="auto"/>
              </w:rPr>
              <w:t>556,111</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40" w:type="dxa"/>
            <w:vAlign w:val="bottom"/>
            <w:gridSpan w:val="2"/>
          </w:tcPr>
          <w:p>
            <w:pPr>
              <w:jc w:val="right"/>
              <w:ind w:right="80"/>
              <w:spacing w:after="0"/>
              <w:rPr>
                <w:sz w:val="20"/>
                <w:szCs w:val="20"/>
                <w:color w:val="auto"/>
              </w:rPr>
            </w:pPr>
            <w:r>
              <w:rPr>
                <w:rFonts w:ascii="Arial" w:cs="Arial" w:eastAsia="Arial" w:hAnsi="Arial"/>
                <w:sz w:val="13"/>
                <w:szCs w:val="13"/>
                <w:color w:val="auto"/>
              </w:rPr>
              <w:t>5.64</w:t>
            </w:r>
          </w:p>
        </w:tc>
        <w:tc>
          <w:tcPr>
            <w:tcW w:w="0" w:type="dxa"/>
            <w:vAlign w:val="bottom"/>
          </w:tcPr>
          <w:p>
            <w:pPr>
              <w:spacing w:after="0"/>
              <w:rPr>
                <w:sz w:val="1"/>
                <w:szCs w:val="1"/>
                <w:color w:val="auto"/>
              </w:rPr>
            </w:pPr>
          </w:p>
        </w:tc>
      </w:tr>
      <w:tr>
        <w:trPr>
          <w:trHeight w:val="161"/>
        </w:trPr>
        <w:tc>
          <w:tcPr>
            <w:tcW w:w="7500" w:type="dxa"/>
            <w:vAlign w:val="bottom"/>
            <w:shd w:val="clear" w:color="auto" w:fill="CCEEFF"/>
          </w:tcPr>
          <w:p>
            <w:pPr>
              <w:spacing w:after="0"/>
              <w:rPr>
                <w:sz w:val="20"/>
                <w:szCs w:val="20"/>
                <w:color w:val="auto"/>
              </w:rPr>
            </w:pPr>
            <w:r>
              <w:rPr>
                <w:rFonts w:ascii="Arial" w:cs="Arial" w:eastAsia="Arial" w:hAnsi="Arial"/>
                <w:sz w:val="13"/>
                <w:szCs w:val="13"/>
                <w:color w:val="auto"/>
              </w:rPr>
              <w:t>Performance shares vested and released</w:t>
            </w:r>
          </w:p>
        </w:tc>
        <w:tc>
          <w:tcPr>
            <w:tcW w:w="110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500" w:type="dxa"/>
            <w:vAlign w:val="bottom"/>
          </w:tcPr>
          <w:p>
            <w:pPr>
              <w:spacing w:after="0"/>
              <w:rPr>
                <w:sz w:val="20"/>
                <w:szCs w:val="20"/>
                <w:color w:val="auto"/>
              </w:rPr>
            </w:pPr>
            <w:r>
              <w:rPr>
                <w:rFonts w:ascii="Arial" w:cs="Arial" w:eastAsia="Arial" w:hAnsi="Arial"/>
                <w:sz w:val="13"/>
                <w:szCs w:val="13"/>
                <w:color w:val="auto"/>
              </w:rPr>
              <w:t>Performance shares forfeited due to target thresholds not achieved</w:t>
            </w:r>
          </w:p>
        </w:tc>
        <w:tc>
          <w:tcPr>
            <w:tcW w:w="1100" w:type="dxa"/>
            <w:vAlign w:val="bottom"/>
            <w:gridSpan w:val="3"/>
          </w:tcPr>
          <w:p>
            <w:pPr>
              <w:jc w:val="right"/>
              <w:ind w:right="360"/>
              <w:spacing w:after="0"/>
              <w:rPr>
                <w:sz w:val="20"/>
                <w:szCs w:val="20"/>
                <w:color w:val="auto"/>
              </w:rPr>
            </w:pPr>
            <w:r>
              <w:rPr>
                <w:rFonts w:ascii="Arial" w:cs="Arial" w:eastAsia="Arial" w:hAnsi="Arial"/>
                <w:sz w:val="13"/>
                <w:szCs w:val="13"/>
                <w:color w:val="auto"/>
              </w:rPr>
              <w:t>(124,800)</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40" w:type="dxa"/>
            <w:vAlign w:val="bottom"/>
            <w:gridSpan w:val="2"/>
          </w:tcPr>
          <w:p>
            <w:pPr>
              <w:jc w:val="right"/>
              <w:ind w:right="80"/>
              <w:spacing w:after="0"/>
              <w:rPr>
                <w:sz w:val="20"/>
                <w:szCs w:val="20"/>
                <w:color w:val="auto"/>
              </w:rPr>
            </w:pPr>
            <w:r>
              <w:rPr>
                <w:rFonts w:ascii="Arial" w:cs="Arial" w:eastAsia="Arial" w:hAnsi="Arial"/>
                <w:sz w:val="13"/>
                <w:szCs w:val="13"/>
                <w:color w:val="auto"/>
              </w:rPr>
              <w:t>19.80</w:t>
            </w:r>
          </w:p>
        </w:tc>
        <w:tc>
          <w:tcPr>
            <w:tcW w:w="0" w:type="dxa"/>
            <w:vAlign w:val="bottom"/>
          </w:tcPr>
          <w:p>
            <w:pPr>
              <w:spacing w:after="0"/>
              <w:rPr>
                <w:sz w:val="1"/>
                <w:szCs w:val="1"/>
                <w:color w:val="auto"/>
              </w:rPr>
            </w:pPr>
          </w:p>
        </w:tc>
      </w:tr>
      <w:tr>
        <w:trPr>
          <w:trHeight w:val="161"/>
        </w:trPr>
        <w:tc>
          <w:tcPr>
            <w:tcW w:w="7500" w:type="dxa"/>
            <w:vAlign w:val="bottom"/>
            <w:shd w:val="clear" w:color="auto" w:fill="CCEEFF"/>
          </w:tcPr>
          <w:p>
            <w:pPr>
              <w:spacing w:after="0"/>
              <w:rPr>
                <w:sz w:val="20"/>
                <w:szCs w:val="20"/>
                <w:color w:val="auto"/>
              </w:rPr>
            </w:pPr>
            <w:r>
              <w:rPr>
                <w:rFonts w:ascii="Arial" w:cs="Arial" w:eastAsia="Arial" w:hAnsi="Arial"/>
                <w:sz w:val="13"/>
                <w:szCs w:val="13"/>
                <w:color w:val="auto"/>
              </w:rPr>
              <w:t>Performance shares forfeited due to terminations</w:t>
            </w:r>
          </w:p>
        </w:tc>
        <w:tc>
          <w:tcPr>
            <w:tcW w:w="1100" w:type="dxa"/>
            <w:vAlign w:val="bottom"/>
            <w:gridSpan w:val="3"/>
            <w:shd w:val="clear" w:color="auto" w:fill="CCEEFF"/>
          </w:tcPr>
          <w:p>
            <w:pPr>
              <w:jc w:val="right"/>
              <w:ind w:right="360"/>
              <w:spacing w:after="0"/>
              <w:rPr>
                <w:sz w:val="20"/>
                <w:szCs w:val="20"/>
                <w:color w:val="auto"/>
              </w:rPr>
            </w:pPr>
            <w:r>
              <w:rPr>
                <w:rFonts w:ascii="Arial" w:cs="Arial" w:eastAsia="Arial" w:hAnsi="Arial"/>
                <w:sz w:val="13"/>
                <w:szCs w:val="13"/>
                <w:color w:val="auto"/>
              </w:rPr>
              <w:t>(63,602)</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5.97</w:t>
            </w:r>
          </w:p>
        </w:tc>
        <w:tc>
          <w:tcPr>
            <w:tcW w:w="0" w:type="dxa"/>
            <w:vAlign w:val="bottom"/>
          </w:tcPr>
          <w:p>
            <w:pPr>
              <w:spacing w:after="0"/>
              <w:rPr>
                <w:sz w:val="1"/>
                <w:szCs w:val="1"/>
                <w:color w:val="auto"/>
              </w:rPr>
            </w:pPr>
          </w:p>
        </w:tc>
      </w:tr>
      <w:tr>
        <w:trPr>
          <w:trHeight w:val="161"/>
        </w:trPr>
        <w:tc>
          <w:tcPr>
            <w:tcW w:w="7500" w:type="dxa"/>
            <w:vAlign w:val="bottom"/>
          </w:tcPr>
          <w:p>
            <w:pPr>
              <w:spacing w:after="0"/>
              <w:rPr>
                <w:sz w:val="20"/>
                <w:szCs w:val="20"/>
                <w:color w:val="auto"/>
              </w:rPr>
            </w:pPr>
            <w:r>
              <w:rPr>
                <w:rFonts w:ascii="Arial" w:cs="Arial" w:eastAsia="Arial" w:hAnsi="Arial"/>
                <w:sz w:val="13"/>
                <w:szCs w:val="13"/>
                <w:color w:val="auto"/>
              </w:rPr>
              <w:t>Performance shares outstanding as of July 3, 2009</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492,509</w:t>
            </w:r>
          </w:p>
        </w:tc>
        <w:tc>
          <w:tcPr>
            <w:tcW w:w="2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40" w:type="dxa"/>
            <w:vAlign w:val="bottom"/>
            <w:gridSpan w:val="2"/>
          </w:tcPr>
          <w:p>
            <w:pPr>
              <w:jc w:val="right"/>
              <w:ind w:right="80"/>
              <w:spacing w:after="0"/>
              <w:rPr>
                <w:sz w:val="20"/>
                <w:szCs w:val="20"/>
                <w:color w:val="auto"/>
              </w:rPr>
            </w:pPr>
            <w:r>
              <w:rPr>
                <w:rFonts w:ascii="Arial" w:cs="Arial" w:eastAsia="Arial" w:hAnsi="Arial"/>
                <w:sz w:val="13"/>
                <w:szCs w:val="13"/>
                <w:color w:val="auto"/>
              </w:rPr>
              <w:t>5.60</w:t>
            </w: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As of July 3, 2009, there was $1.7 million of total unrecognized compensation expense related to performance share awards under our stock incentive plan. This expense is expected to be recognized over a weighted-average period of 2.0 years. The total fair value of performance share awards that vested during fiscal 2008 was $0.2 million, with none in fiscal 2009 and 2007.</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Stock Options Assumed in the Stratex Acquisition</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 summary of stock option activity for fiscal 2009 for stock options assumed in the Stratex acquisition is as follows: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54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1"/>
                <w:szCs w:val="11"/>
                <w:b w:val="1"/>
                <w:bCs w:val="1"/>
                <w:color w:val="auto"/>
                <w:w w:val="88"/>
              </w:rPr>
              <w:t>Weighted</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54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80" w:type="dxa"/>
            <w:vAlign w:val="bottom"/>
            <w:gridSpan w:val="2"/>
            <w:vMerge w:val="restart"/>
          </w:tcPr>
          <w:p>
            <w:pPr>
              <w:jc w:val="center"/>
              <w:ind w:right="520"/>
              <w:spacing w:after="0"/>
              <w:rPr>
                <w:sz w:val="20"/>
                <w:szCs w:val="20"/>
                <w:color w:val="auto"/>
              </w:rPr>
            </w:pPr>
            <w:r>
              <w:rPr>
                <w:rFonts w:ascii="Arial" w:cs="Arial" w:eastAsia="Arial" w:hAnsi="Arial"/>
                <w:sz w:val="11"/>
                <w:szCs w:val="11"/>
                <w:b w:val="1"/>
                <w:bCs w:val="1"/>
                <w:color w:val="auto"/>
                <w:w w:val="88"/>
              </w:rPr>
              <w:t>Weighted</w:t>
            </w:r>
          </w:p>
        </w:tc>
        <w:tc>
          <w:tcPr>
            <w:tcW w:w="1180" w:type="dxa"/>
            <w:vAlign w:val="bottom"/>
            <w:gridSpan w:val="2"/>
          </w:tcPr>
          <w:p>
            <w:pPr>
              <w:jc w:val="center"/>
              <w:ind w:right="380"/>
              <w:spacing w:after="0" w:line="111" w:lineRule="exact"/>
              <w:rPr>
                <w:sz w:val="20"/>
                <w:szCs w:val="20"/>
                <w:color w:val="auto"/>
              </w:rPr>
            </w:pPr>
            <w:r>
              <w:rPr>
                <w:rFonts w:ascii="Arial" w:cs="Arial" w:eastAsia="Arial" w:hAnsi="Arial"/>
                <w:sz w:val="11"/>
                <w:szCs w:val="11"/>
                <w:b w:val="1"/>
                <w:bCs w:val="1"/>
                <w:color w:val="auto"/>
                <w:w w:val="82"/>
              </w:rPr>
              <w:t>Average</w:t>
            </w:r>
          </w:p>
        </w:tc>
        <w:tc>
          <w:tcPr>
            <w:tcW w:w="100" w:type="dxa"/>
            <w:vAlign w:val="bottom"/>
          </w:tcPr>
          <w:p>
            <w:pPr>
              <w:spacing w:after="0"/>
              <w:rPr>
                <w:sz w:val="9"/>
                <w:szCs w:val="9"/>
                <w:color w:val="auto"/>
              </w:rPr>
            </w:pPr>
          </w:p>
        </w:tc>
        <w:tc>
          <w:tcPr>
            <w:tcW w:w="680" w:type="dxa"/>
            <w:vAlign w:val="bottom"/>
            <w:gridSpan w:val="2"/>
            <w:vMerge w:val="restart"/>
          </w:tcPr>
          <w:p>
            <w:pPr>
              <w:jc w:val="center"/>
              <w:ind w:right="180"/>
              <w:spacing w:after="0"/>
              <w:rPr>
                <w:sz w:val="20"/>
                <w:szCs w:val="20"/>
                <w:color w:val="auto"/>
              </w:rPr>
            </w:pPr>
            <w:r>
              <w:rPr>
                <w:rFonts w:ascii="Arial" w:cs="Arial" w:eastAsia="Arial" w:hAnsi="Arial"/>
                <w:sz w:val="11"/>
                <w:szCs w:val="11"/>
                <w:b w:val="1"/>
                <w:bCs w:val="1"/>
                <w:color w:val="auto"/>
                <w:w w:val="84"/>
              </w:rPr>
              <w:t>Aggregate</w:t>
            </w:r>
          </w:p>
        </w:tc>
        <w:tc>
          <w:tcPr>
            <w:tcW w:w="0" w:type="dxa"/>
            <w:vAlign w:val="bottom"/>
          </w:tcPr>
          <w:p>
            <w:pPr>
              <w:spacing w:after="0"/>
              <w:rPr>
                <w:sz w:val="1"/>
                <w:szCs w:val="1"/>
                <w:color w:val="auto"/>
              </w:rPr>
            </w:pPr>
          </w:p>
        </w:tc>
      </w:tr>
      <w:tr>
        <w:trPr>
          <w:trHeight w:val="111"/>
        </w:trPr>
        <w:tc>
          <w:tcPr>
            <w:tcW w:w="5400" w:type="dxa"/>
            <w:vAlign w:val="bottom"/>
          </w:tcPr>
          <w:p>
            <w:pPr>
              <w:spacing w:after="0"/>
              <w:rPr>
                <w:sz w:val="9"/>
                <w:szCs w:val="9"/>
                <w:color w:val="auto"/>
              </w:rPr>
            </w:pPr>
          </w:p>
        </w:tc>
        <w:tc>
          <w:tcPr>
            <w:tcW w:w="1200" w:type="dxa"/>
            <w:vAlign w:val="bottom"/>
            <w:gridSpan w:val="2"/>
            <w:vMerge w:val="restart"/>
          </w:tcPr>
          <w:p>
            <w:pPr>
              <w:jc w:val="right"/>
              <w:ind w:right="540"/>
              <w:spacing w:after="0"/>
              <w:rPr>
                <w:sz w:val="20"/>
                <w:szCs w:val="20"/>
                <w:color w:val="auto"/>
              </w:rPr>
            </w:pPr>
            <w:r>
              <w:rPr>
                <w:rFonts w:ascii="Arial" w:cs="Arial" w:eastAsia="Arial" w:hAnsi="Arial"/>
                <w:sz w:val="11"/>
                <w:szCs w:val="11"/>
                <w:b w:val="1"/>
                <w:bCs w:val="1"/>
                <w:color w:val="auto"/>
              </w:rPr>
              <w:t>Number of</w:t>
            </w:r>
          </w:p>
        </w:tc>
        <w:tc>
          <w:tcPr>
            <w:tcW w:w="14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180" w:type="dxa"/>
            <w:vAlign w:val="bottom"/>
            <w:gridSpan w:val="2"/>
          </w:tcPr>
          <w:p>
            <w:pPr>
              <w:jc w:val="center"/>
              <w:ind w:right="360"/>
              <w:spacing w:after="0" w:line="111" w:lineRule="exact"/>
              <w:rPr>
                <w:sz w:val="20"/>
                <w:szCs w:val="20"/>
                <w:color w:val="auto"/>
              </w:rPr>
            </w:pPr>
            <w:r>
              <w:rPr>
                <w:rFonts w:ascii="Arial" w:cs="Arial" w:eastAsia="Arial" w:hAnsi="Arial"/>
                <w:sz w:val="11"/>
                <w:szCs w:val="11"/>
                <w:b w:val="1"/>
                <w:bCs w:val="1"/>
                <w:color w:val="auto"/>
                <w:w w:val="88"/>
              </w:rPr>
              <w:t>Remaining</w:t>
            </w:r>
          </w:p>
        </w:tc>
        <w:tc>
          <w:tcPr>
            <w:tcW w:w="10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540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280" w:type="dxa"/>
            <w:vAlign w:val="bottom"/>
            <w:gridSpan w:val="2"/>
          </w:tcPr>
          <w:p>
            <w:pPr>
              <w:jc w:val="center"/>
              <w:ind w:right="540"/>
              <w:spacing w:after="0" w:line="111" w:lineRule="exact"/>
              <w:rPr>
                <w:sz w:val="20"/>
                <w:szCs w:val="20"/>
                <w:color w:val="auto"/>
              </w:rPr>
            </w:pPr>
            <w:r>
              <w:rPr>
                <w:rFonts w:ascii="Arial" w:cs="Arial" w:eastAsia="Arial" w:hAnsi="Arial"/>
                <w:sz w:val="11"/>
                <w:szCs w:val="11"/>
                <w:b w:val="1"/>
                <w:bCs w:val="1"/>
                <w:color w:val="auto"/>
                <w:w w:val="87"/>
              </w:rPr>
              <w:t>Average</w:t>
            </w:r>
          </w:p>
        </w:tc>
        <w:tc>
          <w:tcPr>
            <w:tcW w:w="1180" w:type="dxa"/>
            <w:vAlign w:val="bottom"/>
            <w:gridSpan w:val="2"/>
          </w:tcPr>
          <w:p>
            <w:pPr>
              <w:jc w:val="center"/>
              <w:ind w:right="380"/>
              <w:spacing w:after="0" w:line="111" w:lineRule="exact"/>
              <w:rPr>
                <w:sz w:val="20"/>
                <w:szCs w:val="20"/>
                <w:color w:val="auto"/>
              </w:rPr>
            </w:pPr>
            <w:r>
              <w:rPr>
                <w:rFonts w:ascii="Arial" w:cs="Arial" w:eastAsia="Arial" w:hAnsi="Arial"/>
                <w:sz w:val="11"/>
                <w:szCs w:val="11"/>
                <w:b w:val="1"/>
                <w:bCs w:val="1"/>
                <w:color w:val="auto"/>
                <w:w w:val="91"/>
              </w:rPr>
              <w:t>Contractual</w:t>
            </w:r>
          </w:p>
        </w:tc>
        <w:tc>
          <w:tcPr>
            <w:tcW w:w="100" w:type="dxa"/>
            <w:vAlign w:val="bottom"/>
          </w:tcPr>
          <w:p>
            <w:pPr>
              <w:spacing w:after="0"/>
              <w:rPr>
                <w:sz w:val="9"/>
                <w:szCs w:val="9"/>
                <w:color w:val="auto"/>
              </w:rPr>
            </w:pPr>
          </w:p>
        </w:tc>
        <w:tc>
          <w:tcPr>
            <w:tcW w:w="680" w:type="dxa"/>
            <w:vAlign w:val="bottom"/>
            <w:gridSpan w:val="2"/>
          </w:tcPr>
          <w:p>
            <w:pPr>
              <w:jc w:val="center"/>
              <w:ind w:right="180"/>
              <w:spacing w:after="0" w:line="111" w:lineRule="exact"/>
              <w:rPr>
                <w:sz w:val="20"/>
                <w:szCs w:val="20"/>
                <w:color w:val="auto"/>
              </w:rPr>
            </w:pPr>
            <w:r>
              <w:rPr>
                <w:rFonts w:ascii="Arial" w:cs="Arial" w:eastAsia="Arial" w:hAnsi="Arial"/>
                <w:sz w:val="11"/>
                <w:szCs w:val="11"/>
                <w:b w:val="1"/>
                <w:bCs w:val="1"/>
                <w:color w:val="auto"/>
                <w:w w:val="88"/>
              </w:rPr>
              <w:t>Intrinsic</w:t>
            </w:r>
          </w:p>
        </w:tc>
        <w:tc>
          <w:tcPr>
            <w:tcW w:w="0" w:type="dxa"/>
            <w:vAlign w:val="bottom"/>
          </w:tcPr>
          <w:p>
            <w:pPr>
              <w:spacing w:after="0"/>
              <w:rPr>
                <w:sz w:val="1"/>
                <w:szCs w:val="1"/>
                <w:color w:val="auto"/>
              </w:rPr>
            </w:pPr>
          </w:p>
        </w:tc>
      </w:tr>
      <w:tr>
        <w:trPr>
          <w:trHeight w:val="128"/>
        </w:trPr>
        <w:tc>
          <w:tcPr>
            <w:tcW w:w="5400" w:type="dxa"/>
            <w:vAlign w:val="bottom"/>
          </w:tcPr>
          <w:p>
            <w:pPr>
              <w:spacing w:after="0"/>
              <w:rPr>
                <w:sz w:val="11"/>
                <w:szCs w:val="11"/>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1"/>
                <w:szCs w:val="11"/>
                <w:b w:val="1"/>
                <w:bCs w:val="1"/>
                <w:color w:val="auto"/>
              </w:rPr>
              <w:t>Options</w:t>
            </w:r>
          </w:p>
        </w:tc>
        <w:tc>
          <w:tcPr>
            <w:tcW w:w="140" w:type="dxa"/>
            <w:vAlign w:val="bottom"/>
          </w:tcPr>
          <w:p>
            <w:pPr>
              <w:spacing w:after="0"/>
              <w:rPr>
                <w:sz w:val="11"/>
                <w:szCs w:val="11"/>
                <w:color w:val="auto"/>
              </w:rPr>
            </w:pPr>
          </w:p>
        </w:tc>
        <w:tc>
          <w:tcPr>
            <w:tcW w:w="1280" w:type="dxa"/>
            <w:vAlign w:val="bottom"/>
            <w:gridSpan w:val="2"/>
          </w:tcPr>
          <w:p>
            <w:pPr>
              <w:jc w:val="center"/>
              <w:ind w:right="540"/>
              <w:spacing w:after="0"/>
              <w:rPr>
                <w:sz w:val="20"/>
                <w:szCs w:val="20"/>
                <w:color w:val="auto"/>
              </w:rPr>
            </w:pPr>
            <w:r>
              <w:rPr>
                <w:rFonts w:ascii="Arial" w:cs="Arial" w:eastAsia="Arial" w:hAnsi="Arial"/>
                <w:sz w:val="11"/>
                <w:szCs w:val="11"/>
                <w:b w:val="1"/>
                <w:bCs w:val="1"/>
                <w:color w:val="auto"/>
                <w:w w:val="87"/>
              </w:rPr>
              <w:t>Exercise Price</w:t>
            </w:r>
          </w:p>
        </w:tc>
        <w:tc>
          <w:tcPr>
            <w:tcW w:w="1180" w:type="dxa"/>
            <w:vAlign w:val="bottom"/>
            <w:gridSpan w:val="2"/>
          </w:tcPr>
          <w:p>
            <w:pPr>
              <w:jc w:val="center"/>
              <w:ind w:right="360"/>
              <w:spacing w:after="0"/>
              <w:rPr>
                <w:sz w:val="20"/>
                <w:szCs w:val="20"/>
                <w:color w:val="auto"/>
              </w:rPr>
            </w:pPr>
            <w:r>
              <w:rPr>
                <w:rFonts w:ascii="Arial" w:cs="Arial" w:eastAsia="Arial" w:hAnsi="Arial"/>
                <w:sz w:val="11"/>
                <w:szCs w:val="11"/>
                <w:b w:val="1"/>
                <w:bCs w:val="1"/>
                <w:color w:val="auto"/>
                <w:w w:val="90"/>
              </w:rPr>
              <w:t>Life (Years)</w:t>
            </w:r>
          </w:p>
        </w:tc>
        <w:tc>
          <w:tcPr>
            <w:tcW w:w="100" w:type="dxa"/>
            <w:vAlign w:val="bottom"/>
          </w:tcPr>
          <w:p>
            <w:pPr>
              <w:spacing w:after="0"/>
              <w:rPr>
                <w:sz w:val="11"/>
                <w:szCs w:val="11"/>
                <w:color w:val="auto"/>
              </w:rPr>
            </w:pPr>
          </w:p>
        </w:tc>
        <w:tc>
          <w:tcPr>
            <w:tcW w:w="6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8"/>
              </w:rPr>
              <w:t>Value</w:t>
            </w:r>
          </w:p>
        </w:tc>
        <w:tc>
          <w:tcPr>
            <w:tcW w:w="0" w:type="dxa"/>
            <w:vAlign w:val="bottom"/>
          </w:tcPr>
          <w:p>
            <w:pPr>
              <w:spacing w:after="0"/>
              <w:rPr>
                <w:sz w:val="1"/>
                <w:szCs w:val="1"/>
                <w:color w:val="auto"/>
              </w:rPr>
            </w:pPr>
          </w:p>
        </w:tc>
      </w:tr>
      <w:tr>
        <w:trPr>
          <w:trHeight w:val="30"/>
        </w:trPr>
        <w:tc>
          <w:tcPr>
            <w:tcW w:w="540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5400" w:type="dxa"/>
            <w:vAlign w:val="bottom"/>
            <w:shd w:val="clear" w:color="auto" w:fill="CCEEFF"/>
          </w:tcPr>
          <w:p>
            <w:pPr>
              <w:spacing w:after="0"/>
              <w:rPr>
                <w:sz w:val="20"/>
                <w:szCs w:val="20"/>
                <w:color w:val="auto"/>
              </w:rPr>
            </w:pPr>
            <w:r>
              <w:rPr>
                <w:rFonts w:ascii="Arial" w:cs="Arial" w:eastAsia="Arial" w:hAnsi="Arial"/>
                <w:sz w:val="13"/>
                <w:szCs w:val="13"/>
                <w:color w:val="auto"/>
              </w:rPr>
              <w:t>Stock options outstanding as of June 27, 2008</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2,518,464</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23.36</w:t>
            </w:r>
          </w:p>
        </w:tc>
        <w:tc>
          <w:tcPr>
            <w:tcW w:w="8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400" w:type="dxa"/>
            <w:vAlign w:val="bottom"/>
          </w:tcPr>
          <w:p>
            <w:pPr>
              <w:spacing w:after="0"/>
              <w:rPr>
                <w:sz w:val="20"/>
                <w:szCs w:val="20"/>
                <w:color w:val="auto"/>
              </w:rPr>
            </w:pPr>
            <w:r>
              <w:rPr>
                <w:rFonts w:ascii="Arial" w:cs="Arial" w:eastAsia="Arial" w:hAnsi="Arial"/>
                <w:sz w:val="13"/>
                <w:szCs w:val="13"/>
                <w:color w:val="auto"/>
              </w:rPr>
              <w:t>Stock options forfeited or expired</w:t>
            </w:r>
          </w:p>
        </w:tc>
        <w:tc>
          <w:tcPr>
            <w:tcW w:w="1200" w:type="dxa"/>
            <w:vAlign w:val="bottom"/>
            <w:gridSpan w:val="2"/>
          </w:tcPr>
          <w:p>
            <w:pPr>
              <w:jc w:val="right"/>
              <w:ind w:right="340"/>
              <w:spacing w:after="0"/>
              <w:rPr>
                <w:sz w:val="20"/>
                <w:szCs w:val="20"/>
                <w:color w:val="auto"/>
              </w:rPr>
            </w:pPr>
            <w:r>
              <w:rPr>
                <w:rFonts w:ascii="Arial" w:cs="Arial" w:eastAsia="Arial" w:hAnsi="Arial"/>
                <w:sz w:val="13"/>
                <w:szCs w:val="13"/>
                <w:color w:val="auto"/>
              </w:rPr>
              <w:t>(823,956)</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18.93</w:t>
            </w: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400" w:type="dxa"/>
            <w:vAlign w:val="bottom"/>
            <w:shd w:val="clear" w:color="auto" w:fill="CCEEFF"/>
          </w:tcPr>
          <w:p>
            <w:pPr>
              <w:spacing w:after="0"/>
              <w:rPr>
                <w:sz w:val="20"/>
                <w:szCs w:val="20"/>
                <w:color w:val="auto"/>
              </w:rPr>
            </w:pPr>
            <w:r>
              <w:rPr>
                <w:rFonts w:ascii="Arial" w:cs="Arial" w:eastAsia="Arial" w:hAnsi="Arial"/>
                <w:sz w:val="13"/>
                <w:szCs w:val="13"/>
                <w:color w:val="auto"/>
              </w:rPr>
              <w:t>Stock options exercised</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(688)</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8.13</w:t>
            </w:r>
          </w:p>
        </w:tc>
        <w:tc>
          <w:tcPr>
            <w:tcW w:w="8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400" w:type="dxa"/>
            <w:vAlign w:val="bottom"/>
          </w:tcPr>
          <w:p>
            <w:pPr>
              <w:spacing w:after="0"/>
              <w:rPr>
                <w:sz w:val="20"/>
                <w:szCs w:val="20"/>
                <w:color w:val="auto"/>
              </w:rPr>
            </w:pPr>
            <w:r>
              <w:rPr>
                <w:rFonts w:ascii="Arial" w:cs="Arial" w:eastAsia="Arial" w:hAnsi="Arial"/>
                <w:sz w:val="13"/>
                <w:szCs w:val="13"/>
                <w:color w:val="auto"/>
              </w:rPr>
              <w:t>Stock options outstanding as of July 3, 2009</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1,693,820</w:t>
            </w:r>
          </w:p>
        </w:tc>
        <w:tc>
          <w:tcPr>
            <w:tcW w:w="4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25.52</w:t>
            </w:r>
          </w:p>
        </w:tc>
        <w:tc>
          <w:tcPr>
            <w:tcW w:w="1180" w:type="dxa"/>
            <w:vAlign w:val="bottom"/>
            <w:gridSpan w:val="2"/>
          </w:tcPr>
          <w:p>
            <w:pPr>
              <w:jc w:val="right"/>
              <w:ind w:right="380"/>
              <w:spacing w:after="0"/>
              <w:rPr>
                <w:sz w:val="20"/>
                <w:szCs w:val="20"/>
                <w:color w:val="auto"/>
              </w:rPr>
            </w:pPr>
            <w:r>
              <w:rPr>
                <w:rFonts w:ascii="Arial" w:cs="Arial" w:eastAsia="Arial" w:hAnsi="Arial"/>
                <w:sz w:val="13"/>
                <w:szCs w:val="13"/>
                <w:color w:val="auto"/>
              </w:rPr>
              <w:t>2.3</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40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Stock options exercisable as of July 3, 2009</w:t>
            </w:r>
          </w:p>
        </w:tc>
        <w:tc>
          <w:tcPr>
            <w:tcW w:w="1200" w:type="dxa"/>
            <w:vAlign w:val="bottom"/>
            <w:gridSpan w:val="2"/>
            <w:shd w:val="clear" w:color="auto" w:fill="CCEEFF"/>
          </w:tcPr>
          <w:p>
            <w:pPr>
              <w:jc w:val="right"/>
              <w:ind w:right="400"/>
              <w:spacing w:after="0" w:line="142" w:lineRule="exact"/>
              <w:rPr>
                <w:sz w:val="20"/>
                <w:szCs w:val="20"/>
                <w:color w:val="auto"/>
              </w:rPr>
            </w:pPr>
            <w:r>
              <w:rPr>
                <w:rFonts w:ascii="Arial" w:cs="Arial" w:eastAsia="Arial" w:hAnsi="Arial"/>
                <w:sz w:val="13"/>
                <w:szCs w:val="13"/>
                <w:color w:val="auto"/>
              </w:rPr>
              <w:t>1,685,366</w:t>
            </w:r>
          </w:p>
        </w:tc>
        <w:tc>
          <w:tcPr>
            <w:tcW w:w="14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w w:val="82"/>
              </w:rPr>
              <w:t>$</w:t>
            </w:r>
          </w:p>
        </w:tc>
        <w:tc>
          <w:tcPr>
            <w:tcW w:w="1280" w:type="dxa"/>
            <w:vAlign w:val="bottom"/>
            <w:gridSpan w:val="2"/>
            <w:shd w:val="clear" w:color="auto" w:fill="CCEEFF"/>
          </w:tcPr>
          <w:p>
            <w:pPr>
              <w:jc w:val="right"/>
              <w:ind w:right="400"/>
              <w:spacing w:after="0" w:line="142" w:lineRule="exact"/>
              <w:rPr>
                <w:sz w:val="20"/>
                <w:szCs w:val="20"/>
                <w:color w:val="auto"/>
              </w:rPr>
            </w:pPr>
            <w:r>
              <w:rPr>
                <w:rFonts w:ascii="Arial" w:cs="Arial" w:eastAsia="Arial" w:hAnsi="Arial"/>
                <w:sz w:val="13"/>
                <w:szCs w:val="13"/>
                <w:color w:val="auto"/>
              </w:rPr>
              <w:t>25.56</w:t>
            </w:r>
          </w:p>
        </w:tc>
        <w:tc>
          <w:tcPr>
            <w:tcW w:w="1180" w:type="dxa"/>
            <w:vAlign w:val="bottom"/>
            <w:gridSpan w:val="2"/>
            <w:shd w:val="clear" w:color="auto" w:fill="CCEEFF"/>
          </w:tcPr>
          <w:p>
            <w:pPr>
              <w:jc w:val="right"/>
              <w:ind w:right="380"/>
              <w:spacing w:after="0" w:line="142" w:lineRule="exact"/>
              <w:rPr>
                <w:sz w:val="20"/>
                <w:szCs w:val="20"/>
                <w:color w:val="auto"/>
              </w:rPr>
            </w:pPr>
            <w:r>
              <w:rPr>
                <w:rFonts w:ascii="Arial" w:cs="Arial" w:eastAsia="Arial" w:hAnsi="Arial"/>
                <w:sz w:val="13"/>
                <w:szCs w:val="13"/>
                <w:color w:val="auto"/>
              </w:rPr>
              <w:t>2.3</w:t>
            </w: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w w:val="82"/>
              </w:rPr>
              <w:t>$</w:t>
            </w:r>
          </w:p>
        </w:tc>
        <w:tc>
          <w:tcPr>
            <w:tcW w:w="680" w:type="dxa"/>
            <w:vAlign w:val="bottom"/>
            <w:gridSpan w:val="2"/>
            <w:shd w:val="clear" w:color="auto" w:fill="CCEEFF"/>
          </w:tcPr>
          <w:p>
            <w:pPr>
              <w:ind w:left="460"/>
              <w:spacing w:after="0" w:line="142"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5400" w:type="dxa"/>
            <w:vAlign w:val="bottom"/>
          </w:tcPr>
          <w:p>
            <w:pPr>
              <w:spacing w:after="0"/>
              <w:rPr>
                <w:sz w:val="20"/>
                <w:szCs w:val="20"/>
                <w:color w:val="auto"/>
              </w:rPr>
            </w:pPr>
            <w:r>
              <w:rPr>
                <w:rFonts w:ascii="Arial" w:cs="Arial" w:eastAsia="Arial" w:hAnsi="Arial"/>
                <w:sz w:val="13"/>
                <w:szCs w:val="13"/>
                <w:color w:val="auto"/>
              </w:rPr>
              <w:t>Stock options vested and expected to vest as of July 3, 2009(1)</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1,693,537</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25.52</w:t>
            </w:r>
          </w:p>
        </w:tc>
        <w:tc>
          <w:tcPr>
            <w:tcW w:w="1180" w:type="dxa"/>
            <w:vAlign w:val="bottom"/>
            <w:gridSpan w:val="2"/>
          </w:tcPr>
          <w:p>
            <w:pPr>
              <w:jc w:val="right"/>
              <w:ind w:right="380"/>
              <w:spacing w:after="0"/>
              <w:rPr>
                <w:sz w:val="20"/>
                <w:szCs w:val="20"/>
                <w:color w:val="auto"/>
              </w:rPr>
            </w:pPr>
            <w:r>
              <w:rPr>
                <w:rFonts w:ascii="Arial" w:cs="Arial" w:eastAsia="Arial" w:hAnsi="Arial"/>
                <w:sz w:val="13"/>
                <w:szCs w:val="13"/>
                <w:color w:val="auto"/>
              </w:rPr>
              <w:t>2.3</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57150</wp:posOffset>
            </wp:positionV>
            <wp:extent cx="825500" cy="63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25500" cy="6350"/>
                    </a:xfrm>
                    <a:prstGeom prst="rect">
                      <a:avLst/>
                    </a:prstGeom>
                    <a:noFill/>
                  </pic:spPr>
                </pic:pic>
              </a:graphicData>
            </a:graphic>
          </wp:anchor>
        </w:drawing>
      </w:r>
    </w:p>
    <w:p>
      <w:pPr>
        <w:spacing w:after="0" w:line="120" w:lineRule="exact"/>
        <w:rPr>
          <w:sz w:val="20"/>
          <w:szCs w:val="20"/>
          <w:color w:val="auto"/>
        </w:rPr>
      </w:pPr>
    </w:p>
    <w:p>
      <w:pPr>
        <w:ind w:left="740"/>
        <w:spacing w:after="0"/>
        <w:rPr>
          <w:sz w:val="20"/>
          <w:szCs w:val="20"/>
          <w:color w:val="auto"/>
        </w:rPr>
      </w:pPr>
      <w:r>
        <w:rPr>
          <w:rFonts w:ascii="Arial" w:cs="Arial" w:eastAsia="Arial" w:hAnsi="Arial"/>
          <w:sz w:val="13"/>
          <w:szCs w:val="13"/>
          <w:color w:val="auto"/>
        </w:rPr>
        <w:t>(1)  The options expected to vest are the result of applying the pre-vesting forfeiture rate assumptions to total outstanding options.</w:t>
      </w:r>
    </w:p>
    <w:p>
      <w:pPr>
        <w:spacing w:after="0" w:line="102" w:lineRule="exact"/>
        <w:rPr>
          <w:sz w:val="20"/>
          <w:szCs w:val="20"/>
          <w:color w:val="auto"/>
        </w:rPr>
      </w:pPr>
    </w:p>
    <w:p>
      <w:pPr>
        <w:ind w:left="680" w:right="180" w:firstLine="399"/>
        <w:spacing w:after="0" w:line="294" w:lineRule="auto"/>
        <w:rPr>
          <w:sz w:val="20"/>
          <w:szCs w:val="20"/>
          <w:color w:val="auto"/>
        </w:rPr>
      </w:pPr>
      <w:r>
        <w:rPr>
          <w:rFonts w:ascii="Arial" w:cs="Arial" w:eastAsia="Arial" w:hAnsi="Arial"/>
          <w:sz w:val="13"/>
          <w:szCs w:val="13"/>
          <w:color w:val="auto"/>
        </w:rPr>
        <w:t>The aggregate intrinsic value represents the total pre-tax intrinsic value or the aggregate difference between the closing price of our Class A Common Stock on July 3, 2009 of $6.15 and the exercise price for in-the-money options that would have been received by the optionees if all options had been exercised on July 3, 2009.</w:t>
      </w:r>
    </w:p>
    <w:p>
      <w:pPr>
        <w:spacing w:after="0" w:line="47" w:lineRule="exact"/>
        <w:rPr>
          <w:sz w:val="20"/>
          <w:szCs w:val="20"/>
          <w:color w:val="auto"/>
        </w:rPr>
      </w:pPr>
    </w:p>
    <w:p>
      <w:pPr>
        <w:ind w:left="680" w:right="160" w:firstLine="399"/>
        <w:spacing w:after="0" w:line="294" w:lineRule="auto"/>
        <w:rPr>
          <w:sz w:val="20"/>
          <w:szCs w:val="20"/>
          <w:color w:val="auto"/>
        </w:rPr>
      </w:pPr>
      <w:r>
        <w:rPr>
          <w:rFonts w:ascii="Arial" w:cs="Arial" w:eastAsia="Arial" w:hAnsi="Arial"/>
          <w:sz w:val="13"/>
          <w:szCs w:val="13"/>
          <w:color w:val="auto"/>
        </w:rPr>
        <w:t>The total intrinsic value of options exercised during fiscal 2009 and 2008 was zero and $0.8 million, and for fiscal 2007 (the period from January 26, 2007, date of assumption, through June 29, 2007) was $2.5 million at the time of exercise.</w:t>
      </w:r>
    </w:p>
    <w:p>
      <w:pPr>
        <w:spacing w:after="0" w:line="24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99" w:name="page100"/>
    <w:bookmarkEnd w:id="9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HARRIS STRATEX NETWORKS, INC. AND SUBSIDIARIES</w:t>
      </w:r>
    </w:p>
    <w:p>
      <w:pPr>
        <w:spacing w:after="0" w:line="102"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6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 summary of the status of our nonvested stock options assumed in the Stratex acquisition as of July 3, 2009 and changes during fiscal 2009, are as follows: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80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8"/>
              </w:rPr>
              <w:t>Weighted</w:t>
            </w:r>
          </w:p>
        </w:tc>
        <w:tc>
          <w:tcPr>
            <w:tcW w:w="0" w:type="dxa"/>
            <w:vAlign w:val="bottom"/>
          </w:tcPr>
          <w:p>
            <w:pPr>
              <w:spacing w:after="0"/>
              <w:rPr>
                <w:sz w:val="1"/>
                <w:szCs w:val="1"/>
                <w:color w:val="auto"/>
              </w:rPr>
            </w:pPr>
          </w:p>
        </w:tc>
      </w:tr>
      <w:tr>
        <w:trPr>
          <w:trHeight w:val="111"/>
        </w:trPr>
        <w:tc>
          <w:tcPr>
            <w:tcW w:w="80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2"/>
          </w:tcPr>
          <w:p>
            <w:pPr>
              <w:jc w:val="center"/>
              <w:ind w:right="180"/>
              <w:spacing w:after="0" w:line="111" w:lineRule="exact"/>
              <w:rPr>
                <w:sz w:val="20"/>
                <w:szCs w:val="20"/>
                <w:color w:val="auto"/>
              </w:rPr>
            </w:pPr>
            <w:r>
              <w:rPr>
                <w:rFonts w:ascii="Arial" w:cs="Arial" w:eastAsia="Arial" w:hAnsi="Arial"/>
                <w:sz w:val="11"/>
                <w:szCs w:val="11"/>
                <w:b w:val="1"/>
                <w:bCs w:val="1"/>
                <w:color w:val="auto"/>
                <w:w w:val="82"/>
              </w:rPr>
              <w:t>Average</w:t>
            </w:r>
          </w:p>
        </w:tc>
        <w:tc>
          <w:tcPr>
            <w:tcW w:w="0" w:type="dxa"/>
            <w:vAlign w:val="bottom"/>
          </w:tcPr>
          <w:p>
            <w:pPr>
              <w:spacing w:after="0"/>
              <w:rPr>
                <w:sz w:val="1"/>
                <w:szCs w:val="1"/>
                <w:color w:val="auto"/>
              </w:rPr>
            </w:pPr>
          </w:p>
        </w:tc>
      </w:tr>
      <w:tr>
        <w:trPr>
          <w:trHeight w:val="111"/>
        </w:trPr>
        <w:tc>
          <w:tcPr>
            <w:tcW w:w="8000" w:type="dxa"/>
            <w:vAlign w:val="bottom"/>
          </w:tcPr>
          <w:p>
            <w:pPr>
              <w:spacing w:after="0"/>
              <w:rPr>
                <w:sz w:val="9"/>
                <w:szCs w:val="9"/>
                <w:color w:val="auto"/>
              </w:rPr>
            </w:pPr>
          </w:p>
        </w:tc>
        <w:tc>
          <w:tcPr>
            <w:tcW w:w="1100" w:type="dxa"/>
            <w:vAlign w:val="bottom"/>
            <w:gridSpan w:val="3"/>
            <w:vMerge w:val="restart"/>
          </w:tcPr>
          <w:p>
            <w:pPr>
              <w:jc w:val="right"/>
              <w:ind w:right="600"/>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9"/>
                <w:szCs w:val="9"/>
                <w:color w:val="auto"/>
              </w:rPr>
            </w:pPr>
          </w:p>
        </w:tc>
        <w:tc>
          <w:tcPr>
            <w:tcW w:w="780" w:type="dxa"/>
            <w:vAlign w:val="bottom"/>
            <w:gridSpan w:val="2"/>
          </w:tcPr>
          <w:p>
            <w:pPr>
              <w:jc w:val="center"/>
              <w:ind w:right="180"/>
              <w:spacing w:after="0" w:line="111" w:lineRule="exact"/>
              <w:rPr>
                <w:sz w:val="20"/>
                <w:szCs w:val="20"/>
                <w:color w:val="auto"/>
              </w:rPr>
            </w:pPr>
            <w:r>
              <w:rPr>
                <w:rFonts w:ascii="Arial" w:cs="Arial" w:eastAsia="Arial" w:hAnsi="Arial"/>
                <w:sz w:val="11"/>
                <w:szCs w:val="11"/>
                <w:b w:val="1"/>
                <w:bCs w:val="1"/>
                <w:color w:val="auto"/>
                <w:w w:val="92"/>
              </w:rPr>
              <w:t>Grant Date</w:t>
            </w:r>
          </w:p>
        </w:tc>
        <w:tc>
          <w:tcPr>
            <w:tcW w:w="0" w:type="dxa"/>
            <w:vAlign w:val="bottom"/>
          </w:tcPr>
          <w:p>
            <w:pPr>
              <w:spacing w:after="0"/>
              <w:rPr>
                <w:sz w:val="1"/>
                <w:szCs w:val="1"/>
                <w:color w:val="auto"/>
              </w:rPr>
            </w:pPr>
          </w:p>
        </w:tc>
      </w:tr>
      <w:tr>
        <w:trPr>
          <w:trHeight w:val="128"/>
        </w:trPr>
        <w:tc>
          <w:tcPr>
            <w:tcW w:w="8000" w:type="dxa"/>
            <w:vAlign w:val="bottom"/>
          </w:tcPr>
          <w:p>
            <w:pPr>
              <w:spacing w:after="0"/>
              <w:rPr>
                <w:sz w:val="11"/>
                <w:szCs w:val="11"/>
                <w:color w:val="auto"/>
              </w:rPr>
            </w:pPr>
          </w:p>
        </w:tc>
        <w:tc>
          <w:tcPr>
            <w:tcW w:w="110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1"/>
              </w:rPr>
              <w:t>Fair Value</w:t>
            </w:r>
          </w:p>
        </w:tc>
        <w:tc>
          <w:tcPr>
            <w:tcW w:w="0" w:type="dxa"/>
            <w:vAlign w:val="bottom"/>
          </w:tcPr>
          <w:p>
            <w:pPr>
              <w:spacing w:after="0"/>
              <w:rPr>
                <w:sz w:val="1"/>
                <w:szCs w:val="1"/>
                <w:color w:val="auto"/>
              </w:rPr>
            </w:pPr>
          </w:p>
        </w:tc>
      </w:tr>
      <w:tr>
        <w:trPr>
          <w:trHeight w:val="30"/>
        </w:trPr>
        <w:tc>
          <w:tcPr>
            <w:tcW w:w="800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8000" w:type="dxa"/>
            <w:vAlign w:val="bottom"/>
            <w:shd w:val="clear" w:color="auto" w:fill="CCEEFF"/>
          </w:tcPr>
          <w:p>
            <w:pPr>
              <w:spacing w:after="0"/>
              <w:rPr>
                <w:sz w:val="20"/>
                <w:szCs w:val="20"/>
                <w:color w:val="auto"/>
              </w:rPr>
            </w:pPr>
            <w:r>
              <w:rPr>
                <w:rFonts w:ascii="Arial" w:cs="Arial" w:eastAsia="Arial" w:hAnsi="Arial"/>
                <w:sz w:val="13"/>
                <w:szCs w:val="13"/>
                <w:color w:val="auto"/>
              </w:rPr>
              <w:t>Nonvested stock options as of June 27, 2008</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159,102</w:t>
            </w: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9.38</w:t>
            </w:r>
          </w:p>
        </w:tc>
        <w:tc>
          <w:tcPr>
            <w:tcW w:w="0" w:type="dxa"/>
            <w:vAlign w:val="bottom"/>
          </w:tcPr>
          <w:p>
            <w:pPr>
              <w:spacing w:after="0"/>
              <w:rPr>
                <w:sz w:val="1"/>
                <w:szCs w:val="1"/>
                <w:color w:val="auto"/>
              </w:rPr>
            </w:pPr>
          </w:p>
        </w:tc>
      </w:tr>
      <w:tr>
        <w:trPr>
          <w:trHeight w:val="161"/>
        </w:trPr>
        <w:tc>
          <w:tcPr>
            <w:tcW w:w="8000" w:type="dxa"/>
            <w:vAlign w:val="bottom"/>
          </w:tcPr>
          <w:p>
            <w:pPr>
              <w:spacing w:after="0"/>
              <w:rPr>
                <w:sz w:val="20"/>
                <w:szCs w:val="20"/>
                <w:color w:val="auto"/>
              </w:rPr>
            </w:pPr>
            <w:r>
              <w:rPr>
                <w:rFonts w:ascii="Arial" w:cs="Arial" w:eastAsia="Arial" w:hAnsi="Arial"/>
                <w:sz w:val="13"/>
                <w:szCs w:val="13"/>
                <w:color w:val="auto"/>
              </w:rPr>
              <w:t>Stock options forfeited and expired</w:t>
            </w:r>
          </w:p>
        </w:tc>
        <w:tc>
          <w:tcPr>
            <w:tcW w:w="1100" w:type="dxa"/>
            <w:vAlign w:val="bottom"/>
            <w:gridSpan w:val="3"/>
          </w:tcPr>
          <w:p>
            <w:pPr>
              <w:jc w:val="right"/>
              <w:ind w:right="360"/>
              <w:spacing w:after="0"/>
              <w:rPr>
                <w:sz w:val="20"/>
                <w:szCs w:val="20"/>
                <w:color w:val="auto"/>
              </w:rPr>
            </w:pPr>
            <w:r>
              <w:rPr>
                <w:rFonts w:ascii="Arial" w:cs="Arial" w:eastAsia="Arial" w:hAnsi="Arial"/>
                <w:sz w:val="13"/>
                <w:szCs w:val="13"/>
                <w:color w:val="auto"/>
              </w:rPr>
              <w:t>(13,911)</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9.45</w:t>
            </w:r>
          </w:p>
        </w:tc>
        <w:tc>
          <w:tcPr>
            <w:tcW w:w="0" w:type="dxa"/>
            <w:vAlign w:val="bottom"/>
          </w:tcPr>
          <w:p>
            <w:pPr>
              <w:spacing w:after="0"/>
              <w:rPr>
                <w:sz w:val="1"/>
                <w:szCs w:val="1"/>
                <w:color w:val="auto"/>
              </w:rPr>
            </w:pPr>
          </w:p>
        </w:tc>
      </w:tr>
      <w:tr>
        <w:trPr>
          <w:trHeight w:val="161"/>
        </w:trPr>
        <w:tc>
          <w:tcPr>
            <w:tcW w:w="8000" w:type="dxa"/>
            <w:vAlign w:val="bottom"/>
            <w:shd w:val="clear" w:color="auto" w:fill="CCEEFF"/>
          </w:tcPr>
          <w:p>
            <w:pPr>
              <w:spacing w:after="0"/>
              <w:rPr>
                <w:sz w:val="20"/>
                <w:szCs w:val="20"/>
                <w:color w:val="auto"/>
              </w:rPr>
            </w:pPr>
            <w:r>
              <w:rPr>
                <w:rFonts w:ascii="Arial" w:cs="Arial" w:eastAsia="Arial" w:hAnsi="Arial"/>
                <w:sz w:val="13"/>
                <w:szCs w:val="13"/>
                <w:color w:val="auto"/>
              </w:rPr>
              <w:t>Stock options vested</w:t>
            </w:r>
          </w:p>
        </w:tc>
        <w:tc>
          <w:tcPr>
            <w:tcW w:w="1100" w:type="dxa"/>
            <w:vAlign w:val="bottom"/>
            <w:gridSpan w:val="3"/>
            <w:shd w:val="clear" w:color="auto" w:fill="CCEEFF"/>
          </w:tcPr>
          <w:p>
            <w:pPr>
              <w:jc w:val="right"/>
              <w:ind w:right="360"/>
              <w:spacing w:after="0"/>
              <w:rPr>
                <w:sz w:val="20"/>
                <w:szCs w:val="20"/>
                <w:color w:val="auto"/>
              </w:rPr>
            </w:pPr>
            <w:r>
              <w:rPr>
                <w:rFonts w:ascii="Arial" w:cs="Arial" w:eastAsia="Arial" w:hAnsi="Arial"/>
                <w:sz w:val="13"/>
                <w:szCs w:val="13"/>
                <w:color w:val="auto"/>
              </w:rPr>
              <w:t>(136,737)</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9.39</w:t>
            </w:r>
          </w:p>
        </w:tc>
        <w:tc>
          <w:tcPr>
            <w:tcW w:w="0" w:type="dxa"/>
            <w:vAlign w:val="bottom"/>
          </w:tcPr>
          <w:p>
            <w:pPr>
              <w:spacing w:after="0"/>
              <w:rPr>
                <w:sz w:val="1"/>
                <w:szCs w:val="1"/>
                <w:color w:val="auto"/>
              </w:rPr>
            </w:pPr>
          </w:p>
        </w:tc>
      </w:tr>
      <w:tr>
        <w:trPr>
          <w:trHeight w:val="161"/>
        </w:trPr>
        <w:tc>
          <w:tcPr>
            <w:tcW w:w="8000" w:type="dxa"/>
            <w:vAlign w:val="bottom"/>
          </w:tcPr>
          <w:p>
            <w:pPr>
              <w:spacing w:after="0"/>
              <w:rPr>
                <w:sz w:val="20"/>
                <w:szCs w:val="20"/>
                <w:color w:val="auto"/>
              </w:rPr>
            </w:pPr>
            <w:r>
              <w:rPr>
                <w:rFonts w:ascii="Arial" w:cs="Arial" w:eastAsia="Arial" w:hAnsi="Arial"/>
                <w:sz w:val="13"/>
                <w:szCs w:val="13"/>
                <w:color w:val="auto"/>
              </w:rPr>
              <w:t>Nonvested stock options as of July 3, 2009</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8,454</w:t>
            </w:r>
          </w:p>
        </w:tc>
        <w:tc>
          <w:tcPr>
            <w:tcW w:w="2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9.07</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960" w:firstLine="399"/>
        <w:spacing w:after="0" w:line="276" w:lineRule="auto"/>
        <w:rPr>
          <w:sz w:val="20"/>
          <w:szCs w:val="20"/>
          <w:color w:val="auto"/>
        </w:rPr>
      </w:pPr>
      <w:r>
        <w:rPr>
          <w:rFonts w:ascii="Arial" w:cs="Arial" w:eastAsia="Arial" w:hAnsi="Arial"/>
          <w:sz w:val="13"/>
          <w:szCs w:val="13"/>
          <w:color w:val="auto"/>
        </w:rPr>
        <w:t>As of July 3, 2009, there was $0.1 million of total unrecognized compensation cost related to the assumed former Stratex options. This cost is expected to be recognized over a weighted-average period of 0.7 years. The total fair value of stock options assumed in the Stratex acquisition that vested during fiscal 2009, 2008 and 2007 was $1.3 million, $1.5 million and $1.8 million.</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Summary of All Harris Stratex Stock Options</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summarizes all of our stock options outstanding as of July 3, 2009:</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0" w:type="dxa"/>
            <w:vAlign w:val="bottom"/>
            <w:gridSpan w:val="3"/>
          </w:tcPr>
          <w:p>
            <w:pPr>
              <w:jc w:val="right"/>
              <w:ind w:right="260"/>
              <w:spacing w:after="0"/>
              <w:rPr>
                <w:sz w:val="20"/>
                <w:szCs w:val="20"/>
                <w:color w:val="auto"/>
              </w:rPr>
            </w:pPr>
            <w:r>
              <w:rPr>
                <w:rFonts w:ascii="Arial" w:cs="Arial" w:eastAsia="Arial" w:hAnsi="Arial"/>
                <w:sz w:val="11"/>
                <w:szCs w:val="11"/>
                <w:b w:val="1"/>
                <w:bCs w:val="1"/>
                <w:color w:val="auto"/>
              </w:rPr>
              <w:t>Options Outstanding</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80" w:type="dxa"/>
            <w:vAlign w:val="bottom"/>
            <w:gridSpan w:val="7"/>
          </w:tcPr>
          <w:p>
            <w:pPr>
              <w:ind w:left="160"/>
              <w:spacing w:after="0"/>
              <w:rPr>
                <w:sz w:val="20"/>
                <w:szCs w:val="20"/>
                <w:color w:val="auto"/>
              </w:rPr>
            </w:pPr>
            <w:r>
              <w:rPr>
                <w:rFonts w:ascii="Arial" w:cs="Arial" w:eastAsia="Arial" w:hAnsi="Arial"/>
                <w:sz w:val="11"/>
                <w:szCs w:val="11"/>
                <w:b w:val="1"/>
                <w:bCs w:val="1"/>
                <w:color w:val="auto"/>
              </w:rPr>
              <w:t>Options Exercisable</w:t>
            </w: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620" w:type="dxa"/>
            <w:vAlign w:val="bottom"/>
          </w:tcPr>
          <w:p>
            <w:pPr>
              <w:spacing w:after="0"/>
              <w:rPr>
                <w:sz w:val="7"/>
                <w:szCs w:val="7"/>
                <w:color w:val="auto"/>
              </w:rPr>
            </w:pPr>
          </w:p>
        </w:tc>
        <w:tc>
          <w:tcPr>
            <w:tcW w:w="82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200" w:type="dxa"/>
            <w:vAlign w:val="bottom"/>
            <w:tcBorders>
              <w:top w:val="single" w:sz="8" w:color="auto"/>
            </w:tcBorders>
            <w:gridSpan w:val="2"/>
          </w:tcPr>
          <w:p>
            <w:pPr>
              <w:jc w:val="center"/>
              <w:ind w:right="400"/>
              <w:spacing w:after="0" w:line="84" w:lineRule="exact"/>
              <w:rPr>
                <w:sz w:val="20"/>
                <w:szCs w:val="20"/>
                <w:color w:val="auto"/>
              </w:rPr>
            </w:pPr>
            <w:r>
              <w:rPr>
                <w:rFonts w:ascii="Arial" w:cs="Arial" w:eastAsia="Arial" w:hAnsi="Arial"/>
                <w:sz w:val="9"/>
                <w:szCs w:val="9"/>
                <w:b w:val="1"/>
                <w:bCs w:val="1"/>
                <w:color w:val="auto"/>
              </w:rPr>
              <w:t>Weighted</w:t>
            </w:r>
          </w:p>
        </w:tc>
        <w:tc>
          <w:tcPr>
            <w:tcW w:w="100" w:type="dxa"/>
            <w:vAlign w:val="bottom"/>
            <w:tcBorders>
              <w:top w:val="single" w:sz="8" w:color="auto"/>
            </w:tcBorders>
          </w:tcPr>
          <w:p>
            <w:pPr>
              <w:spacing w:after="0"/>
              <w:rPr>
                <w:sz w:val="7"/>
                <w:szCs w:val="7"/>
                <w:color w:val="auto"/>
              </w:rPr>
            </w:pPr>
          </w:p>
        </w:tc>
        <w:tc>
          <w:tcPr>
            <w:tcW w:w="820" w:type="dxa"/>
            <w:vAlign w:val="bottom"/>
            <w:tcBorders>
              <w:top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1"/>
        </w:trPr>
        <w:tc>
          <w:tcPr>
            <w:tcW w:w="6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gridSpan w:val="2"/>
          </w:tcPr>
          <w:p>
            <w:pPr>
              <w:jc w:val="center"/>
              <w:ind w:right="400"/>
              <w:spacing w:after="0" w:line="111" w:lineRule="exact"/>
              <w:rPr>
                <w:sz w:val="20"/>
                <w:szCs w:val="20"/>
                <w:color w:val="auto"/>
              </w:rPr>
            </w:pPr>
            <w:r>
              <w:rPr>
                <w:rFonts w:ascii="Arial" w:cs="Arial" w:eastAsia="Arial" w:hAnsi="Arial"/>
                <w:sz w:val="11"/>
                <w:szCs w:val="11"/>
                <w:b w:val="1"/>
                <w:bCs w:val="1"/>
                <w:color w:val="auto"/>
                <w:w w:val="82"/>
              </w:rPr>
              <w:t>Average</w:t>
            </w:r>
          </w:p>
        </w:tc>
        <w:tc>
          <w:tcPr>
            <w:tcW w:w="100" w:type="dxa"/>
            <w:vAlign w:val="bottom"/>
          </w:tcPr>
          <w:p>
            <w:pPr>
              <w:spacing w:after="0"/>
              <w:rPr>
                <w:sz w:val="9"/>
                <w:szCs w:val="9"/>
                <w:color w:val="auto"/>
              </w:rPr>
            </w:pPr>
          </w:p>
        </w:tc>
        <w:tc>
          <w:tcPr>
            <w:tcW w:w="1220" w:type="dxa"/>
            <w:vAlign w:val="bottom"/>
            <w:gridSpan w:val="2"/>
            <w:vMerge w:val="restart"/>
          </w:tcPr>
          <w:p>
            <w:pPr>
              <w:jc w:val="center"/>
              <w:ind w:right="500"/>
              <w:spacing w:after="0"/>
              <w:rPr>
                <w:sz w:val="20"/>
                <w:szCs w:val="20"/>
                <w:color w:val="auto"/>
              </w:rPr>
            </w:pPr>
            <w:r>
              <w:rPr>
                <w:rFonts w:ascii="Arial" w:cs="Arial" w:eastAsia="Arial" w:hAnsi="Arial"/>
                <w:sz w:val="11"/>
                <w:szCs w:val="11"/>
                <w:b w:val="1"/>
                <w:bCs w:val="1"/>
                <w:color w:val="auto"/>
                <w:w w:val="88"/>
              </w:rPr>
              <w:t>Weighted</w:t>
            </w: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gridSpan w:val="3"/>
            <w:vMerge w:val="restart"/>
          </w:tcPr>
          <w:p>
            <w:pPr>
              <w:jc w:val="center"/>
              <w:ind w:right="200"/>
              <w:spacing w:after="0"/>
              <w:rPr>
                <w:sz w:val="20"/>
                <w:szCs w:val="20"/>
                <w:color w:val="auto"/>
              </w:rPr>
            </w:pPr>
            <w:r>
              <w:rPr>
                <w:rFonts w:ascii="Arial" w:cs="Arial" w:eastAsia="Arial" w:hAnsi="Arial"/>
                <w:sz w:val="11"/>
                <w:szCs w:val="11"/>
                <w:b w:val="1"/>
                <w:bCs w:val="1"/>
                <w:color w:val="auto"/>
                <w:w w:val="84"/>
              </w:rPr>
              <w:t>Weighted</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6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20" w:type="dxa"/>
            <w:vAlign w:val="bottom"/>
          </w:tcPr>
          <w:p>
            <w:pPr>
              <w:spacing w:after="0"/>
              <w:rPr>
                <w:sz w:val="9"/>
                <w:szCs w:val="9"/>
                <w:color w:val="auto"/>
              </w:rPr>
            </w:pPr>
          </w:p>
        </w:tc>
        <w:tc>
          <w:tcPr>
            <w:tcW w:w="1020" w:type="dxa"/>
            <w:vAlign w:val="bottom"/>
            <w:gridSpan w:val="2"/>
            <w:vMerge w:val="restart"/>
          </w:tcPr>
          <w:p>
            <w:pPr>
              <w:jc w:val="center"/>
              <w:ind w:right="200"/>
              <w:spacing w:after="0"/>
              <w:rPr>
                <w:sz w:val="20"/>
                <w:szCs w:val="20"/>
                <w:color w:val="auto"/>
              </w:rPr>
            </w:pPr>
            <w:r>
              <w:rPr>
                <w:rFonts w:ascii="Arial" w:cs="Arial" w:eastAsia="Arial" w:hAnsi="Arial"/>
                <w:sz w:val="11"/>
                <w:szCs w:val="11"/>
                <w:b w:val="1"/>
                <w:bCs w:val="1"/>
                <w:color w:val="auto"/>
                <w:w w:val="91"/>
              </w:rPr>
              <w:t>Number</w:t>
            </w:r>
          </w:p>
        </w:tc>
        <w:tc>
          <w:tcPr>
            <w:tcW w:w="200" w:type="dxa"/>
            <w:vAlign w:val="bottom"/>
          </w:tcPr>
          <w:p>
            <w:pPr>
              <w:spacing w:after="0"/>
              <w:rPr>
                <w:sz w:val="9"/>
                <w:szCs w:val="9"/>
                <w:color w:val="auto"/>
              </w:rPr>
            </w:pPr>
          </w:p>
        </w:tc>
        <w:tc>
          <w:tcPr>
            <w:tcW w:w="1200" w:type="dxa"/>
            <w:vAlign w:val="bottom"/>
            <w:gridSpan w:val="2"/>
          </w:tcPr>
          <w:p>
            <w:pPr>
              <w:jc w:val="center"/>
              <w:ind w:right="380"/>
              <w:spacing w:after="0" w:line="111" w:lineRule="exact"/>
              <w:rPr>
                <w:sz w:val="20"/>
                <w:szCs w:val="20"/>
                <w:color w:val="auto"/>
              </w:rPr>
            </w:pPr>
            <w:r>
              <w:rPr>
                <w:rFonts w:ascii="Arial" w:cs="Arial" w:eastAsia="Arial" w:hAnsi="Arial"/>
                <w:sz w:val="11"/>
                <w:szCs w:val="11"/>
                <w:b w:val="1"/>
                <w:bCs w:val="1"/>
                <w:color w:val="auto"/>
                <w:w w:val="88"/>
              </w:rPr>
              <w:t>Remaining</w:t>
            </w:r>
          </w:p>
        </w:tc>
        <w:tc>
          <w:tcPr>
            <w:tcW w:w="10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780" w:type="dxa"/>
            <w:vAlign w:val="bottom"/>
            <w:gridSpan w:val="3"/>
            <w:vMerge w:val="restart"/>
          </w:tcPr>
          <w:p>
            <w:pPr>
              <w:jc w:val="right"/>
              <w:ind w:right="240"/>
              <w:spacing w:after="0"/>
              <w:rPr>
                <w:sz w:val="20"/>
                <w:szCs w:val="20"/>
                <w:color w:val="auto"/>
              </w:rPr>
            </w:pPr>
            <w:r>
              <w:rPr>
                <w:rFonts w:ascii="Arial" w:cs="Arial" w:eastAsia="Arial" w:hAnsi="Arial"/>
                <w:sz w:val="11"/>
                <w:szCs w:val="11"/>
                <w:b w:val="1"/>
                <w:bCs w:val="1"/>
                <w:color w:val="auto"/>
              </w:rPr>
              <w:t>Number</w:t>
            </w: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gridSpan w:val="3"/>
            <w:vMerge w:val="continue"/>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680" w:type="dxa"/>
            <w:vAlign w:val="bottom"/>
          </w:tcPr>
          <w:p>
            <w:pPr>
              <w:spacing w:after="0"/>
              <w:rPr>
                <w:sz w:val="10"/>
                <w:szCs w:val="10"/>
                <w:color w:val="auto"/>
              </w:rPr>
            </w:pPr>
          </w:p>
        </w:tc>
        <w:tc>
          <w:tcPr>
            <w:tcW w:w="42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Actual Range of Exercise Prices</w:t>
            </w:r>
          </w:p>
        </w:tc>
        <w:tc>
          <w:tcPr>
            <w:tcW w:w="10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tcPr>
          <w:p>
            <w:pPr>
              <w:jc w:val="center"/>
              <w:ind w:right="400"/>
              <w:spacing w:after="0" w:line="121" w:lineRule="exact"/>
              <w:rPr>
                <w:sz w:val="20"/>
                <w:szCs w:val="20"/>
                <w:color w:val="auto"/>
              </w:rPr>
            </w:pPr>
            <w:r>
              <w:rPr>
                <w:rFonts w:ascii="Arial" w:cs="Arial" w:eastAsia="Arial" w:hAnsi="Arial"/>
                <w:sz w:val="11"/>
                <w:szCs w:val="11"/>
                <w:b w:val="1"/>
                <w:bCs w:val="1"/>
                <w:color w:val="auto"/>
                <w:w w:val="91"/>
              </w:rPr>
              <w:t>Contractual</w:t>
            </w:r>
          </w:p>
        </w:tc>
        <w:tc>
          <w:tcPr>
            <w:tcW w:w="100" w:type="dxa"/>
            <w:vAlign w:val="bottom"/>
          </w:tcPr>
          <w:p>
            <w:pPr>
              <w:spacing w:after="0"/>
              <w:rPr>
                <w:sz w:val="10"/>
                <w:szCs w:val="10"/>
                <w:color w:val="auto"/>
              </w:rPr>
            </w:pPr>
          </w:p>
        </w:tc>
        <w:tc>
          <w:tcPr>
            <w:tcW w:w="1220" w:type="dxa"/>
            <w:vAlign w:val="bottom"/>
            <w:gridSpan w:val="2"/>
          </w:tcPr>
          <w:p>
            <w:pPr>
              <w:jc w:val="center"/>
              <w:ind w:right="500"/>
              <w:spacing w:after="0" w:line="121" w:lineRule="exact"/>
              <w:rPr>
                <w:sz w:val="20"/>
                <w:szCs w:val="20"/>
                <w:color w:val="auto"/>
              </w:rPr>
            </w:pPr>
            <w:r>
              <w:rPr>
                <w:rFonts w:ascii="Arial" w:cs="Arial" w:eastAsia="Arial" w:hAnsi="Arial"/>
                <w:sz w:val="11"/>
                <w:szCs w:val="11"/>
                <w:b w:val="1"/>
                <w:bCs w:val="1"/>
                <w:color w:val="auto"/>
                <w:w w:val="82"/>
              </w:rPr>
              <w:t>Average</w:t>
            </w:r>
          </w:p>
        </w:tc>
        <w:tc>
          <w:tcPr>
            <w:tcW w:w="78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3"/>
          </w:tcPr>
          <w:p>
            <w:pPr>
              <w:jc w:val="center"/>
              <w:ind w:right="200"/>
              <w:spacing w:after="0" w:line="121" w:lineRule="exact"/>
              <w:rPr>
                <w:sz w:val="20"/>
                <w:szCs w:val="20"/>
                <w:color w:val="auto"/>
              </w:rPr>
            </w:pPr>
            <w:r>
              <w:rPr>
                <w:rFonts w:ascii="Arial" w:cs="Arial" w:eastAsia="Arial" w:hAnsi="Arial"/>
                <w:sz w:val="11"/>
                <w:szCs w:val="11"/>
                <w:b w:val="1"/>
                <w:bCs w:val="1"/>
                <w:color w:val="auto"/>
                <w:w w:val="87"/>
              </w:rPr>
              <w:t>Average</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4200" w:type="dxa"/>
            <w:vAlign w:val="bottom"/>
            <w:gridSpan w:val="2"/>
            <w:vMerge w:val="continue"/>
          </w:tcPr>
          <w:p>
            <w:pPr>
              <w:spacing w:after="0"/>
              <w:rPr>
                <w:sz w:val="11"/>
                <w:szCs w:val="11"/>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9"/>
              </w:rPr>
              <w:t>Outstanding</w:t>
            </w:r>
          </w:p>
        </w:tc>
        <w:tc>
          <w:tcPr>
            <w:tcW w:w="200" w:type="dxa"/>
            <w:vAlign w:val="bottom"/>
          </w:tcPr>
          <w:p>
            <w:pPr>
              <w:spacing w:after="0"/>
              <w:rPr>
                <w:sz w:val="11"/>
                <w:szCs w:val="11"/>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1"/>
                <w:szCs w:val="11"/>
                <w:b w:val="1"/>
                <w:bCs w:val="1"/>
                <w:color w:val="auto"/>
                <w:w w:val="90"/>
              </w:rPr>
              <w:t>Life (Years)</w:t>
            </w:r>
          </w:p>
        </w:tc>
        <w:tc>
          <w:tcPr>
            <w:tcW w:w="100" w:type="dxa"/>
            <w:vAlign w:val="bottom"/>
          </w:tcPr>
          <w:p>
            <w:pPr>
              <w:spacing w:after="0"/>
              <w:rPr>
                <w:sz w:val="11"/>
                <w:szCs w:val="11"/>
                <w:color w:val="auto"/>
              </w:rPr>
            </w:pPr>
          </w:p>
        </w:tc>
        <w:tc>
          <w:tcPr>
            <w:tcW w:w="1220" w:type="dxa"/>
            <w:vAlign w:val="bottom"/>
            <w:gridSpan w:val="2"/>
          </w:tcPr>
          <w:p>
            <w:pPr>
              <w:jc w:val="center"/>
              <w:ind w:right="500"/>
              <w:spacing w:after="0"/>
              <w:rPr>
                <w:sz w:val="20"/>
                <w:szCs w:val="20"/>
                <w:color w:val="auto"/>
              </w:rPr>
            </w:pPr>
            <w:r>
              <w:rPr>
                <w:rFonts w:ascii="Arial" w:cs="Arial" w:eastAsia="Arial" w:hAnsi="Arial"/>
                <w:sz w:val="11"/>
                <w:szCs w:val="11"/>
                <w:b w:val="1"/>
                <w:bCs w:val="1"/>
                <w:color w:val="auto"/>
                <w:w w:val="85"/>
              </w:rPr>
              <w:t>Exercise Price</w:t>
            </w:r>
          </w:p>
        </w:tc>
        <w:tc>
          <w:tcPr>
            <w:tcW w:w="780" w:type="dxa"/>
            <w:vAlign w:val="bottom"/>
            <w:gridSpan w:val="3"/>
          </w:tcPr>
          <w:p>
            <w:pPr>
              <w:jc w:val="right"/>
              <w:ind w:right="180"/>
              <w:spacing w:after="0"/>
              <w:rPr>
                <w:sz w:val="20"/>
                <w:szCs w:val="20"/>
                <w:color w:val="auto"/>
              </w:rPr>
            </w:pPr>
            <w:r>
              <w:rPr>
                <w:rFonts w:ascii="Arial" w:cs="Arial" w:eastAsia="Arial" w:hAnsi="Arial"/>
                <w:sz w:val="11"/>
                <w:szCs w:val="11"/>
                <w:b w:val="1"/>
                <w:bCs w:val="1"/>
                <w:color w:val="auto"/>
                <w:w w:val="94"/>
              </w:rPr>
              <w:t>Exercisable</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3"/>
          </w:tcPr>
          <w:p>
            <w:pPr>
              <w:jc w:val="center"/>
              <w:ind w:right="200"/>
              <w:spacing w:after="0"/>
              <w:rPr>
                <w:sz w:val="20"/>
                <w:szCs w:val="20"/>
                <w:color w:val="auto"/>
              </w:rPr>
            </w:pPr>
            <w:r>
              <w:rPr>
                <w:rFonts w:ascii="Arial" w:cs="Arial" w:eastAsia="Arial" w:hAnsi="Arial"/>
                <w:sz w:val="11"/>
                <w:szCs w:val="11"/>
                <w:b w:val="1"/>
                <w:bCs w:val="1"/>
                <w:color w:val="auto"/>
                <w:w w:val="87"/>
              </w:rPr>
              <w:t>Exercise Price</w:t>
            </w: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
        </w:trPr>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20" w:type="dxa"/>
            <w:vAlign w:val="bottom"/>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680" w:type="dxa"/>
            <w:vAlign w:val="bottom"/>
          </w:tcPr>
          <w:p>
            <w:pPr>
              <w:spacing w:after="0"/>
              <w:rPr>
                <w:sz w:val="14"/>
                <w:szCs w:val="14"/>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3"/>
                <w:szCs w:val="13"/>
                <w:color w:val="auto"/>
              </w:rPr>
              <w:t>$ 0.91 - $</w:t>
            </w:r>
          </w:p>
        </w:tc>
        <w:tc>
          <w:tcPr>
            <w:tcW w:w="3620" w:type="dxa"/>
            <w:vAlign w:val="bottom"/>
            <w:shd w:val="clear" w:color="auto" w:fill="CCEEFF"/>
          </w:tcPr>
          <w:p>
            <w:pPr>
              <w:jc w:val="right"/>
              <w:ind w:right="3313"/>
              <w:spacing w:after="0"/>
              <w:rPr>
                <w:sz w:val="20"/>
                <w:szCs w:val="20"/>
                <w:color w:val="auto"/>
              </w:rPr>
            </w:pPr>
            <w:r>
              <w:rPr>
                <w:rFonts w:ascii="Arial" w:cs="Arial" w:eastAsia="Arial" w:hAnsi="Arial"/>
                <w:sz w:val="13"/>
                <w:szCs w:val="13"/>
                <w:color w:val="auto"/>
                <w:w w:val="86"/>
              </w:rPr>
              <w:t>9.96</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1,316,413</w:t>
            </w:r>
          </w:p>
        </w:tc>
        <w:tc>
          <w:tcPr>
            <w:tcW w:w="140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4.9</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20" w:type="dxa"/>
            <w:vAlign w:val="bottom"/>
            <w:tcBorders>
              <w:right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6.32</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392,640</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7.89</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4200" w:type="dxa"/>
            <w:vAlign w:val="bottom"/>
            <w:gridSpan w:val="2"/>
          </w:tcPr>
          <w:p>
            <w:pPr>
              <w:spacing w:after="0"/>
              <w:rPr>
                <w:sz w:val="20"/>
                <w:szCs w:val="20"/>
                <w:color w:val="auto"/>
              </w:rPr>
            </w:pPr>
            <w:r>
              <w:rPr>
                <w:rFonts w:ascii="Arial" w:cs="Arial" w:eastAsia="Arial" w:hAnsi="Arial"/>
                <w:sz w:val="13"/>
                <w:szCs w:val="13"/>
                <w:color w:val="auto"/>
              </w:rPr>
              <w:t>$10.40 - $ 17.96</w:t>
            </w: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906,368</w:t>
            </w:r>
          </w:p>
        </w:tc>
        <w:tc>
          <w:tcPr>
            <w:tcW w:w="1400" w:type="dxa"/>
            <w:vAlign w:val="bottom"/>
            <w:gridSpan w:val="3"/>
          </w:tcPr>
          <w:p>
            <w:pPr>
              <w:jc w:val="right"/>
              <w:ind w:right="400"/>
              <w:spacing w:after="0"/>
              <w:rPr>
                <w:sz w:val="20"/>
                <w:szCs w:val="20"/>
                <w:color w:val="auto"/>
              </w:rPr>
            </w:pPr>
            <w:r>
              <w:rPr>
                <w:rFonts w:ascii="Arial" w:cs="Arial" w:eastAsia="Arial" w:hAnsi="Arial"/>
                <w:sz w:val="13"/>
                <w:szCs w:val="13"/>
                <w:color w:val="auto"/>
              </w:rPr>
              <w:t>2.8</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20" w:type="dxa"/>
            <w:vAlign w:val="bottom"/>
            <w:gridSpan w:val="2"/>
          </w:tcPr>
          <w:p>
            <w:pPr>
              <w:jc w:val="right"/>
              <w:ind w:right="400"/>
              <w:spacing w:after="0"/>
              <w:rPr>
                <w:sz w:val="20"/>
                <w:szCs w:val="20"/>
                <w:color w:val="auto"/>
              </w:rPr>
            </w:pPr>
            <w:r>
              <w:rPr>
                <w:rFonts w:ascii="Arial" w:cs="Arial" w:eastAsia="Arial" w:hAnsi="Arial"/>
                <w:sz w:val="13"/>
                <w:szCs w:val="13"/>
                <w:color w:val="auto"/>
              </w:rPr>
              <w:t>16.77</w:t>
            </w:r>
          </w:p>
        </w:tc>
        <w:tc>
          <w:tcPr>
            <w:tcW w:w="780" w:type="dxa"/>
            <w:vAlign w:val="bottom"/>
            <w:gridSpan w:val="3"/>
          </w:tcPr>
          <w:p>
            <w:pPr>
              <w:jc w:val="right"/>
              <w:ind w:right="100"/>
              <w:spacing w:after="0"/>
              <w:rPr>
                <w:sz w:val="20"/>
                <w:szCs w:val="20"/>
                <w:color w:val="auto"/>
              </w:rPr>
            </w:pPr>
            <w:r>
              <w:rPr>
                <w:rFonts w:ascii="Arial" w:cs="Arial" w:eastAsia="Arial" w:hAnsi="Arial"/>
                <w:sz w:val="13"/>
                <w:szCs w:val="13"/>
                <w:color w:val="auto"/>
              </w:rPr>
              <w:t>890,796</w:t>
            </w:r>
          </w:p>
        </w:tc>
        <w:tc>
          <w:tcPr>
            <w:tcW w:w="4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60" w:type="dxa"/>
            <w:vAlign w:val="bottom"/>
            <w:gridSpan w:val="3"/>
          </w:tcPr>
          <w:p>
            <w:pPr>
              <w:jc w:val="right"/>
              <w:ind w:right="80"/>
              <w:spacing w:after="0"/>
              <w:rPr>
                <w:sz w:val="20"/>
                <w:szCs w:val="20"/>
                <w:color w:val="auto"/>
              </w:rPr>
            </w:pPr>
            <w:r>
              <w:rPr>
                <w:rFonts w:ascii="Arial" w:cs="Arial" w:eastAsia="Arial" w:hAnsi="Arial"/>
                <w:sz w:val="13"/>
                <w:szCs w:val="13"/>
                <w:color w:val="auto"/>
              </w:rPr>
              <w:t>16.78</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$18.04 - $ 27.76</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406,031</w:t>
            </w:r>
          </w:p>
        </w:tc>
        <w:tc>
          <w:tcPr>
            <w:tcW w:w="140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3.7</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20" w:type="dxa"/>
            <w:vAlign w:val="bottom"/>
            <w:tcBorders>
              <w:right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22.74</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366,590</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22.98</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4200" w:type="dxa"/>
            <w:vAlign w:val="bottom"/>
            <w:gridSpan w:val="2"/>
          </w:tcPr>
          <w:p>
            <w:pPr>
              <w:spacing w:after="0"/>
              <w:rPr>
                <w:sz w:val="20"/>
                <w:szCs w:val="20"/>
                <w:color w:val="auto"/>
              </w:rPr>
            </w:pPr>
            <w:r>
              <w:rPr>
                <w:rFonts w:ascii="Arial" w:cs="Arial" w:eastAsia="Arial" w:hAnsi="Arial"/>
                <w:sz w:val="13"/>
                <w:szCs w:val="13"/>
                <w:color w:val="auto"/>
              </w:rPr>
              <w:t>$28.12 - $148.00</w:t>
            </w:r>
          </w:p>
        </w:tc>
        <w:tc>
          <w:tcPr>
            <w:tcW w:w="820" w:type="dxa"/>
            <w:vAlign w:val="bottom"/>
          </w:tcPr>
          <w:p>
            <w:pPr>
              <w:jc w:val="right"/>
              <w:spacing w:after="0"/>
              <w:rPr>
                <w:sz w:val="20"/>
                <w:szCs w:val="20"/>
                <w:color w:val="auto"/>
              </w:rPr>
            </w:pPr>
            <w:r>
              <w:rPr>
                <w:rFonts w:ascii="Arial" w:cs="Arial" w:eastAsia="Arial" w:hAnsi="Arial"/>
                <w:sz w:val="13"/>
                <w:szCs w:val="13"/>
                <w:color w:val="auto"/>
              </w:rPr>
              <w:t>168,185</w:t>
            </w:r>
          </w:p>
        </w:tc>
        <w:tc>
          <w:tcPr>
            <w:tcW w:w="200" w:type="dxa"/>
            <w:vAlign w:val="bottom"/>
          </w:tcPr>
          <w:p>
            <w:pPr>
              <w:spacing w:after="0"/>
              <w:rPr>
                <w:sz w:val="14"/>
                <w:szCs w:val="14"/>
                <w:color w:val="auto"/>
              </w:rPr>
            </w:pPr>
          </w:p>
        </w:tc>
        <w:tc>
          <w:tcPr>
            <w:tcW w:w="1400" w:type="dxa"/>
            <w:vAlign w:val="bottom"/>
            <w:gridSpan w:val="3"/>
          </w:tcPr>
          <w:p>
            <w:pPr>
              <w:jc w:val="right"/>
              <w:ind w:right="400"/>
              <w:spacing w:after="0"/>
              <w:rPr>
                <w:sz w:val="20"/>
                <w:szCs w:val="20"/>
                <w:color w:val="auto"/>
              </w:rPr>
            </w:pPr>
            <w:r>
              <w:rPr>
                <w:rFonts w:ascii="Arial" w:cs="Arial" w:eastAsia="Arial" w:hAnsi="Arial"/>
                <w:sz w:val="13"/>
                <w:szCs w:val="13"/>
                <w:color w:val="auto"/>
              </w:rPr>
              <w:t>0.9</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20" w:type="dxa"/>
            <w:vAlign w:val="bottom"/>
            <w:gridSpan w:val="2"/>
          </w:tcPr>
          <w:p>
            <w:pPr>
              <w:jc w:val="right"/>
              <w:ind w:right="400"/>
              <w:spacing w:after="0"/>
              <w:rPr>
                <w:sz w:val="20"/>
                <w:szCs w:val="20"/>
                <w:color w:val="auto"/>
              </w:rPr>
            </w:pPr>
            <w:r>
              <w:rPr>
                <w:rFonts w:ascii="Arial" w:cs="Arial" w:eastAsia="Arial" w:hAnsi="Arial"/>
                <w:sz w:val="13"/>
                <w:szCs w:val="13"/>
                <w:color w:val="auto"/>
              </w:rPr>
              <w:t>114.33</w:t>
            </w:r>
          </w:p>
        </w:tc>
        <w:tc>
          <w:tcPr>
            <w:tcW w:w="780" w:type="dxa"/>
            <w:vAlign w:val="bottom"/>
            <w:gridSpan w:val="3"/>
          </w:tcPr>
          <w:p>
            <w:pPr>
              <w:jc w:val="right"/>
              <w:ind w:right="100"/>
              <w:spacing w:after="0"/>
              <w:rPr>
                <w:sz w:val="20"/>
                <w:szCs w:val="20"/>
                <w:color w:val="auto"/>
              </w:rPr>
            </w:pPr>
            <w:r>
              <w:rPr>
                <w:rFonts w:ascii="Arial" w:cs="Arial" w:eastAsia="Arial" w:hAnsi="Arial"/>
                <w:sz w:val="13"/>
                <w:szCs w:val="13"/>
                <w:color w:val="auto"/>
              </w:rPr>
              <w:t>168,185</w:t>
            </w:r>
          </w:p>
        </w:tc>
        <w:tc>
          <w:tcPr>
            <w:tcW w:w="4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60" w:type="dxa"/>
            <w:vAlign w:val="bottom"/>
            <w:gridSpan w:val="3"/>
          </w:tcPr>
          <w:p>
            <w:pPr>
              <w:jc w:val="right"/>
              <w:ind w:right="80"/>
              <w:spacing w:after="0"/>
              <w:rPr>
                <w:sz w:val="20"/>
                <w:szCs w:val="20"/>
                <w:color w:val="auto"/>
              </w:rPr>
            </w:pPr>
            <w:r>
              <w:rPr>
                <w:rFonts w:ascii="Arial" w:cs="Arial" w:eastAsia="Arial" w:hAnsi="Arial"/>
                <w:sz w:val="13"/>
                <w:szCs w:val="13"/>
                <w:color w:val="auto"/>
              </w:rPr>
              <w:t>114.33</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680" w:type="dxa"/>
            <w:vAlign w:val="bottom"/>
          </w:tcPr>
          <w:p>
            <w:pPr>
              <w:spacing w:after="0"/>
              <w:rPr>
                <w:sz w:val="14"/>
                <w:szCs w:val="14"/>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$ 0.91 - $148.00</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2,796,997</w:t>
            </w:r>
          </w:p>
        </w:tc>
        <w:tc>
          <w:tcPr>
            <w:tcW w:w="200" w:type="dxa"/>
            <w:vAlign w:val="bottom"/>
            <w:shd w:val="clear" w:color="auto" w:fill="CCEEFF"/>
          </w:tcPr>
          <w:p>
            <w:pPr>
              <w:spacing w:after="0"/>
              <w:rPr>
                <w:sz w:val="14"/>
                <w:szCs w:val="14"/>
                <w:color w:val="auto"/>
              </w:rPr>
            </w:pPr>
          </w:p>
        </w:tc>
        <w:tc>
          <w:tcPr>
            <w:tcW w:w="140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3.8</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20" w:type="dxa"/>
            <w:vAlign w:val="bottom"/>
            <w:tcBorders>
              <w:right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18.59</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1,818,211</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25.14</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580" w:type="dxa"/>
            <w:vAlign w:val="bottom"/>
            <w:vMerge w:val="restart"/>
          </w:tcPr>
          <w:p>
            <w:pPr>
              <w:spacing w:after="0"/>
              <w:rPr>
                <w:sz w:val="20"/>
                <w:szCs w:val="20"/>
                <w:color w:val="auto"/>
              </w:rPr>
            </w:pPr>
            <w:r>
              <w:rPr>
                <w:rFonts w:ascii="Arial" w:cs="Arial" w:eastAsia="Arial" w:hAnsi="Arial"/>
                <w:sz w:val="13"/>
                <w:szCs w:val="13"/>
                <w:b w:val="1"/>
                <w:bCs w:val="1"/>
                <w:color w:val="auto"/>
                <w:w w:val="95"/>
              </w:rPr>
              <w:t>Note N —</w:t>
            </w:r>
          </w:p>
        </w:tc>
        <w:tc>
          <w:tcPr>
            <w:tcW w:w="3620" w:type="dxa"/>
            <w:vAlign w:val="bottom"/>
            <w:vMerge w:val="restart"/>
          </w:tcPr>
          <w:p>
            <w:pPr>
              <w:jc w:val="right"/>
              <w:ind w:right="2153"/>
              <w:spacing w:after="0"/>
              <w:rPr>
                <w:sz w:val="20"/>
                <w:szCs w:val="20"/>
                <w:color w:val="auto"/>
              </w:rPr>
            </w:pPr>
            <w:r>
              <w:rPr>
                <w:rFonts w:ascii="Arial" w:cs="Arial" w:eastAsia="Arial" w:hAnsi="Arial"/>
                <w:sz w:val="13"/>
                <w:szCs w:val="13"/>
                <w:b w:val="1"/>
                <w:bCs w:val="1"/>
                <w:color w:val="auto"/>
              </w:rPr>
              <w:t>Business Segments</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680" w:type="dxa"/>
            <w:vAlign w:val="bottom"/>
          </w:tcPr>
          <w:p>
            <w:pPr>
              <w:spacing w:after="0"/>
              <w:rPr>
                <w:sz w:val="24"/>
                <w:szCs w:val="24"/>
                <w:color w:val="auto"/>
              </w:rPr>
            </w:pPr>
          </w:p>
        </w:tc>
        <w:tc>
          <w:tcPr>
            <w:tcW w:w="580" w:type="dxa"/>
            <w:vAlign w:val="bottom"/>
            <w:vMerge w:val="continue"/>
          </w:tcPr>
          <w:p>
            <w:pPr>
              <w:spacing w:after="0"/>
              <w:rPr>
                <w:sz w:val="24"/>
                <w:szCs w:val="24"/>
                <w:color w:val="auto"/>
              </w:rPr>
            </w:pPr>
          </w:p>
        </w:tc>
        <w:tc>
          <w:tcPr>
            <w:tcW w:w="362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680" w:type="dxa"/>
            <w:vAlign w:val="bottom"/>
          </w:tcPr>
          <w:p>
            <w:pPr>
              <w:spacing w:after="0"/>
              <w:rPr>
                <w:sz w:val="21"/>
                <w:szCs w:val="21"/>
                <w:color w:val="auto"/>
              </w:rPr>
            </w:pPr>
          </w:p>
        </w:tc>
        <w:tc>
          <w:tcPr>
            <w:tcW w:w="4200" w:type="dxa"/>
            <w:vAlign w:val="bottom"/>
            <w:gridSpan w:val="2"/>
          </w:tcPr>
          <w:p>
            <w:pPr>
              <w:ind w:left="400"/>
              <w:spacing w:after="0"/>
              <w:rPr>
                <w:sz w:val="20"/>
                <w:szCs w:val="20"/>
                <w:color w:val="auto"/>
              </w:rPr>
            </w:pPr>
            <w:r>
              <w:rPr>
                <w:rFonts w:ascii="Arial" w:cs="Arial" w:eastAsia="Arial" w:hAnsi="Arial"/>
                <w:sz w:val="13"/>
                <w:szCs w:val="13"/>
                <w:color w:val="auto"/>
                <w:w w:val="98"/>
              </w:rPr>
              <w:t>Revenue and loss before income taxes by segment are as follows:</w:t>
            </w: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Borders>
              <w:bottom w:val="single" w:sz="8" w:color="auto"/>
            </w:tcBorders>
          </w:tcPr>
          <w:p>
            <w:pPr>
              <w:jc w:val="right"/>
              <w:ind w:right="16"/>
              <w:spacing w:after="0"/>
              <w:rPr>
                <w:sz w:val="20"/>
                <w:szCs w:val="20"/>
                <w:color w:val="auto"/>
              </w:rPr>
            </w:pPr>
            <w:r>
              <w:rPr>
                <w:rFonts w:ascii="Arial" w:cs="Arial" w:eastAsia="Arial" w:hAnsi="Arial"/>
                <w:sz w:val="11"/>
                <w:szCs w:val="11"/>
                <w:b w:val="1"/>
                <w:bCs w:val="1"/>
                <w:color w:val="auto"/>
              </w:rPr>
              <w:t>2009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1"/>
                <w:szCs w:val="11"/>
                <w:b w:val="1"/>
                <w:bCs w:val="1"/>
                <w:color w:val="auto"/>
              </w:rPr>
              <w:t>2008</w:t>
            </w:r>
          </w:p>
        </w:tc>
        <w:tc>
          <w:tcPr>
            <w:tcW w:w="380" w:type="dxa"/>
            <w:vAlign w:val="bottom"/>
          </w:tcPr>
          <w:p>
            <w:pPr>
              <w:spacing w:after="0"/>
              <w:rPr>
                <w:sz w:val="18"/>
                <w:szCs w:val="18"/>
                <w:color w:val="auto"/>
              </w:rPr>
            </w:pPr>
          </w:p>
        </w:tc>
        <w:tc>
          <w:tcPr>
            <w:tcW w:w="40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b w:val="1"/>
                <w:bCs w:val="1"/>
                <w:color w:val="auto"/>
              </w:rPr>
              <w:t>2007</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gridSpan w:val="4"/>
          </w:tcPr>
          <w:p>
            <w:pPr>
              <w:jc w:val="right"/>
              <w:spacing w:after="0"/>
              <w:rPr>
                <w:sz w:val="20"/>
                <w:szCs w:val="20"/>
                <w:color w:val="auto"/>
              </w:rPr>
            </w:pPr>
            <w:r>
              <w:rPr>
                <w:rFonts w:ascii="Arial" w:cs="Arial" w:eastAsia="Arial" w:hAnsi="Arial"/>
                <w:sz w:val="11"/>
                <w:szCs w:val="11"/>
                <w:b w:val="1"/>
                <w:bCs w:val="1"/>
                <w:color w:val="auto"/>
              </w:rPr>
              <w:t>(In millions)</w:t>
            </w: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Revenue</w:t>
            </w:r>
          </w:p>
        </w:tc>
        <w:tc>
          <w:tcPr>
            <w:tcW w:w="36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00" w:type="dxa"/>
            <w:vAlign w:val="bottom"/>
            <w:tcBorders>
              <w:right w:val="single" w:sz="8" w:color="CCEEFF"/>
            </w:tcBorders>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4200" w:type="dxa"/>
            <w:vAlign w:val="bottom"/>
            <w:gridSpan w:val="2"/>
          </w:tcPr>
          <w:p>
            <w:pPr>
              <w:spacing w:after="0"/>
              <w:rPr>
                <w:sz w:val="20"/>
                <w:szCs w:val="20"/>
                <w:color w:val="auto"/>
              </w:rPr>
            </w:pPr>
            <w:r>
              <w:rPr>
                <w:rFonts w:ascii="Arial" w:cs="Arial" w:eastAsia="Arial" w:hAnsi="Arial"/>
                <w:sz w:val="13"/>
                <w:szCs w:val="13"/>
                <w:color w:val="auto"/>
              </w:rPr>
              <w:t>North America Microwave</w:t>
            </w: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gridSpan w:val="2"/>
          </w:tcPr>
          <w:p>
            <w:pPr>
              <w:jc w:val="right"/>
              <w:ind w:right="246"/>
              <w:spacing w:after="0"/>
              <w:rPr>
                <w:sz w:val="20"/>
                <w:szCs w:val="20"/>
                <w:color w:val="auto"/>
              </w:rPr>
            </w:pPr>
            <w:r>
              <w:rPr>
                <w:rFonts w:ascii="Arial" w:cs="Arial" w:eastAsia="Arial" w:hAnsi="Arial"/>
                <w:sz w:val="13"/>
                <w:szCs w:val="13"/>
                <w:color w:val="auto"/>
                <w:w w:val="82"/>
              </w:rPr>
              <w:t>$ 227.0</w:t>
            </w:r>
          </w:p>
        </w:tc>
        <w:tc>
          <w:tcPr>
            <w:tcW w:w="100" w:type="dxa"/>
            <w:vAlign w:val="bottom"/>
          </w:tcPr>
          <w:p>
            <w:pPr>
              <w:spacing w:after="0"/>
              <w:rPr>
                <w:sz w:val="14"/>
                <w:szCs w:val="14"/>
                <w:color w:val="auto"/>
              </w:rPr>
            </w:pPr>
          </w:p>
        </w:tc>
        <w:tc>
          <w:tcPr>
            <w:tcW w:w="400" w:type="dxa"/>
            <w:vAlign w:val="bottom"/>
            <w:gridSpan w:val="2"/>
          </w:tcPr>
          <w:p>
            <w:pPr>
              <w:jc w:val="right"/>
              <w:spacing w:after="0"/>
              <w:rPr>
                <w:sz w:val="20"/>
                <w:szCs w:val="20"/>
                <w:color w:val="auto"/>
              </w:rPr>
            </w:pPr>
            <w:r>
              <w:rPr>
                <w:rFonts w:ascii="Arial" w:cs="Arial" w:eastAsia="Arial" w:hAnsi="Arial"/>
                <w:sz w:val="13"/>
                <w:szCs w:val="13"/>
                <w:color w:val="auto"/>
                <w:w w:val="87"/>
              </w:rPr>
              <w:t>$ 232.4</w:t>
            </w:r>
          </w:p>
        </w:tc>
        <w:tc>
          <w:tcPr>
            <w:tcW w:w="860" w:type="dxa"/>
            <w:vAlign w:val="bottom"/>
            <w:gridSpan w:val="3"/>
          </w:tcPr>
          <w:p>
            <w:pPr>
              <w:jc w:val="right"/>
              <w:ind w:right="80"/>
              <w:spacing w:after="0"/>
              <w:rPr>
                <w:sz w:val="20"/>
                <w:szCs w:val="20"/>
                <w:color w:val="auto"/>
              </w:rPr>
            </w:pPr>
            <w:r>
              <w:rPr>
                <w:rFonts w:ascii="Arial" w:cs="Arial" w:eastAsia="Arial" w:hAnsi="Arial"/>
                <w:sz w:val="13"/>
                <w:szCs w:val="13"/>
                <w:color w:val="auto"/>
              </w:rPr>
              <w:t>$ 216.3</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International Microwave</w:t>
            </w: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00" w:type="dxa"/>
            <w:vAlign w:val="bottom"/>
            <w:tcBorders>
              <w:right w:val="single" w:sz="8" w:color="CCEEFF"/>
            </w:tcBorders>
            <w:shd w:val="clear" w:color="auto" w:fill="CCEEFF"/>
          </w:tcPr>
          <w:p>
            <w:pPr>
              <w:spacing w:after="0"/>
              <w:rPr>
                <w:sz w:val="14"/>
                <w:szCs w:val="14"/>
                <w:color w:val="auto"/>
              </w:rPr>
            </w:pPr>
          </w:p>
        </w:tc>
        <w:tc>
          <w:tcPr>
            <w:tcW w:w="680" w:type="dxa"/>
            <w:vAlign w:val="bottom"/>
            <w:gridSpan w:val="2"/>
            <w:shd w:val="clear" w:color="auto" w:fill="CCEEFF"/>
          </w:tcPr>
          <w:p>
            <w:pPr>
              <w:jc w:val="right"/>
              <w:ind w:right="246"/>
              <w:spacing w:after="0"/>
              <w:rPr>
                <w:sz w:val="20"/>
                <w:szCs w:val="20"/>
                <w:color w:val="auto"/>
              </w:rPr>
            </w:pPr>
            <w:r>
              <w:rPr>
                <w:rFonts w:ascii="Arial" w:cs="Arial" w:eastAsia="Arial" w:hAnsi="Arial"/>
                <w:sz w:val="13"/>
                <w:szCs w:val="13"/>
                <w:color w:val="auto"/>
              </w:rPr>
              <w:t>438.3</w:t>
            </w:r>
          </w:p>
        </w:tc>
        <w:tc>
          <w:tcPr>
            <w:tcW w:w="10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461.7</w:t>
            </w: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272.2</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4200" w:type="dxa"/>
            <w:vAlign w:val="bottom"/>
            <w:gridSpan w:val="2"/>
          </w:tcPr>
          <w:p>
            <w:pPr>
              <w:spacing w:after="0"/>
              <w:rPr>
                <w:sz w:val="20"/>
                <w:szCs w:val="20"/>
                <w:color w:val="auto"/>
              </w:rPr>
            </w:pPr>
            <w:r>
              <w:rPr>
                <w:rFonts w:ascii="Arial" w:cs="Arial" w:eastAsia="Arial" w:hAnsi="Arial"/>
                <w:sz w:val="13"/>
                <w:szCs w:val="13"/>
                <w:color w:val="auto"/>
              </w:rPr>
              <w:t>Network Operations</w:t>
            </w: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gridSpan w:val="2"/>
          </w:tcPr>
          <w:p>
            <w:pPr>
              <w:jc w:val="right"/>
              <w:ind w:right="246"/>
              <w:spacing w:after="0"/>
              <w:rPr>
                <w:sz w:val="20"/>
                <w:szCs w:val="20"/>
                <w:color w:val="auto"/>
              </w:rPr>
            </w:pPr>
            <w:r>
              <w:rPr>
                <w:rFonts w:ascii="Arial" w:cs="Arial" w:eastAsia="Arial" w:hAnsi="Arial"/>
                <w:sz w:val="13"/>
                <w:szCs w:val="13"/>
                <w:color w:val="auto"/>
              </w:rPr>
              <w:t>14.6</w:t>
            </w:r>
          </w:p>
        </w:tc>
        <w:tc>
          <w:tcPr>
            <w:tcW w:w="100" w:type="dxa"/>
            <w:vAlign w:val="bottom"/>
          </w:tcPr>
          <w:p>
            <w:pPr>
              <w:spacing w:after="0"/>
              <w:rPr>
                <w:sz w:val="14"/>
                <w:szCs w:val="14"/>
                <w:color w:val="auto"/>
              </w:rPr>
            </w:pPr>
          </w:p>
        </w:tc>
        <w:tc>
          <w:tcPr>
            <w:tcW w:w="400" w:type="dxa"/>
            <w:vAlign w:val="bottom"/>
            <w:gridSpan w:val="2"/>
          </w:tcPr>
          <w:p>
            <w:pPr>
              <w:jc w:val="right"/>
              <w:spacing w:after="0"/>
              <w:rPr>
                <w:sz w:val="20"/>
                <w:szCs w:val="20"/>
                <w:color w:val="auto"/>
              </w:rPr>
            </w:pPr>
            <w:r>
              <w:rPr>
                <w:rFonts w:ascii="Arial" w:cs="Arial" w:eastAsia="Arial" w:hAnsi="Arial"/>
                <w:sz w:val="13"/>
                <w:szCs w:val="13"/>
                <w:color w:val="auto"/>
              </w:rPr>
              <w:t>24.3</w:t>
            </w:r>
          </w:p>
        </w:tc>
        <w:tc>
          <w:tcPr>
            <w:tcW w:w="860" w:type="dxa"/>
            <w:vAlign w:val="bottom"/>
            <w:gridSpan w:val="3"/>
          </w:tcPr>
          <w:p>
            <w:pPr>
              <w:jc w:val="right"/>
              <w:ind w:right="80"/>
              <w:spacing w:after="0"/>
              <w:rPr>
                <w:sz w:val="20"/>
                <w:szCs w:val="20"/>
                <w:color w:val="auto"/>
              </w:rPr>
            </w:pPr>
            <w:r>
              <w:rPr>
                <w:rFonts w:ascii="Arial" w:cs="Arial" w:eastAsia="Arial" w:hAnsi="Arial"/>
                <w:sz w:val="13"/>
                <w:szCs w:val="13"/>
                <w:color w:val="auto"/>
              </w:rPr>
              <w:t>19.4</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680" w:type="dxa"/>
            <w:vAlign w:val="bottom"/>
          </w:tcPr>
          <w:p>
            <w:pPr>
              <w:spacing w:after="0"/>
              <w:rPr>
                <w:sz w:val="14"/>
                <w:szCs w:val="14"/>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Revenue</w:t>
            </w: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00" w:type="dxa"/>
            <w:vAlign w:val="bottom"/>
            <w:tcBorders>
              <w:right w:val="single" w:sz="8" w:color="CCEEFF"/>
            </w:tcBorders>
            <w:shd w:val="clear" w:color="auto" w:fill="CCEEFF"/>
          </w:tcPr>
          <w:p>
            <w:pPr>
              <w:spacing w:after="0"/>
              <w:rPr>
                <w:sz w:val="14"/>
                <w:szCs w:val="14"/>
                <w:color w:val="auto"/>
              </w:rPr>
            </w:pPr>
          </w:p>
        </w:tc>
        <w:tc>
          <w:tcPr>
            <w:tcW w:w="680" w:type="dxa"/>
            <w:vAlign w:val="bottom"/>
            <w:gridSpan w:val="2"/>
            <w:shd w:val="clear" w:color="auto" w:fill="CCEEFF"/>
          </w:tcPr>
          <w:p>
            <w:pPr>
              <w:jc w:val="right"/>
              <w:ind w:right="246"/>
              <w:spacing w:after="0"/>
              <w:rPr>
                <w:sz w:val="20"/>
                <w:szCs w:val="20"/>
                <w:color w:val="auto"/>
              </w:rPr>
            </w:pPr>
            <w:r>
              <w:rPr>
                <w:rFonts w:ascii="Arial" w:cs="Arial" w:eastAsia="Arial" w:hAnsi="Arial"/>
                <w:sz w:val="13"/>
                <w:szCs w:val="13"/>
                <w:color w:val="auto"/>
                <w:w w:val="82"/>
              </w:rPr>
              <w:t>$ 679.9</w:t>
            </w:r>
          </w:p>
        </w:tc>
        <w:tc>
          <w:tcPr>
            <w:tcW w:w="10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87"/>
              </w:rPr>
              <w:t>$ 718.4</w:t>
            </w: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$ 507.9</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99</w:t>
            </w: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02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68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3620" w:type="dxa"/>
            <w:vAlign w:val="bottom"/>
            <w:tcBorders>
              <w:bottom w:val="single" w:sz="8" w:color="808080"/>
            </w:tcBorders>
          </w:tcPr>
          <w:p>
            <w:pPr>
              <w:spacing w:after="0"/>
              <w:rPr>
                <w:sz w:val="14"/>
                <w:szCs w:val="14"/>
                <w:color w:val="auto"/>
              </w:rPr>
            </w:pPr>
          </w:p>
        </w:tc>
        <w:tc>
          <w:tcPr>
            <w:tcW w:w="82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-2261235</wp:posOffset>
            </wp:positionV>
            <wp:extent cx="25400" cy="63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5400" cy="6350"/>
                    </a:xfrm>
                    <a:prstGeom prst="rect">
                      <a:avLst/>
                    </a:prstGeom>
                    <a:noFill/>
                  </pic:spPr>
                </pic:pic>
              </a:graphicData>
            </a:graphic>
          </wp:anchor>
        </w:drawing>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12700" cy="63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9" w:right="219" w:bottom="1440" w:gutter="0" w:footer="0" w:header="0"/>
        </w:sectPr>
      </w:pPr>
    </w:p>
    <w:bookmarkStart w:id="100" w:name="page101"/>
    <w:bookmarkEnd w:id="10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HARRIS STRATEX NETWORKS, INC. AND SUBSIDIARIES</w:t>
      </w:r>
    </w:p>
    <w:p>
      <w:pPr>
        <w:spacing w:after="0" w:line="102"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69" w:lineRule="exact"/>
        <w:rPr>
          <w:sz w:val="20"/>
          <w:szCs w:val="20"/>
          <w:color w:val="auto"/>
        </w:rPr>
      </w:pPr>
    </w:p>
    <w:tbl>
      <w:tblPr>
        <w:tblLayout w:type="fixed"/>
        <w:tblInd w:w="680" w:type="dxa"/>
        <w:tblCellMar>
          <w:top w:w="0" w:type="dxa"/>
          <w:left w:w="0" w:type="dxa"/>
          <w:bottom w:w="0" w:type="dxa"/>
          <w:right w:w="0" w:type="dxa"/>
        </w:tblCellMar>
      </w:tblPr>
      <w:tr>
        <w:trPr>
          <w:trHeight w:val="128"/>
        </w:trPr>
        <w:tc>
          <w:tcPr>
            <w:tcW w:w="1300" w:type="dxa"/>
            <w:vAlign w:val="bottom"/>
          </w:tcPr>
          <w:p>
            <w:pPr>
              <w:spacing w:after="0"/>
              <w:rPr>
                <w:sz w:val="11"/>
                <w:szCs w:val="11"/>
                <w:color w:val="auto"/>
              </w:rPr>
            </w:pPr>
          </w:p>
        </w:tc>
        <w:tc>
          <w:tcPr>
            <w:tcW w:w="6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75"/>
              <w:spacing w:after="0"/>
              <w:rPr>
                <w:sz w:val="20"/>
                <w:szCs w:val="20"/>
                <w:color w:val="auto"/>
              </w:rPr>
            </w:pPr>
            <w:r>
              <w:rPr>
                <w:rFonts w:ascii="Arial" w:cs="Arial" w:eastAsia="Arial" w:hAnsi="Arial"/>
                <w:sz w:val="11"/>
                <w:szCs w:val="11"/>
                <w:b w:val="1"/>
                <w:bCs w:val="1"/>
                <w:color w:val="auto"/>
                <w:w w:val="97"/>
              </w:rPr>
              <w:t>2009</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vMerge w:val="restart"/>
          </w:tcPr>
          <w:p>
            <w:pPr>
              <w:ind w:left="100"/>
              <w:spacing w:after="0"/>
              <w:rPr>
                <w:sz w:val="20"/>
                <w:szCs w:val="20"/>
                <w:color w:val="auto"/>
              </w:rPr>
            </w:pPr>
            <w:r>
              <w:rPr>
                <w:rFonts w:ascii="Arial" w:cs="Arial" w:eastAsia="Arial" w:hAnsi="Arial"/>
                <w:sz w:val="11"/>
                <w:szCs w:val="11"/>
                <w:b w:val="1"/>
                <w:bCs w:val="1"/>
                <w:color w:val="auto"/>
                <w:w w:val="88"/>
              </w:rPr>
              <w:t>(In</w:t>
            </w: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jc w:val="right"/>
              <w:ind w:right="15"/>
              <w:spacing w:after="0"/>
              <w:rPr>
                <w:sz w:val="20"/>
                <w:szCs w:val="20"/>
                <w:color w:val="auto"/>
              </w:rPr>
            </w:pPr>
            <w:r>
              <w:rPr>
                <w:rFonts w:ascii="Arial" w:cs="Arial" w:eastAsia="Arial" w:hAnsi="Arial"/>
                <w:sz w:val="11"/>
                <w:szCs w:val="11"/>
                <w:b w:val="1"/>
                <w:bCs w:val="1"/>
                <w:color w:val="auto"/>
                <w:w w:val="89"/>
              </w:rPr>
              <w:t>2008</w:t>
            </w:r>
          </w:p>
        </w:tc>
        <w:tc>
          <w:tcPr>
            <w:tcW w:w="4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jc w:val="right"/>
              <w:ind w:right="35"/>
              <w:spacing w:after="0"/>
              <w:rPr>
                <w:sz w:val="20"/>
                <w:szCs w:val="20"/>
                <w:color w:val="auto"/>
              </w:rPr>
            </w:pPr>
            <w:r>
              <w:rPr>
                <w:rFonts w:ascii="Arial" w:cs="Arial" w:eastAsia="Arial" w:hAnsi="Arial"/>
                <w:sz w:val="11"/>
                <w:szCs w:val="11"/>
                <w:b w:val="1"/>
                <w:bCs w:val="1"/>
                <w:color w:val="auto"/>
                <w:w w:val="81"/>
              </w:rPr>
              <w:t>2007</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300" w:type="dxa"/>
            <w:vAlign w:val="bottom"/>
          </w:tcPr>
          <w:p>
            <w:pPr>
              <w:spacing w:after="0"/>
              <w:rPr>
                <w:sz w:val="11"/>
                <w:szCs w:val="11"/>
                <w:color w:val="auto"/>
              </w:rPr>
            </w:pPr>
          </w:p>
        </w:tc>
        <w:tc>
          <w:tcPr>
            <w:tcW w:w="6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vMerge w:val="continue"/>
          </w:tcPr>
          <w:p>
            <w:pPr>
              <w:spacing w:after="0"/>
              <w:rPr>
                <w:sz w:val="11"/>
                <w:szCs w:val="11"/>
                <w:color w:val="auto"/>
              </w:rPr>
            </w:pPr>
          </w:p>
        </w:tc>
        <w:tc>
          <w:tcPr>
            <w:tcW w:w="400" w:type="dxa"/>
            <w:vAlign w:val="bottom"/>
            <w:gridSpan w:val="2"/>
          </w:tcPr>
          <w:p>
            <w:pPr>
              <w:jc w:val="right"/>
              <w:spacing w:after="0"/>
              <w:rPr>
                <w:sz w:val="20"/>
                <w:szCs w:val="20"/>
                <w:color w:val="auto"/>
              </w:rPr>
            </w:pPr>
            <w:r>
              <w:rPr>
                <w:rFonts w:ascii="Arial" w:cs="Arial" w:eastAsia="Arial" w:hAnsi="Arial"/>
                <w:sz w:val="11"/>
                <w:szCs w:val="11"/>
                <w:b w:val="1"/>
                <w:bCs w:val="1"/>
                <w:color w:val="auto"/>
                <w:w w:val="83"/>
              </w:rPr>
              <w:t>millions)</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78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Loss Before Income Taxes</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800" w:type="dxa"/>
            <w:vAlign w:val="bottom"/>
            <w:gridSpan w:val="2"/>
          </w:tcPr>
          <w:p>
            <w:pPr>
              <w:spacing w:after="0"/>
              <w:rPr>
                <w:sz w:val="20"/>
                <w:szCs w:val="20"/>
                <w:color w:val="auto"/>
              </w:rPr>
            </w:pPr>
            <w:r>
              <w:rPr>
                <w:rFonts w:ascii="Arial" w:cs="Arial" w:eastAsia="Arial" w:hAnsi="Arial"/>
                <w:sz w:val="13"/>
                <w:szCs w:val="13"/>
                <w:color w:val="auto"/>
              </w:rPr>
              <w:t>Segment Operating (Loss) Income:</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North America Microwave(1)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(62.7)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273"/>
              <w:spacing w:after="0"/>
              <w:rPr>
                <w:sz w:val="20"/>
                <w:szCs w:val="20"/>
                <w:color w:val="auto"/>
              </w:rPr>
            </w:pPr>
            <w:r>
              <w:rPr>
                <w:rFonts w:ascii="Arial" w:cs="Arial" w:eastAsia="Arial" w:hAnsi="Arial"/>
                <w:sz w:val="13"/>
                <w:szCs w:val="13"/>
                <w:color w:val="auto"/>
              </w:rPr>
              <w:t>(9.4)</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gridSpan w:val="2"/>
            <w:shd w:val="clear" w:color="auto" w:fill="CCEEFF"/>
          </w:tcPr>
          <w:p>
            <w:pPr>
              <w:jc w:val="right"/>
              <w:ind w:right="41"/>
              <w:spacing w:after="0"/>
              <w:rPr>
                <w:sz w:val="20"/>
                <w:szCs w:val="20"/>
                <w:color w:val="auto"/>
              </w:rPr>
            </w:pPr>
            <w:r>
              <w:rPr>
                <w:rFonts w:ascii="Arial" w:cs="Arial" w:eastAsia="Arial" w:hAnsi="Arial"/>
                <w:sz w:val="13"/>
                <w:szCs w:val="13"/>
                <w:color w:val="auto"/>
              </w:rPr>
              <w:t>6.3</w:t>
            </w:r>
          </w:p>
        </w:tc>
        <w:tc>
          <w:tcPr>
            <w:tcW w:w="0" w:type="dxa"/>
            <w:vAlign w:val="bottom"/>
          </w:tcPr>
          <w:p>
            <w:pPr>
              <w:spacing w:after="0"/>
              <w:rPr>
                <w:sz w:val="1"/>
                <w:szCs w:val="1"/>
                <w:color w:val="auto"/>
              </w:rPr>
            </w:pPr>
          </w:p>
        </w:tc>
      </w:tr>
      <w:tr>
        <w:trPr>
          <w:trHeight w:val="161"/>
        </w:trPr>
        <w:tc>
          <w:tcPr>
            <w:tcW w:w="7800" w:type="dxa"/>
            <w:vAlign w:val="bottom"/>
            <w:gridSpan w:val="2"/>
          </w:tcPr>
          <w:p>
            <w:pPr>
              <w:spacing w:after="0"/>
              <w:rPr>
                <w:sz w:val="20"/>
                <w:szCs w:val="20"/>
                <w:color w:val="auto"/>
              </w:rPr>
            </w:pPr>
            <w:r>
              <w:rPr>
                <w:rFonts w:ascii="Arial" w:cs="Arial" w:eastAsia="Arial" w:hAnsi="Arial"/>
                <w:sz w:val="13"/>
                <w:szCs w:val="13"/>
                <w:color w:val="auto"/>
              </w:rPr>
              <w:t>International Microwave(2)</w:t>
            </w:r>
          </w:p>
        </w:tc>
        <w:tc>
          <w:tcPr>
            <w:tcW w:w="100" w:type="dxa"/>
            <w:vAlign w:val="bottom"/>
          </w:tcPr>
          <w:p>
            <w:pPr>
              <w:spacing w:after="0"/>
              <w:rPr>
                <w:sz w:val="14"/>
                <w:szCs w:val="14"/>
                <w:color w:val="auto"/>
              </w:rPr>
            </w:pPr>
          </w:p>
        </w:tc>
        <w:tc>
          <w:tcPr>
            <w:tcW w:w="560" w:type="dxa"/>
            <w:vAlign w:val="bottom"/>
            <w:gridSpan w:val="3"/>
          </w:tcPr>
          <w:p>
            <w:pPr>
              <w:jc w:val="right"/>
              <w:ind w:right="120"/>
              <w:spacing w:after="0"/>
              <w:rPr>
                <w:sz w:val="20"/>
                <w:szCs w:val="20"/>
                <w:color w:val="auto"/>
              </w:rPr>
            </w:pPr>
            <w:r>
              <w:rPr>
                <w:rFonts w:ascii="Arial" w:cs="Arial" w:eastAsia="Arial" w:hAnsi="Arial"/>
                <w:sz w:val="13"/>
                <w:szCs w:val="13"/>
                <w:color w:val="auto"/>
              </w:rPr>
              <w:t>(270.8)</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273"/>
              <w:spacing w:after="0"/>
              <w:rPr>
                <w:sz w:val="20"/>
                <w:szCs w:val="20"/>
                <w:color w:val="auto"/>
              </w:rPr>
            </w:pPr>
            <w:r>
              <w:rPr>
                <w:rFonts w:ascii="Arial" w:cs="Arial" w:eastAsia="Arial" w:hAnsi="Arial"/>
                <w:sz w:val="13"/>
                <w:szCs w:val="13"/>
                <w:color w:val="auto"/>
              </w:rPr>
              <w:t>(5.7)</w:t>
            </w:r>
          </w:p>
        </w:tc>
        <w:tc>
          <w:tcPr>
            <w:tcW w:w="80" w:type="dxa"/>
            <w:vAlign w:val="bottom"/>
          </w:tcPr>
          <w:p>
            <w:pPr>
              <w:spacing w:after="0"/>
              <w:rPr>
                <w:sz w:val="14"/>
                <w:szCs w:val="14"/>
                <w:color w:val="auto"/>
              </w:rPr>
            </w:pPr>
          </w:p>
        </w:tc>
        <w:tc>
          <w:tcPr>
            <w:tcW w:w="400" w:type="dxa"/>
            <w:vAlign w:val="bottom"/>
            <w:gridSpan w:val="2"/>
          </w:tcPr>
          <w:p>
            <w:pPr>
              <w:jc w:val="right"/>
              <w:ind w:right="1"/>
              <w:spacing w:after="0"/>
              <w:rPr>
                <w:sz w:val="20"/>
                <w:szCs w:val="20"/>
                <w:color w:val="auto"/>
              </w:rPr>
            </w:pPr>
            <w:r>
              <w:rPr>
                <w:rFonts w:ascii="Arial" w:cs="Arial" w:eastAsia="Arial" w:hAnsi="Arial"/>
                <w:sz w:val="13"/>
                <w:szCs w:val="13"/>
                <w:color w:val="auto"/>
                <w:w w:val="99"/>
              </w:rPr>
              <w:t>(31.3)</w:t>
            </w:r>
          </w:p>
        </w:tc>
        <w:tc>
          <w:tcPr>
            <w:tcW w:w="0" w:type="dxa"/>
            <w:vAlign w:val="bottom"/>
          </w:tcPr>
          <w:p>
            <w:pPr>
              <w:spacing w:after="0"/>
              <w:rPr>
                <w:sz w:val="1"/>
                <w:szCs w:val="1"/>
                <w:color w:val="auto"/>
              </w:rPr>
            </w:pPr>
          </w:p>
        </w:tc>
      </w:tr>
      <w:tr>
        <w:trPr>
          <w:trHeight w:val="161"/>
        </w:trPr>
        <w:tc>
          <w:tcPr>
            <w:tcW w:w="7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Network Operations</w:t>
            </w:r>
          </w:p>
        </w:tc>
        <w:tc>
          <w:tcPr>
            <w:tcW w:w="100" w:type="dxa"/>
            <w:vAlign w:val="bottom"/>
            <w:shd w:val="clear" w:color="auto" w:fill="CCEEFF"/>
          </w:tcPr>
          <w:p>
            <w:pPr>
              <w:spacing w:after="0"/>
              <w:rPr>
                <w:sz w:val="14"/>
                <w:szCs w:val="14"/>
                <w:color w:val="auto"/>
              </w:rPr>
            </w:pPr>
          </w:p>
        </w:tc>
        <w:tc>
          <w:tcPr>
            <w:tcW w:w="56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(1.8)</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333"/>
              <w:spacing w:after="0"/>
              <w:rPr>
                <w:sz w:val="20"/>
                <w:szCs w:val="20"/>
                <w:color w:val="auto"/>
              </w:rPr>
            </w:pPr>
            <w:r>
              <w:rPr>
                <w:rFonts w:ascii="Arial" w:cs="Arial" w:eastAsia="Arial" w:hAnsi="Arial"/>
                <w:sz w:val="13"/>
                <w:szCs w:val="13"/>
                <w:color w:val="auto"/>
              </w:rPr>
              <w:t>1.4</w:t>
            </w:r>
          </w:p>
        </w:tc>
        <w:tc>
          <w:tcPr>
            <w:tcW w:w="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41"/>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61"/>
        </w:trPr>
        <w:tc>
          <w:tcPr>
            <w:tcW w:w="7800" w:type="dxa"/>
            <w:vAlign w:val="bottom"/>
            <w:gridSpan w:val="2"/>
          </w:tcPr>
          <w:p>
            <w:pPr>
              <w:spacing w:after="0"/>
              <w:rPr>
                <w:sz w:val="20"/>
                <w:szCs w:val="20"/>
                <w:color w:val="auto"/>
              </w:rPr>
            </w:pPr>
            <w:r>
              <w:rPr>
                <w:rFonts w:ascii="Arial" w:cs="Arial" w:eastAsia="Arial" w:hAnsi="Arial"/>
                <w:sz w:val="13"/>
                <w:szCs w:val="13"/>
                <w:color w:val="auto"/>
              </w:rPr>
              <w:t>Corporate allocations expense from Harris</w:t>
            </w:r>
          </w:p>
        </w:tc>
        <w:tc>
          <w:tcPr>
            <w:tcW w:w="100" w:type="dxa"/>
            <w:vAlign w:val="bottom"/>
          </w:tcPr>
          <w:p>
            <w:pPr>
              <w:spacing w:after="0"/>
              <w:rPr>
                <w:sz w:val="14"/>
                <w:szCs w:val="14"/>
                <w:color w:val="auto"/>
              </w:rPr>
            </w:pPr>
          </w:p>
        </w:tc>
        <w:tc>
          <w:tcPr>
            <w:tcW w:w="56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333"/>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400" w:type="dxa"/>
            <w:vAlign w:val="bottom"/>
            <w:gridSpan w:val="2"/>
          </w:tcPr>
          <w:p>
            <w:pPr>
              <w:jc w:val="right"/>
              <w:ind w:right="1"/>
              <w:spacing w:after="0"/>
              <w:rPr>
                <w:sz w:val="20"/>
                <w:szCs w:val="20"/>
                <w:color w:val="auto"/>
              </w:rPr>
            </w:pPr>
            <w:r>
              <w:rPr>
                <w:rFonts w:ascii="Arial" w:cs="Arial" w:eastAsia="Arial" w:hAnsi="Arial"/>
                <w:sz w:val="13"/>
                <w:szCs w:val="13"/>
                <w:color w:val="auto"/>
              </w:rPr>
              <w:t>(3.7)</w:t>
            </w:r>
          </w:p>
        </w:tc>
        <w:tc>
          <w:tcPr>
            <w:tcW w:w="0" w:type="dxa"/>
            <w:vAlign w:val="bottom"/>
          </w:tcPr>
          <w:p>
            <w:pPr>
              <w:spacing w:after="0"/>
              <w:rPr>
                <w:sz w:val="1"/>
                <w:szCs w:val="1"/>
                <w:color w:val="auto"/>
              </w:rPr>
            </w:pPr>
          </w:p>
        </w:tc>
      </w:tr>
      <w:tr>
        <w:trPr>
          <w:trHeight w:val="161"/>
        </w:trPr>
        <w:tc>
          <w:tcPr>
            <w:tcW w:w="7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interest expense</w:t>
            </w:r>
          </w:p>
        </w:tc>
        <w:tc>
          <w:tcPr>
            <w:tcW w:w="100" w:type="dxa"/>
            <w:vAlign w:val="bottom"/>
            <w:shd w:val="clear" w:color="auto" w:fill="CCEEFF"/>
          </w:tcPr>
          <w:p>
            <w:pPr>
              <w:spacing w:after="0"/>
              <w:rPr>
                <w:sz w:val="14"/>
                <w:szCs w:val="14"/>
                <w:color w:val="auto"/>
              </w:rPr>
            </w:pPr>
          </w:p>
        </w:tc>
        <w:tc>
          <w:tcPr>
            <w:tcW w:w="56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(1.9)</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73"/>
              <w:spacing w:after="0"/>
              <w:rPr>
                <w:sz w:val="20"/>
                <w:szCs w:val="20"/>
                <w:color w:val="auto"/>
              </w:rPr>
            </w:pPr>
            <w:r>
              <w:rPr>
                <w:rFonts w:ascii="Arial" w:cs="Arial" w:eastAsia="Arial" w:hAnsi="Arial"/>
                <w:sz w:val="13"/>
                <w:szCs w:val="13"/>
                <w:color w:val="auto"/>
              </w:rPr>
              <w:t>(0.2)</w:t>
            </w:r>
          </w:p>
        </w:tc>
        <w:tc>
          <w:tcPr>
            <w:tcW w:w="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
              <w:spacing w:after="0"/>
              <w:rPr>
                <w:sz w:val="20"/>
                <w:szCs w:val="20"/>
                <w:color w:val="auto"/>
              </w:rPr>
            </w:pPr>
            <w:r>
              <w:rPr>
                <w:rFonts w:ascii="Arial" w:cs="Arial" w:eastAsia="Arial" w:hAnsi="Arial"/>
                <w:sz w:val="13"/>
                <w:szCs w:val="13"/>
                <w:color w:val="auto"/>
              </w:rPr>
              <w:t>(0.5)</w:t>
            </w:r>
          </w:p>
        </w:tc>
        <w:tc>
          <w:tcPr>
            <w:tcW w:w="0" w:type="dxa"/>
            <w:vAlign w:val="bottom"/>
          </w:tcPr>
          <w:p>
            <w:pPr>
              <w:spacing w:after="0"/>
              <w:rPr>
                <w:sz w:val="1"/>
                <w:szCs w:val="1"/>
                <w:color w:val="auto"/>
              </w:rPr>
            </w:pPr>
          </w:p>
        </w:tc>
      </w:tr>
      <w:tr>
        <w:trPr>
          <w:trHeight w:val="161"/>
        </w:trPr>
        <w:tc>
          <w:tcPr>
            <w:tcW w:w="7800" w:type="dxa"/>
            <w:vAlign w:val="bottom"/>
            <w:gridSpan w:val="2"/>
          </w:tcPr>
          <w:p>
            <w:pPr>
              <w:spacing w:after="0"/>
              <w:rPr>
                <w:sz w:val="20"/>
                <w:szCs w:val="20"/>
                <w:color w:val="auto"/>
              </w:rPr>
            </w:pPr>
            <w:r>
              <w:rPr>
                <w:rFonts w:ascii="Arial" w:cs="Arial" w:eastAsia="Arial" w:hAnsi="Arial"/>
                <w:sz w:val="13"/>
                <w:szCs w:val="13"/>
                <w:color w:val="auto"/>
              </w:rPr>
              <w:t>Loss before income taxes</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(337.2</w:t>
            </w:r>
          </w:p>
        </w:tc>
        <w:tc>
          <w:tcPr>
            <w:tcW w:w="160" w:type="dxa"/>
            <w:vAlign w:val="bottom"/>
            <w:gridSpan w:val="2"/>
          </w:tcPr>
          <w:p>
            <w:pPr>
              <w:jc w:val="right"/>
              <w:ind w:right="120"/>
              <w:spacing w:after="0"/>
              <w:rPr>
                <w:sz w:val="20"/>
                <w:szCs w:val="20"/>
                <w:color w:val="auto"/>
              </w:rPr>
            </w:pPr>
            <w:r>
              <w:rPr>
                <w:rFonts w:ascii="Arial" w:cs="Arial" w:eastAsia="Arial" w:hAnsi="Arial"/>
                <w:sz w:val="8"/>
                <w:szCs w:val="8"/>
                <w:color w:val="auto"/>
                <w:w w:val="73"/>
              </w:rPr>
              <w:t>)</w:t>
            </w:r>
          </w:p>
        </w:tc>
        <w:tc>
          <w:tcPr>
            <w:tcW w:w="240" w:type="dxa"/>
            <w:vAlign w:val="bottom"/>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(13.9</w:t>
            </w:r>
          </w:p>
        </w:tc>
        <w:tc>
          <w:tcPr>
            <w:tcW w:w="400" w:type="dxa"/>
            <w:vAlign w:val="bottom"/>
          </w:tcPr>
          <w:p>
            <w:pPr>
              <w:jc w:val="right"/>
              <w:ind w:right="273"/>
              <w:spacing w:after="0"/>
              <w:rPr>
                <w:sz w:val="20"/>
                <w:szCs w:val="20"/>
                <w:color w:val="auto"/>
              </w:rPr>
            </w:pPr>
            <w:r>
              <w:rPr>
                <w:rFonts w:ascii="Arial" w:cs="Arial" w:eastAsia="Arial" w:hAnsi="Arial"/>
                <w:sz w:val="13"/>
                <w:szCs w:val="13"/>
                <w:color w:val="auto"/>
                <w:w w:val="91"/>
              </w:rPr>
              <w:t>)</w:t>
            </w: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(27.9</w:t>
            </w:r>
          </w:p>
        </w:tc>
        <w:tc>
          <w:tcPr>
            <w:tcW w:w="80" w:type="dxa"/>
            <w:vAlign w:val="bottom"/>
          </w:tcPr>
          <w:p>
            <w:pPr>
              <w:jc w:val="right"/>
              <w:ind w:right="1"/>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
        </w:trPr>
        <w:tc>
          <w:tcPr>
            <w:tcW w:w="1300" w:type="dxa"/>
            <w:vAlign w:val="bottom"/>
            <w:tcBorders>
              <w:bottom w:val="single" w:sz="8" w:color="auto"/>
            </w:tcBorders>
          </w:tcPr>
          <w:p>
            <w:pPr>
              <w:spacing w:after="0"/>
              <w:rPr>
                <w:sz w:val="7"/>
                <w:szCs w:val="7"/>
                <w:color w:val="auto"/>
              </w:rPr>
            </w:pPr>
          </w:p>
        </w:tc>
        <w:tc>
          <w:tcPr>
            <w:tcW w:w="6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740"/>
        <w:spacing w:after="0"/>
        <w:rPr>
          <w:sz w:val="20"/>
          <w:szCs w:val="20"/>
          <w:color w:val="auto"/>
        </w:rPr>
      </w:pPr>
      <w:r>
        <w:rPr>
          <w:rFonts w:ascii="Arial" w:cs="Arial" w:eastAsia="Arial" w:hAnsi="Arial"/>
          <w:sz w:val="13"/>
          <w:szCs w:val="13"/>
          <w:color w:val="auto"/>
        </w:rPr>
        <w:t>(1)  The following tables summarize certain charges and expenses included in the North America Microwave segment operating results during fiscal 2009, 2008 and 2007:</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8800" w:type="dxa"/>
            <w:vAlign w:val="bottom"/>
          </w:tcPr>
          <w:p>
            <w:pPr>
              <w:spacing w:after="0"/>
              <w:rPr>
                <w:sz w:val="11"/>
                <w:szCs w:val="11"/>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2009</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2008</w:t>
            </w:r>
          </w:p>
        </w:tc>
        <w:tc>
          <w:tcPr>
            <w:tcW w:w="380" w:type="dxa"/>
            <w:vAlign w:val="bottom"/>
          </w:tcPr>
          <w:p>
            <w:pPr>
              <w:spacing w:after="0"/>
              <w:rPr>
                <w:sz w:val="11"/>
                <w:szCs w:val="11"/>
                <w:color w:val="auto"/>
              </w:rPr>
            </w:pPr>
          </w:p>
        </w:tc>
        <w:tc>
          <w:tcPr>
            <w:tcW w:w="34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2007</w:t>
            </w: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8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ind w:left="120"/>
              <w:spacing w:after="0" w:line="120" w:lineRule="exact"/>
              <w:rPr>
                <w:sz w:val="20"/>
                <w:szCs w:val="20"/>
                <w:color w:val="auto"/>
              </w:rPr>
            </w:pPr>
            <w:r>
              <w:rPr>
                <w:rFonts w:ascii="Arial" w:cs="Arial" w:eastAsia="Arial" w:hAnsi="Arial"/>
                <w:sz w:val="11"/>
                <w:szCs w:val="11"/>
                <w:b w:val="1"/>
                <w:bCs w:val="1"/>
                <w:color w:val="auto"/>
                <w:w w:val="74"/>
              </w:rPr>
              <w:t>(In</w:t>
            </w:r>
          </w:p>
        </w:tc>
        <w:tc>
          <w:tcPr>
            <w:tcW w:w="720" w:type="dxa"/>
            <w:vAlign w:val="bottom"/>
            <w:gridSpan w:val="3"/>
          </w:tcPr>
          <w:p>
            <w:pPr>
              <w:ind w:left="60"/>
              <w:spacing w:after="0"/>
              <w:rPr>
                <w:sz w:val="20"/>
                <w:szCs w:val="20"/>
                <w:color w:val="auto"/>
              </w:rPr>
            </w:pPr>
            <w:r>
              <w:rPr>
                <w:rFonts w:ascii="Arial" w:cs="Arial" w:eastAsia="Arial" w:hAnsi="Arial"/>
                <w:sz w:val="11"/>
                <w:szCs w:val="11"/>
                <w:b w:val="1"/>
                <w:bCs w:val="1"/>
                <w:color w:val="auto"/>
              </w:rPr>
              <w:t>millions)</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8800" w:type="dxa"/>
            <w:vAlign w:val="bottom"/>
          </w:tcPr>
          <w:p>
            <w:pPr>
              <w:ind w:left="680"/>
              <w:spacing w:after="0"/>
              <w:rPr>
                <w:sz w:val="20"/>
                <w:szCs w:val="20"/>
                <w:color w:val="auto"/>
              </w:rPr>
            </w:pPr>
            <w:r>
              <w:rPr>
                <w:rFonts w:ascii="Arial" w:cs="Arial" w:eastAsia="Arial" w:hAnsi="Arial"/>
                <w:sz w:val="13"/>
                <w:szCs w:val="13"/>
                <w:color w:val="auto"/>
              </w:rPr>
              <w:t>Goodwill impairment charges</w:t>
            </w:r>
          </w:p>
        </w:tc>
        <w:tc>
          <w:tcPr>
            <w:tcW w:w="480" w:type="dxa"/>
            <w:vAlign w:val="bottom"/>
            <w:gridSpan w:val="2"/>
          </w:tcPr>
          <w:p>
            <w:pPr>
              <w:jc w:val="right"/>
              <w:ind w:right="140"/>
              <w:spacing w:after="0"/>
              <w:rPr>
                <w:sz w:val="20"/>
                <w:szCs w:val="20"/>
                <w:color w:val="auto"/>
              </w:rPr>
            </w:pPr>
            <w:r>
              <w:rPr>
                <w:rFonts w:ascii="Arial" w:cs="Arial" w:eastAsia="Arial" w:hAnsi="Arial"/>
                <w:sz w:val="13"/>
                <w:szCs w:val="13"/>
                <w:color w:val="auto"/>
                <w:w w:val="88"/>
              </w:rPr>
              <w:t>$ 31.8</w:t>
            </w:r>
          </w:p>
        </w:tc>
        <w:tc>
          <w:tcPr>
            <w:tcW w:w="3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8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8800" w:type="dxa"/>
            <w:vAlign w:val="bottom"/>
          </w:tcPr>
          <w:p>
            <w:pPr>
              <w:ind w:left="680"/>
              <w:spacing w:after="0"/>
              <w:rPr>
                <w:sz w:val="20"/>
                <w:szCs w:val="20"/>
                <w:color w:val="auto"/>
              </w:rPr>
            </w:pPr>
            <w:r>
              <w:rPr>
                <w:rFonts w:ascii="Arial" w:cs="Arial" w:eastAsia="Arial" w:hAnsi="Arial"/>
                <w:sz w:val="13"/>
                <w:szCs w:val="13"/>
                <w:color w:val="auto"/>
              </w:rPr>
              <w:t>Charges for product transition</w:t>
            </w:r>
          </w:p>
        </w:tc>
        <w:tc>
          <w:tcPr>
            <w:tcW w:w="480" w:type="dxa"/>
            <w:vAlign w:val="bottom"/>
            <w:gridSpan w:val="2"/>
          </w:tcPr>
          <w:p>
            <w:pPr>
              <w:jc w:val="right"/>
              <w:ind w:right="140"/>
              <w:spacing w:after="0"/>
              <w:rPr>
                <w:sz w:val="20"/>
                <w:szCs w:val="20"/>
                <w:color w:val="auto"/>
              </w:rPr>
            </w:pPr>
            <w:r>
              <w:rPr>
                <w:rFonts w:ascii="Arial" w:cs="Arial" w:eastAsia="Arial" w:hAnsi="Arial"/>
                <w:sz w:val="13"/>
                <w:szCs w:val="13"/>
                <w:color w:val="auto"/>
              </w:rPr>
              <w:t>25.3</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140" w:type="dxa"/>
            <w:vAlign w:val="bottom"/>
            <w:gridSpan w:val="2"/>
          </w:tcPr>
          <w:p>
            <w:pPr>
              <w:jc w:val="right"/>
              <w:ind w:right="8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8800" w:type="dxa"/>
            <w:vAlign w:val="bottom"/>
          </w:tcPr>
          <w:p>
            <w:pPr>
              <w:ind w:left="680"/>
              <w:spacing w:after="0"/>
              <w:rPr>
                <w:sz w:val="20"/>
                <w:szCs w:val="20"/>
                <w:color w:val="auto"/>
              </w:rPr>
            </w:pPr>
            <w:r>
              <w:rPr>
                <w:rFonts w:ascii="Arial" w:cs="Arial" w:eastAsia="Arial" w:hAnsi="Arial"/>
                <w:sz w:val="13"/>
                <w:szCs w:val="13"/>
                <w:color w:val="auto"/>
              </w:rPr>
              <w:t>Impairment charges for the trade name “Stratex”</w:t>
            </w:r>
          </w:p>
        </w:tc>
        <w:tc>
          <w:tcPr>
            <w:tcW w:w="480" w:type="dxa"/>
            <w:vAlign w:val="bottom"/>
            <w:gridSpan w:val="2"/>
          </w:tcPr>
          <w:p>
            <w:pPr>
              <w:jc w:val="right"/>
              <w:ind w:right="140"/>
              <w:spacing w:after="0"/>
              <w:rPr>
                <w:sz w:val="20"/>
                <w:szCs w:val="20"/>
                <w:color w:val="auto"/>
              </w:rPr>
            </w:pPr>
            <w:r>
              <w:rPr>
                <w:rFonts w:ascii="Arial" w:cs="Arial" w:eastAsia="Arial" w:hAnsi="Arial"/>
                <w:sz w:val="13"/>
                <w:szCs w:val="13"/>
                <w:color w:val="auto"/>
              </w:rPr>
              <w:t>10.7</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140" w:type="dxa"/>
            <w:vAlign w:val="bottom"/>
            <w:gridSpan w:val="2"/>
          </w:tcPr>
          <w:p>
            <w:pPr>
              <w:jc w:val="right"/>
              <w:ind w:right="8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8800" w:type="dxa"/>
            <w:vAlign w:val="bottom"/>
          </w:tcPr>
          <w:p>
            <w:pPr>
              <w:ind w:left="680"/>
              <w:spacing w:after="0"/>
              <w:rPr>
                <w:sz w:val="20"/>
                <w:szCs w:val="20"/>
                <w:color w:val="auto"/>
              </w:rPr>
            </w:pPr>
            <w:r>
              <w:rPr>
                <w:rFonts w:ascii="Arial" w:cs="Arial" w:eastAsia="Arial" w:hAnsi="Arial"/>
                <w:sz w:val="13"/>
                <w:szCs w:val="13"/>
                <w:color w:val="auto"/>
              </w:rPr>
              <w:t>Restructuring charges</w:t>
            </w:r>
          </w:p>
        </w:tc>
        <w:tc>
          <w:tcPr>
            <w:tcW w:w="340" w:type="dxa"/>
            <w:vAlign w:val="bottom"/>
          </w:tcPr>
          <w:p>
            <w:pPr>
              <w:jc w:val="right"/>
              <w:spacing w:after="0"/>
              <w:rPr>
                <w:sz w:val="20"/>
                <w:szCs w:val="20"/>
                <w:color w:val="auto"/>
              </w:rPr>
            </w:pPr>
            <w:r>
              <w:rPr>
                <w:rFonts w:ascii="Arial" w:cs="Arial" w:eastAsia="Arial" w:hAnsi="Arial"/>
                <w:sz w:val="13"/>
                <w:szCs w:val="13"/>
                <w:color w:val="auto"/>
              </w:rPr>
              <w:t>5.1</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380"/>
              <w:spacing w:after="0"/>
              <w:rPr>
                <w:sz w:val="20"/>
                <w:szCs w:val="20"/>
                <w:color w:val="auto"/>
              </w:rPr>
            </w:pPr>
            <w:r>
              <w:rPr>
                <w:rFonts w:ascii="Arial" w:cs="Arial" w:eastAsia="Arial" w:hAnsi="Arial"/>
                <w:sz w:val="13"/>
                <w:szCs w:val="13"/>
                <w:color w:val="auto"/>
              </w:rPr>
              <w:t>4.9</w:t>
            </w:r>
          </w:p>
        </w:tc>
        <w:tc>
          <w:tcPr>
            <w:tcW w:w="80" w:type="dxa"/>
            <w:vAlign w:val="bottom"/>
          </w:tcPr>
          <w:p>
            <w:pPr>
              <w:spacing w:after="0"/>
              <w:rPr>
                <w:sz w:val="14"/>
                <w:szCs w:val="14"/>
                <w:color w:val="auto"/>
              </w:rPr>
            </w:pPr>
          </w:p>
        </w:tc>
        <w:tc>
          <w:tcPr>
            <w:tcW w:w="1140" w:type="dxa"/>
            <w:vAlign w:val="bottom"/>
            <w:gridSpan w:val="2"/>
          </w:tcPr>
          <w:p>
            <w:pPr>
              <w:jc w:val="right"/>
              <w:ind w:right="880"/>
              <w:spacing w:after="0"/>
              <w:rPr>
                <w:sz w:val="20"/>
                <w:szCs w:val="20"/>
                <w:color w:val="auto"/>
              </w:rPr>
            </w:pPr>
            <w:r>
              <w:rPr>
                <w:rFonts w:ascii="Arial" w:cs="Arial" w:eastAsia="Arial" w:hAnsi="Arial"/>
                <w:sz w:val="13"/>
                <w:szCs w:val="13"/>
                <w:color w:val="auto"/>
              </w:rPr>
              <w:t>5.1</w:t>
            </w:r>
          </w:p>
        </w:tc>
        <w:tc>
          <w:tcPr>
            <w:tcW w:w="0" w:type="dxa"/>
            <w:vAlign w:val="bottom"/>
          </w:tcPr>
          <w:p>
            <w:pPr>
              <w:spacing w:after="0"/>
              <w:rPr>
                <w:sz w:val="1"/>
                <w:szCs w:val="1"/>
                <w:color w:val="auto"/>
              </w:rPr>
            </w:pPr>
          </w:p>
        </w:tc>
      </w:tr>
      <w:tr>
        <w:trPr>
          <w:trHeight w:val="161"/>
        </w:trPr>
        <w:tc>
          <w:tcPr>
            <w:tcW w:w="8800" w:type="dxa"/>
            <w:vAlign w:val="bottom"/>
          </w:tcPr>
          <w:p>
            <w:pPr>
              <w:ind w:left="680"/>
              <w:spacing w:after="0"/>
              <w:rPr>
                <w:sz w:val="20"/>
                <w:szCs w:val="20"/>
                <w:color w:val="auto"/>
              </w:rPr>
            </w:pPr>
            <w:r>
              <w:rPr>
                <w:rFonts w:ascii="Arial" w:cs="Arial" w:eastAsia="Arial" w:hAnsi="Arial"/>
                <w:sz w:val="13"/>
                <w:szCs w:val="13"/>
                <w:color w:val="auto"/>
              </w:rPr>
              <w:t>Software impairment charges</w:t>
            </w:r>
          </w:p>
        </w:tc>
        <w:tc>
          <w:tcPr>
            <w:tcW w:w="340" w:type="dxa"/>
            <w:vAlign w:val="bottom"/>
          </w:tcPr>
          <w:p>
            <w:pPr>
              <w:jc w:val="right"/>
              <w:spacing w:after="0"/>
              <w:rPr>
                <w:sz w:val="20"/>
                <w:szCs w:val="20"/>
                <w:color w:val="auto"/>
              </w:rPr>
            </w:pPr>
            <w:r>
              <w:rPr>
                <w:rFonts w:ascii="Arial" w:cs="Arial" w:eastAsia="Arial" w:hAnsi="Arial"/>
                <w:sz w:val="13"/>
                <w:szCs w:val="13"/>
                <w:color w:val="auto"/>
              </w:rPr>
              <w:t>3.2</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140" w:type="dxa"/>
            <w:vAlign w:val="bottom"/>
            <w:gridSpan w:val="2"/>
          </w:tcPr>
          <w:p>
            <w:pPr>
              <w:jc w:val="right"/>
              <w:ind w:right="8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8800" w:type="dxa"/>
            <w:vAlign w:val="bottom"/>
          </w:tcPr>
          <w:p>
            <w:pPr>
              <w:ind w:left="680"/>
              <w:spacing w:after="0"/>
              <w:rPr>
                <w:sz w:val="20"/>
                <w:szCs w:val="20"/>
                <w:color w:val="auto"/>
              </w:rPr>
            </w:pPr>
            <w:r>
              <w:rPr>
                <w:rFonts w:ascii="Arial" w:cs="Arial" w:eastAsia="Arial" w:hAnsi="Arial"/>
                <w:sz w:val="13"/>
                <w:szCs w:val="13"/>
                <w:color w:val="auto"/>
              </w:rPr>
              <w:t>Amortization of developed technology, trade names, customer relationships and non-compete agreements</w:t>
            </w:r>
          </w:p>
        </w:tc>
        <w:tc>
          <w:tcPr>
            <w:tcW w:w="340" w:type="dxa"/>
            <w:vAlign w:val="bottom"/>
          </w:tcPr>
          <w:p>
            <w:pPr>
              <w:jc w:val="right"/>
              <w:spacing w:after="0"/>
              <w:rPr>
                <w:sz w:val="20"/>
                <w:szCs w:val="20"/>
                <w:color w:val="auto"/>
              </w:rPr>
            </w:pPr>
            <w:r>
              <w:rPr>
                <w:rFonts w:ascii="Arial" w:cs="Arial" w:eastAsia="Arial" w:hAnsi="Arial"/>
                <w:sz w:val="13"/>
                <w:szCs w:val="13"/>
                <w:color w:val="auto"/>
              </w:rPr>
              <w:t>3.0</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380"/>
              <w:spacing w:after="0"/>
              <w:rPr>
                <w:sz w:val="20"/>
                <w:szCs w:val="20"/>
                <w:color w:val="auto"/>
              </w:rPr>
            </w:pPr>
            <w:r>
              <w:rPr>
                <w:rFonts w:ascii="Arial" w:cs="Arial" w:eastAsia="Arial" w:hAnsi="Arial"/>
                <w:sz w:val="13"/>
                <w:szCs w:val="13"/>
                <w:color w:val="auto"/>
              </w:rPr>
              <w:t>2.7</w:t>
            </w:r>
          </w:p>
        </w:tc>
        <w:tc>
          <w:tcPr>
            <w:tcW w:w="80" w:type="dxa"/>
            <w:vAlign w:val="bottom"/>
          </w:tcPr>
          <w:p>
            <w:pPr>
              <w:spacing w:after="0"/>
              <w:rPr>
                <w:sz w:val="14"/>
                <w:szCs w:val="14"/>
                <w:color w:val="auto"/>
              </w:rPr>
            </w:pPr>
          </w:p>
        </w:tc>
        <w:tc>
          <w:tcPr>
            <w:tcW w:w="1140" w:type="dxa"/>
            <w:vAlign w:val="bottom"/>
            <w:gridSpan w:val="2"/>
          </w:tcPr>
          <w:p>
            <w:pPr>
              <w:jc w:val="right"/>
              <w:ind w:right="880"/>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61"/>
        </w:trPr>
        <w:tc>
          <w:tcPr>
            <w:tcW w:w="8800" w:type="dxa"/>
            <w:vAlign w:val="bottom"/>
          </w:tcPr>
          <w:p>
            <w:pPr>
              <w:ind w:left="680"/>
              <w:spacing w:after="0"/>
              <w:rPr>
                <w:sz w:val="20"/>
                <w:szCs w:val="20"/>
                <w:color w:val="auto"/>
              </w:rPr>
            </w:pPr>
            <w:r>
              <w:rPr>
                <w:rFonts w:ascii="Arial" w:cs="Arial" w:eastAsia="Arial" w:hAnsi="Arial"/>
                <w:sz w:val="13"/>
                <w:szCs w:val="13"/>
                <w:color w:val="auto"/>
              </w:rPr>
              <w:t>Amortization of the fair value adjustments related to fixed assets</w:t>
            </w:r>
          </w:p>
        </w:tc>
        <w:tc>
          <w:tcPr>
            <w:tcW w:w="340" w:type="dxa"/>
            <w:vAlign w:val="bottom"/>
          </w:tcPr>
          <w:p>
            <w:pPr>
              <w:jc w:val="right"/>
              <w:spacing w:after="0"/>
              <w:rPr>
                <w:sz w:val="20"/>
                <w:szCs w:val="20"/>
                <w:color w:val="auto"/>
              </w:rPr>
            </w:pPr>
            <w:r>
              <w:rPr>
                <w:rFonts w:ascii="Arial" w:cs="Arial" w:eastAsia="Arial" w:hAnsi="Arial"/>
                <w:sz w:val="13"/>
                <w:szCs w:val="13"/>
                <w:color w:val="auto"/>
              </w:rPr>
              <w:t>0.6</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380"/>
              <w:spacing w:after="0"/>
              <w:rPr>
                <w:sz w:val="20"/>
                <w:szCs w:val="20"/>
                <w:color w:val="auto"/>
              </w:rPr>
            </w:pPr>
            <w:r>
              <w:rPr>
                <w:rFonts w:ascii="Arial" w:cs="Arial" w:eastAsia="Arial" w:hAnsi="Arial"/>
                <w:sz w:val="13"/>
                <w:szCs w:val="13"/>
                <w:color w:val="auto"/>
              </w:rPr>
              <w:t>1.1</w:t>
            </w:r>
          </w:p>
        </w:tc>
        <w:tc>
          <w:tcPr>
            <w:tcW w:w="80" w:type="dxa"/>
            <w:vAlign w:val="bottom"/>
          </w:tcPr>
          <w:p>
            <w:pPr>
              <w:spacing w:after="0"/>
              <w:rPr>
                <w:sz w:val="14"/>
                <w:szCs w:val="14"/>
                <w:color w:val="auto"/>
              </w:rPr>
            </w:pPr>
          </w:p>
        </w:tc>
        <w:tc>
          <w:tcPr>
            <w:tcW w:w="1140" w:type="dxa"/>
            <w:vAlign w:val="bottom"/>
            <w:gridSpan w:val="2"/>
          </w:tcPr>
          <w:p>
            <w:pPr>
              <w:jc w:val="right"/>
              <w:ind w:right="880"/>
              <w:spacing w:after="0"/>
              <w:rPr>
                <w:sz w:val="20"/>
                <w:szCs w:val="20"/>
                <w:color w:val="auto"/>
              </w:rPr>
            </w:pPr>
            <w:r>
              <w:rPr>
                <w:rFonts w:ascii="Arial" w:cs="Arial" w:eastAsia="Arial" w:hAnsi="Arial"/>
                <w:sz w:val="13"/>
                <w:szCs w:val="13"/>
                <w:color w:val="auto"/>
              </w:rPr>
              <w:t>0.4</w:t>
            </w:r>
          </w:p>
        </w:tc>
        <w:tc>
          <w:tcPr>
            <w:tcW w:w="0" w:type="dxa"/>
            <w:vAlign w:val="bottom"/>
          </w:tcPr>
          <w:p>
            <w:pPr>
              <w:spacing w:after="0"/>
              <w:rPr>
                <w:sz w:val="1"/>
                <w:szCs w:val="1"/>
                <w:color w:val="auto"/>
              </w:rPr>
            </w:pPr>
          </w:p>
        </w:tc>
      </w:tr>
      <w:tr>
        <w:trPr>
          <w:trHeight w:val="161"/>
        </w:trPr>
        <w:tc>
          <w:tcPr>
            <w:tcW w:w="8800" w:type="dxa"/>
            <w:vAlign w:val="bottom"/>
          </w:tcPr>
          <w:p>
            <w:pPr>
              <w:ind w:left="680"/>
              <w:spacing w:after="0"/>
              <w:rPr>
                <w:sz w:val="20"/>
                <w:szCs w:val="20"/>
                <w:color w:val="auto"/>
              </w:rPr>
            </w:pPr>
            <w:r>
              <w:rPr>
                <w:rFonts w:ascii="Arial" w:cs="Arial" w:eastAsia="Arial" w:hAnsi="Arial"/>
                <w:sz w:val="13"/>
                <w:szCs w:val="13"/>
                <w:color w:val="auto"/>
              </w:rPr>
              <w:t>Cost of integration activities undertaken in connection with the merger</w:t>
            </w:r>
          </w:p>
        </w:tc>
        <w:tc>
          <w:tcPr>
            <w:tcW w:w="4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380"/>
              <w:spacing w:after="0"/>
              <w:rPr>
                <w:sz w:val="20"/>
                <w:szCs w:val="20"/>
                <w:color w:val="auto"/>
              </w:rPr>
            </w:pPr>
            <w:r>
              <w:rPr>
                <w:rFonts w:ascii="Arial" w:cs="Arial" w:eastAsia="Arial" w:hAnsi="Arial"/>
                <w:sz w:val="13"/>
                <w:szCs w:val="13"/>
                <w:color w:val="auto"/>
              </w:rPr>
              <w:t>3.2</w:t>
            </w:r>
          </w:p>
        </w:tc>
        <w:tc>
          <w:tcPr>
            <w:tcW w:w="80" w:type="dxa"/>
            <w:vAlign w:val="bottom"/>
          </w:tcPr>
          <w:p>
            <w:pPr>
              <w:spacing w:after="0"/>
              <w:rPr>
                <w:sz w:val="14"/>
                <w:szCs w:val="14"/>
                <w:color w:val="auto"/>
              </w:rPr>
            </w:pPr>
          </w:p>
        </w:tc>
        <w:tc>
          <w:tcPr>
            <w:tcW w:w="1140" w:type="dxa"/>
            <w:vAlign w:val="bottom"/>
            <w:gridSpan w:val="2"/>
          </w:tcPr>
          <w:p>
            <w:pPr>
              <w:jc w:val="right"/>
              <w:ind w:right="880"/>
              <w:spacing w:after="0"/>
              <w:rPr>
                <w:sz w:val="20"/>
                <w:szCs w:val="20"/>
                <w:color w:val="auto"/>
              </w:rPr>
            </w:pPr>
            <w:r>
              <w:rPr>
                <w:rFonts w:ascii="Arial" w:cs="Arial" w:eastAsia="Arial" w:hAnsi="Arial"/>
                <w:sz w:val="13"/>
                <w:szCs w:val="13"/>
                <w:color w:val="auto"/>
              </w:rPr>
              <w:t>2.7</w:t>
            </w:r>
          </w:p>
        </w:tc>
        <w:tc>
          <w:tcPr>
            <w:tcW w:w="0" w:type="dxa"/>
            <w:vAlign w:val="bottom"/>
          </w:tcPr>
          <w:p>
            <w:pPr>
              <w:spacing w:after="0"/>
              <w:rPr>
                <w:sz w:val="1"/>
                <w:szCs w:val="1"/>
                <w:color w:val="auto"/>
              </w:rPr>
            </w:pPr>
          </w:p>
        </w:tc>
      </w:tr>
      <w:tr>
        <w:trPr>
          <w:trHeight w:val="161"/>
        </w:trPr>
        <w:tc>
          <w:tcPr>
            <w:tcW w:w="8800" w:type="dxa"/>
            <w:vAlign w:val="bottom"/>
          </w:tcPr>
          <w:p>
            <w:pPr>
              <w:ind w:left="680"/>
              <w:spacing w:after="0"/>
              <w:rPr>
                <w:sz w:val="20"/>
                <w:szCs w:val="20"/>
                <w:color w:val="auto"/>
              </w:rPr>
            </w:pPr>
            <w:r>
              <w:rPr>
                <w:rFonts w:ascii="Arial" w:cs="Arial" w:eastAsia="Arial" w:hAnsi="Arial"/>
                <w:sz w:val="13"/>
                <w:szCs w:val="13"/>
                <w:color w:val="auto"/>
              </w:rPr>
              <w:t>Inventory mark-downs</w:t>
            </w:r>
          </w:p>
        </w:tc>
        <w:tc>
          <w:tcPr>
            <w:tcW w:w="4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380"/>
              <w:spacing w:after="0"/>
              <w:rPr>
                <w:sz w:val="20"/>
                <w:szCs w:val="20"/>
                <w:color w:val="auto"/>
              </w:rPr>
            </w:pPr>
            <w:r>
              <w:rPr>
                <w:rFonts w:ascii="Arial" w:cs="Arial" w:eastAsia="Arial" w:hAnsi="Arial"/>
                <w:sz w:val="13"/>
                <w:szCs w:val="13"/>
                <w:color w:val="auto"/>
                <w:w w:val="94"/>
              </w:rPr>
              <w:t>12.9</w:t>
            </w:r>
          </w:p>
        </w:tc>
        <w:tc>
          <w:tcPr>
            <w:tcW w:w="80" w:type="dxa"/>
            <w:vAlign w:val="bottom"/>
          </w:tcPr>
          <w:p>
            <w:pPr>
              <w:spacing w:after="0"/>
              <w:rPr>
                <w:sz w:val="14"/>
                <w:szCs w:val="14"/>
                <w:color w:val="auto"/>
              </w:rPr>
            </w:pPr>
          </w:p>
        </w:tc>
        <w:tc>
          <w:tcPr>
            <w:tcW w:w="1140" w:type="dxa"/>
            <w:vAlign w:val="bottom"/>
            <w:gridSpan w:val="2"/>
          </w:tcPr>
          <w:p>
            <w:pPr>
              <w:jc w:val="right"/>
              <w:ind w:right="8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8800" w:type="dxa"/>
            <w:vAlign w:val="bottom"/>
          </w:tcPr>
          <w:p>
            <w:pPr>
              <w:ind w:left="680"/>
              <w:spacing w:after="0"/>
              <w:rPr>
                <w:sz w:val="20"/>
                <w:szCs w:val="20"/>
                <w:color w:val="auto"/>
              </w:rPr>
            </w:pPr>
            <w:r>
              <w:rPr>
                <w:rFonts w:ascii="Arial" w:cs="Arial" w:eastAsia="Arial" w:hAnsi="Arial"/>
                <w:sz w:val="13"/>
                <w:szCs w:val="13"/>
                <w:color w:val="auto"/>
              </w:rPr>
              <w:t>Lease impairment</w:t>
            </w:r>
          </w:p>
        </w:tc>
        <w:tc>
          <w:tcPr>
            <w:tcW w:w="4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380"/>
              <w:spacing w:after="0"/>
              <w:rPr>
                <w:sz w:val="20"/>
                <w:szCs w:val="20"/>
                <w:color w:val="auto"/>
              </w:rPr>
            </w:pPr>
            <w:r>
              <w:rPr>
                <w:rFonts w:ascii="Arial" w:cs="Arial" w:eastAsia="Arial" w:hAnsi="Arial"/>
                <w:sz w:val="13"/>
                <w:szCs w:val="13"/>
                <w:color w:val="auto"/>
              </w:rPr>
              <w:t>1.8</w:t>
            </w:r>
          </w:p>
        </w:tc>
        <w:tc>
          <w:tcPr>
            <w:tcW w:w="80" w:type="dxa"/>
            <w:vAlign w:val="bottom"/>
          </w:tcPr>
          <w:p>
            <w:pPr>
              <w:spacing w:after="0"/>
              <w:rPr>
                <w:sz w:val="14"/>
                <w:szCs w:val="14"/>
                <w:color w:val="auto"/>
              </w:rPr>
            </w:pPr>
          </w:p>
        </w:tc>
        <w:tc>
          <w:tcPr>
            <w:tcW w:w="1140" w:type="dxa"/>
            <w:vAlign w:val="bottom"/>
            <w:gridSpan w:val="2"/>
          </w:tcPr>
          <w:p>
            <w:pPr>
              <w:jc w:val="right"/>
              <w:ind w:right="8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8800" w:type="dxa"/>
            <w:vAlign w:val="bottom"/>
          </w:tcPr>
          <w:p>
            <w:pPr>
              <w:ind w:left="680"/>
              <w:spacing w:after="0"/>
              <w:rPr>
                <w:sz w:val="20"/>
                <w:szCs w:val="20"/>
                <w:color w:val="auto"/>
              </w:rPr>
            </w:pPr>
            <w:r>
              <w:rPr>
                <w:rFonts w:ascii="Arial" w:cs="Arial" w:eastAsia="Arial" w:hAnsi="Arial"/>
                <w:sz w:val="13"/>
                <w:szCs w:val="13"/>
                <w:color w:val="auto"/>
              </w:rPr>
              <w:t>Share-based compensation expense</w:t>
            </w:r>
          </w:p>
        </w:tc>
        <w:tc>
          <w:tcPr>
            <w:tcW w:w="340" w:type="dxa"/>
            <w:vAlign w:val="bottom"/>
          </w:tcPr>
          <w:p>
            <w:pPr>
              <w:jc w:val="right"/>
              <w:spacing w:after="0"/>
              <w:rPr>
                <w:sz w:val="20"/>
                <w:szCs w:val="20"/>
                <w:color w:val="auto"/>
              </w:rPr>
            </w:pPr>
            <w:r>
              <w:rPr>
                <w:rFonts w:ascii="Arial" w:cs="Arial" w:eastAsia="Arial" w:hAnsi="Arial"/>
                <w:sz w:val="13"/>
                <w:szCs w:val="13"/>
                <w:color w:val="auto"/>
              </w:rPr>
              <w:t>1.8</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380"/>
              <w:spacing w:after="0"/>
              <w:rPr>
                <w:sz w:val="20"/>
                <w:szCs w:val="20"/>
                <w:color w:val="auto"/>
              </w:rPr>
            </w:pPr>
            <w:r>
              <w:rPr>
                <w:rFonts w:ascii="Arial" w:cs="Arial" w:eastAsia="Arial" w:hAnsi="Arial"/>
                <w:sz w:val="13"/>
                <w:szCs w:val="13"/>
                <w:color w:val="auto"/>
              </w:rPr>
              <w:t>7.4</w:t>
            </w:r>
          </w:p>
        </w:tc>
        <w:tc>
          <w:tcPr>
            <w:tcW w:w="80" w:type="dxa"/>
            <w:vAlign w:val="bottom"/>
          </w:tcPr>
          <w:p>
            <w:pPr>
              <w:spacing w:after="0"/>
              <w:rPr>
                <w:sz w:val="14"/>
                <w:szCs w:val="14"/>
                <w:color w:val="auto"/>
              </w:rPr>
            </w:pPr>
          </w:p>
        </w:tc>
        <w:tc>
          <w:tcPr>
            <w:tcW w:w="1140" w:type="dxa"/>
            <w:vAlign w:val="bottom"/>
            <w:gridSpan w:val="2"/>
          </w:tcPr>
          <w:p>
            <w:pPr>
              <w:jc w:val="right"/>
              <w:ind w:right="880"/>
              <w:spacing w:after="0"/>
              <w:rPr>
                <w:sz w:val="20"/>
                <w:szCs w:val="20"/>
                <w:color w:val="auto"/>
              </w:rPr>
            </w:pPr>
            <w:r>
              <w:rPr>
                <w:rFonts w:ascii="Arial" w:cs="Arial" w:eastAsia="Arial" w:hAnsi="Arial"/>
                <w:sz w:val="13"/>
                <w:szCs w:val="13"/>
                <w:color w:val="auto"/>
              </w:rPr>
              <w:t>5.7</w:t>
            </w:r>
          </w:p>
        </w:tc>
        <w:tc>
          <w:tcPr>
            <w:tcW w:w="0" w:type="dxa"/>
            <w:vAlign w:val="bottom"/>
          </w:tcPr>
          <w:p>
            <w:pPr>
              <w:spacing w:after="0"/>
              <w:rPr>
                <w:sz w:val="1"/>
                <w:szCs w:val="1"/>
                <w:color w:val="auto"/>
              </w:rPr>
            </w:pPr>
          </w:p>
        </w:tc>
      </w:tr>
      <w:tr>
        <w:trPr>
          <w:trHeight w:val="162"/>
        </w:trPr>
        <w:tc>
          <w:tcPr>
            <w:tcW w:w="8800" w:type="dxa"/>
            <w:vAlign w:val="bottom"/>
          </w:tcPr>
          <w:p>
            <w:pPr>
              <w:spacing w:after="0"/>
              <w:rPr>
                <w:sz w:val="14"/>
                <w:szCs w:val="14"/>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8"/>
              </w:rPr>
              <w:t>$ 81.5</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4"/>
              </w:rPr>
              <w:t>34.0</w:t>
            </w:r>
          </w:p>
        </w:tc>
        <w:tc>
          <w:tcPr>
            <w:tcW w:w="3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4"/>
              </w:rPr>
              <w:t>15.3</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800" w:type="dxa"/>
            <w:vAlign w:val="bottom"/>
            <w:vMerge w:val="restart"/>
          </w:tcPr>
          <w:p>
            <w:pPr>
              <w:ind w:left="5580"/>
              <w:spacing w:after="0"/>
              <w:rPr>
                <w:sz w:val="20"/>
                <w:szCs w:val="20"/>
                <w:color w:val="auto"/>
              </w:rPr>
            </w:pPr>
            <w:r>
              <w:rPr>
                <w:rFonts w:ascii="Arial" w:cs="Arial" w:eastAsia="Arial" w:hAnsi="Arial"/>
                <w:sz w:val="13"/>
                <w:szCs w:val="13"/>
                <w:color w:val="auto"/>
              </w:rPr>
              <w:t>100</w:t>
            </w: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8800" w:type="dxa"/>
            <w:vAlign w:val="bottom"/>
            <w:vMerge w:val="continue"/>
          </w:tcPr>
          <w:p>
            <w:pPr>
              <w:spacing w:after="0"/>
              <w:rPr>
                <w:sz w:val="23"/>
                <w:szCs w:val="23"/>
                <w:color w:val="auto"/>
              </w:rPr>
            </w:pPr>
          </w:p>
        </w:tc>
        <w:tc>
          <w:tcPr>
            <w:tcW w:w="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880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12700" cy="63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9" w:right="219" w:bottom="1440" w:gutter="0" w:footer="0" w:header="0"/>
        </w:sectPr>
      </w:pPr>
    </w:p>
    <w:bookmarkStart w:id="101" w:name="page102"/>
    <w:bookmarkEnd w:id="10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6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HARRIS STRATEX NETWORKS, INC. AND SUBSIDIARIES</w:t>
      </w:r>
    </w:p>
    <w:p>
      <w:pPr>
        <w:spacing w:after="0" w:line="102"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316" w:lineRule="exact"/>
        <w:rPr>
          <w:sz w:val="20"/>
          <w:szCs w:val="20"/>
          <w:color w:val="auto"/>
        </w:rPr>
      </w:pPr>
    </w:p>
    <w:p>
      <w:pPr>
        <w:ind w:left="740"/>
        <w:spacing w:after="0"/>
        <w:rPr>
          <w:sz w:val="20"/>
          <w:szCs w:val="20"/>
          <w:color w:val="auto"/>
        </w:rPr>
      </w:pPr>
      <w:r>
        <w:rPr>
          <w:rFonts w:ascii="Arial" w:cs="Arial" w:eastAsia="Arial" w:hAnsi="Arial"/>
          <w:sz w:val="13"/>
          <w:szCs w:val="13"/>
          <w:color w:val="auto"/>
        </w:rPr>
        <w:t>(2)  The following tables summarize certain charges and expenses included in the International Microwave segment operating results during fiscal 2009, 2008 and 2007:</w:t>
      </w:r>
    </w:p>
    <w:p>
      <w:pPr>
        <w:spacing w:after="0" w:line="106" w:lineRule="exact"/>
        <w:rPr>
          <w:sz w:val="20"/>
          <w:szCs w:val="20"/>
          <w:color w:val="auto"/>
        </w:rPr>
      </w:pPr>
    </w:p>
    <w:tbl>
      <w:tblPr>
        <w:tblLayout w:type="fixed"/>
        <w:tblInd w:w="680" w:type="dxa"/>
        <w:tblCellMar>
          <w:top w:w="0" w:type="dxa"/>
          <w:left w:w="0" w:type="dxa"/>
          <w:bottom w:w="0" w:type="dxa"/>
          <w:right w:w="0" w:type="dxa"/>
        </w:tblCellMar>
      </w:tblPr>
      <w:tr>
        <w:trPr>
          <w:trHeight w:val="128"/>
        </w:trPr>
        <w:tc>
          <w:tcPr>
            <w:tcW w:w="8060" w:type="dxa"/>
            <w:vAlign w:val="bottom"/>
          </w:tcPr>
          <w:p>
            <w:pPr>
              <w:spacing w:after="0"/>
              <w:rPr>
                <w:sz w:val="11"/>
                <w:szCs w:val="11"/>
                <w:color w:val="auto"/>
              </w:rPr>
            </w:pPr>
          </w:p>
        </w:tc>
        <w:tc>
          <w:tcPr>
            <w:tcW w:w="400" w:type="dxa"/>
            <w:vAlign w:val="bottom"/>
          </w:tcPr>
          <w:p>
            <w:pPr>
              <w:jc w:val="right"/>
              <w:ind w:right="14"/>
              <w:spacing w:after="0"/>
              <w:rPr>
                <w:sz w:val="20"/>
                <w:szCs w:val="20"/>
                <w:color w:val="auto"/>
              </w:rPr>
            </w:pPr>
            <w:r>
              <w:rPr>
                <w:rFonts w:ascii="Arial" w:cs="Arial" w:eastAsia="Arial" w:hAnsi="Arial"/>
                <w:sz w:val="11"/>
                <w:szCs w:val="11"/>
                <w:b w:val="1"/>
                <w:bCs w:val="1"/>
                <w:color w:val="auto"/>
              </w:rPr>
              <w:t>2009</w:t>
            </w:r>
          </w:p>
        </w:tc>
        <w:tc>
          <w:tcPr>
            <w:tcW w:w="120" w:type="dxa"/>
            <w:vAlign w:val="bottom"/>
          </w:tcPr>
          <w:p>
            <w:pPr>
              <w:spacing w:after="0"/>
              <w:rPr>
                <w:sz w:val="11"/>
                <w:szCs w:val="11"/>
                <w:color w:val="auto"/>
              </w:rPr>
            </w:pPr>
          </w:p>
        </w:tc>
        <w:tc>
          <w:tcPr>
            <w:tcW w:w="600" w:type="dxa"/>
            <w:vAlign w:val="bottom"/>
            <w:gridSpan w:val="3"/>
          </w:tcPr>
          <w:p>
            <w:pPr>
              <w:jc w:val="right"/>
              <w:spacing w:after="0"/>
              <w:rPr>
                <w:sz w:val="20"/>
                <w:szCs w:val="20"/>
                <w:color w:val="auto"/>
              </w:rPr>
            </w:pPr>
            <w:r>
              <w:rPr>
                <w:rFonts w:ascii="Arial" w:cs="Arial" w:eastAsia="Arial" w:hAnsi="Arial"/>
                <w:sz w:val="11"/>
                <w:szCs w:val="11"/>
                <w:b w:val="1"/>
                <w:bCs w:val="1"/>
                <w:color w:val="auto"/>
              </w:rPr>
              <w:t>2008</w:t>
            </w:r>
          </w:p>
        </w:tc>
        <w:tc>
          <w:tcPr>
            <w:tcW w:w="380" w:type="dxa"/>
            <w:vAlign w:val="bottom"/>
          </w:tcPr>
          <w:p>
            <w:pPr>
              <w:spacing w:after="0"/>
              <w:rPr>
                <w:sz w:val="11"/>
                <w:szCs w:val="11"/>
                <w:color w:val="auto"/>
              </w:rPr>
            </w:pPr>
          </w:p>
        </w:tc>
        <w:tc>
          <w:tcPr>
            <w:tcW w:w="340" w:type="dxa"/>
            <w:vAlign w:val="bottom"/>
            <w:gridSpan w:val="2"/>
          </w:tcPr>
          <w:p>
            <w:pPr>
              <w:jc w:val="right"/>
              <w:spacing w:after="0"/>
              <w:rPr>
                <w:sz w:val="20"/>
                <w:szCs w:val="20"/>
                <w:color w:val="auto"/>
              </w:rPr>
            </w:pPr>
            <w:r>
              <w:rPr>
                <w:rFonts w:ascii="Arial" w:cs="Arial" w:eastAsia="Arial" w:hAnsi="Arial"/>
                <w:sz w:val="11"/>
                <w:szCs w:val="11"/>
                <w:b w:val="1"/>
                <w:bCs w:val="1"/>
                <w:color w:val="auto"/>
              </w:rPr>
              <w:t>2007</w:t>
            </w:r>
          </w:p>
        </w:tc>
        <w:tc>
          <w:tcPr>
            <w:tcW w:w="20" w:type="dxa"/>
            <w:vAlign w:val="bottom"/>
          </w:tcPr>
          <w:p>
            <w:pPr>
              <w:spacing w:after="0"/>
              <w:rPr>
                <w:sz w:val="11"/>
                <w:szCs w:val="11"/>
                <w:color w:val="auto"/>
              </w:rPr>
            </w:pPr>
          </w:p>
        </w:tc>
      </w:tr>
      <w:tr>
        <w:trPr>
          <w:trHeight w:val="130"/>
        </w:trPr>
        <w:tc>
          <w:tcPr>
            <w:tcW w:w="806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ind w:left="120"/>
              <w:spacing w:after="0" w:line="120" w:lineRule="exact"/>
              <w:rPr>
                <w:sz w:val="20"/>
                <w:szCs w:val="20"/>
                <w:color w:val="auto"/>
              </w:rPr>
            </w:pPr>
            <w:r>
              <w:rPr>
                <w:rFonts w:ascii="Arial" w:cs="Arial" w:eastAsia="Arial" w:hAnsi="Arial"/>
                <w:sz w:val="11"/>
                <w:szCs w:val="11"/>
                <w:b w:val="1"/>
                <w:bCs w:val="1"/>
                <w:color w:val="auto"/>
                <w:w w:val="88"/>
              </w:rPr>
              <w:t>(In</w:t>
            </w:r>
          </w:p>
        </w:tc>
        <w:tc>
          <w:tcPr>
            <w:tcW w:w="340" w:type="dxa"/>
            <w:vAlign w:val="bottom"/>
            <w:tcBorders>
              <w:top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w w:val="70"/>
              </w:rPr>
              <w:t>millions)</w:t>
            </w:r>
          </w:p>
        </w:tc>
        <w:tc>
          <w:tcPr>
            <w:tcW w:w="3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62"/>
        </w:trPr>
        <w:tc>
          <w:tcPr>
            <w:tcW w:w="8060" w:type="dxa"/>
            <w:vAlign w:val="bottom"/>
          </w:tcPr>
          <w:p>
            <w:pPr>
              <w:spacing w:after="0"/>
              <w:rPr>
                <w:sz w:val="20"/>
                <w:szCs w:val="20"/>
                <w:color w:val="auto"/>
              </w:rPr>
            </w:pPr>
            <w:r>
              <w:rPr>
                <w:rFonts w:ascii="Arial" w:cs="Arial" w:eastAsia="Arial" w:hAnsi="Arial"/>
                <w:sz w:val="13"/>
                <w:szCs w:val="13"/>
                <w:color w:val="auto"/>
              </w:rPr>
              <w:t>Goodwill impairment charges</w:t>
            </w:r>
          </w:p>
        </w:tc>
        <w:tc>
          <w:tcPr>
            <w:tcW w:w="400" w:type="dxa"/>
            <w:vAlign w:val="bottom"/>
          </w:tcPr>
          <w:p>
            <w:pPr>
              <w:jc w:val="right"/>
              <w:spacing w:after="0"/>
              <w:rPr>
                <w:sz w:val="20"/>
                <w:szCs w:val="20"/>
                <w:color w:val="auto"/>
              </w:rPr>
            </w:pPr>
            <w:r>
              <w:rPr>
                <w:rFonts w:ascii="Arial" w:cs="Arial" w:eastAsia="Arial" w:hAnsi="Arial"/>
                <w:sz w:val="13"/>
                <w:szCs w:val="13"/>
                <w:color w:val="auto"/>
                <w:w w:val="87"/>
              </w:rPr>
              <w:t>$ 247.2</w:t>
            </w:r>
          </w:p>
        </w:tc>
        <w:tc>
          <w:tcPr>
            <w:tcW w:w="120" w:type="dxa"/>
            <w:vAlign w:val="bottom"/>
          </w:tcPr>
          <w:p>
            <w:pPr>
              <w:spacing w:after="0"/>
              <w:rPr>
                <w:sz w:val="14"/>
                <w:szCs w:val="14"/>
                <w:color w:val="auto"/>
              </w:rPr>
            </w:pPr>
          </w:p>
        </w:tc>
        <w:tc>
          <w:tcPr>
            <w:tcW w:w="3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2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r>
      <w:tr>
        <w:trPr>
          <w:trHeight w:val="161"/>
        </w:trPr>
        <w:tc>
          <w:tcPr>
            <w:tcW w:w="8060" w:type="dxa"/>
            <w:vAlign w:val="bottom"/>
          </w:tcPr>
          <w:p>
            <w:pPr>
              <w:spacing w:after="0"/>
              <w:rPr>
                <w:sz w:val="20"/>
                <w:szCs w:val="20"/>
                <w:color w:val="auto"/>
              </w:rPr>
            </w:pPr>
            <w:r>
              <w:rPr>
                <w:rFonts w:ascii="Arial" w:cs="Arial" w:eastAsia="Arial" w:hAnsi="Arial"/>
                <w:sz w:val="13"/>
                <w:szCs w:val="13"/>
                <w:color w:val="auto"/>
              </w:rPr>
              <w:t>Impairment charges for the trade name “Stratex”</w:t>
            </w:r>
          </w:p>
        </w:tc>
        <w:tc>
          <w:tcPr>
            <w:tcW w:w="520" w:type="dxa"/>
            <w:vAlign w:val="bottom"/>
            <w:gridSpan w:val="2"/>
          </w:tcPr>
          <w:p>
            <w:pPr>
              <w:jc w:val="right"/>
              <w:ind w:right="120"/>
              <w:spacing w:after="0"/>
              <w:rPr>
                <w:sz w:val="20"/>
                <w:szCs w:val="20"/>
                <w:color w:val="auto"/>
              </w:rPr>
            </w:pPr>
            <w:r>
              <w:rPr>
                <w:rFonts w:ascii="Arial" w:cs="Arial" w:eastAsia="Arial" w:hAnsi="Arial"/>
                <w:sz w:val="13"/>
                <w:szCs w:val="13"/>
                <w:color w:val="auto"/>
              </w:rPr>
              <w:t>21.9</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r>
      <w:tr>
        <w:trPr>
          <w:trHeight w:val="161"/>
        </w:trPr>
        <w:tc>
          <w:tcPr>
            <w:tcW w:w="8060" w:type="dxa"/>
            <w:vAlign w:val="bottom"/>
          </w:tcPr>
          <w:p>
            <w:pPr>
              <w:spacing w:after="0"/>
              <w:rPr>
                <w:sz w:val="20"/>
                <w:szCs w:val="20"/>
                <w:color w:val="auto"/>
              </w:rPr>
            </w:pPr>
            <w:r>
              <w:rPr>
                <w:rFonts w:ascii="Arial" w:cs="Arial" w:eastAsia="Arial" w:hAnsi="Arial"/>
                <w:sz w:val="13"/>
                <w:szCs w:val="13"/>
                <w:color w:val="auto"/>
              </w:rPr>
              <w:t>Amortization of developed technology, trade names, customer relationships and non-compete agreements</w:t>
            </w:r>
          </w:p>
        </w:tc>
        <w:tc>
          <w:tcPr>
            <w:tcW w:w="520" w:type="dxa"/>
            <w:vAlign w:val="bottom"/>
            <w:gridSpan w:val="2"/>
          </w:tcPr>
          <w:p>
            <w:pPr>
              <w:jc w:val="right"/>
              <w:ind w:right="120"/>
              <w:spacing w:after="0"/>
              <w:rPr>
                <w:sz w:val="20"/>
                <w:szCs w:val="20"/>
                <w:color w:val="auto"/>
              </w:rPr>
            </w:pPr>
            <w:r>
              <w:rPr>
                <w:rFonts w:ascii="Arial" w:cs="Arial" w:eastAsia="Arial" w:hAnsi="Arial"/>
                <w:sz w:val="13"/>
                <w:szCs w:val="13"/>
                <w:color w:val="auto"/>
              </w:rPr>
              <w:t>10.2</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380"/>
              <w:spacing w:after="0"/>
              <w:rPr>
                <w:sz w:val="20"/>
                <w:szCs w:val="20"/>
                <w:color w:val="auto"/>
              </w:rPr>
            </w:pPr>
            <w:r>
              <w:rPr>
                <w:rFonts w:ascii="Arial" w:cs="Arial" w:eastAsia="Arial" w:hAnsi="Arial"/>
                <w:sz w:val="13"/>
                <w:szCs w:val="13"/>
                <w:color w:val="auto"/>
                <w:w w:val="94"/>
              </w:rPr>
              <w:t>11.9</w:t>
            </w:r>
          </w:p>
        </w:tc>
        <w:tc>
          <w:tcPr>
            <w:tcW w:w="80" w:type="dxa"/>
            <w:vAlign w:val="bottom"/>
          </w:tcPr>
          <w:p>
            <w:pPr>
              <w:spacing w:after="0"/>
              <w:rPr>
                <w:sz w:val="14"/>
                <w:szCs w:val="14"/>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3"/>
                <w:szCs w:val="13"/>
                <w:color w:val="auto"/>
              </w:rPr>
              <w:t>9.1</w:t>
            </w:r>
          </w:p>
        </w:tc>
      </w:tr>
      <w:tr>
        <w:trPr>
          <w:trHeight w:val="161"/>
        </w:trPr>
        <w:tc>
          <w:tcPr>
            <w:tcW w:w="8060" w:type="dxa"/>
            <w:vAlign w:val="bottom"/>
          </w:tcPr>
          <w:p>
            <w:pPr>
              <w:spacing w:after="0"/>
              <w:rPr>
                <w:sz w:val="20"/>
                <w:szCs w:val="20"/>
                <w:color w:val="auto"/>
              </w:rPr>
            </w:pPr>
            <w:r>
              <w:rPr>
                <w:rFonts w:ascii="Arial" w:cs="Arial" w:eastAsia="Arial" w:hAnsi="Arial"/>
                <w:sz w:val="13"/>
                <w:szCs w:val="13"/>
                <w:color w:val="auto"/>
              </w:rPr>
              <w:t>Charges for product transition</w:t>
            </w:r>
          </w:p>
        </w:tc>
        <w:tc>
          <w:tcPr>
            <w:tcW w:w="400" w:type="dxa"/>
            <w:vAlign w:val="bottom"/>
          </w:tcPr>
          <w:p>
            <w:pPr>
              <w:jc w:val="right"/>
              <w:spacing w:after="0"/>
              <w:rPr>
                <w:sz w:val="20"/>
                <w:szCs w:val="20"/>
                <w:color w:val="auto"/>
              </w:rPr>
            </w:pPr>
            <w:r>
              <w:rPr>
                <w:rFonts w:ascii="Arial" w:cs="Arial" w:eastAsia="Arial" w:hAnsi="Arial"/>
                <w:sz w:val="13"/>
                <w:szCs w:val="13"/>
                <w:color w:val="auto"/>
              </w:rPr>
              <w:t>4.5</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r>
      <w:tr>
        <w:trPr>
          <w:trHeight w:val="161"/>
        </w:trPr>
        <w:tc>
          <w:tcPr>
            <w:tcW w:w="8060" w:type="dxa"/>
            <w:vAlign w:val="bottom"/>
          </w:tcPr>
          <w:p>
            <w:pPr>
              <w:spacing w:after="0"/>
              <w:rPr>
                <w:sz w:val="20"/>
                <w:szCs w:val="20"/>
                <w:color w:val="auto"/>
              </w:rPr>
            </w:pPr>
            <w:r>
              <w:rPr>
                <w:rFonts w:ascii="Arial" w:cs="Arial" w:eastAsia="Arial" w:hAnsi="Arial"/>
                <w:sz w:val="13"/>
                <w:szCs w:val="13"/>
                <w:color w:val="auto"/>
              </w:rPr>
              <w:t>Restructuring charges</w:t>
            </w:r>
          </w:p>
        </w:tc>
        <w:tc>
          <w:tcPr>
            <w:tcW w:w="400" w:type="dxa"/>
            <w:vAlign w:val="bottom"/>
          </w:tcPr>
          <w:p>
            <w:pPr>
              <w:jc w:val="right"/>
              <w:spacing w:after="0"/>
              <w:rPr>
                <w:sz w:val="20"/>
                <w:szCs w:val="20"/>
                <w:color w:val="auto"/>
              </w:rPr>
            </w:pPr>
            <w:r>
              <w:rPr>
                <w:rFonts w:ascii="Arial" w:cs="Arial" w:eastAsia="Arial" w:hAnsi="Arial"/>
                <w:sz w:val="13"/>
                <w:szCs w:val="13"/>
                <w:color w:val="auto"/>
              </w:rPr>
              <w:t>3.1</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380"/>
              <w:spacing w:after="0"/>
              <w:rPr>
                <w:sz w:val="20"/>
                <w:szCs w:val="20"/>
                <w:color w:val="auto"/>
              </w:rPr>
            </w:pPr>
            <w:r>
              <w:rPr>
                <w:rFonts w:ascii="Arial" w:cs="Arial" w:eastAsia="Arial" w:hAnsi="Arial"/>
                <w:sz w:val="13"/>
                <w:szCs w:val="13"/>
                <w:color w:val="auto"/>
              </w:rPr>
              <w:t>2.6</w:t>
            </w:r>
          </w:p>
        </w:tc>
        <w:tc>
          <w:tcPr>
            <w:tcW w:w="80" w:type="dxa"/>
            <w:vAlign w:val="bottom"/>
          </w:tcPr>
          <w:p>
            <w:pPr>
              <w:spacing w:after="0"/>
              <w:rPr>
                <w:sz w:val="14"/>
                <w:szCs w:val="14"/>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3"/>
                <w:szCs w:val="13"/>
                <w:color w:val="auto"/>
              </w:rPr>
              <w:t>4.2</w:t>
            </w:r>
          </w:p>
        </w:tc>
      </w:tr>
      <w:tr>
        <w:trPr>
          <w:trHeight w:val="161"/>
        </w:trPr>
        <w:tc>
          <w:tcPr>
            <w:tcW w:w="8060" w:type="dxa"/>
            <w:vAlign w:val="bottom"/>
          </w:tcPr>
          <w:p>
            <w:pPr>
              <w:spacing w:after="0"/>
              <w:rPr>
                <w:sz w:val="20"/>
                <w:szCs w:val="20"/>
                <w:color w:val="auto"/>
              </w:rPr>
            </w:pPr>
            <w:r>
              <w:rPr>
                <w:rFonts w:ascii="Arial" w:cs="Arial" w:eastAsia="Arial" w:hAnsi="Arial"/>
                <w:sz w:val="13"/>
                <w:szCs w:val="13"/>
                <w:color w:val="auto"/>
              </w:rPr>
              <w:t>Acquired in-process research and development</w:t>
            </w:r>
          </w:p>
        </w:tc>
        <w:tc>
          <w:tcPr>
            <w:tcW w:w="400" w:type="dxa"/>
            <w:vAlign w:val="bottom"/>
          </w:tcPr>
          <w:p>
            <w:pPr>
              <w:jc w:val="right"/>
              <w:spacing w:after="0"/>
              <w:rPr>
                <w:sz w:val="20"/>
                <w:szCs w:val="20"/>
                <w:color w:val="auto"/>
              </w:rPr>
            </w:pPr>
            <w:r>
              <w:rPr>
                <w:rFonts w:ascii="Arial" w:cs="Arial" w:eastAsia="Arial" w:hAnsi="Arial"/>
                <w:sz w:val="13"/>
                <w:szCs w:val="13"/>
                <w:color w:val="auto"/>
              </w:rPr>
              <w:t>2.4</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3"/>
                <w:szCs w:val="13"/>
                <w:color w:val="auto"/>
                <w:w w:val="94"/>
              </w:rPr>
              <w:t>15.3</w:t>
            </w:r>
          </w:p>
        </w:tc>
      </w:tr>
      <w:tr>
        <w:trPr>
          <w:trHeight w:val="161"/>
        </w:trPr>
        <w:tc>
          <w:tcPr>
            <w:tcW w:w="8060" w:type="dxa"/>
            <w:vAlign w:val="bottom"/>
          </w:tcPr>
          <w:p>
            <w:pPr>
              <w:spacing w:after="0"/>
              <w:rPr>
                <w:sz w:val="20"/>
                <w:szCs w:val="20"/>
                <w:color w:val="auto"/>
              </w:rPr>
            </w:pPr>
            <w:r>
              <w:rPr>
                <w:rFonts w:ascii="Arial" w:cs="Arial" w:eastAsia="Arial" w:hAnsi="Arial"/>
                <w:sz w:val="13"/>
                <w:szCs w:val="13"/>
                <w:color w:val="auto"/>
              </w:rPr>
              <w:t>Amortization of the fair value adjustments related to fixed assets</w:t>
            </w:r>
          </w:p>
        </w:tc>
        <w:tc>
          <w:tcPr>
            <w:tcW w:w="400" w:type="dxa"/>
            <w:vAlign w:val="bottom"/>
          </w:tcPr>
          <w:p>
            <w:pPr>
              <w:jc w:val="right"/>
              <w:spacing w:after="0"/>
              <w:rPr>
                <w:sz w:val="20"/>
                <w:szCs w:val="20"/>
                <w:color w:val="auto"/>
              </w:rPr>
            </w:pPr>
            <w:r>
              <w:rPr>
                <w:rFonts w:ascii="Arial" w:cs="Arial" w:eastAsia="Arial" w:hAnsi="Arial"/>
                <w:sz w:val="13"/>
                <w:szCs w:val="13"/>
                <w:color w:val="auto"/>
              </w:rPr>
              <w:t>1.1</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380"/>
              <w:spacing w:after="0"/>
              <w:rPr>
                <w:sz w:val="20"/>
                <w:szCs w:val="20"/>
                <w:color w:val="auto"/>
              </w:rPr>
            </w:pPr>
            <w:r>
              <w:rPr>
                <w:rFonts w:ascii="Arial" w:cs="Arial" w:eastAsia="Arial" w:hAnsi="Arial"/>
                <w:sz w:val="13"/>
                <w:szCs w:val="13"/>
                <w:color w:val="auto"/>
              </w:rPr>
              <w:t>1.7</w:t>
            </w:r>
          </w:p>
        </w:tc>
        <w:tc>
          <w:tcPr>
            <w:tcW w:w="80" w:type="dxa"/>
            <w:vAlign w:val="bottom"/>
          </w:tcPr>
          <w:p>
            <w:pPr>
              <w:spacing w:after="0"/>
              <w:rPr>
                <w:sz w:val="14"/>
                <w:szCs w:val="14"/>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3"/>
                <w:szCs w:val="13"/>
                <w:color w:val="auto"/>
              </w:rPr>
              <w:t>8.6</w:t>
            </w:r>
          </w:p>
        </w:tc>
      </w:tr>
      <w:tr>
        <w:trPr>
          <w:trHeight w:val="161"/>
        </w:trPr>
        <w:tc>
          <w:tcPr>
            <w:tcW w:w="8060" w:type="dxa"/>
            <w:vAlign w:val="bottom"/>
          </w:tcPr>
          <w:p>
            <w:pPr>
              <w:spacing w:after="0"/>
              <w:rPr>
                <w:sz w:val="20"/>
                <w:szCs w:val="20"/>
                <w:color w:val="auto"/>
              </w:rPr>
            </w:pPr>
            <w:r>
              <w:rPr>
                <w:rFonts w:ascii="Arial" w:cs="Arial" w:eastAsia="Arial" w:hAnsi="Arial"/>
                <w:sz w:val="13"/>
                <w:szCs w:val="13"/>
                <w:color w:val="auto"/>
              </w:rPr>
              <w:t>Cost of integration activities undertaken in connection with the merger</w:t>
            </w:r>
          </w:p>
        </w:tc>
        <w:tc>
          <w:tcPr>
            <w:tcW w:w="5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380"/>
              <w:spacing w:after="0"/>
              <w:rPr>
                <w:sz w:val="20"/>
                <w:szCs w:val="20"/>
                <w:color w:val="auto"/>
              </w:rPr>
            </w:pPr>
            <w:r>
              <w:rPr>
                <w:rFonts w:ascii="Arial" w:cs="Arial" w:eastAsia="Arial" w:hAnsi="Arial"/>
                <w:sz w:val="13"/>
                <w:szCs w:val="13"/>
                <w:color w:val="auto"/>
              </w:rPr>
              <w:t>6.1</w:t>
            </w:r>
          </w:p>
        </w:tc>
        <w:tc>
          <w:tcPr>
            <w:tcW w:w="80" w:type="dxa"/>
            <w:vAlign w:val="bottom"/>
          </w:tcPr>
          <w:p>
            <w:pPr>
              <w:spacing w:after="0"/>
              <w:rPr>
                <w:sz w:val="14"/>
                <w:szCs w:val="14"/>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3"/>
                <w:szCs w:val="13"/>
                <w:color w:val="auto"/>
              </w:rPr>
              <w:t>3.6</w:t>
            </w:r>
          </w:p>
        </w:tc>
      </w:tr>
      <w:tr>
        <w:trPr>
          <w:trHeight w:val="161"/>
        </w:trPr>
        <w:tc>
          <w:tcPr>
            <w:tcW w:w="8060" w:type="dxa"/>
            <w:vAlign w:val="bottom"/>
          </w:tcPr>
          <w:p>
            <w:pPr>
              <w:spacing w:after="0"/>
              <w:rPr>
                <w:sz w:val="20"/>
                <w:szCs w:val="20"/>
                <w:color w:val="auto"/>
              </w:rPr>
            </w:pPr>
            <w:r>
              <w:rPr>
                <w:rFonts w:ascii="Arial" w:cs="Arial" w:eastAsia="Arial" w:hAnsi="Arial"/>
                <w:sz w:val="13"/>
                <w:szCs w:val="13"/>
                <w:color w:val="auto"/>
              </w:rPr>
              <w:t>Inventory mark-downs</w:t>
            </w:r>
          </w:p>
        </w:tc>
        <w:tc>
          <w:tcPr>
            <w:tcW w:w="5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380"/>
              <w:spacing w:after="0"/>
              <w:rPr>
                <w:sz w:val="20"/>
                <w:szCs w:val="20"/>
                <w:color w:val="auto"/>
              </w:rPr>
            </w:pPr>
            <w:r>
              <w:rPr>
                <w:rFonts w:ascii="Arial" w:cs="Arial" w:eastAsia="Arial" w:hAnsi="Arial"/>
                <w:sz w:val="13"/>
                <w:szCs w:val="13"/>
                <w:color w:val="auto"/>
              </w:rPr>
              <w:t>1.8</w:t>
            </w:r>
          </w:p>
        </w:tc>
        <w:tc>
          <w:tcPr>
            <w:tcW w:w="80" w:type="dxa"/>
            <w:vAlign w:val="bottom"/>
          </w:tcPr>
          <w:p>
            <w:pPr>
              <w:spacing w:after="0"/>
              <w:rPr>
                <w:sz w:val="14"/>
                <w:szCs w:val="14"/>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r>
      <w:tr>
        <w:trPr>
          <w:trHeight w:val="172"/>
        </w:trPr>
        <w:tc>
          <w:tcPr>
            <w:tcW w:w="8060" w:type="dxa"/>
            <w:vAlign w:val="bottom"/>
          </w:tcPr>
          <w:p>
            <w:pPr>
              <w:spacing w:after="0"/>
              <w:rPr>
                <w:sz w:val="20"/>
                <w:szCs w:val="20"/>
                <w:color w:val="auto"/>
              </w:rPr>
            </w:pPr>
            <w:r>
              <w:rPr>
                <w:rFonts w:ascii="Arial" w:cs="Arial" w:eastAsia="Arial" w:hAnsi="Arial"/>
                <w:sz w:val="13"/>
                <w:szCs w:val="13"/>
                <w:color w:val="auto"/>
              </w:rPr>
              <w:t>Share-based compensation expense</w:t>
            </w:r>
          </w:p>
        </w:tc>
        <w:tc>
          <w:tcPr>
            <w:tcW w:w="400" w:type="dxa"/>
            <w:vAlign w:val="bottom"/>
          </w:tcPr>
          <w:p>
            <w:pPr>
              <w:jc w:val="right"/>
              <w:spacing w:after="0"/>
              <w:rPr>
                <w:sz w:val="20"/>
                <w:szCs w:val="20"/>
                <w:color w:val="auto"/>
              </w:rPr>
            </w:pPr>
            <w:r>
              <w:rPr>
                <w:rFonts w:ascii="Arial" w:cs="Arial" w:eastAsia="Arial" w:hAnsi="Arial"/>
                <w:sz w:val="13"/>
                <w:szCs w:val="13"/>
                <w:color w:val="auto"/>
              </w:rPr>
              <w:t>1.1</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380"/>
              <w:spacing w:after="0"/>
              <w:rPr>
                <w:sz w:val="20"/>
                <w:szCs w:val="20"/>
                <w:color w:val="auto"/>
              </w:rPr>
            </w:pPr>
            <w:r>
              <w:rPr>
                <w:rFonts w:ascii="Arial" w:cs="Arial" w:eastAsia="Arial" w:hAnsi="Arial"/>
                <w:sz w:val="13"/>
                <w:szCs w:val="13"/>
                <w:color w:val="auto"/>
              </w:rPr>
              <w:t>0.4</w:t>
            </w:r>
          </w:p>
        </w:tc>
        <w:tc>
          <w:tcPr>
            <w:tcW w:w="80" w:type="dxa"/>
            <w:vAlign w:val="bottom"/>
          </w:tcPr>
          <w:p>
            <w:pPr>
              <w:spacing w:after="0"/>
              <w:rPr>
                <w:sz w:val="14"/>
                <w:szCs w:val="14"/>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r>
      <w:tr>
        <w:trPr>
          <w:trHeight w:val="162"/>
        </w:trPr>
        <w:tc>
          <w:tcPr>
            <w:tcW w:w="8060" w:type="dxa"/>
            <w:vAlign w:val="bottom"/>
          </w:tcPr>
          <w:p>
            <w:pPr>
              <w:spacing w:after="0"/>
              <w:rPr>
                <w:sz w:val="14"/>
                <w:szCs w:val="14"/>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7"/>
              </w:rPr>
              <w:t>$ 291.5</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4"/>
              </w:rPr>
              <w:t>24.5</w:t>
            </w:r>
          </w:p>
        </w:tc>
        <w:tc>
          <w:tcPr>
            <w:tcW w:w="3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4"/>
              </w:rPr>
              <w:t>40.8</w:t>
            </w:r>
          </w:p>
        </w:tc>
        <w:tc>
          <w:tcPr>
            <w:tcW w:w="20" w:type="dxa"/>
            <w:vAlign w:val="bottom"/>
          </w:tcPr>
          <w:p>
            <w:pPr>
              <w:spacing w:after="0"/>
              <w:rPr>
                <w:sz w:val="14"/>
                <w:szCs w:val="14"/>
                <w:color w:val="auto"/>
              </w:rPr>
            </w:pPr>
          </w:p>
        </w:tc>
      </w:tr>
      <w:tr>
        <w:trPr>
          <w:trHeight w:val="20"/>
        </w:trPr>
        <w:tc>
          <w:tcPr>
            <w:tcW w:w="80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820" w:firstLine="399"/>
        <w:spacing w:after="0" w:line="294" w:lineRule="auto"/>
        <w:rPr>
          <w:sz w:val="20"/>
          <w:szCs w:val="20"/>
          <w:color w:val="auto"/>
        </w:rPr>
      </w:pPr>
      <w:r>
        <w:rPr>
          <w:rFonts w:ascii="Arial" w:cs="Arial" w:eastAsia="Arial" w:hAnsi="Arial"/>
          <w:sz w:val="13"/>
          <w:szCs w:val="13"/>
          <w:color w:val="auto"/>
        </w:rPr>
        <w:t>We report revenue by country based on the location where our customers accept delivery of our products and services. Revenue by country comprising more than 5% of our sales to unaffiliated customers for fiscal 2009, 2008 and 2007 are as follows:</w:t>
      </w:r>
    </w:p>
    <w:p>
      <w:pPr>
        <w:spacing w:after="0" w:line="51" w:lineRule="exact"/>
        <w:rPr>
          <w:sz w:val="20"/>
          <w:szCs w:val="20"/>
          <w:color w:val="auto"/>
        </w:rPr>
      </w:pPr>
    </w:p>
    <w:tbl>
      <w:tblPr>
        <w:tblLayout w:type="fixed"/>
        <w:tblInd w:w="680" w:type="dxa"/>
        <w:tblCellMar>
          <w:top w:w="0" w:type="dxa"/>
          <w:left w:w="0" w:type="dxa"/>
          <w:bottom w:w="0" w:type="dxa"/>
          <w:right w:w="0" w:type="dxa"/>
        </w:tblCellMar>
      </w:tblPr>
      <w:tr>
        <w:trPr>
          <w:trHeight w:val="128"/>
        </w:trPr>
        <w:tc>
          <w:tcPr>
            <w:tcW w:w="4600" w:type="dxa"/>
            <w:vAlign w:val="bottom"/>
          </w:tcPr>
          <w:p>
            <w:pPr>
              <w:spacing w:after="0"/>
              <w:rPr>
                <w:sz w:val="11"/>
                <w:szCs w:val="11"/>
                <w:color w:val="auto"/>
              </w:rPr>
            </w:pPr>
          </w:p>
        </w:tc>
        <w:tc>
          <w:tcPr>
            <w:tcW w:w="420" w:type="dxa"/>
            <w:vAlign w:val="bottom"/>
            <w:tcBorders>
              <w:bottom w:val="single" w:sz="8" w:color="auto"/>
            </w:tcBorders>
          </w:tcPr>
          <w:p>
            <w:pPr>
              <w:jc w:val="right"/>
              <w:ind w:right="35"/>
              <w:spacing w:after="0"/>
              <w:rPr>
                <w:sz w:val="20"/>
                <w:szCs w:val="20"/>
                <w:color w:val="auto"/>
              </w:rPr>
            </w:pPr>
            <w:r>
              <w:rPr>
                <w:rFonts w:ascii="Arial" w:cs="Arial" w:eastAsia="Arial" w:hAnsi="Arial"/>
                <w:sz w:val="11"/>
                <w:szCs w:val="11"/>
                <w:b w:val="1"/>
                <w:bCs w:val="1"/>
                <w:color w:val="auto"/>
              </w:rPr>
              <w:t>2009</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Borders>
              <w:bottom w:val="single" w:sz="8" w:color="auto"/>
            </w:tcBorders>
          </w:tcPr>
          <w:p>
            <w:pPr>
              <w:ind w:left="100"/>
              <w:spacing w:after="0"/>
              <w:rPr>
                <w:sz w:val="20"/>
                <w:szCs w:val="20"/>
                <w:color w:val="auto"/>
              </w:rPr>
            </w:pPr>
            <w:r>
              <w:rPr>
                <w:rFonts w:ascii="Arial" w:cs="Arial" w:eastAsia="Arial" w:hAnsi="Arial"/>
                <w:sz w:val="11"/>
                <w:szCs w:val="11"/>
                <w:b w:val="1"/>
                <w:bCs w:val="1"/>
                <w:color w:val="auto"/>
              </w:rPr>
              <w:t>% of Total</w:t>
            </w:r>
          </w:p>
        </w:tc>
        <w:tc>
          <w:tcPr>
            <w:tcW w:w="400" w:type="dxa"/>
            <w:vAlign w:val="bottom"/>
          </w:tcPr>
          <w:p>
            <w:pPr>
              <w:spacing w:after="0"/>
              <w:rPr>
                <w:sz w:val="11"/>
                <w:szCs w:val="11"/>
                <w:color w:val="auto"/>
              </w:rPr>
            </w:pPr>
          </w:p>
        </w:tc>
        <w:tc>
          <w:tcPr>
            <w:tcW w:w="400" w:type="dxa"/>
            <w:vAlign w:val="bottom"/>
            <w:tcBorders>
              <w:bottom w:val="single" w:sz="8" w:color="auto"/>
            </w:tcBorders>
          </w:tcPr>
          <w:p>
            <w:pPr>
              <w:jc w:val="right"/>
              <w:ind w:right="15"/>
              <w:spacing w:after="0"/>
              <w:rPr>
                <w:sz w:val="20"/>
                <w:szCs w:val="20"/>
                <w:color w:val="auto"/>
              </w:rPr>
            </w:pPr>
            <w:r>
              <w:rPr>
                <w:rFonts w:ascii="Arial" w:cs="Arial" w:eastAsia="Arial" w:hAnsi="Arial"/>
                <w:sz w:val="11"/>
                <w:szCs w:val="11"/>
                <w:b w:val="1"/>
                <w:bCs w:val="1"/>
                <w:color w:val="auto"/>
              </w:rPr>
              <w:t>2008</w:t>
            </w: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Borders>
              <w:bottom w:val="single" w:sz="8" w:color="auto"/>
            </w:tcBorders>
          </w:tcPr>
          <w:p>
            <w:pPr>
              <w:ind w:left="100"/>
              <w:spacing w:after="0"/>
              <w:rPr>
                <w:sz w:val="20"/>
                <w:szCs w:val="20"/>
                <w:color w:val="auto"/>
              </w:rPr>
            </w:pPr>
            <w:r>
              <w:rPr>
                <w:rFonts w:ascii="Arial" w:cs="Arial" w:eastAsia="Arial" w:hAnsi="Arial"/>
                <w:sz w:val="11"/>
                <w:szCs w:val="11"/>
                <w:b w:val="1"/>
                <w:bCs w:val="1"/>
                <w:color w:val="auto"/>
              </w:rPr>
              <w:t>% of Total</w:t>
            </w:r>
          </w:p>
        </w:tc>
        <w:tc>
          <w:tcPr>
            <w:tcW w:w="420" w:type="dxa"/>
            <w:vAlign w:val="bottom"/>
          </w:tcPr>
          <w:p>
            <w:pPr>
              <w:spacing w:after="0"/>
              <w:rPr>
                <w:sz w:val="11"/>
                <w:szCs w:val="11"/>
                <w:color w:val="auto"/>
              </w:rPr>
            </w:pPr>
          </w:p>
        </w:tc>
        <w:tc>
          <w:tcPr>
            <w:tcW w:w="400" w:type="dxa"/>
            <w:vAlign w:val="bottom"/>
            <w:tcBorders>
              <w:bottom w:val="single" w:sz="8" w:color="auto"/>
            </w:tcBorders>
          </w:tcPr>
          <w:p>
            <w:pPr>
              <w:jc w:val="right"/>
              <w:ind w:right="35"/>
              <w:spacing w:after="0"/>
              <w:rPr>
                <w:sz w:val="20"/>
                <w:szCs w:val="20"/>
                <w:color w:val="auto"/>
              </w:rPr>
            </w:pPr>
            <w:r>
              <w:rPr>
                <w:rFonts w:ascii="Arial" w:cs="Arial" w:eastAsia="Arial" w:hAnsi="Arial"/>
                <w:sz w:val="11"/>
                <w:szCs w:val="11"/>
                <w:b w:val="1"/>
                <w:bCs w:val="1"/>
                <w:color w:val="auto"/>
              </w:rPr>
              <w:t>2007</w:t>
            </w:r>
          </w:p>
        </w:tc>
        <w:tc>
          <w:tcPr>
            <w:tcW w:w="380" w:type="dxa"/>
            <w:vAlign w:val="bottom"/>
          </w:tcPr>
          <w:p>
            <w:pPr>
              <w:spacing w:after="0"/>
              <w:rPr>
                <w:sz w:val="11"/>
                <w:szCs w:val="11"/>
                <w:color w:val="auto"/>
              </w:rPr>
            </w:pPr>
          </w:p>
        </w:tc>
        <w:tc>
          <w:tcPr>
            <w:tcW w:w="680" w:type="dxa"/>
            <w:vAlign w:val="bottom"/>
            <w:tcBorders>
              <w:bottom w:val="single" w:sz="8" w:color="auto"/>
            </w:tcBorders>
          </w:tcPr>
          <w:p>
            <w:pPr>
              <w:ind w:left="100"/>
              <w:spacing w:after="0"/>
              <w:rPr>
                <w:sz w:val="20"/>
                <w:szCs w:val="20"/>
                <w:color w:val="auto"/>
              </w:rPr>
            </w:pPr>
            <w:r>
              <w:rPr>
                <w:rFonts w:ascii="Arial" w:cs="Arial" w:eastAsia="Arial" w:hAnsi="Arial"/>
                <w:sz w:val="11"/>
                <w:szCs w:val="11"/>
                <w:b w:val="1"/>
                <w:bCs w:val="1"/>
                <w:color w:val="auto"/>
              </w:rPr>
              <w:t>% of Total</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gridSpan w:val="2"/>
          </w:tcPr>
          <w:p>
            <w:pPr>
              <w:ind w:left="20"/>
              <w:spacing w:after="0"/>
              <w:rPr>
                <w:sz w:val="20"/>
                <w:szCs w:val="20"/>
                <w:color w:val="auto"/>
              </w:rPr>
            </w:pPr>
            <w:r>
              <w:rPr>
                <w:rFonts w:ascii="Arial" w:cs="Arial" w:eastAsia="Arial" w:hAnsi="Arial"/>
                <w:sz w:val="11"/>
                <w:szCs w:val="11"/>
                <w:b w:val="1"/>
                <w:bCs w:val="1"/>
                <w:color w:val="auto"/>
              </w:rPr>
              <w:t>(In millions)</w:t>
            </w: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600" w:type="dxa"/>
            <w:vAlign w:val="bottom"/>
            <w:shd w:val="clear" w:color="auto" w:fill="CCEEFF"/>
          </w:tcPr>
          <w:p>
            <w:pPr>
              <w:spacing w:after="0"/>
              <w:rPr>
                <w:sz w:val="20"/>
                <w:szCs w:val="20"/>
                <w:color w:val="auto"/>
              </w:rPr>
            </w:pPr>
            <w:r>
              <w:rPr>
                <w:rFonts w:ascii="Arial" w:cs="Arial" w:eastAsia="Arial" w:hAnsi="Arial"/>
                <w:sz w:val="13"/>
                <w:szCs w:val="13"/>
                <w:color w:val="auto"/>
              </w:rPr>
              <w:t>United States</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92"/>
              </w:rPr>
              <w:t>$ 208.6</w:t>
            </w:r>
          </w:p>
        </w:tc>
        <w:tc>
          <w:tcPr>
            <w:tcW w:w="3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30.7%</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87"/>
              </w:rPr>
              <w:t>$ 192.3</w:t>
            </w:r>
          </w:p>
        </w:tc>
        <w:tc>
          <w:tcPr>
            <w:tcW w:w="146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26.8%</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w w:val="87"/>
              </w:rPr>
              <w:t>$ 168.7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33.2%</w:t>
            </w:r>
          </w:p>
        </w:tc>
        <w:tc>
          <w:tcPr>
            <w:tcW w:w="0" w:type="dxa"/>
            <w:vAlign w:val="bottom"/>
          </w:tcPr>
          <w:p>
            <w:pPr>
              <w:spacing w:after="0"/>
              <w:rPr>
                <w:sz w:val="1"/>
                <w:szCs w:val="1"/>
                <w:color w:val="auto"/>
              </w:rPr>
            </w:pPr>
          </w:p>
        </w:tc>
      </w:tr>
      <w:tr>
        <w:trPr>
          <w:trHeight w:val="161"/>
        </w:trPr>
        <w:tc>
          <w:tcPr>
            <w:tcW w:w="4600" w:type="dxa"/>
            <w:vAlign w:val="bottom"/>
          </w:tcPr>
          <w:p>
            <w:pPr>
              <w:spacing w:after="0"/>
              <w:rPr>
                <w:sz w:val="20"/>
                <w:szCs w:val="20"/>
                <w:color w:val="auto"/>
              </w:rPr>
            </w:pPr>
            <w:r>
              <w:rPr>
                <w:rFonts w:ascii="Arial" w:cs="Arial" w:eastAsia="Arial" w:hAnsi="Arial"/>
                <w:sz w:val="13"/>
                <w:szCs w:val="13"/>
                <w:color w:val="auto"/>
              </w:rPr>
              <w:t>Nigeria</w:t>
            </w:r>
          </w:p>
        </w:tc>
        <w:tc>
          <w:tcPr>
            <w:tcW w:w="440" w:type="dxa"/>
            <w:vAlign w:val="bottom"/>
            <w:gridSpan w:val="2"/>
          </w:tcPr>
          <w:p>
            <w:pPr>
              <w:jc w:val="right"/>
              <w:ind w:right="20"/>
              <w:spacing w:after="0"/>
              <w:rPr>
                <w:sz w:val="20"/>
                <w:szCs w:val="20"/>
                <w:color w:val="auto"/>
              </w:rPr>
            </w:pPr>
            <w:r>
              <w:rPr>
                <w:rFonts w:ascii="Arial" w:cs="Arial" w:eastAsia="Arial" w:hAnsi="Arial"/>
                <w:sz w:val="13"/>
                <w:szCs w:val="13"/>
                <w:color w:val="auto"/>
              </w:rPr>
              <w:t>145.9</w:t>
            </w:r>
          </w:p>
        </w:tc>
        <w:tc>
          <w:tcPr>
            <w:tcW w:w="380" w:type="dxa"/>
            <w:vAlign w:val="bottom"/>
          </w:tcPr>
          <w:p>
            <w:pPr>
              <w:spacing w:after="0"/>
              <w:rPr>
                <w:sz w:val="14"/>
                <w:szCs w:val="14"/>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3"/>
                <w:szCs w:val="13"/>
                <w:color w:val="auto"/>
              </w:rPr>
              <w:t>21.5%</w:t>
            </w:r>
          </w:p>
        </w:tc>
        <w:tc>
          <w:tcPr>
            <w:tcW w:w="420" w:type="dxa"/>
            <w:vAlign w:val="bottom"/>
            <w:gridSpan w:val="2"/>
          </w:tcPr>
          <w:p>
            <w:pPr>
              <w:jc w:val="right"/>
              <w:ind w:right="20"/>
              <w:spacing w:after="0"/>
              <w:rPr>
                <w:sz w:val="20"/>
                <w:szCs w:val="20"/>
                <w:color w:val="auto"/>
              </w:rPr>
            </w:pPr>
            <w:r>
              <w:rPr>
                <w:rFonts w:ascii="Arial" w:cs="Arial" w:eastAsia="Arial" w:hAnsi="Arial"/>
                <w:sz w:val="13"/>
                <w:szCs w:val="13"/>
                <w:color w:val="auto"/>
              </w:rPr>
              <w:t>137.6</w:t>
            </w:r>
          </w:p>
        </w:tc>
        <w:tc>
          <w:tcPr>
            <w:tcW w:w="1460" w:type="dxa"/>
            <w:vAlign w:val="bottom"/>
            <w:gridSpan w:val="3"/>
          </w:tcPr>
          <w:p>
            <w:pPr>
              <w:jc w:val="right"/>
              <w:ind w:right="300"/>
              <w:spacing w:after="0"/>
              <w:rPr>
                <w:sz w:val="20"/>
                <w:szCs w:val="20"/>
                <w:color w:val="auto"/>
              </w:rPr>
            </w:pPr>
            <w:r>
              <w:rPr>
                <w:rFonts w:ascii="Arial" w:cs="Arial" w:eastAsia="Arial" w:hAnsi="Arial"/>
                <w:sz w:val="13"/>
                <w:szCs w:val="13"/>
                <w:color w:val="auto"/>
              </w:rPr>
              <w:t>19.2%</w:t>
            </w:r>
          </w:p>
        </w:tc>
        <w:tc>
          <w:tcPr>
            <w:tcW w:w="780" w:type="dxa"/>
            <w:vAlign w:val="bottom"/>
            <w:gridSpan w:val="2"/>
          </w:tcPr>
          <w:p>
            <w:pPr>
              <w:jc w:val="right"/>
              <w:ind w:right="380"/>
              <w:spacing w:after="0"/>
              <w:rPr>
                <w:sz w:val="20"/>
                <w:szCs w:val="20"/>
                <w:color w:val="auto"/>
              </w:rPr>
            </w:pPr>
            <w:r>
              <w:rPr>
                <w:rFonts w:ascii="Arial" w:cs="Arial" w:eastAsia="Arial" w:hAnsi="Arial"/>
                <w:sz w:val="13"/>
                <w:szCs w:val="13"/>
                <w:color w:val="auto"/>
              </w:rPr>
              <w:t>55.4</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10.9%</w:t>
            </w:r>
          </w:p>
        </w:tc>
        <w:tc>
          <w:tcPr>
            <w:tcW w:w="0" w:type="dxa"/>
            <w:vAlign w:val="bottom"/>
          </w:tcPr>
          <w:p>
            <w:pPr>
              <w:spacing w:after="0"/>
              <w:rPr>
                <w:sz w:val="1"/>
                <w:szCs w:val="1"/>
                <w:color w:val="auto"/>
              </w:rPr>
            </w:pPr>
          </w:p>
        </w:tc>
      </w:tr>
      <w:tr>
        <w:trPr>
          <w:trHeight w:val="161"/>
        </w:trPr>
        <w:tc>
          <w:tcPr>
            <w:tcW w:w="4600" w:type="dxa"/>
            <w:vAlign w:val="bottom"/>
            <w:shd w:val="clear" w:color="auto" w:fill="CCEEFF"/>
          </w:tcPr>
          <w:p>
            <w:pPr>
              <w:spacing w:after="0"/>
              <w:rPr>
                <w:sz w:val="20"/>
                <w:szCs w:val="20"/>
                <w:color w:val="auto"/>
              </w:rPr>
            </w:pPr>
            <w:r>
              <w:rPr>
                <w:rFonts w:ascii="Arial" w:cs="Arial" w:eastAsia="Arial" w:hAnsi="Arial"/>
                <w:sz w:val="13"/>
                <w:szCs w:val="13"/>
                <w:color w:val="auto"/>
              </w:rPr>
              <w:t>Poland</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36.5</w:t>
            </w:r>
          </w:p>
        </w:tc>
        <w:tc>
          <w:tcPr>
            <w:tcW w:w="3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5.4%</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29.6</w:t>
            </w:r>
          </w:p>
        </w:tc>
        <w:tc>
          <w:tcPr>
            <w:tcW w:w="146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4.1%</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16.6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3.3%</w:t>
            </w:r>
          </w:p>
        </w:tc>
        <w:tc>
          <w:tcPr>
            <w:tcW w:w="0" w:type="dxa"/>
            <w:vAlign w:val="bottom"/>
          </w:tcPr>
          <w:p>
            <w:pPr>
              <w:spacing w:after="0"/>
              <w:rPr>
                <w:sz w:val="1"/>
                <w:szCs w:val="1"/>
                <w:color w:val="auto"/>
              </w:rPr>
            </w:pPr>
          </w:p>
        </w:tc>
      </w:tr>
      <w:tr>
        <w:trPr>
          <w:trHeight w:val="161"/>
        </w:trPr>
        <w:tc>
          <w:tcPr>
            <w:tcW w:w="4600" w:type="dxa"/>
            <w:vAlign w:val="bottom"/>
          </w:tcPr>
          <w:p>
            <w:pPr>
              <w:spacing w:after="0"/>
              <w:rPr>
                <w:sz w:val="20"/>
                <w:szCs w:val="20"/>
                <w:color w:val="auto"/>
              </w:rPr>
            </w:pPr>
            <w:r>
              <w:rPr>
                <w:rFonts w:ascii="Arial" w:cs="Arial" w:eastAsia="Arial" w:hAnsi="Arial"/>
                <w:sz w:val="13"/>
                <w:szCs w:val="13"/>
                <w:color w:val="auto"/>
              </w:rPr>
              <w:t>Canada</w:t>
            </w:r>
          </w:p>
        </w:tc>
        <w:tc>
          <w:tcPr>
            <w:tcW w:w="440" w:type="dxa"/>
            <w:vAlign w:val="bottom"/>
            <w:gridSpan w:val="2"/>
          </w:tcPr>
          <w:p>
            <w:pPr>
              <w:jc w:val="right"/>
              <w:ind w:right="20"/>
              <w:spacing w:after="0"/>
              <w:rPr>
                <w:sz w:val="20"/>
                <w:szCs w:val="20"/>
                <w:color w:val="auto"/>
              </w:rPr>
            </w:pPr>
            <w:r>
              <w:rPr>
                <w:rFonts w:ascii="Arial" w:cs="Arial" w:eastAsia="Arial" w:hAnsi="Arial"/>
                <w:sz w:val="13"/>
                <w:szCs w:val="13"/>
                <w:color w:val="auto"/>
              </w:rPr>
              <w:t>9.2</w:t>
            </w:r>
          </w:p>
        </w:tc>
        <w:tc>
          <w:tcPr>
            <w:tcW w:w="380" w:type="dxa"/>
            <w:vAlign w:val="bottom"/>
          </w:tcPr>
          <w:p>
            <w:pPr>
              <w:spacing w:after="0"/>
              <w:rPr>
                <w:sz w:val="14"/>
                <w:szCs w:val="14"/>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3"/>
                <w:szCs w:val="13"/>
                <w:color w:val="auto"/>
              </w:rPr>
              <w:t>1.4%</w:t>
            </w:r>
          </w:p>
        </w:tc>
        <w:tc>
          <w:tcPr>
            <w:tcW w:w="420" w:type="dxa"/>
            <w:vAlign w:val="bottom"/>
            <w:gridSpan w:val="2"/>
          </w:tcPr>
          <w:p>
            <w:pPr>
              <w:jc w:val="right"/>
              <w:ind w:right="20"/>
              <w:spacing w:after="0"/>
              <w:rPr>
                <w:sz w:val="20"/>
                <w:szCs w:val="20"/>
                <w:color w:val="auto"/>
              </w:rPr>
            </w:pPr>
            <w:r>
              <w:rPr>
                <w:rFonts w:ascii="Arial" w:cs="Arial" w:eastAsia="Arial" w:hAnsi="Arial"/>
                <w:sz w:val="13"/>
                <w:szCs w:val="13"/>
                <w:color w:val="auto"/>
              </w:rPr>
              <w:t>32.2</w:t>
            </w:r>
          </w:p>
        </w:tc>
        <w:tc>
          <w:tcPr>
            <w:tcW w:w="1460" w:type="dxa"/>
            <w:vAlign w:val="bottom"/>
            <w:gridSpan w:val="3"/>
          </w:tcPr>
          <w:p>
            <w:pPr>
              <w:jc w:val="right"/>
              <w:ind w:right="300"/>
              <w:spacing w:after="0"/>
              <w:rPr>
                <w:sz w:val="20"/>
                <w:szCs w:val="20"/>
                <w:color w:val="auto"/>
              </w:rPr>
            </w:pPr>
            <w:r>
              <w:rPr>
                <w:rFonts w:ascii="Arial" w:cs="Arial" w:eastAsia="Arial" w:hAnsi="Arial"/>
                <w:sz w:val="13"/>
                <w:szCs w:val="13"/>
                <w:color w:val="auto"/>
              </w:rPr>
              <w:t>4.5%</w:t>
            </w:r>
          </w:p>
        </w:tc>
        <w:tc>
          <w:tcPr>
            <w:tcW w:w="780" w:type="dxa"/>
            <w:vAlign w:val="bottom"/>
            <w:gridSpan w:val="2"/>
          </w:tcPr>
          <w:p>
            <w:pPr>
              <w:jc w:val="right"/>
              <w:ind w:right="380"/>
              <w:spacing w:after="0"/>
              <w:rPr>
                <w:sz w:val="20"/>
                <w:szCs w:val="20"/>
                <w:color w:val="auto"/>
              </w:rPr>
            </w:pPr>
            <w:r>
              <w:rPr>
                <w:rFonts w:ascii="Arial" w:cs="Arial" w:eastAsia="Arial" w:hAnsi="Arial"/>
                <w:sz w:val="13"/>
                <w:szCs w:val="13"/>
                <w:color w:val="auto"/>
              </w:rPr>
              <w:t>39.9</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7.8%</w:t>
            </w:r>
          </w:p>
        </w:tc>
        <w:tc>
          <w:tcPr>
            <w:tcW w:w="0" w:type="dxa"/>
            <w:vAlign w:val="bottom"/>
          </w:tcPr>
          <w:p>
            <w:pPr>
              <w:spacing w:after="0"/>
              <w:rPr>
                <w:sz w:val="1"/>
                <w:szCs w:val="1"/>
                <w:color w:val="auto"/>
              </w:rPr>
            </w:pPr>
          </w:p>
        </w:tc>
      </w:tr>
      <w:tr>
        <w:trPr>
          <w:trHeight w:val="161"/>
        </w:trPr>
        <w:tc>
          <w:tcPr>
            <w:tcW w:w="4600" w:type="dxa"/>
            <w:vAlign w:val="bottom"/>
            <w:shd w:val="clear" w:color="auto" w:fill="CCEEFF"/>
          </w:tcPr>
          <w:p>
            <w:pPr>
              <w:spacing w:after="0"/>
              <w:rPr>
                <w:sz w:val="20"/>
                <w:szCs w:val="20"/>
                <w:color w:val="auto"/>
              </w:rPr>
            </w:pPr>
            <w:r>
              <w:rPr>
                <w:rFonts w:ascii="Arial" w:cs="Arial" w:eastAsia="Arial" w:hAnsi="Arial"/>
                <w:sz w:val="13"/>
                <w:szCs w:val="13"/>
                <w:color w:val="auto"/>
              </w:rPr>
              <w:t>Other</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279.7</w:t>
            </w: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41.0%</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326.7</w:t>
            </w:r>
          </w:p>
        </w:tc>
        <w:tc>
          <w:tcPr>
            <w:tcW w:w="146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45.4%</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227.3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44.8%</w:t>
            </w:r>
          </w:p>
        </w:tc>
        <w:tc>
          <w:tcPr>
            <w:tcW w:w="0" w:type="dxa"/>
            <w:vAlign w:val="bottom"/>
          </w:tcPr>
          <w:p>
            <w:pPr>
              <w:spacing w:after="0"/>
              <w:rPr>
                <w:sz w:val="1"/>
                <w:szCs w:val="1"/>
                <w:color w:val="auto"/>
              </w:rPr>
            </w:pPr>
          </w:p>
        </w:tc>
      </w:tr>
      <w:tr>
        <w:trPr>
          <w:trHeight w:val="20"/>
        </w:trPr>
        <w:tc>
          <w:tcPr>
            <w:tcW w:w="4600" w:type="dxa"/>
            <w:vAlign w:val="bottom"/>
            <w:vMerge w:val="restart"/>
          </w:tcPr>
          <w:p>
            <w:pPr>
              <w:spacing w:after="0"/>
              <w:rPr>
                <w:sz w:val="20"/>
                <w:szCs w:val="20"/>
                <w:color w:val="auto"/>
              </w:rPr>
            </w:pPr>
            <w:r>
              <w:rPr>
                <w:rFonts w:ascii="Arial" w:cs="Arial" w:eastAsia="Arial" w:hAnsi="Arial"/>
                <w:sz w:val="13"/>
                <w:szCs w:val="13"/>
                <w:color w:val="auto"/>
              </w:rPr>
              <w:t>Total</w:t>
            </w:r>
          </w:p>
        </w:tc>
        <w:tc>
          <w:tcPr>
            <w:tcW w:w="4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4600" w:type="dxa"/>
            <w:vAlign w:val="bottom"/>
            <w:vMerge w:val="continue"/>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w w:val="92"/>
              </w:rPr>
              <w:t>$ 679.9</w:t>
            </w:r>
          </w:p>
        </w:tc>
        <w:tc>
          <w:tcPr>
            <w:tcW w:w="2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3"/>
                <w:szCs w:val="13"/>
                <w:color w:val="auto"/>
              </w:rPr>
              <w:t>100.0%</w:t>
            </w:r>
          </w:p>
        </w:tc>
        <w:tc>
          <w:tcPr>
            <w:tcW w:w="400" w:type="dxa"/>
            <w:vAlign w:val="bottom"/>
          </w:tcPr>
          <w:p>
            <w:pPr>
              <w:jc w:val="right"/>
              <w:spacing w:after="0"/>
              <w:rPr>
                <w:sz w:val="20"/>
                <w:szCs w:val="20"/>
                <w:color w:val="auto"/>
              </w:rPr>
            </w:pPr>
            <w:r>
              <w:rPr>
                <w:rFonts w:ascii="Arial" w:cs="Arial" w:eastAsia="Arial" w:hAnsi="Arial"/>
                <w:sz w:val="13"/>
                <w:szCs w:val="13"/>
                <w:color w:val="auto"/>
                <w:w w:val="87"/>
              </w:rPr>
              <w:t>$ 718.4</w:t>
            </w:r>
          </w:p>
        </w:tc>
        <w:tc>
          <w:tcPr>
            <w:tcW w:w="2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3"/>
                <w:szCs w:val="13"/>
                <w:color w:val="auto"/>
              </w:rPr>
              <w:t>100.0%</w:t>
            </w:r>
          </w:p>
        </w:tc>
        <w:tc>
          <w:tcPr>
            <w:tcW w:w="400" w:type="dxa"/>
            <w:vAlign w:val="bottom"/>
          </w:tcPr>
          <w:p>
            <w:pPr>
              <w:jc w:val="right"/>
              <w:spacing w:after="0"/>
              <w:rPr>
                <w:sz w:val="20"/>
                <w:szCs w:val="20"/>
                <w:color w:val="auto"/>
              </w:rPr>
            </w:pPr>
            <w:r>
              <w:rPr>
                <w:rFonts w:ascii="Arial" w:cs="Arial" w:eastAsia="Arial" w:hAnsi="Arial"/>
                <w:sz w:val="13"/>
                <w:szCs w:val="13"/>
                <w:color w:val="auto"/>
                <w:w w:val="87"/>
              </w:rPr>
              <w:t>$ 507.9</w:t>
            </w:r>
          </w:p>
        </w:tc>
        <w:tc>
          <w:tcPr>
            <w:tcW w:w="380" w:type="dxa"/>
            <w:vAlign w:val="bottom"/>
            <w:vMerge w:val="continue"/>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900" w:firstLine="399"/>
        <w:spacing w:after="0" w:line="294" w:lineRule="auto"/>
        <w:rPr>
          <w:sz w:val="20"/>
          <w:szCs w:val="20"/>
          <w:color w:val="auto"/>
        </w:rPr>
      </w:pPr>
      <w:r>
        <w:rPr>
          <w:rFonts w:ascii="Arial" w:cs="Arial" w:eastAsia="Arial" w:hAnsi="Arial"/>
          <w:sz w:val="13"/>
          <w:szCs w:val="13"/>
          <w:color w:val="auto"/>
        </w:rPr>
        <w:t>Long-lived assets consisted primarily of identifiable intangible assets, goodwill and property, plant and equipment. Long-lived assets by location as of July 3, 2009 and June 27, 2008 are as follows: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68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56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76"/>
              <w:spacing w:after="0"/>
              <w:rPr>
                <w:sz w:val="20"/>
                <w:szCs w:val="20"/>
                <w:color w:val="auto"/>
              </w:rPr>
            </w:pPr>
            <w:r>
              <w:rPr>
                <w:rFonts w:ascii="Arial" w:cs="Arial" w:eastAsia="Arial" w:hAnsi="Arial"/>
                <w:sz w:val="11"/>
                <w:szCs w:val="11"/>
                <w:b w:val="1"/>
                <w:bCs w:val="1"/>
                <w:color w:val="auto"/>
                <w:w w:val="97"/>
              </w:rPr>
              <w:t>2009</w:t>
            </w: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75"/>
              <w:spacing w:after="0"/>
              <w:rPr>
                <w:sz w:val="20"/>
                <w:szCs w:val="20"/>
                <w:color w:val="auto"/>
              </w:rPr>
            </w:pPr>
            <w:r>
              <w:rPr>
                <w:rFonts w:ascii="Arial" w:cs="Arial" w:eastAsia="Arial" w:hAnsi="Arial"/>
                <w:sz w:val="11"/>
                <w:szCs w:val="11"/>
                <w:b w:val="1"/>
                <w:bCs w:val="1"/>
                <w:color w:val="auto"/>
                <w:w w:val="97"/>
              </w:rPr>
              <w:t>2008</w:t>
            </w: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5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3"/>
          </w:tcPr>
          <w:p>
            <w:pPr>
              <w:jc w:val="right"/>
              <w:spacing w:after="0"/>
              <w:rPr>
                <w:sz w:val="20"/>
                <w:szCs w:val="20"/>
                <w:color w:val="auto"/>
              </w:rPr>
            </w:pPr>
            <w:r>
              <w:rPr>
                <w:rFonts w:ascii="Arial" w:cs="Arial" w:eastAsia="Arial" w:hAnsi="Arial"/>
                <w:sz w:val="11"/>
                <w:szCs w:val="11"/>
                <w:b w:val="1"/>
                <w:bCs w:val="1"/>
                <w:color w:val="auto"/>
              </w:rPr>
              <w:t>(In millions)</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3"/>
                <w:szCs w:val="13"/>
                <w:color w:val="auto"/>
              </w:rPr>
              <w:t>United States</w:t>
            </w:r>
          </w:p>
        </w:tc>
        <w:tc>
          <w:tcPr>
            <w:tcW w:w="5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60.4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219.8</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2900" w:type="dxa"/>
            <w:vAlign w:val="bottom"/>
          </w:tcPr>
          <w:p>
            <w:pPr>
              <w:spacing w:after="0"/>
              <w:rPr>
                <w:sz w:val="20"/>
                <w:szCs w:val="20"/>
                <w:color w:val="auto"/>
              </w:rPr>
            </w:pPr>
            <w:r>
              <w:rPr>
                <w:rFonts w:ascii="Arial" w:cs="Arial" w:eastAsia="Arial" w:hAnsi="Arial"/>
                <w:sz w:val="13"/>
                <w:szCs w:val="13"/>
                <w:color w:val="auto"/>
              </w:rPr>
              <w:t>Singapore</w:t>
            </w:r>
          </w:p>
        </w:tc>
        <w:tc>
          <w:tcPr>
            <w:tcW w:w="5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71.0</w:t>
            </w:r>
          </w:p>
        </w:tc>
        <w:tc>
          <w:tcPr>
            <w:tcW w:w="100" w:type="dxa"/>
            <w:vAlign w:val="bottom"/>
          </w:tcPr>
          <w:p>
            <w:pPr>
              <w:spacing w:after="0"/>
              <w:rPr>
                <w:sz w:val="14"/>
                <w:szCs w:val="14"/>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3"/>
                <w:szCs w:val="13"/>
                <w:color w:val="auto"/>
              </w:rPr>
              <w:t>237.1</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3"/>
                <w:szCs w:val="13"/>
                <w:color w:val="auto"/>
              </w:rPr>
              <w:t>United Kingdom</w:t>
            </w:r>
          </w:p>
        </w:tc>
        <w:tc>
          <w:tcPr>
            <w:tcW w:w="5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22.8</w:t>
            </w:r>
          </w:p>
        </w:tc>
        <w:tc>
          <w:tcPr>
            <w:tcW w:w="10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12.4</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2900" w:type="dxa"/>
            <w:vAlign w:val="bottom"/>
          </w:tcPr>
          <w:p>
            <w:pPr>
              <w:spacing w:after="0"/>
              <w:rPr>
                <w:sz w:val="20"/>
                <w:szCs w:val="20"/>
                <w:color w:val="auto"/>
              </w:rPr>
            </w:pPr>
            <w:r>
              <w:rPr>
                <w:rFonts w:ascii="Arial" w:cs="Arial" w:eastAsia="Arial" w:hAnsi="Arial"/>
                <w:sz w:val="13"/>
                <w:szCs w:val="13"/>
                <w:color w:val="auto"/>
              </w:rPr>
              <w:t>Canada</w:t>
            </w:r>
          </w:p>
        </w:tc>
        <w:tc>
          <w:tcPr>
            <w:tcW w:w="5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4.7</w:t>
            </w:r>
          </w:p>
        </w:tc>
        <w:tc>
          <w:tcPr>
            <w:tcW w:w="100" w:type="dxa"/>
            <w:vAlign w:val="bottom"/>
          </w:tcPr>
          <w:p>
            <w:pPr>
              <w:spacing w:after="0"/>
              <w:rPr>
                <w:sz w:val="14"/>
                <w:szCs w:val="14"/>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3"/>
                <w:szCs w:val="13"/>
                <w:color w:val="auto"/>
              </w:rPr>
              <w:t>32.6</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3"/>
                <w:szCs w:val="13"/>
                <w:color w:val="auto"/>
              </w:rPr>
              <w:t>Other countries</w:t>
            </w:r>
          </w:p>
        </w:tc>
        <w:tc>
          <w:tcPr>
            <w:tcW w:w="5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5.2</w:t>
            </w:r>
          </w:p>
        </w:tc>
        <w:tc>
          <w:tcPr>
            <w:tcW w:w="10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19.6</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2900" w:type="dxa"/>
            <w:vAlign w:val="bottom"/>
          </w:tcPr>
          <w:p>
            <w:pPr>
              <w:spacing w:after="0"/>
              <w:rPr>
                <w:sz w:val="20"/>
                <w:szCs w:val="20"/>
                <w:color w:val="auto"/>
              </w:rPr>
            </w:pPr>
            <w:r>
              <w:rPr>
                <w:rFonts w:ascii="Arial" w:cs="Arial" w:eastAsia="Arial" w:hAnsi="Arial"/>
                <w:sz w:val="13"/>
                <w:szCs w:val="13"/>
                <w:color w:val="auto"/>
              </w:rPr>
              <w:t>Total</w:t>
            </w:r>
          </w:p>
        </w:tc>
        <w:tc>
          <w:tcPr>
            <w:tcW w:w="56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164.1</w:t>
            </w:r>
          </w:p>
        </w:tc>
        <w:tc>
          <w:tcPr>
            <w:tcW w:w="4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521.6</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5600" w:type="dxa"/>
            <w:vAlign w:val="bottom"/>
            <w:vMerge w:val="restart"/>
          </w:tcPr>
          <w:p>
            <w:pPr>
              <w:jc w:val="right"/>
              <w:ind w:right="3333"/>
              <w:spacing w:after="0"/>
              <w:rPr>
                <w:sz w:val="20"/>
                <w:szCs w:val="20"/>
                <w:color w:val="auto"/>
              </w:rPr>
            </w:pPr>
            <w:r>
              <w:rPr>
                <w:rFonts w:ascii="Arial" w:cs="Arial" w:eastAsia="Arial" w:hAnsi="Arial"/>
                <w:sz w:val="13"/>
                <w:szCs w:val="13"/>
                <w:color w:val="auto"/>
              </w:rPr>
              <w:t>101</w:t>
            </w: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6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56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680" w:type="dxa"/>
            <w:vAlign w:val="bottom"/>
            <w:tcBorders>
              <w:bottom w:val="single" w:sz="8" w:color="808080"/>
            </w:tcBorders>
          </w:tcPr>
          <w:p>
            <w:pPr>
              <w:spacing w:after="0"/>
              <w:rPr>
                <w:sz w:val="14"/>
                <w:szCs w:val="14"/>
                <w:color w:val="auto"/>
              </w:rPr>
            </w:pPr>
          </w:p>
        </w:tc>
        <w:tc>
          <w:tcPr>
            <w:tcW w:w="2900" w:type="dxa"/>
            <w:vAlign w:val="bottom"/>
            <w:tcBorders>
              <w:bottom w:val="single" w:sz="8" w:color="808080"/>
            </w:tcBorders>
          </w:tcPr>
          <w:p>
            <w:pPr>
              <w:spacing w:after="0"/>
              <w:rPr>
                <w:sz w:val="14"/>
                <w:szCs w:val="14"/>
                <w:color w:val="auto"/>
              </w:rPr>
            </w:pPr>
          </w:p>
        </w:tc>
        <w:tc>
          <w:tcPr>
            <w:tcW w:w="56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12700" cy="63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9" w:right="219" w:bottom="1440" w:gutter="0" w:footer="0" w:header="0"/>
        </w:sectPr>
      </w:pPr>
    </w:p>
    <w:bookmarkStart w:id="102" w:name="page103"/>
    <w:bookmarkEnd w:id="10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6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HARRIS STRATEX NETWORKS, INC. AND SUBSIDIARIES</w:t>
      </w:r>
    </w:p>
    <w:p>
      <w:pPr>
        <w:spacing w:after="0" w:line="102"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00" w:lineRule="exact"/>
        <w:rPr>
          <w:sz w:val="20"/>
          <w:szCs w:val="20"/>
          <w:color w:val="auto"/>
        </w:rPr>
      </w:pPr>
    </w:p>
    <w:p>
      <w:pPr>
        <w:spacing w:after="0" w:line="235" w:lineRule="exact"/>
        <w:rPr>
          <w:sz w:val="20"/>
          <w:szCs w:val="20"/>
          <w:color w:val="auto"/>
        </w:rPr>
      </w:pPr>
    </w:p>
    <w:tbl>
      <w:tblPr>
        <w:tblLayout w:type="fixed"/>
        <w:tblInd w:w="680" w:type="dxa"/>
        <w:tblCellMar>
          <w:top w:w="0" w:type="dxa"/>
          <w:left w:w="0" w:type="dxa"/>
          <w:bottom w:w="0" w:type="dxa"/>
          <w:right w:w="0" w:type="dxa"/>
        </w:tblCellMar>
      </w:tblPr>
      <w:tr>
        <w:trPr>
          <w:trHeight w:val="174"/>
        </w:trPr>
        <w:tc>
          <w:tcPr>
            <w:tcW w:w="880" w:type="dxa"/>
            <w:vAlign w:val="bottom"/>
          </w:tcPr>
          <w:p>
            <w:pPr>
              <w:spacing w:after="0"/>
              <w:rPr>
                <w:sz w:val="20"/>
                <w:szCs w:val="20"/>
                <w:color w:val="auto"/>
              </w:rPr>
            </w:pPr>
            <w:r>
              <w:rPr>
                <w:rFonts w:ascii="Arial" w:cs="Arial" w:eastAsia="Arial" w:hAnsi="Arial"/>
                <w:sz w:val="13"/>
                <w:szCs w:val="13"/>
                <w:b w:val="1"/>
                <w:bCs w:val="1"/>
                <w:color w:val="auto"/>
              </w:rPr>
              <w:t>Note O —</w:t>
            </w:r>
          </w:p>
        </w:tc>
        <w:tc>
          <w:tcPr>
            <w:tcW w:w="6620" w:type="dxa"/>
            <w:vAlign w:val="bottom"/>
          </w:tcPr>
          <w:p>
            <w:pPr>
              <w:ind w:left="40"/>
              <w:spacing w:after="0"/>
              <w:rPr>
                <w:sz w:val="20"/>
                <w:szCs w:val="20"/>
                <w:color w:val="auto"/>
              </w:rPr>
            </w:pPr>
            <w:r>
              <w:rPr>
                <w:rFonts w:ascii="Arial" w:cs="Arial" w:eastAsia="Arial" w:hAnsi="Arial"/>
                <w:sz w:val="13"/>
                <w:szCs w:val="13"/>
                <w:b w:val="1"/>
                <w:bCs w:val="1"/>
                <w:color w:val="auto"/>
              </w:rPr>
              <w:t>Income Taxes</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7500" w:type="dxa"/>
            <w:vAlign w:val="bottom"/>
            <w:gridSpan w:val="2"/>
          </w:tcPr>
          <w:p>
            <w:pPr>
              <w:ind w:left="400"/>
              <w:spacing w:after="0"/>
              <w:rPr>
                <w:sz w:val="20"/>
                <w:szCs w:val="20"/>
                <w:color w:val="auto"/>
              </w:rPr>
            </w:pPr>
            <w:r>
              <w:rPr>
                <w:rFonts w:ascii="Arial" w:cs="Arial" w:eastAsia="Arial" w:hAnsi="Arial"/>
                <w:sz w:val="13"/>
                <w:szCs w:val="13"/>
                <w:color w:val="auto"/>
              </w:rPr>
              <w:t>Loss before provision for (benefit from) income taxes during fiscal 2009, 2008 and 2007 is as follows:</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88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gridSpan w:val="3"/>
          </w:tcPr>
          <w:p>
            <w:pPr>
              <w:ind w:left="80"/>
              <w:spacing w:after="0"/>
              <w:rPr>
                <w:sz w:val="20"/>
                <w:szCs w:val="20"/>
                <w:color w:val="auto"/>
              </w:rPr>
            </w:pPr>
            <w:r>
              <w:rPr>
                <w:rFonts w:ascii="Arial" w:cs="Arial" w:eastAsia="Arial" w:hAnsi="Arial"/>
                <w:sz w:val="11"/>
                <w:szCs w:val="11"/>
                <w:b w:val="1"/>
                <w:bCs w:val="1"/>
                <w:color w:val="auto"/>
              </w:rPr>
              <w:t>2009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75"/>
              <w:spacing w:after="0"/>
              <w:rPr>
                <w:sz w:val="20"/>
                <w:szCs w:val="20"/>
                <w:color w:val="auto"/>
              </w:rPr>
            </w:pPr>
            <w:r>
              <w:rPr>
                <w:rFonts w:ascii="Arial" w:cs="Arial" w:eastAsia="Arial" w:hAnsi="Arial"/>
                <w:sz w:val="11"/>
                <w:szCs w:val="11"/>
                <w:b w:val="1"/>
                <w:bCs w:val="1"/>
                <w:color w:val="auto"/>
                <w:w w:val="97"/>
              </w:rPr>
              <w:t>2008</w:t>
            </w:r>
          </w:p>
        </w:tc>
        <w:tc>
          <w:tcPr>
            <w:tcW w:w="4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75"/>
              <w:spacing w:after="0"/>
              <w:rPr>
                <w:sz w:val="20"/>
                <w:szCs w:val="20"/>
                <w:color w:val="auto"/>
              </w:rPr>
            </w:pPr>
            <w:r>
              <w:rPr>
                <w:rFonts w:ascii="Arial" w:cs="Arial" w:eastAsia="Arial" w:hAnsi="Arial"/>
                <w:sz w:val="11"/>
                <w:szCs w:val="11"/>
                <w:b w:val="1"/>
                <w:bCs w:val="1"/>
                <w:color w:val="auto"/>
                <w:w w:val="89"/>
              </w:rPr>
              <w:t>2007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6"/>
        </w:trPr>
        <w:tc>
          <w:tcPr>
            <w:tcW w:w="880" w:type="dxa"/>
            <w:vAlign w:val="bottom"/>
          </w:tcPr>
          <w:p>
            <w:pPr>
              <w:spacing w:after="0"/>
              <w:rPr>
                <w:sz w:val="11"/>
                <w:szCs w:val="11"/>
                <w:color w:val="auto"/>
              </w:rPr>
            </w:pPr>
          </w:p>
        </w:tc>
        <w:tc>
          <w:tcPr>
            <w:tcW w:w="6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gridSpan w:val="3"/>
          </w:tcPr>
          <w:p>
            <w:pPr>
              <w:jc w:val="right"/>
              <w:spacing w:after="0"/>
              <w:rPr>
                <w:sz w:val="20"/>
                <w:szCs w:val="20"/>
                <w:color w:val="auto"/>
              </w:rPr>
            </w:pPr>
            <w:r>
              <w:rPr>
                <w:rFonts w:ascii="Arial" w:cs="Arial" w:eastAsia="Arial" w:hAnsi="Arial"/>
                <w:sz w:val="11"/>
                <w:szCs w:val="11"/>
                <w:b w:val="1"/>
                <w:bCs w:val="1"/>
                <w:color w:val="auto"/>
              </w:rPr>
              <w:t>(In millions)</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880" w:type="dxa"/>
            <w:vAlign w:val="bottom"/>
            <w:shd w:val="clear" w:color="auto" w:fill="CCEEFF"/>
          </w:tcPr>
          <w:p>
            <w:pPr>
              <w:spacing w:after="0"/>
              <w:rPr>
                <w:sz w:val="20"/>
                <w:szCs w:val="20"/>
                <w:color w:val="auto"/>
              </w:rPr>
            </w:pPr>
            <w:r>
              <w:rPr>
                <w:rFonts w:ascii="Arial" w:cs="Arial" w:eastAsia="Arial" w:hAnsi="Arial"/>
                <w:sz w:val="13"/>
                <w:szCs w:val="13"/>
                <w:color w:val="auto"/>
              </w:rPr>
              <w:t>United States</w:t>
            </w:r>
          </w:p>
        </w:tc>
        <w:tc>
          <w:tcPr>
            <w:tcW w:w="662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60" w:type="dxa"/>
            <w:vAlign w:val="bottom"/>
            <w:gridSpan w:val="4"/>
            <w:shd w:val="clear" w:color="auto" w:fill="CCEEFF"/>
          </w:tcPr>
          <w:p>
            <w:pPr>
              <w:jc w:val="right"/>
              <w:ind w:right="140"/>
              <w:spacing w:after="0"/>
              <w:rPr>
                <w:sz w:val="20"/>
                <w:szCs w:val="20"/>
                <w:color w:val="auto"/>
              </w:rPr>
            </w:pPr>
            <w:r>
              <w:rPr>
                <w:rFonts w:ascii="Arial" w:cs="Arial" w:eastAsia="Arial" w:hAnsi="Arial"/>
                <w:sz w:val="13"/>
                <w:szCs w:val="13"/>
                <w:color w:val="auto"/>
              </w:rPr>
              <w:t>(188.0)</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(69.9)</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(33.4)</w:t>
            </w:r>
          </w:p>
        </w:tc>
        <w:tc>
          <w:tcPr>
            <w:tcW w:w="0" w:type="dxa"/>
            <w:vAlign w:val="bottom"/>
          </w:tcPr>
          <w:p>
            <w:pPr>
              <w:spacing w:after="0"/>
              <w:rPr>
                <w:sz w:val="1"/>
                <w:szCs w:val="1"/>
                <w:color w:val="auto"/>
              </w:rPr>
            </w:pPr>
          </w:p>
        </w:tc>
      </w:tr>
      <w:tr>
        <w:trPr>
          <w:trHeight w:val="161"/>
        </w:trPr>
        <w:tc>
          <w:tcPr>
            <w:tcW w:w="880" w:type="dxa"/>
            <w:vAlign w:val="bottom"/>
          </w:tcPr>
          <w:p>
            <w:pPr>
              <w:spacing w:after="0"/>
              <w:rPr>
                <w:sz w:val="20"/>
                <w:szCs w:val="20"/>
                <w:color w:val="auto"/>
              </w:rPr>
            </w:pPr>
            <w:r>
              <w:rPr>
                <w:rFonts w:ascii="Arial" w:cs="Arial" w:eastAsia="Arial" w:hAnsi="Arial"/>
                <w:sz w:val="13"/>
                <w:szCs w:val="13"/>
                <w:color w:val="auto"/>
              </w:rPr>
              <w:t>Foreign</w:t>
            </w:r>
          </w:p>
        </w:tc>
        <w:tc>
          <w:tcPr>
            <w:tcW w:w="6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4"/>
          </w:tcPr>
          <w:p>
            <w:pPr>
              <w:jc w:val="right"/>
              <w:ind w:right="140"/>
              <w:spacing w:after="0"/>
              <w:rPr>
                <w:sz w:val="20"/>
                <w:szCs w:val="20"/>
                <w:color w:val="auto"/>
              </w:rPr>
            </w:pPr>
            <w:r>
              <w:rPr>
                <w:rFonts w:ascii="Arial" w:cs="Arial" w:eastAsia="Arial" w:hAnsi="Arial"/>
                <w:sz w:val="13"/>
                <w:szCs w:val="13"/>
                <w:color w:val="auto"/>
              </w:rPr>
              <w:t>(149.2)</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56.0</w:t>
            </w:r>
          </w:p>
        </w:tc>
        <w:tc>
          <w:tcPr>
            <w:tcW w:w="120" w:type="dxa"/>
            <w:vAlign w:val="bottom"/>
          </w:tcPr>
          <w:p>
            <w:pPr>
              <w:spacing w:after="0"/>
              <w:rPr>
                <w:sz w:val="14"/>
                <w:szCs w:val="14"/>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3"/>
                <w:szCs w:val="13"/>
                <w:color w:val="auto"/>
              </w:rPr>
              <w:t>5.5</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880" w:type="dxa"/>
            <w:vAlign w:val="bottom"/>
            <w:shd w:val="clear" w:color="auto" w:fill="CCEEFF"/>
          </w:tcPr>
          <w:p>
            <w:pPr>
              <w:spacing w:after="0"/>
              <w:rPr>
                <w:sz w:val="20"/>
                <w:szCs w:val="20"/>
                <w:color w:val="auto"/>
              </w:rPr>
            </w:pPr>
            <w:r>
              <w:rPr>
                <w:rFonts w:ascii="Arial" w:cs="Arial" w:eastAsia="Arial" w:hAnsi="Arial"/>
                <w:sz w:val="13"/>
                <w:szCs w:val="13"/>
                <w:color w:val="auto"/>
              </w:rPr>
              <w:t>Total</w:t>
            </w:r>
          </w:p>
        </w:tc>
        <w:tc>
          <w:tcPr>
            <w:tcW w:w="662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60" w:type="dxa"/>
            <w:vAlign w:val="bottom"/>
            <w:gridSpan w:val="4"/>
            <w:shd w:val="clear" w:color="auto" w:fill="CCEEFF"/>
          </w:tcPr>
          <w:p>
            <w:pPr>
              <w:jc w:val="right"/>
              <w:ind w:right="140"/>
              <w:spacing w:after="0"/>
              <w:rPr>
                <w:sz w:val="20"/>
                <w:szCs w:val="20"/>
                <w:color w:val="auto"/>
              </w:rPr>
            </w:pPr>
            <w:r>
              <w:rPr>
                <w:rFonts w:ascii="Arial" w:cs="Arial" w:eastAsia="Arial" w:hAnsi="Arial"/>
                <w:sz w:val="13"/>
                <w:szCs w:val="13"/>
                <w:color w:val="auto"/>
              </w:rPr>
              <w:t>(337.2)</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(13.9)</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(27.9)</w:t>
            </w:r>
          </w:p>
        </w:tc>
        <w:tc>
          <w:tcPr>
            <w:tcW w:w="0" w:type="dxa"/>
            <w:vAlign w:val="bottom"/>
          </w:tcPr>
          <w:p>
            <w:pPr>
              <w:spacing w:after="0"/>
              <w:rPr>
                <w:sz w:val="1"/>
                <w:szCs w:val="1"/>
                <w:color w:val="auto"/>
              </w:rPr>
            </w:pPr>
          </w:p>
        </w:tc>
      </w:tr>
      <w:tr>
        <w:trPr>
          <w:trHeight w:val="20"/>
        </w:trPr>
        <w:tc>
          <w:tcPr>
            <w:tcW w:w="7500" w:type="dxa"/>
            <w:vAlign w:val="bottom"/>
            <w:gridSpan w:val="2"/>
            <w:vMerge w:val="restart"/>
          </w:tcPr>
          <w:p>
            <w:pPr>
              <w:ind w:left="400"/>
              <w:spacing w:after="0"/>
              <w:rPr>
                <w:sz w:val="20"/>
                <w:szCs w:val="20"/>
                <w:color w:val="auto"/>
              </w:rPr>
            </w:pPr>
            <w:r>
              <w:rPr>
                <w:rFonts w:ascii="Arial" w:cs="Arial" w:eastAsia="Arial" w:hAnsi="Arial"/>
                <w:sz w:val="13"/>
                <w:szCs w:val="13"/>
                <w:color w:val="auto"/>
              </w:rPr>
              <w:t>Provision (benefit) for income taxes for fiscal 2009, 2008 and 2007 are summarized as follows: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750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88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34"/>
              <w:spacing w:after="0"/>
              <w:rPr>
                <w:sz w:val="20"/>
                <w:szCs w:val="20"/>
                <w:color w:val="auto"/>
              </w:rPr>
            </w:pPr>
            <w:r>
              <w:rPr>
                <w:rFonts w:ascii="Arial" w:cs="Arial" w:eastAsia="Arial" w:hAnsi="Arial"/>
                <w:sz w:val="11"/>
                <w:szCs w:val="11"/>
                <w:b w:val="1"/>
                <w:bCs w:val="1"/>
                <w:color w:val="auto"/>
                <w:w w:val="81"/>
              </w:rPr>
              <w:t>2009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75"/>
              <w:spacing w:after="0"/>
              <w:rPr>
                <w:sz w:val="20"/>
                <w:szCs w:val="20"/>
                <w:color w:val="auto"/>
              </w:rPr>
            </w:pPr>
            <w:r>
              <w:rPr>
                <w:rFonts w:ascii="Arial" w:cs="Arial" w:eastAsia="Arial" w:hAnsi="Arial"/>
                <w:sz w:val="11"/>
                <w:szCs w:val="11"/>
                <w:b w:val="1"/>
                <w:bCs w:val="1"/>
                <w:color w:val="auto"/>
                <w:w w:val="97"/>
              </w:rPr>
              <w:t>2008</w:t>
            </w:r>
          </w:p>
        </w:tc>
        <w:tc>
          <w:tcPr>
            <w:tcW w:w="4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75"/>
              <w:spacing w:after="0"/>
              <w:rPr>
                <w:sz w:val="20"/>
                <w:szCs w:val="20"/>
                <w:color w:val="auto"/>
              </w:rPr>
            </w:pPr>
            <w:r>
              <w:rPr>
                <w:rFonts w:ascii="Arial" w:cs="Arial" w:eastAsia="Arial" w:hAnsi="Arial"/>
                <w:sz w:val="11"/>
                <w:szCs w:val="11"/>
                <w:b w:val="1"/>
                <w:bCs w:val="1"/>
                <w:color w:val="auto"/>
                <w:w w:val="89"/>
              </w:rPr>
              <w:t>2007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6"/>
        </w:trPr>
        <w:tc>
          <w:tcPr>
            <w:tcW w:w="880" w:type="dxa"/>
            <w:vAlign w:val="bottom"/>
          </w:tcPr>
          <w:p>
            <w:pPr>
              <w:spacing w:after="0"/>
              <w:rPr>
                <w:sz w:val="11"/>
                <w:szCs w:val="11"/>
                <w:color w:val="auto"/>
              </w:rPr>
            </w:pPr>
          </w:p>
        </w:tc>
        <w:tc>
          <w:tcPr>
            <w:tcW w:w="6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gridSpan w:val="2"/>
          </w:tcPr>
          <w:p>
            <w:pPr>
              <w:ind w:left="20"/>
              <w:spacing w:after="0"/>
              <w:rPr>
                <w:sz w:val="20"/>
                <w:szCs w:val="20"/>
                <w:color w:val="auto"/>
              </w:rPr>
            </w:pPr>
            <w:r>
              <w:rPr>
                <w:rFonts w:ascii="Arial" w:cs="Arial" w:eastAsia="Arial" w:hAnsi="Arial"/>
                <w:sz w:val="11"/>
                <w:szCs w:val="11"/>
                <w:b w:val="1"/>
                <w:bCs w:val="1"/>
                <w:color w:val="auto"/>
                <w:w w:val="74"/>
              </w:rPr>
              <w:t>(In millions)</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7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Current provision:</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80" w:type="dxa"/>
            <w:vAlign w:val="bottom"/>
          </w:tcPr>
          <w:p>
            <w:pPr>
              <w:ind w:left="140"/>
              <w:spacing w:after="0"/>
              <w:rPr>
                <w:sz w:val="20"/>
                <w:szCs w:val="20"/>
                <w:color w:val="auto"/>
              </w:rPr>
            </w:pPr>
            <w:r>
              <w:rPr>
                <w:rFonts w:ascii="Arial" w:cs="Arial" w:eastAsia="Arial" w:hAnsi="Arial"/>
                <w:sz w:val="13"/>
                <w:szCs w:val="13"/>
                <w:color w:val="auto"/>
                <w:w w:val="92"/>
              </w:rPr>
              <w:t>United States</w:t>
            </w:r>
          </w:p>
        </w:tc>
        <w:tc>
          <w:tcPr>
            <w:tcW w:w="6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gridSpan w:val="2"/>
          </w:tcPr>
          <w:p>
            <w:pPr>
              <w:ind w:left="80"/>
              <w:spacing w:after="0"/>
              <w:rPr>
                <w:sz w:val="20"/>
                <w:szCs w:val="20"/>
                <w:color w:val="auto"/>
              </w:rPr>
            </w:pPr>
            <w:r>
              <w:rPr>
                <w:rFonts w:ascii="Arial" w:cs="Arial" w:eastAsia="Arial" w:hAnsi="Arial"/>
                <w:sz w:val="13"/>
                <w:szCs w:val="13"/>
                <w:color w:val="auto"/>
                <w:w w:val="82"/>
              </w:rPr>
              <w:t>$</w:t>
            </w:r>
          </w:p>
        </w:tc>
        <w:tc>
          <w:tcPr>
            <w:tcW w:w="5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320" w:type="dxa"/>
            <w:vAlign w:val="bottom"/>
            <w:gridSpan w:val="2"/>
          </w:tcPr>
          <w:p>
            <w:pPr>
              <w:ind w:left="22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8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Foreign</w:t>
            </w:r>
          </w:p>
        </w:tc>
        <w:tc>
          <w:tcPr>
            <w:tcW w:w="6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1.7</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5.5</w:t>
            </w:r>
          </w:p>
        </w:tc>
        <w:tc>
          <w:tcPr>
            <w:tcW w:w="12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6.9</w:t>
            </w:r>
          </w:p>
        </w:tc>
        <w:tc>
          <w:tcPr>
            <w:tcW w:w="0" w:type="dxa"/>
            <w:vAlign w:val="bottom"/>
          </w:tcPr>
          <w:p>
            <w:pPr>
              <w:spacing w:after="0"/>
              <w:rPr>
                <w:sz w:val="1"/>
                <w:szCs w:val="1"/>
                <w:color w:val="auto"/>
              </w:rPr>
            </w:pPr>
          </w:p>
        </w:tc>
      </w:tr>
      <w:tr>
        <w:trPr>
          <w:trHeight w:val="161"/>
        </w:trPr>
        <w:tc>
          <w:tcPr>
            <w:tcW w:w="7500" w:type="dxa"/>
            <w:vAlign w:val="bottom"/>
            <w:gridSpan w:val="2"/>
          </w:tcPr>
          <w:p>
            <w:pPr>
              <w:ind w:left="140"/>
              <w:spacing w:after="0"/>
              <w:rPr>
                <w:sz w:val="20"/>
                <w:szCs w:val="20"/>
                <w:color w:val="auto"/>
              </w:rPr>
            </w:pPr>
            <w:r>
              <w:rPr>
                <w:rFonts w:ascii="Arial" w:cs="Arial" w:eastAsia="Arial" w:hAnsi="Arial"/>
                <w:sz w:val="13"/>
                <w:szCs w:val="13"/>
                <w:color w:val="auto"/>
              </w:rPr>
              <w:t>State and local</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0.1</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7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current provision</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5.5</w:t>
            </w:r>
          </w:p>
        </w:tc>
        <w:tc>
          <w:tcPr>
            <w:tcW w:w="12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6.9</w:t>
            </w:r>
          </w:p>
        </w:tc>
        <w:tc>
          <w:tcPr>
            <w:tcW w:w="0" w:type="dxa"/>
            <w:vAlign w:val="bottom"/>
          </w:tcPr>
          <w:p>
            <w:pPr>
              <w:spacing w:after="0"/>
              <w:rPr>
                <w:sz w:val="1"/>
                <w:szCs w:val="1"/>
                <w:color w:val="auto"/>
              </w:rPr>
            </w:pPr>
          </w:p>
        </w:tc>
      </w:tr>
      <w:tr>
        <w:trPr>
          <w:trHeight w:val="161"/>
        </w:trPr>
        <w:tc>
          <w:tcPr>
            <w:tcW w:w="7500" w:type="dxa"/>
            <w:vAlign w:val="bottom"/>
            <w:gridSpan w:val="2"/>
          </w:tcPr>
          <w:p>
            <w:pPr>
              <w:spacing w:after="0"/>
              <w:rPr>
                <w:sz w:val="20"/>
                <w:szCs w:val="20"/>
                <w:color w:val="auto"/>
              </w:rPr>
            </w:pPr>
            <w:r>
              <w:rPr>
                <w:rFonts w:ascii="Arial" w:cs="Arial" w:eastAsia="Arial" w:hAnsi="Arial"/>
                <w:sz w:val="13"/>
                <w:szCs w:val="13"/>
                <w:color w:val="auto"/>
              </w:rPr>
              <w:t>Deferred provision (benefit):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80" w:type="dxa"/>
            <w:vAlign w:val="bottom"/>
            <w:shd w:val="clear" w:color="auto" w:fill="CCEEFF"/>
          </w:tcPr>
          <w:p>
            <w:pPr>
              <w:ind w:left="140"/>
              <w:spacing w:after="0"/>
              <w:rPr>
                <w:sz w:val="20"/>
                <w:szCs w:val="20"/>
                <w:color w:val="auto"/>
              </w:rPr>
            </w:pPr>
            <w:r>
              <w:rPr>
                <w:rFonts w:ascii="Arial" w:cs="Arial" w:eastAsia="Arial" w:hAnsi="Arial"/>
                <w:sz w:val="13"/>
                <w:szCs w:val="13"/>
                <w:color w:val="auto"/>
                <w:w w:val="92"/>
              </w:rPr>
              <w:t>United States</w:t>
            </w:r>
          </w:p>
        </w:tc>
        <w:tc>
          <w:tcPr>
            <w:tcW w:w="6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22.1</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(16.5)</w:t>
            </w:r>
          </w:p>
        </w:tc>
        <w:tc>
          <w:tcPr>
            <w:tcW w:w="12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(11.7)</w:t>
            </w:r>
          </w:p>
        </w:tc>
        <w:tc>
          <w:tcPr>
            <w:tcW w:w="0" w:type="dxa"/>
            <w:vAlign w:val="bottom"/>
          </w:tcPr>
          <w:p>
            <w:pPr>
              <w:spacing w:after="0"/>
              <w:rPr>
                <w:sz w:val="1"/>
                <w:szCs w:val="1"/>
                <w:color w:val="auto"/>
              </w:rPr>
            </w:pPr>
          </w:p>
        </w:tc>
      </w:tr>
      <w:tr>
        <w:trPr>
          <w:trHeight w:val="161"/>
        </w:trPr>
        <w:tc>
          <w:tcPr>
            <w:tcW w:w="880" w:type="dxa"/>
            <w:vAlign w:val="bottom"/>
          </w:tcPr>
          <w:p>
            <w:pPr>
              <w:ind w:left="140"/>
              <w:spacing w:after="0"/>
              <w:rPr>
                <w:sz w:val="20"/>
                <w:szCs w:val="20"/>
                <w:color w:val="auto"/>
              </w:rPr>
            </w:pPr>
            <w:r>
              <w:rPr>
                <w:rFonts w:ascii="Arial" w:cs="Arial" w:eastAsia="Arial" w:hAnsi="Arial"/>
                <w:sz w:val="13"/>
                <w:szCs w:val="13"/>
                <w:color w:val="auto"/>
              </w:rPr>
              <w:t>Foreign</w:t>
            </w:r>
          </w:p>
        </w:tc>
        <w:tc>
          <w:tcPr>
            <w:tcW w:w="6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3"/>
                <w:szCs w:val="13"/>
                <w:color w:val="auto"/>
              </w:rPr>
              <w:t>(9.0)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10.8</w:t>
            </w:r>
          </w:p>
        </w:tc>
        <w:tc>
          <w:tcPr>
            <w:tcW w:w="120" w:type="dxa"/>
            <w:vAlign w:val="bottom"/>
          </w:tcPr>
          <w:p>
            <w:pPr>
              <w:spacing w:after="0"/>
              <w:rPr>
                <w:sz w:val="14"/>
                <w:szCs w:val="14"/>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3"/>
                <w:szCs w:val="13"/>
                <w:color w:val="auto"/>
              </w:rPr>
              <w:t>(0.8)</w:t>
            </w:r>
          </w:p>
        </w:tc>
        <w:tc>
          <w:tcPr>
            <w:tcW w:w="0" w:type="dxa"/>
            <w:vAlign w:val="bottom"/>
          </w:tcPr>
          <w:p>
            <w:pPr>
              <w:spacing w:after="0"/>
              <w:rPr>
                <w:sz w:val="1"/>
                <w:szCs w:val="1"/>
                <w:color w:val="auto"/>
              </w:rPr>
            </w:pPr>
          </w:p>
        </w:tc>
      </w:tr>
      <w:tr>
        <w:trPr>
          <w:trHeight w:val="161"/>
        </w:trPr>
        <w:tc>
          <w:tcPr>
            <w:tcW w:w="75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State and local</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2.9</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(1.8)</w:t>
            </w:r>
          </w:p>
        </w:tc>
        <w:tc>
          <w:tcPr>
            <w:tcW w:w="12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(0.5)</w:t>
            </w:r>
          </w:p>
        </w:tc>
        <w:tc>
          <w:tcPr>
            <w:tcW w:w="0" w:type="dxa"/>
            <w:vAlign w:val="bottom"/>
          </w:tcPr>
          <w:p>
            <w:pPr>
              <w:spacing w:after="0"/>
              <w:rPr>
                <w:sz w:val="1"/>
                <w:szCs w:val="1"/>
                <w:color w:val="auto"/>
              </w:rPr>
            </w:pPr>
          </w:p>
        </w:tc>
      </w:tr>
      <w:tr>
        <w:trPr>
          <w:trHeight w:val="162"/>
        </w:trPr>
        <w:tc>
          <w:tcPr>
            <w:tcW w:w="7500" w:type="dxa"/>
            <w:vAlign w:val="bottom"/>
            <w:gridSpan w:val="2"/>
          </w:tcPr>
          <w:p>
            <w:pPr>
              <w:spacing w:after="0"/>
              <w:rPr>
                <w:sz w:val="20"/>
                <w:szCs w:val="20"/>
                <w:color w:val="auto"/>
              </w:rPr>
            </w:pPr>
            <w:r>
              <w:rPr>
                <w:rFonts w:ascii="Arial" w:cs="Arial" w:eastAsia="Arial" w:hAnsi="Arial"/>
                <w:sz w:val="13"/>
                <w:szCs w:val="13"/>
                <w:color w:val="auto"/>
              </w:rPr>
              <w:t>Total deferred provision (benefit)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16.0</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(7.5)</w:t>
            </w:r>
          </w:p>
        </w:tc>
        <w:tc>
          <w:tcPr>
            <w:tcW w:w="40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(13.0)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80" w:type="dxa"/>
            <w:vAlign w:val="bottom"/>
            <w:shd w:val="clear" w:color="auto" w:fill="CCEEFF"/>
          </w:tcPr>
          <w:p>
            <w:pPr>
              <w:spacing w:after="0"/>
              <w:rPr>
                <w:sz w:val="14"/>
                <w:szCs w:val="14"/>
                <w:color w:val="auto"/>
              </w:rPr>
            </w:pPr>
          </w:p>
        </w:tc>
        <w:tc>
          <w:tcPr>
            <w:tcW w:w="6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w w:val="82"/>
              </w:rPr>
              <w:t>$</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17.8</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(2.0)</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(6.1)</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summarizes the significant differences between the U.S. Federal statutory tax rate and our effective tax rate for fiscal 2009, 2008 and 2007:</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680" w:type="dxa"/>
            <w:vAlign w:val="bottom"/>
          </w:tcPr>
          <w:p>
            <w:pPr>
              <w:spacing w:after="0"/>
              <w:rPr>
                <w:sz w:val="11"/>
                <w:szCs w:val="11"/>
                <w:color w:val="auto"/>
              </w:rPr>
            </w:pPr>
          </w:p>
        </w:tc>
        <w:tc>
          <w:tcPr>
            <w:tcW w:w="41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2009</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Borders>
              <w:bottom w:val="single" w:sz="8" w:color="auto"/>
            </w:tcBorders>
          </w:tcPr>
          <w:p>
            <w:pPr>
              <w:jc w:val="right"/>
              <w:ind w:right="40"/>
              <w:spacing w:after="0"/>
              <w:rPr>
                <w:sz w:val="20"/>
                <w:szCs w:val="20"/>
                <w:color w:val="auto"/>
              </w:rPr>
            </w:pPr>
            <w:r>
              <w:rPr>
                <w:rFonts w:ascii="Arial" w:cs="Arial" w:eastAsia="Arial" w:hAnsi="Arial"/>
                <w:sz w:val="11"/>
                <w:szCs w:val="11"/>
                <w:b w:val="1"/>
                <w:bCs w:val="1"/>
                <w:color w:val="auto"/>
              </w:rPr>
              <w:t>2008</w:t>
            </w:r>
          </w:p>
        </w:tc>
        <w:tc>
          <w:tcPr>
            <w:tcW w:w="440" w:type="dxa"/>
            <w:vAlign w:val="bottom"/>
          </w:tcPr>
          <w:p>
            <w:pPr>
              <w:spacing w:after="0"/>
              <w:rPr>
                <w:sz w:val="11"/>
                <w:szCs w:val="11"/>
                <w:color w:val="auto"/>
              </w:rPr>
            </w:pPr>
          </w:p>
        </w:tc>
        <w:tc>
          <w:tcPr>
            <w:tcW w:w="380" w:type="dxa"/>
            <w:vAlign w:val="bottom"/>
            <w:tcBorders>
              <w:bottom w:val="single" w:sz="8" w:color="auto"/>
            </w:tcBorders>
          </w:tcPr>
          <w:p>
            <w:pPr>
              <w:jc w:val="right"/>
              <w:ind w:right="15"/>
              <w:spacing w:after="0"/>
              <w:rPr>
                <w:sz w:val="20"/>
                <w:szCs w:val="20"/>
                <w:color w:val="auto"/>
              </w:rPr>
            </w:pPr>
            <w:r>
              <w:rPr>
                <w:rFonts w:ascii="Arial" w:cs="Arial" w:eastAsia="Arial" w:hAnsi="Arial"/>
                <w:sz w:val="11"/>
                <w:szCs w:val="11"/>
                <w:b w:val="1"/>
                <w:bCs w:val="1"/>
                <w:color w:val="auto"/>
              </w:rPr>
              <w:t>2007</w:t>
            </w: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680" w:type="dxa"/>
            <w:vAlign w:val="bottom"/>
          </w:tcPr>
          <w:p>
            <w:pPr>
              <w:spacing w:after="0"/>
              <w:rPr>
                <w:sz w:val="11"/>
                <w:szCs w:val="11"/>
                <w:color w:val="auto"/>
              </w:rPr>
            </w:pPr>
          </w:p>
        </w:tc>
        <w:tc>
          <w:tcPr>
            <w:tcW w:w="41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gridSpan w:val="2"/>
          </w:tcPr>
          <w:p>
            <w:pPr>
              <w:jc w:val="right"/>
              <w:spacing w:after="0"/>
              <w:rPr>
                <w:sz w:val="20"/>
                <w:szCs w:val="20"/>
                <w:color w:val="auto"/>
              </w:rPr>
            </w:pPr>
            <w:r>
              <w:rPr>
                <w:rFonts w:ascii="Arial" w:cs="Arial" w:eastAsia="Arial" w:hAnsi="Arial"/>
                <w:sz w:val="11"/>
                <w:szCs w:val="11"/>
                <w:b w:val="1"/>
                <w:bCs w:val="1"/>
                <w:color w:val="auto"/>
                <w:w w:val="90"/>
              </w:rPr>
              <w:t>(In millions)</w:t>
            </w: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3"/>
                <w:szCs w:val="13"/>
                <w:color w:val="auto"/>
              </w:rPr>
              <w:t>Statutory U.S. Federal tax rate</w:t>
            </w:r>
          </w:p>
        </w:tc>
        <w:tc>
          <w:tcPr>
            <w:tcW w:w="43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(35.0)%</w:t>
            </w:r>
          </w:p>
        </w:tc>
        <w:tc>
          <w:tcPr>
            <w:tcW w:w="1020" w:type="dxa"/>
            <w:vAlign w:val="bottom"/>
            <w:gridSpan w:val="3"/>
            <w:shd w:val="clear" w:color="auto" w:fill="CCEEFF"/>
          </w:tcPr>
          <w:p>
            <w:pPr>
              <w:jc w:val="right"/>
              <w:ind w:right="280"/>
              <w:spacing w:after="0"/>
              <w:rPr>
                <w:sz w:val="20"/>
                <w:szCs w:val="20"/>
                <w:color w:val="auto"/>
              </w:rPr>
            </w:pPr>
            <w:r>
              <w:rPr>
                <w:rFonts w:ascii="Arial" w:cs="Arial" w:eastAsia="Arial" w:hAnsi="Arial"/>
                <w:sz w:val="13"/>
                <w:szCs w:val="13"/>
                <w:color w:val="auto"/>
              </w:rPr>
              <w:t>(35.0)%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(35.0)%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4100" w:type="dxa"/>
            <w:vAlign w:val="bottom"/>
          </w:tcPr>
          <w:p>
            <w:pPr>
              <w:spacing w:after="0"/>
              <w:rPr>
                <w:sz w:val="20"/>
                <w:szCs w:val="20"/>
                <w:color w:val="auto"/>
              </w:rPr>
            </w:pPr>
            <w:r>
              <w:rPr>
                <w:rFonts w:ascii="Arial" w:cs="Arial" w:eastAsia="Arial" w:hAnsi="Arial"/>
                <w:sz w:val="13"/>
                <w:szCs w:val="13"/>
                <w:color w:val="auto"/>
              </w:rPr>
              <w:t>U.S. valuation allowances</w:t>
            </w:r>
          </w:p>
        </w:tc>
        <w:tc>
          <w:tcPr>
            <w:tcW w:w="4320" w:type="dxa"/>
            <w:vAlign w:val="bottom"/>
            <w:gridSpan w:val="3"/>
          </w:tcPr>
          <w:p>
            <w:pPr>
              <w:jc w:val="right"/>
              <w:ind w:right="260"/>
              <w:spacing w:after="0"/>
              <w:rPr>
                <w:sz w:val="20"/>
                <w:szCs w:val="20"/>
                <w:color w:val="auto"/>
              </w:rPr>
            </w:pPr>
            <w:r>
              <w:rPr>
                <w:rFonts w:ascii="Arial" w:cs="Arial" w:eastAsia="Arial" w:hAnsi="Arial"/>
                <w:sz w:val="13"/>
                <w:szCs w:val="13"/>
                <w:color w:val="auto"/>
              </w:rPr>
              <w:t>15.1</w:t>
            </w:r>
          </w:p>
        </w:tc>
        <w:tc>
          <w:tcPr>
            <w:tcW w:w="1020" w:type="dxa"/>
            <w:vAlign w:val="bottom"/>
            <w:gridSpan w:val="3"/>
          </w:tcPr>
          <w:p>
            <w:pPr>
              <w:jc w:val="right"/>
              <w:ind w:right="440"/>
              <w:spacing w:after="0"/>
              <w:rPr>
                <w:sz w:val="20"/>
                <w:szCs w:val="20"/>
                <w:color w:val="auto"/>
              </w:rPr>
            </w:pPr>
            <w:r>
              <w:rPr>
                <w:rFonts w:ascii="Arial" w:cs="Arial" w:eastAsia="Arial" w:hAnsi="Arial"/>
                <w:sz w:val="13"/>
                <w:szCs w:val="13"/>
                <w:color w:val="auto"/>
              </w:rPr>
              <w:t>113.2</w:t>
            </w:r>
          </w:p>
        </w:tc>
        <w:tc>
          <w:tcPr>
            <w:tcW w:w="540" w:type="dxa"/>
            <w:vAlign w:val="bottom"/>
            <w:gridSpan w:val="2"/>
          </w:tcPr>
          <w:p>
            <w:pPr>
              <w:jc w:val="right"/>
              <w:ind w:right="160"/>
              <w:spacing w:after="0"/>
              <w:rPr>
                <w:sz w:val="20"/>
                <w:szCs w:val="20"/>
                <w:color w:val="auto"/>
              </w:rPr>
            </w:pPr>
            <w:r>
              <w:rPr>
                <w:rFonts w:ascii="Arial" w:cs="Arial" w:eastAsia="Arial" w:hAnsi="Arial"/>
                <w:sz w:val="13"/>
                <w:szCs w:val="13"/>
                <w:color w:val="auto"/>
              </w:rPr>
              <w:t>9.0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3"/>
                <w:szCs w:val="13"/>
                <w:color w:val="auto"/>
              </w:rPr>
              <w:t>State and local taxes, net of U.S. Federal tax benefit</w:t>
            </w:r>
          </w:p>
        </w:tc>
        <w:tc>
          <w:tcPr>
            <w:tcW w:w="432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(0.8)</w:t>
            </w:r>
          </w:p>
        </w:tc>
        <w:tc>
          <w:tcPr>
            <w:tcW w:w="102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(12.9)</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(1.9)</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4100" w:type="dxa"/>
            <w:vAlign w:val="bottom"/>
          </w:tcPr>
          <w:p>
            <w:pPr>
              <w:spacing w:after="0"/>
              <w:rPr>
                <w:sz w:val="20"/>
                <w:szCs w:val="20"/>
                <w:color w:val="auto"/>
              </w:rPr>
            </w:pPr>
            <w:r>
              <w:rPr>
                <w:rFonts w:ascii="Arial" w:cs="Arial" w:eastAsia="Arial" w:hAnsi="Arial"/>
                <w:sz w:val="13"/>
                <w:szCs w:val="13"/>
                <w:color w:val="auto"/>
              </w:rPr>
              <w:t>Goodwill impairment not deductible</w:t>
            </w:r>
          </w:p>
        </w:tc>
        <w:tc>
          <w:tcPr>
            <w:tcW w:w="4320" w:type="dxa"/>
            <w:vAlign w:val="bottom"/>
            <w:gridSpan w:val="3"/>
          </w:tcPr>
          <w:p>
            <w:pPr>
              <w:jc w:val="right"/>
              <w:ind w:right="260"/>
              <w:spacing w:after="0"/>
              <w:rPr>
                <w:sz w:val="20"/>
                <w:szCs w:val="20"/>
                <w:color w:val="auto"/>
              </w:rPr>
            </w:pPr>
            <w:r>
              <w:rPr>
                <w:rFonts w:ascii="Arial" w:cs="Arial" w:eastAsia="Arial" w:hAnsi="Arial"/>
                <w:sz w:val="13"/>
                <w:szCs w:val="13"/>
                <w:color w:val="auto"/>
              </w:rPr>
              <w:t>16.3</w:t>
            </w:r>
          </w:p>
        </w:tc>
        <w:tc>
          <w:tcPr>
            <w:tcW w:w="180" w:type="dxa"/>
            <w:vAlign w:val="bottom"/>
          </w:tcPr>
          <w:p>
            <w:pPr>
              <w:spacing w:after="0"/>
              <w:rPr>
                <w:sz w:val="14"/>
                <w:szCs w:val="14"/>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3"/>
                <w:szCs w:val="13"/>
                <w:color w:val="auto"/>
              </w:rPr>
              <w:t>Foreign income taxed at rates less than the U.S. statutory rate</w:t>
            </w:r>
          </w:p>
        </w:tc>
        <w:tc>
          <w:tcPr>
            <w:tcW w:w="432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7.4</w:t>
            </w:r>
          </w:p>
        </w:tc>
        <w:tc>
          <w:tcPr>
            <w:tcW w:w="102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(85.5)</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4.2</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4100" w:type="dxa"/>
            <w:vAlign w:val="bottom"/>
          </w:tcPr>
          <w:p>
            <w:pPr>
              <w:spacing w:after="0"/>
              <w:rPr>
                <w:sz w:val="20"/>
                <w:szCs w:val="20"/>
                <w:color w:val="auto"/>
              </w:rPr>
            </w:pPr>
            <w:r>
              <w:rPr>
                <w:rFonts w:ascii="Arial" w:cs="Arial" w:eastAsia="Arial" w:hAnsi="Arial"/>
                <w:sz w:val="13"/>
                <w:szCs w:val="13"/>
                <w:color w:val="auto"/>
              </w:rPr>
              <w:t>Other</w:t>
            </w:r>
          </w:p>
        </w:tc>
        <w:tc>
          <w:tcPr>
            <w:tcW w:w="3680" w:type="dxa"/>
            <w:vAlign w:val="bottom"/>
          </w:tcPr>
          <w:p>
            <w:pPr>
              <w:spacing w:after="0"/>
              <w:rPr>
                <w:sz w:val="14"/>
                <w:szCs w:val="14"/>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3"/>
                <w:szCs w:val="13"/>
                <w:color w:val="auto"/>
              </w:rPr>
              <w:t>2.3</w:t>
            </w:r>
          </w:p>
        </w:tc>
        <w:tc>
          <w:tcPr>
            <w:tcW w:w="1020" w:type="dxa"/>
            <w:vAlign w:val="bottom"/>
            <w:gridSpan w:val="3"/>
          </w:tcPr>
          <w:p>
            <w:pPr>
              <w:jc w:val="right"/>
              <w:ind w:right="440"/>
              <w:spacing w:after="0"/>
              <w:rPr>
                <w:sz w:val="20"/>
                <w:szCs w:val="20"/>
                <w:color w:val="auto"/>
              </w:rPr>
            </w:pPr>
            <w:r>
              <w:rPr>
                <w:rFonts w:ascii="Arial" w:cs="Arial" w:eastAsia="Arial" w:hAnsi="Arial"/>
                <w:sz w:val="13"/>
                <w:szCs w:val="13"/>
                <w:color w:val="auto"/>
              </w:rPr>
              <w:t>5.8</w:t>
            </w:r>
          </w:p>
        </w:tc>
        <w:tc>
          <w:tcPr>
            <w:tcW w:w="540" w:type="dxa"/>
            <w:vAlign w:val="bottom"/>
            <w:gridSpan w:val="2"/>
          </w:tcPr>
          <w:p>
            <w:pPr>
              <w:jc w:val="right"/>
              <w:ind w:right="160"/>
              <w:spacing w:after="0"/>
              <w:rPr>
                <w:sz w:val="20"/>
                <w:szCs w:val="20"/>
                <w:color w:val="auto"/>
              </w:rPr>
            </w:pPr>
            <w:r>
              <w:rPr>
                <w:rFonts w:ascii="Arial" w:cs="Arial" w:eastAsia="Arial" w:hAnsi="Arial"/>
                <w:sz w:val="13"/>
                <w:szCs w:val="13"/>
                <w:color w:val="auto"/>
              </w:rPr>
              <w:t>1.8</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680" w:type="dxa"/>
            <w:vAlign w:val="bottom"/>
          </w:tcPr>
          <w:p>
            <w:pPr>
              <w:spacing w:after="0"/>
              <w:rPr>
                <w:sz w:val="14"/>
                <w:szCs w:val="14"/>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3"/>
                <w:szCs w:val="13"/>
                <w:color w:val="auto"/>
              </w:rPr>
              <w:t>Effective tax rate</w:t>
            </w:r>
          </w:p>
        </w:tc>
        <w:tc>
          <w:tcPr>
            <w:tcW w:w="36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5.3%</w:t>
            </w:r>
          </w:p>
        </w:tc>
        <w:tc>
          <w:tcPr>
            <w:tcW w:w="1020" w:type="dxa"/>
            <w:vAlign w:val="bottom"/>
            <w:gridSpan w:val="3"/>
            <w:shd w:val="clear" w:color="auto" w:fill="CCEEFF"/>
          </w:tcPr>
          <w:p>
            <w:pPr>
              <w:jc w:val="right"/>
              <w:ind w:right="280"/>
              <w:spacing w:after="0"/>
              <w:rPr>
                <w:sz w:val="20"/>
                <w:szCs w:val="20"/>
                <w:color w:val="auto"/>
              </w:rPr>
            </w:pPr>
            <w:r>
              <w:rPr>
                <w:rFonts w:ascii="Arial" w:cs="Arial" w:eastAsia="Arial" w:hAnsi="Arial"/>
                <w:sz w:val="13"/>
                <w:szCs w:val="13"/>
                <w:color w:val="auto"/>
              </w:rPr>
              <w:t>(14.4)%</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(21.9)%</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3680" w:type="dxa"/>
            <w:vAlign w:val="bottom"/>
            <w:vMerge w:val="restart"/>
          </w:tcPr>
          <w:p>
            <w:pPr>
              <w:jc w:val="right"/>
              <w:ind w:right="2613"/>
              <w:spacing w:after="0"/>
              <w:rPr>
                <w:sz w:val="20"/>
                <w:szCs w:val="20"/>
                <w:color w:val="auto"/>
              </w:rPr>
            </w:pPr>
            <w:r>
              <w:rPr>
                <w:rFonts w:ascii="Arial" w:cs="Arial" w:eastAsia="Arial" w:hAnsi="Arial"/>
                <w:sz w:val="13"/>
                <w:szCs w:val="13"/>
                <w:color w:val="auto"/>
              </w:rPr>
              <w:t>102</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6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36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680" w:type="dxa"/>
            <w:vAlign w:val="bottom"/>
            <w:tcBorders>
              <w:bottom w:val="single" w:sz="8" w:color="808080"/>
            </w:tcBorders>
          </w:tcPr>
          <w:p>
            <w:pPr>
              <w:spacing w:after="0"/>
              <w:rPr>
                <w:sz w:val="14"/>
                <w:szCs w:val="14"/>
                <w:color w:val="auto"/>
              </w:rPr>
            </w:pPr>
          </w:p>
        </w:tc>
        <w:tc>
          <w:tcPr>
            <w:tcW w:w="4100" w:type="dxa"/>
            <w:vAlign w:val="bottom"/>
            <w:tcBorders>
              <w:bottom w:val="single" w:sz="8" w:color="808080"/>
            </w:tcBorders>
          </w:tcPr>
          <w:p>
            <w:pPr>
              <w:spacing w:after="0"/>
              <w:rPr>
                <w:sz w:val="14"/>
                <w:szCs w:val="14"/>
                <w:color w:val="auto"/>
              </w:rPr>
            </w:pPr>
          </w:p>
        </w:tc>
        <w:tc>
          <w:tcPr>
            <w:tcW w:w="368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12700" cy="63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9" w:right="219" w:bottom="1440" w:gutter="0" w:footer="0" w:header="0"/>
        </w:sectPr>
      </w:pPr>
    </w:p>
    <w:bookmarkStart w:id="103" w:name="page104"/>
    <w:bookmarkEnd w:id="10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6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HARRIS STRATEX NETWORKS, INC. AND SUBSIDIARIES</w:t>
      </w:r>
    </w:p>
    <w:p>
      <w:pPr>
        <w:spacing w:after="0" w:line="102"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6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components of deferred tax assets and liabilities are as follows:</w:t>
      </w:r>
    </w:p>
    <w:p>
      <w:pPr>
        <w:spacing w:after="0" w:line="106" w:lineRule="exact"/>
        <w:rPr>
          <w:sz w:val="20"/>
          <w:szCs w:val="20"/>
          <w:color w:val="auto"/>
        </w:rPr>
      </w:pPr>
    </w:p>
    <w:tbl>
      <w:tblPr>
        <w:tblLayout w:type="fixed"/>
        <w:tblInd w:w="680" w:type="dxa"/>
        <w:tblCellMar>
          <w:top w:w="0" w:type="dxa"/>
          <w:left w:w="0" w:type="dxa"/>
          <w:bottom w:w="0" w:type="dxa"/>
          <w:right w:w="0" w:type="dxa"/>
        </w:tblCellMar>
      </w:tblPr>
      <w:tr>
        <w:trPr>
          <w:trHeight w:val="128"/>
        </w:trPr>
        <w:tc>
          <w:tcPr>
            <w:tcW w:w="6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20" w:type="dxa"/>
            <w:vAlign w:val="bottom"/>
            <w:gridSpan w:val="4"/>
          </w:tcPr>
          <w:p>
            <w:pPr>
              <w:jc w:val="right"/>
              <w:ind w:right="920"/>
              <w:spacing w:after="0"/>
              <w:rPr>
                <w:sz w:val="20"/>
                <w:szCs w:val="20"/>
                <w:color w:val="auto"/>
              </w:rPr>
            </w:pPr>
            <w:r>
              <w:rPr>
                <w:rFonts w:ascii="Arial" w:cs="Arial" w:eastAsia="Arial" w:hAnsi="Arial"/>
                <w:sz w:val="11"/>
                <w:szCs w:val="11"/>
                <w:b w:val="1"/>
                <w:bCs w:val="1"/>
                <w:color w:val="auto"/>
                <w:w w:val="93"/>
              </w:rPr>
              <w:t>July 3, 2009</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4"/>
          </w:tcPr>
          <w:p>
            <w:pPr>
              <w:jc w:val="right"/>
              <w:ind w:right="560"/>
              <w:spacing w:after="0"/>
              <w:rPr>
                <w:sz w:val="20"/>
                <w:szCs w:val="20"/>
                <w:color w:val="auto"/>
              </w:rPr>
            </w:pPr>
            <w:r>
              <w:rPr>
                <w:rFonts w:ascii="Arial" w:cs="Arial" w:eastAsia="Arial" w:hAnsi="Arial"/>
                <w:sz w:val="11"/>
                <w:szCs w:val="11"/>
                <w:b w:val="1"/>
                <w:bCs w:val="1"/>
                <w:color w:val="auto"/>
                <w:w w:val="86"/>
              </w:rPr>
              <w:t>June 27, 2008</w:t>
            </w:r>
          </w:p>
        </w:tc>
      </w:tr>
      <w:tr>
        <w:trPr>
          <w:trHeight w:val="101"/>
        </w:trPr>
        <w:tc>
          <w:tcPr>
            <w:tcW w:w="6300" w:type="dxa"/>
            <w:vAlign w:val="bottom"/>
          </w:tcPr>
          <w:p>
            <w:pPr>
              <w:spacing w:after="0"/>
              <w:rPr>
                <w:sz w:val="8"/>
                <w:szCs w:val="8"/>
                <w:color w:val="auto"/>
              </w:rPr>
            </w:pPr>
          </w:p>
        </w:tc>
        <w:tc>
          <w:tcPr>
            <w:tcW w:w="400" w:type="dxa"/>
            <w:vAlign w:val="bottom"/>
            <w:tcBorders>
              <w:top w:val="single" w:sz="8" w:color="auto"/>
              <w:bottom w:val="single" w:sz="8" w:color="auto"/>
            </w:tcBorders>
            <w:gridSpan w:val="2"/>
          </w:tcPr>
          <w:p>
            <w:pPr>
              <w:ind w:left="20"/>
              <w:spacing w:after="0" w:line="101" w:lineRule="exact"/>
              <w:rPr>
                <w:sz w:val="20"/>
                <w:szCs w:val="20"/>
                <w:color w:val="auto"/>
              </w:rPr>
            </w:pPr>
            <w:r>
              <w:rPr>
                <w:rFonts w:ascii="Arial" w:cs="Arial" w:eastAsia="Arial" w:hAnsi="Arial"/>
                <w:sz w:val="11"/>
                <w:szCs w:val="11"/>
                <w:b w:val="1"/>
                <w:bCs w:val="1"/>
                <w:color w:val="auto"/>
                <w:w w:val="90"/>
              </w:rPr>
              <w:t>Current</w:t>
            </w:r>
          </w:p>
        </w:tc>
        <w:tc>
          <w:tcPr>
            <w:tcW w:w="8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720" w:type="dxa"/>
            <w:vAlign w:val="bottom"/>
            <w:tcBorders>
              <w:top w:val="single" w:sz="8" w:color="auto"/>
              <w:bottom w:val="single" w:sz="8" w:color="auto"/>
            </w:tcBorders>
          </w:tcPr>
          <w:p>
            <w:pPr>
              <w:jc w:val="right"/>
              <w:ind w:right="34"/>
              <w:spacing w:after="0" w:line="101" w:lineRule="exact"/>
              <w:rPr>
                <w:sz w:val="20"/>
                <w:szCs w:val="20"/>
                <w:color w:val="auto"/>
              </w:rPr>
            </w:pPr>
            <w:r>
              <w:rPr>
                <w:rFonts w:ascii="Arial" w:cs="Arial" w:eastAsia="Arial" w:hAnsi="Arial"/>
                <w:sz w:val="11"/>
                <w:szCs w:val="11"/>
                <w:b w:val="1"/>
                <w:bCs w:val="1"/>
                <w:color w:val="auto"/>
                <w:w w:val="92"/>
              </w:rPr>
              <w:t>Non-Current</w:t>
            </w:r>
          </w:p>
        </w:tc>
        <w:tc>
          <w:tcPr>
            <w:tcW w:w="400" w:type="dxa"/>
            <w:vAlign w:val="bottom"/>
          </w:tcPr>
          <w:p>
            <w:pPr>
              <w:spacing w:after="0"/>
              <w:rPr>
                <w:sz w:val="8"/>
                <w:szCs w:val="8"/>
                <w:color w:val="auto"/>
              </w:rPr>
            </w:pPr>
          </w:p>
        </w:tc>
        <w:tc>
          <w:tcPr>
            <w:tcW w:w="420" w:type="dxa"/>
            <w:vAlign w:val="bottom"/>
            <w:tcBorders>
              <w:top w:val="single" w:sz="8" w:color="auto"/>
              <w:bottom w:val="single" w:sz="8" w:color="auto"/>
            </w:tcBorders>
            <w:gridSpan w:val="2"/>
          </w:tcPr>
          <w:p>
            <w:pPr>
              <w:jc w:val="right"/>
              <w:spacing w:after="0" w:line="101" w:lineRule="exact"/>
              <w:rPr>
                <w:sz w:val="20"/>
                <w:szCs w:val="20"/>
                <w:color w:val="auto"/>
              </w:rPr>
            </w:pPr>
            <w:r>
              <w:rPr>
                <w:rFonts w:ascii="Arial" w:cs="Arial" w:eastAsia="Arial" w:hAnsi="Arial"/>
                <w:sz w:val="11"/>
                <w:szCs w:val="11"/>
                <w:b w:val="1"/>
                <w:bCs w:val="1"/>
                <w:color w:val="auto"/>
                <w:w w:val="95"/>
              </w:rPr>
              <w:t>Current</w:t>
            </w:r>
          </w:p>
        </w:tc>
        <w:tc>
          <w:tcPr>
            <w:tcW w:w="6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720" w:type="dxa"/>
            <w:vAlign w:val="bottom"/>
            <w:tcBorders>
              <w:top w:val="single" w:sz="8" w:color="auto"/>
              <w:bottom w:val="single" w:sz="8" w:color="auto"/>
            </w:tcBorders>
          </w:tcPr>
          <w:p>
            <w:pPr>
              <w:jc w:val="right"/>
              <w:ind w:right="33"/>
              <w:spacing w:after="0" w:line="101" w:lineRule="exact"/>
              <w:rPr>
                <w:sz w:val="20"/>
                <w:szCs w:val="20"/>
                <w:color w:val="auto"/>
              </w:rPr>
            </w:pPr>
            <w:r>
              <w:rPr>
                <w:rFonts w:ascii="Arial" w:cs="Arial" w:eastAsia="Arial" w:hAnsi="Arial"/>
                <w:sz w:val="11"/>
                <w:szCs w:val="11"/>
                <w:b w:val="1"/>
                <w:bCs w:val="1"/>
                <w:color w:val="auto"/>
                <w:w w:val="92"/>
              </w:rPr>
              <w:t>Non-Current</w:t>
            </w:r>
          </w:p>
        </w:tc>
        <w:tc>
          <w:tcPr>
            <w:tcW w:w="80" w:type="dxa"/>
            <w:vAlign w:val="bottom"/>
          </w:tcPr>
          <w:p>
            <w:pPr>
              <w:spacing w:after="0"/>
              <w:rPr>
                <w:sz w:val="8"/>
                <w:szCs w:val="8"/>
                <w:color w:val="auto"/>
              </w:rPr>
            </w:pPr>
          </w:p>
        </w:tc>
      </w:tr>
      <w:tr>
        <w:trPr>
          <w:trHeight w:val="135"/>
        </w:trPr>
        <w:tc>
          <w:tcPr>
            <w:tcW w:w="6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3"/>
          </w:tcPr>
          <w:p>
            <w:pPr>
              <w:jc w:val="right"/>
              <w:spacing w:after="0"/>
              <w:rPr>
                <w:sz w:val="20"/>
                <w:szCs w:val="20"/>
                <w:color w:val="auto"/>
              </w:rPr>
            </w:pPr>
            <w:r>
              <w:rPr>
                <w:rFonts w:ascii="Arial" w:cs="Arial" w:eastAsia="Arial" w:hAnsi="Arial"/>
                <w:sz w:val="11"/>
                <w:szCs w:val="11"/>
                <w:b w:val="1"/>
                <w:bCs w:val="1"/>
                <w:color w:val="auto"/>
              </w:rPr>
              <w:t>(In millions)</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7"/>
        </w:trPr>
        <w:tc>
          <w:tcPr>
            <w:tcW w:w="6300" w:type="dxa"/>
            <w:vAlign w:val="bottom"/>
            <w:shd w:val="clear" w:color="auto" w:fill="CCEEFF"/>
          </w:tcPr>
          <w:p>
            <w:pPr>
              <w:spacing w:after="0"/>
              <w:rPr>
                <w:sz w:val="20"/>
                <w:szCs w:val="20"/>
                <w:color w:val="auto"/>
              </w:rPr>
            </w:pPr>
            <w:r>
              <w:rPr>
                <w:rFonts w:ascii="Arial" w:cs="Arial" w:eastAsia="Arial" w:hAnsi="Arial"/>
                <w:sz w:val="13"/>
                <w:szCs w:val="13"/>
                <w:color w:val="auto"/>
              </w:rPr>
              <w:t>Deferred tax assets:</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1"/>
        </w:trPr>
        <w:tc>
          <w:tcPr>
            <w:tcW w:w="6300" w:type="dxa"/>
            <w:vAlign w:val="bottom"/>
          </w:tcPr>
          <w:p>
            <w:pPr>
              <w:spacing w:after="0"/>
              <w:rPr>
                <w:sz w:val="20"/>
                <w:szCs w:val="20"/>
                <w:color w:val="auto"/>
              </w:rPr>
            </w:pPr>
            <w:r>
              <w:rPr>
                <w:rFonts w:ascii="Arial" w:cs="Arial" w:eastAsia="Arial" w:hAnsi="Arial"/>
                <w:sz w:val="13"/>
                <w:szCs w:val="13"/>
                <w:color w:val="auto"/>
              </w:rPr>
              <w:t>Inventory</w:t>
            </w:r>
          </w:p>
        </w:tc>
        <w:tc>
          <w:tcPr>
            <w:tcW w:w="100" w:type="dxa"/>
            <w:vAlign w:val="bottom"/>
          </w:tcPr>
          <w:p>
            <w:pPr>
              <w:spacing w:after="0"/>
              <w:rPr>
                <w:sz w:val="20"/>
                <w:szCs w:val="20"/>
                <w:color w:val="auto"/>
              </w:rPr>
            </w:pPr>
            <w:r>
              <w:rPr>
                <w:rFonts w:ascii="Arial" w:cs="Arial" w:eastAsia="Arial" w:hAnsi="Arial"/>
                <w:sz w:val="13"/>
                <w:szCs w:val="13"/>
                <w:color w:val="auto"/>
              </w:rPr>
              <w:t>$</w:t>
            </w:r>
          </w:p>
        </w:tc>
        <w:tc>
          <w:tcPr>
            <w:tcW w:w="380" w:type="dxa"/>
            <w:vAlign w:val="bottom"/>
            <w:gridSpan w:val="2"/>
          </w:tcPr>
          <w:p>
            <w:pPr>
              <w:jc w:val="right"/>
              <w:ind w:right="80"/>
              <w:spacing w:after="0"/>
              <w:rPr>
                <w:sz w:val="20"/>
                <w:szCs w:val="20"/>
                <w:color w:val="auto"/>
              </w:rPr>
            </w:pPr>
            <w:r>
              <w:rPr>
                <w:rFonts w:ascii="Arial" w:cs="Arial" w:eastAsia="Arial" w:hAnsi="Arial"/>
                <w:sz w:val="13"/>
                <w:szCs w:val="13"/>
                <w:color w:val="auto"/>
              </w:rPr>
              <w:t>18.0</w:t>
            </w:r>
          </w:p>
        </w:tc>
        <w:tc>
          <w:tcPr>
            <w:tcW w:w="4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380" w:type="dxa"/>
            <w:vAlign w:val="bottom"/>
            <w:gridSpan w:val="2"/>
          </w:tcPr>
          <w:p>
            <w:pPr>
              <w:jc w:val="right"/>
              <w:ind w:right="60"/>
              <w:spacing w:after="0"/>
              <w:rPr>
                <w:sz w:val="20"/>
                <w:szCs w:val="20"/>
                <w:color w:val="auto"/>
              </w:rPr>
            </w:pPr>
            <w:r>
              <w:rPr>
                <w:rFonts w:ascii="Arial" w:cs="Arial" w:eastAsia="Arial" w:hAnsi="Arial"/>
                <w:sz w:val="13"/>
                <w:szCs w:val="13"/>
                <w:color w:val="auto"/>
              </w:rPr>
              <w:t>18.7</w:t>
            </w:r>
          </w:p>
        </w:tc>
        <w:tc>
          <w:tcPr>
            <w:tcW w:w="4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r>
      <w:tr>
        <w:trPr>
          <w:trHeight w:val="161"/>
        </w:trPr>
        <w:tc>
          <w:tcPr>
            <w:tcW w:w="6300" w:type="dxa"/>
            <w:vAlign w:val="bottom"/>
            <w:shd w:val="clear" w:color="auto" w:fill="CCEEFF"/>
          </w:tcPr>
          <w:p>
            <w:pPr>
              <w:spacing w:after="0"/>
              <w:rPr>
                <w:sz w:val="20"/>
                <w:szCs w:val="20"/>
                <w:color w:val="auto"/>
              </w:rPr>
            </w:pPr>
            <w:r>
              <w:rPr>
                <w:rFonts w:ascii="Arial" w:cs="Arial" w:eastAsia="Arial" w:hAnsi="Arial"/>
                <w:sz w:val="13"/>
                <w:szCs w:val="13"/>
                <w:color w:val="auto"/>
              </w:rPr>
              <w:t>Accruals</w:t>
            </w:r>
          </w:p>
        </w:tc>
        <w:tc>
          <w:tcPr>
            <w:tcW w:w="10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3.1</w:t>
            </w: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5.7</w:t>
            </w: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r>
      <w:tr>
        <w:trPr>
          <w:trHeight w:val="161"/>
        </w:trPr>
        <w:tc>
          <w:tcPr>
            <w:tcW w:w="6300" w:type="dxa"/>
            <w:vAlign w:val="bottom"/>
          </w:tcPr>
          <w:p>
            <w:pPr>
              <w:spacing w:after="0"/>
              <w:rPr>
                <w:sz w:val="20"/>
                <w:szCs w:val="20"/>
                <w:color w:val="auto"/>
              </w:rPr>
            </w:pPr>
            <w:r>
              <w:rPr>
                <w:rFonts w:ascii="Arial" w:cs="Arial" w:eastAsia="Arial" w:hAnsi="Arial"/>
                <w:sz w:val="13"/>
                <w:szCs w:val="13"/>
                <w:color w:val="auto"/>
              </w:rPr>
              <w:t>Unrealized impairment loss</w:t>
            </w:r>
          </w:p>
        </w:tc>
        <w:tc>
          <w:tcPr>
            <w:tcW w:w="100" w:type="dxa"/>
            <w:vAlign w:val="bottom"/>
          </w:tcPr>
          <w:p>
            <w:pPr>
              <w:spacing w:after="0"/>
              <w:rPr>
                <w:sz w:val="14"/>
                <w:szCs w:val="14"/>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14"/>
                <w:szCs w:val="14"/>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3"/>
                <w:szCs w:val="13"/>
                <w:color w:val="auto"/>
              </w:rPr>
              <w:t>0.1</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1.1</w:t>
            </w:r>
          </w:p>
        </w:tc>
      </w:tr>
      <w:tr>
        <w:trPr>
          <w:trHeight w:val="161"/>
        </w:trPr>
        <w:tc>
          <w:tcPr>
            <w:tcW w:w="6300" w:type="dxa"/>
            <w:vAlign w:val="bottom"/>
            <w:shd w:val="clear" w:color="auto" w:fill="CCEEFF"/>
          </w:tcPr>
          <w:p>
            <w:pPr>
              <w:spacing w:after="0"/>
              <w:rPr>
                <w:sz w:val="20"/>
                <w:szCs w:val="20"/>
                <w:color w:val="auto"/>
              </w:rPr>
            </w:pPr>
            <w:r>
              <w:rPr>
                <w:rFonts w:ascii="Arial" w:cs="Arial" w:eastAsia="Arial" w:hAnsi="Arial"/>
                <w:sz w:val="13"/>
                <w:szCs w:val="13"/>
                <w:color w:val="auto"/>
              </w:rPr>
              <w:t>Other reserves and accruals</w:t>
            </w:r>
          </w:p>
        </w:tc>
        <w:tc>
          <w:tcPr>
            <w:tcW w:w="10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0.2</w:t>
            </w: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0.8</w:t>
            </w:r>
          </w:p>
        </w:tc>
        <w:tc>
          <w:tcPr>
            <w:tcW w:w="10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1.9</w:t>
            </w: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r>
      <w:tr>
        <w:trPr>
          <w:trHeight w:val="161"/>
        </w:trPr>
        <w:tc>
          <w:tcPr>
            <w:tcW w:w="6300" w:type="dxa"/>
            <w:vAlign w:val="bottom"/>
          </w:tcPr>
          <w:p>
            <w:pPr>
              <w:spacing w:after="0"/>
              <w:rPr>
                <w:sz w:val="20"/>
                <w:szCs w:val="20"/>
                <w:color w:val="auto"/>
              </w:rPr>
            </w:pPr>
            <w:r>
              <w:rPr>
                <w:rFonts w:ascii="Arial" w:cs="Arial" w:eastAsia="Arial" w:hAnsi="Arial"/>
                <w:sz w:val="13"/>
                <w:szCs w:val="13"/>
                <w:color w:val="auto"/>
              </w:rPr>
              <w:t>Bad debts</w:t>
            </w:r>
          </w:p>
        </w:tc>
        <w:tc>
          <w:tcPr>
            <w:tcW w:w="100" w:type="dxa"/>
            <w:vAlign w:val="bottom"/>
          </w:tcPr>
          <w:p>
            <w:pPr>
              <w:spacing w:after="0"/>
              <w:rPr>
                <w:sz w:val="14"/>
                <w:szCs w:val="14"/>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3"/>
                <w:szCs w:val="13"/>
                <w:color w:val="auto"/>
              </w:rPr>
              <w:t>6.1</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3"/>
                <w:szCs w:val="13"/>
                <w:color w:val="auto"/>
              </w:rPr>
              <w:t>2.6</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r>
      <w:tr>
        <w:trPr>
          <w:trHeight w:val="161"/>
        </w:trPr>
        <w:tc>
          <w:tcPr>
            <w:tcW w:w="6300" w:type="dxa"/>
            <w:vAlign w:val="bottom"/>
            <w:shd w:val="clear" w:color="auto" w:fill="CCEEFF"/>
          </w:tcPr>
          <w:p>
            <w:pPr>
              <w:spacing w:after="0"/>
              <w:rPr>
                <w:sz w:val="20"/>
                <w:szCs w:val="20"/>
                <w:color w:val="auto"/>
              </w:rPr>
            </w:pPr>
            <w:r>
              <w:rPr>
                <w:rFonts w:ascii="Arial" w:cs="Arial" w:eastAsia="Arial" w:hAnsi="Arial"/>
                <w:sz w:val="13"/>
                <w:szCs w:val="13"/>
                <w:color w:val="auto"/>
              </w:rPr>
              <w:t>Warranty reserve</w:t>
            </w:r>
          </w:p>
        </w:tc>
        <w:tc>
          <w:tcPr>
            <w:tcW w:w="10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2.4</w:t>
            </w: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2.5</w:t>
            </w: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0.2</w:t>
            </w:r>
          </w:p>
        </w:tc>
      </w:tr>
      <w:tr>
        <w:trPr>
          <w:trHeight w:val="161"/>
        </w:trPr>
        <w:tc>
          <w:tcPr>
            <w:tcW w:w="6300" w:type="dxa"/>
            <w:vAlign w:val="bottom"/>
          </w:tcPr>
          <w:p>
            <w:pPr>
              <w:spacing w:after="0"/>
              <w:rPr>
                <w:sz w:val="20"/>
                <w:szCs w:val="20"/>
                <w:color w:val="auto"/>
              </w:rPr>
            </w:pPr>
            <w:r>
              <w:rPr>
                <w:rFonts w:ascii="Arial" w:cs="Arial" w:eastAsia="Arial" w:hAnsi="Arial"/>
                <w:sz w:val="13"/>
                <w:szCs w:val="13"/>
                <w:color w:val="auto"/>
              </w:rPr>
              <w:t>Deferred costs</w:t>
            </w:r>
          </w:p>
        </w:tc>
        <w:tc>
          <w:tcPr>
            <w:tcW w:w="100" w:type="dxa"/>
            <w:vAlign w:val="bottom"/>
          </w:tcPr>
          <w:p>
            <w:pPr>
              <w:spacing w:after="0"/>
              <w:rPr>
                <w:sz w:val="14"/>
                <w:szCs w:val="14"/>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3"/>
                <w:szCs w:val="13"/>
                <w:color w:val="auto"/>
              </w:rPr>
              <w:t>0.5</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r>
      <w:tr>
        <w:trPr>
          <w:trHeight w:val="161"/>
        </w:trPr>
        <w:tc>
          <w:tcPr>
            <w:tcW w:w="6300" w:type="dxa"/>
            <w:vAlign w:val="bottom"/>
            <w:shd w:val="clear" w:color="auto" w:fill="CCEEFF"/>
          </w:tcPr>
          <w:p>
            <w:pPr>
              <w:spacing w:after="0"/>
              <w:rPr>
                <w:sz w:val="20"/>
                <w:szCs w:val="20"/>
                <w:color w:val="auto"/>
              </w:rPr>
            </w:pPr>
            <w:r>
              <w:rPr>
                <w:rFonts w:ascii="Arial" w:cs="Arial" w:eastAsia="Arial" w:hAnsi="Arial"/>
                <w:sz w:val="13"/>
                <w:szCs w:val="13"/>
                <w:color w:val="auto"/>
              </w:rPr>
              <w:t>Depreciation</w:t>
            </w:r>
          </w:p>
        </w:tc>
        <w:tc>
          <w:tcPr>
            <w:tcW w:w="10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4.8</w:t>
            </w:r>
          </w:p>
        </w:tc>
        <w:tc>
          <w:tcPr>
            <w:tcW w:w="10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2.0</w:t>
            </w:r>
          </w:p>
        </w:tc>
      </w:tr>
      <w:tr>
        <w:trPr>
          <w:trHeight w:val="161"/>
        </w:trPr>
        <w:tc>
          <w:tcPr>
            <w:tcW w:w="6300" w:type="dxa"/>
            <w:vAlign w:val="bottom"/>
          </w:tcPr>
          <w:p>
            <w:pPr>
              <w:spacing w:after="0"/>
              <w:rPr>
                <w:sz w:val="20"/>
                <w:szCs w:val="20"/>
                <w:color w:val="auto"/>
              </w:rPr>
            </w:pPr>
            <w:r>
              <w:rPr>
                <w:rFonts w:ascii="Arial" w:cs="Arial" w:eastAsia="Arial" w:hAnsi="Arial"/>
                <w:sz w:val="13"/>
                <w:szCs w:val="13"/>
                <w:color w:val="auto"/>
              </w:rPr>
              <w:t>Amortization</w:t>
            </w:r>
          </w:p>
        </w:tc>
        <w:tc>
          <w:tcPr>
            <w:tcW w:w="100" w:type="dxa"/>
            <w:vAlign w:val="bottom"/>
          </w:tcPr>
          <w:p>
            <w:pPr>
              <w:spacing w:after="0"/>
              <w:rPr>
                <w:sz w:val="14"/>
                <w:szCs w:val="14"/>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3"/>
                <w:szCs w:val="13"/>
                <w:color w:val="auto"/>
              </w:rPr>
              <w:t>17.2</w:t>
            </w:r>
          </w:p>
        </w:tc>
        <w:tc>
          <w:tcPr>
            <w:tcW w:w="100" w:type="dxa"/>
            <w:vAlign w:val="bottom"/>
          </w:tcPr>
          <w:p>
            <w:pPr>
              <w:spacing w:after="0"/>
              <w:rPr>
                <w:sz w:val="14"/>
                <w:szCs w:val="14"/>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r>
      <w:tr>
        <w:trPr>
          <w:trHeight w:val="161"/>
        </w:trPr>
        <w:tc>
          <w:tcPr>
            <w:tcW w:w="6300" w:type="dxa"/>
            <w:vAlign w:val="bottom"/>
            <w:shd w:val="clear" w:color="auto" w:fill="CCEEFF"/>
          </w:tcPr>
          <w:p>
            <w:pPr>
              <w:spacing w:after="0"/>
              <w:rPr>
                <w:sz w:val="20"/>
                <w:szCs w:val="20"/>
                <w:color w:val="auto"/>
              </w:rPr>
            </w:pPr>
            <w:r>
              <w:rPr>
                <w:rFonts w:ascii="Arial" w:cs="Arial" w:eastAsia="Arial" w:hAnsi="Arial"/>
                <w:sz w:val="13"/>
                <w:szCs w:val="13"/>
                <w:color w:val="auto"/>
              </w:rPr>
              <w:t>Other foreign</w:t>
            </w:r>
          </w:p>
        </w:tc>
        <w:tc>
          <w:tcPr>
            <w:tcW w:w="10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6.0</w:t>
            </w: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3.0</w:t>
            </w: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r>
      <w:tr>
        <w:trPr>
          <w:trHeight w:val="161"/>
        </w:trPr>
        <w:tc>
          <w:tcPr>
            <w:tcW w:w="6300" w:type="dxa"/>
            <w:vAlign w:val="bottom"/>
          </w:tcPr>
          <w:p>
            <w:pPr>
              <w:spacing w:after="0"/>
              <w:rPr>
                <w:sz w:val="20"/>
                <w:szCs w:val="20"/>
                <w:color w:val="auto"/>
              </w:rPr>
            </w:pPr>
            <w:r>
              <w:rPr>
                <w:rFonts w:ascii="Arial" w:cs="Arial" w:eastAsia="Arial" w:hAnsi="Arial"/>
                <w:sz w:val="13"/>
                <w:szCs w:val="13"/>
                <w:color w:val="auto"/>
              </w:rPr>
              <w:t>Stock options</w:t>
            </w:r>
          </w:p>
        </w:tc>
        <w:tc>
          <w:tcPr>
            <w:tcW w:w="100" w:type="dxa"/>
            <w:vAlign w:val="bottom"/>
          </w:tcPr>
          <w:p>
            <w:pPr>
              <w:spacing w:after="0"/>
              <w:rPr>
                <w:sz w:val="14"/>
                <w:szCs w:val="14"/>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3"/>
                <w:szCs w:val="13"/>
                <w:color w:val="auto"/>
              </w:rPr>
              <w:t>3.3</w:t>
            </w:r>
          </w:p>
        </w:tc>
        <w:tc>
          <w:tcPr>
            <w:tcW w:w="100" w:type="dxa"/>
            <w:vAlign w:val="bottom"/>
          </w:tcPr>
          <w:p>
            <w:pPr>
              <w:spacing w:after="0"/>
              <w:rPr>
                <w:sz w:val="14"/>
                <w:szCs w:val="14"/>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3.1</w:t>
            </w:r>
          </w:p>
        </w:tc>
      </w:tr>
      <w:tr>
        <w:trPr>
          <w:trHeight w:val="161"/>
        </w:trPr>
        <w:tc>
          <w:tcPr>
            <w:tcW w:w="6300" w:type="dxa"/>
            <w:vAlign w:val="bottom"/>
            <w:shd w:val="clear" w:color="auto" w:fill="CCEEFF"/>
          </w:tcPr>
          <w:p>
            <w:pPr>
              <w:spacing w:after="0"/>
              <w:rPr>
                <w:sz w:val="20"/>
                <w:szCs w:val="20"/>
                <w:color w:val="auto"/>
              </w:rPr>
            </w:pPr>
            <w:r>
              <w:rPr>
                <w:rFonts w:ascii="Arial" w:cs="Arial" w:eastAsia="Arial" w:hAnsi="Arial"/>
                <w:sz w:val="13"/>
                <w:szCs w:val="13"/>
                <w:color w:val="auto"/>
              </w:rPr>
              <w:t>Severance and restructuring costs</w:t>
            </w:r>
          </w:p>
        </w:tc>
        <w:tc>
          <w:tcPr>
            <w:tcW w:w="10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2.3</w:t>
            </w: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2.9</w:t>
            </w: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5.0</w:t>
            </w:r>
          </w:p>
        </w:tc>
      </w:tr>
      <w:tr>
        <w:trPr>
          <w:trHeight w:val="161"/>
        </w:trPr>
        <w:tc>
          <w:tcPr>
            <w:tcW w:w="6300" w:type="dxa"/>
            <w:vAlign w:val="bottom"/>
          </w:tcPr>
          <w:p>
            <w:pPr>
              <w:spacing w:after="0"/>
              <w:rPr>
                <w:sz w:val="20"/>
                <w:szCs w:val="20"/>
                <w:color w:val="auto"/>
              </w:rPr>
            </w:pPr>
            <w:r>
              <w:rPr>
                <w:rFonts w:ascii="Arial" w:cs="Arial" w:eastAsia="Arial" w:hAnsi="Arial"/>
                <w:sz w:val="13"/>
                <w:szCs w:val="13"/>
                <w:color w:val="auto"/>
              </w:rPr>
              <w:t>Deferred revenue</w:t>
            </w:r>
          </w:p>
        </w:tc>
        <w:tc>
          <w:tcPr>
            <w:tcW w:w="100" w:type="dxa"/>
            <w:vAlign w:val="bottom"/>
          </w:tcPr>
          <w:p>
            <w:pPr>
              <w:spacing w:after="0"/>
              <w:rPr>
                <w:sz w:val="14"/>
                <w:szCs w:val="14"/>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3"/>
                <w:szCs w:val="13"/>
                <w:color w:val="auto"/>
              </w:rPr>
              <w:t>3.4</w:t>
            </w:r>
          </w:p>
        </w:tc>
        <w:tc>
          <w:tcPr>
            <w:tcW w:w="100" w:type="dxa"/>
            <w:vAlign w:val="bottom"/>
          </w:tcPr>
          <w:p>
            <w:pPr>
              <w:spacing w:after="0"/>
              <w:rPr>
                <w:sz w:val="14"/>
                <w:szCs w:val="14"/>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r>
      <w:tr>
        <w:trPr>
          <w:trHeight w:val="161"/>
        </w:trPr>
        <w:tc>
          <w:tcPr>
            <w:tcW w:w="6300" w:type="dxa"/>
            <w:vAlign w:val="bottom"/>
            <w:shd w:val="clear" w:color="auto" w:fill="CCEEFF"/>
          </w:tcPr>
          <w:p>
            <w:pPr>
              <w:spacing w:after="0"/>
              <w:rPr>
                <w:sz w:val="20"/>
                <w:szCs w:val="20"/>
                <w:color w:val="auto"/>
              </w:rPr>
            </w:pPr>
            <w:r>
              <w:rPr>
                <w:rFonts w:ascii="Arial" w:cs="Arial" w:eastAsia="Arial" w:hAnsi="Arial"/>
                <w:sz w:val="13"/>
                <w:szCs w:val="13"/>
                <w:color w:val="auto"/>
              </w:rPr>
              <w:t>Unrealized exchange gain/loss</w:t>
            </w:r>
          </w:p>
        </w:tc>
        <w:tc>
          <w:tcPr>
            <w:tcW w:w="10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1.4</w:t>
            </w: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r>
      <w:tr>
        <w:trPr>
          <w:trHeight w:val="161"/>
        </w:trPr>
        <w:tc>
          <w:tcPr>
            <w:tcW w:w="6300" w:type="dxa"/>
            <w:vAlign w:val="bottom"/>
          </w:tcPr>
          <w:p>
            <w:pPr>
              <w:spacing w:after="0"/>
              <w:rPr>
                <w:sz w:val="20"/>
                <w:szCs w:val="20"/>
                <w:color w:val="auto"/>
              </w:rPr>
            </w:pPr>
            <w:r>
              <w:rPr>
                <w:rFonts w:ascii="Arial" w:cs="Arial" w:eastAsia="Arial" w:hAnsi="Arial"/>
                <w:sz w:val="13"/>
                <w:szCs w:val="13"/>
                <w:color w:val="auto"/>
              </w:rPr>
              <w:t>Other</w:t>
            </w:r>
          </w:p>
        </w:tc>
        <w:tc>
          <w:tcPr>
            <w:tcW w:w="100" w:type="dxa"/>
            <w:vAlign w:val="bottom"/>
          </w:tcPr>
          <w:p>
            <w:pPr>
              <w:spacing w:after="0"/>
              <w:rPr>
                <w:sz w:val="14"/>
                <w:szCs w:val="14"/>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14"/>
                <w:szCs w:val="14"/>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3"/>
                <w:szCs w:val="13"/>
                <w:color w:val="auto"/>
              </w:rPr>
              <w:t>0.3</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1.1</w:t>
            </w:r>
          </w:p>
        </w:tc>
      </w:tr>
      <w:tr>
        <w:trPr>
          <w:trHeight w:val="161"/>
        </w:trPr>
        <w:tc>
          <w:tcPr>
            <w:tcW w:w="6300" w:type="dxa"/>
            <w:vAlign w:val="bottom"/>
            <w:shd w:val="clear" w:color="auto" w:fill="CCEEFF"/>
          </w:tcPr>
          <w:p>
            <w:pPr>
              <w:spacing w:after="0"/>
              <w:rPr>
                <w:sz w:val="20"/>
                <w:szCs w:val="20"/>
                <w:color w:val="auto"/>
              </w:rPr>
            </w:pPr>
            <w:r>
              <w:rPr>
                <w:rFonts w:ascii="Arial" w:cs="Arial" w:eastAsia="Arial" w:hAnsi="Arial"/>
                <w:sz w:val="13"/>
                <w:szCs w:val="13"/>
                <w:color w:val="auto"/>
              </w:rPr>
              <w:t>Capital loss carryforward</w:t>
            </w:r>
          </w:p>
        </w:tc>
        <w:tc>
          <w:tcPr>
            <w:tcW w:w="10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5.8</w:t>
            </w:r>
          </w:p>
        </w:tc>
        <w:tc>
          <w:tcPr>
            <w:tcW w:w="10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7.6</w:t>
            </w:r>
          </w:p>
        </w:tc>
      </w:tr>
      <w:tr>
        <w:trPr>
          <w:trHeight w:val="161"/>
        </w:trPr>
        <w:tc>
          <w:tcPr>
            <w:tcW w:w="6300" w:type="dxa"/>
            <w:vAlign w:val="bottom"/>
          </w:tcPr>
          <w:p>
            <w:pPr>
              <w:spacing w:after="0"/>
              <w:rPr>
                <w:sz w:val="20"/>
                <w:szCs w:val="20"/>
                <w:color w:val="auto"/>
              </w:rPr>
            </w:pPr>
            <w:r>
              <w:rPr>
                <w:rFonts w:ascii="Arial" w:cs="Arial" w:eastAsia="Arial" w:hAnsi="Arial"/>
                <w:sz w:val="13"/>
                <w:szCs w:val="13"/>
                <w:color w:val="auto"/>
              </w:rPr>
              <w:t>Tax credit carryforwards</w:t>
            </w:r>
          </w:p>
        </w:tc>
        <w:tc>
          <w:tcPr>
            <w:tcW w:w="100" w:type="dxa"/>
            <w:vAlign w:val="bottom"/>
          </w:tcPr>
          <w:p>
            <w:pPr>
              <w:spacing w:after="0"/>
              <w:rPr>
                <w:sz w:val="14"/>
                <w:szCs w:val="14"/>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3"/>
                <w:szCs w:val="13"/>
                <w:color w:val="auto"/>
              </w:rPr>
              <w:t>28.0</w:t>
            </w:r>
          </w:p>
        </w:tc>
        <w:tc>
          <w:tcPr>
            <w:tcW w:w="100" w:type="dxa"/>
            <w:vAlign w:val="bottom"/>
          </w:tcPr>
          <w:p>
            <w:pPr>
              <w:spacing w:after="0"/>
              <w:rPr>
                <w:sz w:val="14"/>
                <w:szCs w:val="14"/>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25.2</w:t>
            </w:r>
          </w:p>
        </w:tc>
      </w:tr>
      <w:tr>
        <w:trPr>
          <w:trHeight w:val="161"/>
        </w:trPr>
        <w:tc>
          <w:tcPr>
            <w:tcW w:w="6300" w:type="dxa"/>
            <w:vAlign w:val="bottom"/>
            <w:shd w:val="clear" w:color="auto" w:fill="CCEEFF"/>
          </w:tcPr>
          <w:p>
            <w:pPr>
              <w:spacing w:after="0"/>
              <w:rPr>
                <w:sz w:val="20"/>
                <w:szCs w:val="20"/>
                <w:color w:val="auto"/>
              </w:rPr>
            </w:pPr>
            <w:r>
              <w:rPr>
                <w:rFonts w:ascii="Arial" w:cs="Arial" w:eastAsia="Arial" w:hAnsi="Arial"/>
                <w:sz w:val="13"/>
                <w:szCs w:val="13"/>
                <w:color w:val="auto"/>
              </w:rPr>
              <w:t>Tax loss carryforwards</w:t>
            </w:r>
          </w:p>
        </w:tc>
        <w:tc>
          <w:tcPr>
            <w:tcW w:w="10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90.2</w:t>
            </w:r>
          </w:p>
        </w:tc>
        <w:tc>
          <w:tcPr>
            <w:tcW w:w="10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95.0</w:t>
            </w:r>
          </w:p>
        </w:tc>
      </w:tr>
      <w:tr>
        <w:trPr>
          <w:trHeight w:val="161"/>
        </w:trPr>
        <w:tc>
          <w:tcPr>
            <w:tcW w:w="6300" w:type="dxa"/>
            <w:vAlign w:val="bottom"/>
          </w:tcPr>
          <w:p>
            <w:pPr>
              <w:spacing w:after="0"/>
              <w:rPr>
                <w:sz w:val="20"/>
                <w:szCs w:val="20"/>
                <w:color w:val="auto"/>
              </w:rPr>
            </w:pPr>
            <w:r>
              <w:rPr>
                <w:rFonts w:ascii="Arial" w:cs="Arial" w:eastAsia="Arial" w:hAnsi="Arial"/>
                <w:sz w:val="13"/>
                <w:szCs w:val="13"/>
                <w:color w:val="auto"/>
              </w:rPr>
              <w:t>Total deferred tax assets</w:t>
            </w:r>
          </w:p>
        </w:tc>
        <w:tc>
          <w:tcPr>
            <w:tcW w:w="10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39.5</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155.9</w:t>
            </w:r>
          </w:p>
        </w:tc>
        <w:tc>
          <w:tcPr>
            <w:tcW w:w="4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38.2</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140.3</w:t>
            </w:r>
          </w:p>
        </w:tc>
        <w:tc>
          <w:tcPr>
            <w:tcW w:w="80" w:type="dxa"/>
            <w:vAlign w:val="bottom"/>
          </w:tcPr>
          <w:p>
            <w:pPr>
              <w:spacing w:after="0"/>
              <w:rPr>
                <w:sz w:val="14"/>
                <w:szCs w:val="14"/>
                <w:color w:val="auto"/>
              </w:rPr>
            </w:pPr>
          </w:p>
        </w:tc>
      </w:tr>
      <w:tr>
        <w:trPr>
          <w:trHeight w:val="161"/>
        </w:trPr>
        <w:tc>
          <w:tcPr>
            <w:tcW w:w="6300" w:type="dxa"/>
            <w:vAlign w:val="bottom"/>
            <w:shd w:val="clear" w:color="auto" w:fill="CCEEFF"/>
          </w:tcPr>
          <w:p>
            <w:pPr>
              <w:spacing w:after="0"/>
              <w:rPr>
                <w:sz w:val="20"/>
                <w:szCs w:val="20"/>
                <w:color w:val="auto"/>
              </w:rPr>
            </w:pPr>
            <w:r>
              <w:rPr>
                <w:rFonts w:ascii="Arial" w:cs="Arial" w:eastAsia="Arial" w:hAnsi="Arial"/>
                <w:sz w:val="13"/>
                <w:szCs w:val="13"/>
                <w:color w:val="auto"/>
              </w:rPr>
              <w:t>Valuation allowance</w:t>
            </w:r>
          </w:p>
        </w:tc>
        <w:tc>
          <w:tcPr>
            <w:tcW w:w="10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94"/>
              </w:rPr>
              <w:t>(39.5)</w:t>
            </w: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(129.4)</w:t>
            </w:r>
          </w:p>
        </w:tc>
        <w:tc>
          <w:tcPr>
            <w:tcW w:w="10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99"/>
              </w:rPr>
              <w:t>(24.2)</w:t>
            </w: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(92.7)</w:t>
            </w:r>
          </w:p>
        </w:tc>
      </w:tr>
      <w:tr>
        <w:trPr>
          <w:trHeight w:val="161"/>
        </w:trPr>
        <w:tc>
          <w:tcPr>
            <w:tcW w:w="6300" w:type="dxa"/>
            <w:vAlign w:val="bottom"/>
          </w:tcPr>
          <w:p>
            <w:pPr>
              <w:spacing w:after="0"/>
              <w:rPr>
                <w:sz w:val="20"/>
                <w:szCs w:val="20"/>
                <w:color w:val="auto"/>
              </w:rPr>
            </w:pPr>
            <w:r>
              <w:rPr>
                <w:rFonts w:ascii="Arial" w:cs="Arial" w:eastAsia="Arial" w:hAnsi="Arial"/>
                <w:sz w:val="13"/>
                <w:szCs w:val="13"/>
                <w:color w:val="auto"/>
              </w:rPr>
              <w:t>Net deferred tax assets</w:t>
            </w:r>
          </w:p>
        </w:tc>
        <w:tc>
          <w:tcPr>
            <w:tcW w:w="10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26.5</w:t>
            </w:r>
          </w:p>
        </w:tc>
        <w:tc>
          <w:tcPr>
            <w:tcW w:w="4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14.0</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47.6</w:t>
            </w:r>
          </w:p>
        </w:tc>
        <w:tc>
          <w:tcPr>
            <w:tcW w:w="80" w:type="dxa"/>
            <w:vAlign w:val="bottom"/>
          </w:tcPr>
          <w:p>
            <w:pPr>
              <w:spacing w:after="0"/>
              <w:rPr>
                <w:sz w:val="14"/>
                <w:szCs w:val="14"/>
                <w:color w:val="auto"/>
              </w:rPr>
            </w:pPr>
          </w:p>
        </w:tc>
      </w:tr>
      <w:tr>
        <w:trPr>
          <w:trHeight w:val="161"/>
        </w:trPr>
        <w:tc>
          <w:tcPr>
            <w:tcW w:w="6300" w:type="dxa"/>
            <w:vAlign w:val="bottom"/>
            <w:shd w:val="clear" w:color="auto" w:fill="CCEEFF"/>
          </w:tcPr>
          <w:p>
            <w:pPr>
              <w:spacing w:after="0"/>
              <w:rPr>
                <w:sz w:val="20"/>
                <w:szCs w:val="20"/>
                <w:color w:val="auto"/>
              </w:rPr>
            </w:pPr>
            <w:r>
              <w:rPr>
                <w:rFonts w:ascii="Arial" w:cs="Arial" w:eastAsia="Arial" w:hAnsi="Arial"/>
                <w:sz w:val="13"/>
                <w:szCs w:val="13"/>
                <w:color w:val="auto"/>
              </w:rPr>
              <w:t>Deferred tax liabilities:</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1"/>
        </w:trPr>
        <w:tc>
          <w:tcPr>
            <w:tcW w:w="6300" w:type="dxa"/>
            <w:vAlign w:val="bottom"/>
          </w:tcPr>
          <w:p>
            <w:pPr>
              <w:spacing w:after="0"/>
              <w:rPr>
                <w:sz w:val="20"/>
                <w:szCs w:val="20"/>
                <w:color w:val="auto"/>
              </w:rPr>
            </w:pPr>
            <w:r>
              <w:rPr>
                <w:rFonts w:ascii="Arial" w:cs="Arial" w:eastAsia="Arial" w:hAnsi="Arial"/>
                <w:sz w:val="13"/>
                <w:szCs w:val="13"/>
                <w:color w:val="auto"/>
              </w:rPr>
              <w:t>Amortization</w:t>
            </w:r>
          </w:p>
        </w:tc>
        <w:tc>
          <w:tcPr>
            <w:tcW w:w="100" w:type="dxa"/>
            <w:vAlign w:val="bottom"/>
          </w:tcPr>
          <w:p>
            <w:pPr>
              <w:spacing w:after="0"/>
              <w:rPr>
                <w:sz w:val="14"/>
                <w:szCs w:val="14"/>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1.8</w:t>
            </w:r>
          </w:p>
        </w:tc>
      </w:tr>
      <w:tr>
        <w:trPr>
          <w:trHeight w:val="161"/>
        </w:trPr>
        <w:tc>
          <w:tcPr>
            <w:tcW w:w="6300" w:type="dxa"/>
            <w:vAlign w:val="bottom"/>
            <w:shd w:val="clear" w:color="auto" w:fill="CCEEFF"/>
          </w:tcPr>
          <w:p>
            <w:pPr>
              <w:spacing w:after="0"/>
              <w:rPr>
                <w:sz w:val="20"/>
                <w:szCs w:val="20"/>
                <w:color w:val="auto"/>
              </w:rPr>
            </w:pPr>
            <w:r>
              <w:rPr>
                <w:rFonts w:ascii="Arial" w:cs="Arial" w:eastAsia="Arial" w:hAnsi="Arial"/>
                <w:sz w:val="13"/>
                <w:szCs w:val="13"/>
                <w:color w:val="auto"/>
              </w:rPr>
              <w:t>Purchased identifiable intangible assets</w:t>
            </w:r>
          </w:p>
        </w:tc>
        <w:tc>
          <w:tcPr>
            <w:tcW w:w="10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19.4</w:t>
            </w:r>
          </w:p>
        </w:tc>
        <w:tc>
          <w:tcPr>
            <w:tcW w:w="10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30.5</w:t>
            </w:r>
          </w:p>
        </w:tc>
      </w:tr>
      <w:tr>
        <w:trPr>
          <w:trHeight w:val="161"/>
        </w:trPr>
        <w:tc>
          <w:tcPr>
            <w:tcW w:w="6300" w:type="dxa"/>
            <w:vAlign w:val="bottom"/>
          </w:tcPr>
          <w:p>
            <w:pPr>
              <w:spacing w:after="0"/>
              <w:rPr>
                <w:sz w:val="20"/>
                <w:szCs w:val="20"/>
                <w:color w:val="auto"/>
              </w:rPr>
            </w:pPr>
            <w:r>
              <w:rPr>
                <w:rFonts w:ascii="Arial" w:cs="Arial" w:eastAsia="Arial" w:hAnsi="Arial"/>
                <w:sz w:val="13"/>
                <w:szCs w:val="13"/>
                <w:color w:val="auto"/>
              </w:rPr>
              <w:t>Internally developed software</w:t>
            </w:r>
          </w:p>
        </w:tc>
        <w:tc>
          <w:tcPr>
            <w:tcW w:w="100" w:type="dxa"/>
            <w:vAlign w:val="bottom"/>
          </w:tcPr>
          <w:p>
            <w:pPr>
              <w:spacing w:after="0"/>
              <w:rPr>
                <w:sz w:val="14"/>
                <w:szCs w:val="14"/>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5.3</w:t>
            </w:r>
          </w:p>
        </w:tc>
      </w:tr>
      <w:tr>
        <w:trPr>
          <w:trHeight w:val="161"/>
        </w:trPr>
        <w:tc>
          <w:tcPr>
            <w:tcW w:w="6300" w:type="dxa"/>
            <w:vAlign w:val="bottom"/>
            <w:shd w:val="clear" w:color="auto" w:fill="CCEEFF"/>
          </w:tcPr>
          <w:p>
            <w:pPr>
              <w:spacing w:after="0"/>
              <w:rPr>
                <w:sz w:val="20"/>
                <w:szCs w:val="20"/>
                <w:color w:val="auto"/>
              </w:rPr>
            </w:pPr>
            <w:r>
              <w:rPr>
                <w:rFonts w:ascii="Arial" w:cs="Arial" w:eastAsia="Arial" w:hAnsi="Arial"/>
                <w:sz w:val="13"/>
                <w:szCs w:val="13"/>
                <w:color w:val="auto"/>
              </w:rPr>
              <w:t>Unrealized exchange gain/loss</w:t>
            </w:r>
          </w:p>
        </w:tc>
        <w:tc>
          <w:tcPr>
            <w:tcW w:w="10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1.4</w:t>
            </w: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r>
      <w:tr>
        <w:trPr>
          <w:trHeight w:val="162"/>
        </w:trPr>
        <w:tc>
          <w:tcPr>
            <w:tcW w:w="6300" w:type="dxa"/>
            <w:vAlign w:val="bottom"/>
          </w:tcPr>
          <w:p>
            <w:pPr>
              <w:spacing w:after="0"/>
              <w:rPr>
                <w:sz w:val="20"/>
                <w:szCs w:val="20"/>
                <w:color w:val="auto"/>
              </w:rPr>
            </w:pPr>
            <w:r>
              <w:rPr>
                <w:rFonts w:ascii="Arial" w:cs="Arial" w:eastAsia="Arial" w:hAnsi="Arial"/>
                <w:sz w:val="13"/>
                <w:szCs w:val="13"/>
                <w:color w:val="auto"/>
              </w:rPr>
              <w:t>Total deferred tax liabilities</w:t>
            </w:r>
          </w:p>
        </w:tc>
        <w:tc>
          <w:tcPr>
            <w:tcW w:w="100" w:type="dxa"/>
            <w:vAlign w:val="bottom"/>
            <w:tcBorders>
              <w:top w:val="single" w:sz="8" w:color="auto"/>
              <w:bottom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19.4</w:t>
            </w:r>
          </w:p>
        </w:tc>
        <w:tc>
          <w:tcPr>
            <w:tcW w:w="40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1.4</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37.6</w:t>
            </w:r>
          </w:p>
        </w:tc>
        <w:tc>
          <w:tcPr>
            <w:tcW w:w="80" w:type="dxa"/>
            <w:vAlign w:val="bottom"/>
          </w:tcPr>
          <w:p>
            <w:pPr>
              <w:spacing w:after="0"/>
              <w:rPr>
                <w:sz w:val="14"/>
                <w:szCs w:val="14"/>
                <w:color w:val="auto"/>
              </w:rPr>
            </w:pPr>
          </w:p>
        </w:tc>
      </w:tr>
      <w:tr>
        <w:trPr>
          <w:trHeight w:val="161"/>
        </w:trPr>
        <w:tc>
          <w:tcPr>
            <w:tcW w:w="6300" w:type="dxa"/>
            <w:vAlign w:val="bottom"/>
            <w:shd w:val="clear" w:color="auto" w:fill="CCEEFF"/>
          </w:tcPr>
          <w:p>
            <w:pPr>
              <w:spacing w:after="0"/>
              <w:rPr>
                <w:sz w:val="20"/>
                <w:szCs w:val="20"/>
                <w:color w:val="auto"/>
              </w:rPr>
            </w:pPr>
            <w:r>
              <w:rPr>
                <w:rFonts w:ascii="Arial" w:cs="Arial" w:eastAsia="Arial" w:hAnsi="Arial"/>
                <w:sz w:val="13"/>
                <w:szCs w:val="13"/>
                <w:color w:val="auto"/>
              </w:rPr>
              <w:t>Net deferred tax asset (liability)</w:t>
            </w:r>
          </w:p>
        </w:tc>
        <w:tc>
          <w:tcPr>
            <w:tcW w:w="10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7.1</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12.6</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10.0</w:t>
            </w:r>
          </w:p>
        </w:tc>
      </w:tr>
      <w:tr>
        <w:trPr>
          <w:trHeight w:val="20"/>
        </w:trPr>
        <w:tc>
          <w:tcPr>
            <w:tcW w:w="6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Our consolidated balance sheet as of July 3, 2009 includes a non-current deferred income tax asset of $8.0 million and a non-current deferred tax liability of $0.9 million. This compares to a net current deferred tax asset of $12.6 million, a non-current deferred income tax asset of $13.7 million, and a non-current deferred tax liability of $3.7 million as of June 27, 2008. For all jurisdictions for which we have deferred tax assets, we expect that our existing levels of pre-tax earnings are sufficient to generate the amount of future taxable income needed to realize these tax assets. Our valuation allowance related to deferred income taxes, as reflected in our consolidated balance sheet, was $168.9 million as of July 3, 2009 and $116.9 million as of June 27, 2008. The increase in valuation allowance from fiscal 2008 to fiscal 2009 was primarily due to our establishing a valuation allowance on certain deferred tax assets. If we continue to operate at a loss in certain jurisdictions or are unable to generate sufficient future taxable income, or if there is a material change in the actual effective tax rates or time period within which the</w:t>
      </w:r>
    </w:p>
    <w:p>
      <w:pPr>
        <w:spacing w:after="0" w:line="280"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104" w:name="page105"/>
    <w:bookmarkEnd w:id="10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6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HARRIS STRATEX NETWORKS, INC. AND SUBSIDIARIES</w:t>
      </w:r>
    </w:p>
    <w:p>
      <w:pPr>
        <w:spacing w:after="0" w:line="102"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66" w:lineRule="exact"/>
        <w:rPr>
          <w:sz w:val="20"/>
          <w:szCs w:val="20"/>
          <w:color w:val="auto"/>
        </w:rPr>
      </w:pPr>
    </w:p>
    <w:p>
      <w:pPr>
        <w:ind w:left="680" w:right="220"/>
        <w:spacing w:after="0" w:line="294" w:lineRule="auto"/>
        <w:rPr>
          <w:sz w:val="20"/>
          <w:szCs w:val="20"/>
          <w:color w:val="auto"/>
        </w:rPr>
      </w:pPr>
      <w:r>
        <w:rPr>
          <w:rFonts w:ascii="Arial" w:cs="Arial" w:eastAsia="Arial" w:hAnsi="Arial"/>
          <w:sz w:val="13"/>
          <w:szCs w:val="13"/>
          <w:color w:val="auto"/>
        </w:rPr>
        <w:t>underlying temporary differences become taxable or deductible, we could be required to increase the valuation allowance against all or a significant portion of our deferred tax assets resulting in a substantial increase in our effective tax rate and a material adverse impact on our operating results.</w:t>
      </w:r>
    </w:p>
    <w:p>
      <w:pPr>
        <w:spacing w:after="0" w:line="47" w:lineRule="exact"/>
        <w:rPr>
          <w:sz w:val="20"/>
          <w:szCs w:val="20"/>
          <w:color w:val="auto"/>
        </w:rPr>
      </w:pPr>
    </w:p>
    <w:p>
      <w:pPr>
        <w:ind w:left="680" w:firstLine="399"/>
        <w:spacing w:after="0" w:line="290" w:lineRule="auto"/>
        <w:rPr>
          <w:sz w:val="20"/>
          <w:szCs w:val="20"/>
          <w:color w:val="auto"/>
        </w:rPr>
      </w:pPr>
      <w:r>
        <w:rPr>
          <w:rFonts w:ascii="Arial" w:cs="Arial" w:eastAsia="Arial" w:hAnsi="Arial"/>
          <w:sz w:val="12"/>
          <w:szCs w:val="12"/>
          <w:color w:val="auto"/>
        </w:rPr>
        <w:t>United States income taxes have not been provided on basis differences in foreign subsidiaries of $11.7 million and $73.1 million as of July 3, 2009 and June 27, 2008, because of our intention to reinvest these earnings indefinitely. The determination of unrecognized deferred U.S. tax liability for foreign subsidiaries is not practicable. Tax loss and credit carryforwards as of July 3, 2009 have expiration dates ranging between one year and no expiration in certain instances. The amount of U.S. tax loss carryforwards as of July 3, 2009 and June 27, 2008 was $201.2 million and $198.5 million and begin to expire in fiscal 2022. Credit carryforwards as of July 3, 2009 and June 27, 2008 was $27.9 million and $24.8 million and certain credits begin to expire in fiscal 2010. The amount of foreign tax loss carryforwards for July 3, 2009 and June 27, 2008 was $50.5 million and $40.2 million. The utilization of a portion of the U.S. net operating losses created prior to the merger is subject to an annual limitation under Section 382 of the Internal Revenue Code as a result of a change of ownership. Income taxes paid were $2.6 million, $2.2 million and $6.6 million during fiscal 2009, 2008 and 2007.</w:t>
      </w:r>
    </w:p>
    <w:p>
      <w:pPr>
        <w:spacing w:after="0" w:line="52" w:lineRule="exact"/>
        <w:rPr>
          <w:sz w:val="20"/>
          <w:szCs w:val="20"/>
          <w:color w:val="auto"/>
        </w:rPr>
      </w:pPr>
    </w:p>
    <w:p>
      <w:pPr>
        <w:ind w:left="680" w:right="340" w:firstLine="399"/>
        <w:spacing w:after="0" w:line="276" w:lineRule="auto"/>
        <w:rPr>
          <w:sz w:val="20"/>
          <w:szCs w:val="20"/>
          <w:color w:val="auto"/>
        </w:rPr>
      </w:pPr>
      <w:r>
        <w:rPr>
          <w:rFonts w:ascii="Arial" w:cs="Arial" w:eastAsia="Arial" w:hAnsi="Arial"/>
          <w:sz w:val="13"/>
          <w:szCs w:val="13"/>
          <w:color w:val="auto"/>
        </w:rPr>
        <w:t>The effective tax rate in the fiscal year ended July 3, 2009 was impacted unfavorably by a valuation allowance recorded on certain deferred tax assets, certain purchase accounting adjustments and foreign tax credits where it was determined it was not more likely than not that the assets would be realized. The net change in the valuation allowance impacting the effective tax rate during the year ended July 3, 2009 was an increase of $50.8 million.</w:t>
      </w:r>
    </w:p>
    <w:p>
      <w:pPr>
        <w:spacing w:after="0" w:line="59" w:lineRule="exact"/>
        <w:rPr>
          <w:sz w:val="20"/>
          <w:szCs w:val="20"/>
          <w:color w:val="auto"/>
        </w:rPr>
      </w:pPr>
    </w:p>
    <w:p>
      <w:pPr>
        <w:ind w:left="680" w:right="140" w:firstLine="399"/>
        <w:spacing w:after="0" w:line="290" w:lineRule="auto"/>
        <w:rPr>
          <w:sz w:val="20"/>
          <w:szCs w:val="20"/>
          <w:color w:val="auto"/>
        </w:rPr>
      </w:pPr>
      <w:r>
        <w:rPr>
          <w:rFonts w:ascii="Arial" w:cs="Arial" w:eastAsia="Arial" w:hAnsi="Arial"/>
          <w:sz w:val="12"/>
          <w:szCs w:val="12"/>
          <w:color w:val="auto"/>
        </w:rPr>
        <w:t>During the year ended July 3, 2009, certain temporary taxable differences in the amount of $7.2 million were realized. This realization resulted in a reduction of the valuation allowance placed on Stratex acquired deferred tax assets. The reduction of this valuation allowance was recorded against the goodwill and non-current intangible assets acquired in the Stratex acquisition. The reduction of the acquired intangible assets was required after the impairment reduced our goodwill from the Stratex acquisition to zero. The portion of the valuation allowance for deferred tax assets for which subsequently recognized tax benefits will be accounted for through the income statement is $56.1 million. For the year ended June 27, 2008, certain temporary taxable differences in the amount of $30.7 million were realized. This realization resulted in a reduction of the valuation allowance placed on Stratex acquired deferred tax assets. The reduction of this valuation allowance was recorded against the goodwill related to the Stratex acquisition. The portion of the valuation allowance for deferred tax assets for which subsequently recognized tax benefits will be allocated to reduce goodwill was $63.3 million as of June 27, 2008.</w:t>
      </w:r>
    </w:p>
    <w:p>
      <w:pPr>
        <w:spacing w:after="0" w:line="52"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We established our International Headquarters in Singapore and received a favorable tax ruling resulting from an application filed by us with the Singapore Economic Development Board (“EDB”) effective January 26, 2007. This favorable tax ruling calls for a 10% effective tax rate to be applied over a five year period provided certain milestones and objectives are met. We are confident that we will meet the expectations of the EDB and retain this favorable ruling.</w:t>
      </w:r>
    </w:p>
    <w:p>
      <w:pPr>
        <w:spacing w:after="0" w:line="59" w:lineRule="exact"/>
        <w:rPr>
          <w:sz w:val="20"/>
          <w:szCs w:val="20"/>
          <w:color w:val="auto"/>
        </w:rPr>
      </w:pPr>
    </w:p>
    <w:p>
      <w:pPr>
        <w:jc w:val="both"/>
        <w:ind w:left="680" w:right="40" w:firstLine="399"/>
        <w:spacing w:after="0" w:line="276" w:lineRule="auto"/>
        <w:rPr>
          <w:sz w:val="20"/>
          <w:szCs w:val="20"/>
          <w:color w:val="auto"/>
        </w:rPr>
      </w:pPr>
      <w:r>
        <w:rPr>
          <w:rFonts w:ascii="Arial" w:cs="Arial" w:eastAsia="Arial" w:hAnsi="Arial"/>
          <w:sz w:val="13"/>
          <w:szCs w:val="13"/>
          <w:color w:val="auto"/>
        </w:rPr>
        <w:t>We entered into a tax sharing agreement with Harris Corporation effective on January 26, 2007, the date of the merger. The tax sharing agreement addresses, among other things, the settlement process associated with pre-merger tax liabilities and tax attributes that are attributable to the MCD business when it was a division of Harris Corporation. There were no settlement payments recorded in fiscal 2009, 2008 or 2007.</w:t>
      </w:r>
    </w:p>
    <w:p>
      <w:pPr>
        <w:spacing w:after="0" w:line="59" w:lineRule="exact"/>
        <w:rPr>
          <w:sz w:val="20"/>
          <w:szCs w:val="20"/>
          <w:color w:val="auto"/>
        </w:rPr>
      </w:pPr>
    </w:p>
    <w:p>
      <w:pPr>
        <w:ind w:left="680" w:right="260" w:firstLine="399"/>
        <w:spacing w:after="0" w:line="338" w:lineRule="auto"/>
        <w:rPr>
          <w:sz w:val="20"/>
          <w:szCs w:val="20"/>
          <w:color w:val="auto"/>
        </w:rPr>
      </w:pPr>
      <w:r>
        <w:rPr>
          <w:rFonts w:ascii="Arial" w:cs="Arial" w:eastAsia="Arial" w:hAnsi="Arial"/>
          <w:sz w:val="12"/>
          <w:szCs w:val="12"/>
          <w:color w:val="auto"/>
        </w:rPr>
        <w:t>We are subject to income taxes in the U.S. and numerous foreign jurisdictions. Significant judgment is required in determining our worldwide provision for income taxes and recording the related assets and liabilities. In the ordinary course of our business, there are many transactions and calculations where the ultimate tax determination is uncertain.</w:t>
      </w:r>
    </w:p>
    <w:p>
      <w:pPr>
        <w:spacing w:after="0" w:line="24"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As of July 3, 2009 and June 27, 2008, we had a liability for unrecognized tax benefits of $30.9 million and $29.6 million for various federal, foreign, and state income tax matters. Unrecognized tax benefits increased by $1.3 million. If the unrecognized tax benefits associated with these positions are ultimately recognized, they would not be expected to have a material impact on our effective tax rate or financial position.</w:t>
      </w:r>
    </w:p>
    <w:p>
      <w:pPr>
        <w:spacing w:after="0" w:line="270"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105" w:name="page106"/>
    <w:bookmarkEnd w:id="10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HARRIS STRATEX NETWORKS, INC. AND SUBSIDIARIES</w:t>
      </w:r>
    </w:p>
    <w:p>
      <w:pPr>
        <w:spacing w:after="0" w:line="102"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66" w:lineRule="exact"/>
        <w:rPr>
          <w:sz w:val="20"/>
          <w:szCs w:val="20"/>
          <w:color w:val="auto"/>
        </w:rPr>
      </w:pPr>
    </w:p>
    <w:p>
      <w:pPr>
        <w:ind w:left="680" w:right="260" w:firstLine="399"/>
        <w:spacing w:after="0" w:line="338" w:lineRule="auto"/>
        <w:rPr>
          <w:sz w:val="20"/>
          <w:szCs w:val="20"/>
          <w:color w:val="auto"/>
        </w:rPr>
      </w:pPr>
      <w:r>
        <w:rPr>
          <w:rFonts w:ascii="Arial" w:cs="Arial" w:eastAsia="Arial" w:hAnsi="Arial"/>
          <w:sz w:val="12"/>
          <w:szCs w:val="12"/>
          <w:color w:val="auto"/>
        </w:rPr>
        <w:t>We account for interest and penalties related to unrecognized tax benefits as part of our provision for federal, foreign, and state income taxes. We did not accrue an additional amount for such interest as of July 3, 2009 and, as of June 27, 2008, we accrued additional interest of less than $0.1 million. No penalties have been accrued.</w:t>
      </w:r>
    </w:p>
    <w:p>
      <w:pPr>
        <w:spacing w:after="0" w:line="24" w:lineRule="exact"/>
        <w:rPr>
          <w:sz w:val="20"/>
          <w:szCs w:val="20"/>
          <w:color w:val="auto"/>
        </w:rPr>
      </w:pPr>
    </w:p>
    <w:p>
      <w:pPr>
        <w:ind w:left="680" w:right="600" w:firstLine="399"/>
        <w:spacing w:after="0" w:line="294" w:lineRule="auto"/>
        <w:rPr>
          <w:sz w:val="20"/>
          <w:szCs w:val="20"/>
          <w:color w:val="auto"/>
        </w:rPr>
      </w:pPr>
      <w:r>
        <w:rPr>
          <w:rFonts w:ascii="Arial" w:cs="Arial" w:eastAsia="Arial" w:hAnsi="Arial"/>
          <w:sz w:val="13"/>
          <w:szCs w:val="13"/>
          <w:color w:val="auto"/>
        </w:rPr>
        <w:t>We expect that the amount of unrecognized tax benefit may change in the next twelve months; however, it is not expected to have a significant impact on our results of operations, financial position or cash flows.</w:t>
      </w:r>
    </w:p>
    <w:p>
      <w:pPr>
        <w:spacing w:after="0" w:line="47"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We have a number of years with open tax audits which vary from jurisdiction to jurisdiction. Our major tax jurisdictions include the U.S., Singapore, Poland, Nigeria, France and the U.K. The earliest years still open and subject to ongoing audits for these jurisdictions are as follows: United States — 2003; Singapore — 2006; Poland — 2004; Nigeria — 2004; France — 2006; and U.K. — 2006. As of July 3, 2009, we were not under audit by the U.S. Internal Revenue Service.</w:t>
      </w:r>
    </w:p>
    <w:p>
      <w:pPr>
        <w:spacing w:after="0" w:line="59" w:lineRule="exact"/>
        <w:rPr>
          <w:sz w:val="20"/>
          <w:szCs w:val="20"/>
          <w:color w:val="auto"/>
        </w:rPr>
      </w:pPr>
    </w:p>
    <w:tbl>
      <w:tblPr>
        <w:tblLayout w:type="fixed"/>
        <w:tblInd w:w="680" w:type="dxa"/>
        <w:tblCellMar>
          <w:top w:w="0" w:type="dxa"/>
          <w:left w:w="0" w:type="dxa"/>
          <w:bottom w:w="0" w:type="dxa"/>
          <w:right w:w="0" w:type="dxa"/>
        </w:tblCellMar>
      </w:tblPr>
      <w:tr>
        <w:trPr>
          <w:trHeight w:val="172"/>
        </w:trPr>
        <w:tc>
          <w:tcPr>
            <w:tcW w:w="9480" w:type="dxa"/>
            <w:vAlign w:val="bottom"/>
          </w:tcPr>
          <w:p>
            <w:pPr>
              <w:ind w:left="400"/>
              <w:spacing w:after="0"/>
              <w:rPr>
                <w:sz w:val="20"/>
                <w:szCs w:val="20"/>
                <w:color w:val="auto"/>
              </w:rPr>
            </w:pPr>
            <w:r>
              <w:rPr>
                <w:rFonts w:ascii="Arial" w:cs="Arial" w:eastAsia="Arial" w:hAnsi="Arial"/>
                <w:sz w:val="13"/>
                <w:szCs w:val="13"/>
                <w:color w:val="auto"/>
              </w:rPr>
              <w:t>Our unrecognized tax benefit activity for fiscal 2009 is as follows (in millions):</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01"/>
        </w:trPr>
        <w:tc>
          <w:tcPr>
            <w:tcW w:w="9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61"/>
        </w:trPr>
        <w:tc>
          <w:tcPr>
            <w:tcW w:w="9480" w:type="dxa"/>
            <w:vAlign w:val="bottom"/>
            <w:shd w:val="clear" w:color="auto" w:fill="CCEEFF"/>
          </w:tcPr>
          <w:p>
            <w:pPr>
              <w:spacing w:after="0"/>
              <w:rPr>
                <w:sz w:val="20"/>
                <w:szCs w:val="20"/>
                <w:color w:val="auto"/>
              </w:rPr>
            </w:pPr>
            <w:r>
              <w:rPr>
                <w:rFonts w:ascii="Arial" w:cs="Arial" w:eastAsia="Arial" w:hAnsi="Arial"/>
                <w:sz w:val="13"/>
                <w:szCs w:val="13"/>
                <w:color w:val="auto"/>
              </w:rPr>
              <w:t>Unrecognized tax benefit as of June 27, 2008</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29.6</w:t>
            </w:r>
          </w:p>
        </w:tc>
        <w:tc>
          <w:tcPr>
            <w:tcW w:w="60" w:type="dxa"/>
            <w:vAlign w:val="bottom"/>
            <w:shd w:val="clear" w:color="auto" w:fill="CCEEFF"/>
          </w:tcPr>
          <w:p>
            <w:pPr>
              <w:spacing w:after="0"/>
              <w:rPr>
                <w:sz w:val="14"/>
                <w:szCs w:val="14"/>
                <w:color w:val="auto"/>
              </w:rPr>
            </w:pPr>
          </w:p>
        </w:tc>
      </w:tr>
      <w:tr>
        <w:trPr>
          <w:trHeight w:val="161"/>
        </w:trPr>
        <w:tc>
          <w:tcPr>
            <w:tcW w:w="9480" w:type="dxa"/>
            <w:vAlign w:val="bottom"/>
          </w:tcPr>
          <w:p>
            <w:pPr>
              <w:spacing w:after="0"/>
              <w:rPr>
                <w:sz w:val="20"/>
                <w:szCs w:val="20"/>
                <w:color w:val="auto"/>
              </w:rPr>
            </w:pPr>
            <w:r>
              <w:rPr>
                <w:rFonts w:ascii="Arial" w:cs="Arial" w:eastAsia="Arial" w:hAnsi="Arial"/>
                <w:sz w:val="13"/>
                <w:szCs w:val="13"/>
                <w:color w:val="auto"/>
              </w:rPr>
              <w:t>Additions for tax positions in prior periods</w:t>
            </w:r>
          </w:p>
        </w:tc>
        <w:tc>
          <w:tcPr>
            <w:tcW w:w="120" w:type="dxa"/>
            <w:vAlign w:val="bottom"/>
          </w:tcPr>
          <w:p>
            <w:pPr>
              <w:spacing w:after="0"/>
              <w:rPr>
                <w:sz w:val="14"/>
                <w:szCs w:val="1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3"/>
                <w:szCs w:val="13"/>
                <w:color w:val="auto"/>
              </w:rPr>
              <w:t>1.5</w:t>
            </w:r>
          </w:p>
        </w:tc>
        <w:tc>
          <w:tcPr>
            <w:tcW w:w="60" w:type="dxa"/>
            <w:vAlign w:val="bottom"/>
          </w:tcPr>
          <w:p>
            <w:pPr>
              <w:spacing w:after="0"/>
              <w:rPr>
                <w:sz w:val="14"/>
                <w:szCs w:val="14"/>
                <w:color w:val="auto"/>
              </w:rPr>
            </w:pPr>
          </w:p>
        </w:tc>
      </w:tr>
      <w:tr>
        <w:trPr>
          <w:trHeight w:val="161"/>
        </w:trPr>
        <w:tc>
          <w:tcPr>
            <w:tcW w:w="9480" w:type="dxa"/>
            <w:vAlign w:val="bottom"/>
            <w:shd w:val="clear" w:color="auto" w:fill="CCEEFF"/>
          </w:tcPr>
          <w:p>
            <w:pPr>
              <w:spacing w:after="0"/>
              <w:rPr>
                <w:sz w:val="20"/>
                <w:szCs w:val="20"/>
                <w:color w:val="auto"/>
              </w:rPr>
            </w:pPr>
            <w:r>
              <w:rPr>
                <w:rFonts w:ascii="Arial" w:cs="Arial" w:eastAsia="Arial" w:hAnsi="Arial"/>
                <w:sz w:val="13"/>
                <w:szCs w:val="13"/>
                <w:color w:val="auto"/>
              </w:rPr>
              <w:t>Decreases for tax positions in prior periods</w:t>
            </w:r>
          </w:p>
        </w:tc>
        <w:tc>
          <w:tcPr>
            <w:tcW w:w="120" w:type="dxa"/>
            <w:vAlign w:val="bottom"/>
            <w:shd w:val="clear" w:color="auto" w:fill="CCEEFF"/>
          </w:tcPr>
          <w:p>
            <w:pPr>
              <w:spacing w:after="0"/>
              <w:rPr>
                <w:sz w:val="14"/>
                <w:szCs w:val="14"/>
                <w:color w:val="auto"/>
              </w:rPr>
            </w:pPr>
          </w:p>
        </w:tc>
        <w:tc>
          <w:tcPr>
            <w:tcW w:w="38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(0.2)</w:t>
            </w:r>
          </w:p>
        </w:tc>
      </w:tr>
      <w:tr>
        <w:trPr>
          <w:trHeight w:val="161"/>
        </w:trPr>
        <w:tc>
          <w:tcPr>
            <w:tcW w:w="9480" w:type="dxa"/>
            <w:vAlign w:val="bottom"/>
          </w:tcPr>
          <w:p>
            <w:pPr>
              <w:spacing w:after="0"/>
              <w:rPr>
                <w:sz w:val="20"/>
                <w:szCs w:val="20"/>
                <w:color w:val="auto"/>
              </w:rPr>
            </w:pPr>
            <w:r>
              <w:rPr>
                <w:rFonts w:ascii="Arial" w:cs="Arial" w:eastAsia="Arial" w:hAnsi="Arial"/>
                <w:sz w:val="13"/>
                <w:szCs w:val="13"/>
                <w:color w:val="auto"/>
              </w:rPr>
              <w:t>Unrecognized tax benefit as of July 3, 2009</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30.9</w:t>
            </w:r>
          </w:p>
        </w:tc>
        <w:tc>
          <w:tcPr>
            <w:tcW w:w="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20"/>
        </w:trPr>
        <w:tc>
          <w:tcPr>
            <w:tcW w:w="9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9"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Note P —</w:t>
      </w:r>
      <w:r>
        <w:rPr>
          <w:sz w:val="20"/>
          <w:szCs w:val="20"/>
          <w:color w:val="auto"/>
        </w:rPr>
        <w:tab/>
      </w:r>
      <w:r>
        <w:rPr>
          <w:rFonts w:ascii="Arial" w:cs="Arial" w:eastAsia="Arial" w:hAnsi="Arial"/>
          <w:sz w:val="12"/>
          <w:szCs w:val="12"/>
          <w:b w:val="1"/>
          <w:bCs w:val="1"/>
          <w:color w:val="auto"/>
        </w:rPr>
        <w:t>Related Party Transactions with Harris</w:t>
      </w:r>
    </w:p>
    <w:p>
      <w:pPr>
        <w:spacing w:after="0" w:line="104" w:lineRule="exact"/>
        <w:rPr>
          <w:sz w:val="20"/>
          <w:szCs w:val="20"/>
          <w:color w:val="auto"/>
        </w:rPr>
      </w:pPr>
    </w:p>
    <w:p>
      <w:pPr>
        <w:ind w:left="680" w:right="40" w:firstLine="399"/>
        <w:spacing w:after="0" w:line="292" w:lineRule="auto"/>
        <w:rPr>
          <w:sz w:val="20"/>
          <w:szCs w:val="20"/>
          <w:color w:val="auto"/>
        </w:rPr>
      </w:pPr>
      <w:r>
        <w:rPr>
          <w:rFonts w:ascii="Arial" w:cs="Arial" w:eastAsia="Arial" w:hAnsi="Arial"/>
          <w:sz w:val="12"/>
          <w:szCs w:val="12"/>
          <w:color w:val="auto"/>
        </w:rPr>
        <w:t>Prior to the Stratex acquisition, Harris provided information services, human resources, financial shared services, facilities, legal support and supply chain management services to us. The charges for those services were billed to us primarily based on actual usage. On January 26, 2007, we entered into a Transition Services Agreement with Harris to provide for certain services during the periods subsequent to the Stratex acquisition. These services also are charged to us based primarily on actual usage and include database management, supply chain operating systems, eBusiness services, sales and service, financial systems, back office material resource planning support, HR systems, internal and information systems shared services support, network management and help desk support, and server administration and support. During fiscal 2009, 2008 and 2007, Harris charged us $5.5 million, $7.0 million and $6.8 million for these services. We intend to continue utilizing select services from Harris and have extended the terms of the Transition Services Agreement.</w:t>
      </w:r>
    </w:p>
    <w:p>
      <w:pPr>
        <w:spacing w:after="0" w:line="51" w:lineRule="exact"/>
        <w:rPr>
          <w:sz w:val="20"/>
          <w:szCs w:val="20"/>
          <w:color w:val="auto"/>
        </w:rPr>
      </w:pPr>
    </w:p>
    <w:p>
      <w:pPr>
        <w:jc w:val="both"/>
        <w:ind w:left="680" w:right="60" w:firstLine="399"/>
        <w:spacing w:after="0" w:line="299" w:lineRule="auto"/>
        <w:rPr>
          <w:sz w:val="20"/>
          <w:szCs w:val="20"/>
          <w:color w:val="auto"/>
        </w:rPr>
      </w:pPr>
      <w:r>
        <w:rPr>
          <w:rFonts w:ascii="Arial" w:cs="Arial" w:eastAsia="Arial" w:hAnsi="Arial"/>
          <w:sz w:val="12"/>
          <w:szCs w:val="12"/>
          <w:color w:val="auto"/>
        </w:rPr>
        <w:t>We have sales to, and purchases from, other Harris entities from time to time. Prior to January 26, 2007, the entity initiating the transaction sold to the other Harris entity at cost or transfer price, depending on jurisdiction. The entity making the sale to the end customer recorded the profit on the transaction above cost or transfer price, depending on jurisdiction. Subsequent to January 26, 2007, these purchases and sales are recorded at market price. Our sales to other Harris entities were $6.0 million, $3.5 million and $1.9 million in fiscal 2009, 2008 and 2007. We also recognized costs associated with related party purchases from Harris of $3.3 million, $6.1 million and $6.7 million for fiscal 2009, 2008 and 2007.</w:t>
      </w:r>
    </w:p>
    <w:p>
      <w:pPr>
        <w:spacing w:after="0" w:line="48" w:lineRule="exact"/>
        <w:rPr>
          <w:sz w:val="20"/>
          <w:szCs w:val="20"/>
          <w:color w:val="auto"/>
        </w:rPr>
      </w:pPr>
    </w:p>
    <w:p>
      <w:pPr>
        <w:ind w:left="680" w:right="240" w:firstLine="399"/>
        <w:spacing w:after="0" w:line="294" w:lineRule="auto"/>
        <w:rPr>
          <w:sz w:val="20"/>
          <w:szCs w:val="20"/>
          <w:color w:val="auto"/>
        </w:rPr>
      </w:pPr>
      <w:r>
        <w:rPr>
          <w:rFonts w:ascii="Arial" w:cs="Arial" w:eastAsia="Arial" w:hAnsi="Arial"/>
          <w:sz w:val="13"/>
          <w:szCs w:val="13"/>
          <w:color w:val="auto"/>
        </w:rPr>
        <w:t>Harris was the primary source of our financing and equity activities through January 26, 2007, the date of the Stratex acquisition. During the seven months ended January 26, 2007, Harris’ net investment in us was increased by $24.1 million.</w:t>
      </w:r>
    </w:p>
    <w:p>
      <w:pPr>
        <w:spacing w:after="0" w:line="47" w:lineRule="exact"/>
        <w:rPr>
          <w:sz w:val="20"/>
          <w:szCs w:val="20"/>
          <w:color w:val="auto"/>
        </w:rPr>
      </w:pPr>
    </w:p>
    <w:p>
      <w:pPr>
        <w:ind w:left="680" w:right="360" w:firstLine="399"/>
        <w:spacing w:after="0" w:line="338" w:lineRule="auto"/>
        <w:rPr>
          <w:sz w:val="20"/>
          <w:szCs w:val="20"/>
          <w:color w:val="auto"/>
        </w:rPr>
      </w:pPr>
      <w:r>
        <w:rPr>
          <w:rFonts w:ascii="Arial" w:cs="Arial" w:eastAsia="Arial" w:hAnsi="Arial"/>
          <w:sz w:val="12"/>
          <w:szCs w:val="12"/>
          <w:color w:val="auto"/>
        </w:rPr>
        <w:t>Additionally, through the date of the Stratex acquisition, Harris loaned cash to us to fund our international entities, and we distributed excess cash back to Harris. This arrangement ended on January 26, 2007. We recognized interest income and expense on these loans. The amount of interest income and expense in fiscal 2007 was not significant.</w:t>
      </w:r>
    </w:p>
    <w:p>
      <w:pPr>
        <w:spacing w:after="0" w:line="24" w:lineRule="exact"/>
        <w:rPr>
          <w:sz w:val="20"/>
          <w:szCs w:val="20"/>
          <w:color w:val="auto"/>
        </w:rPr>
      </w:pPr>
    </w:p>
    <w:p>
      <w:pPr>
        <w:ind w:left="680" w:right="440" w:firstLine="399"/>
        <w:spacing w:after="0" w:line="338" w:lineRule="auto"/>
        <w:rPr>
          <w:sz w:val="20"/>
          <w:szCs w:val="20"/>
          <w:color w:val="auto"/>
        </w:rPr>
      </w:pPr>
      <w:r>
        <w:rPr>
          <w:rFonts w:ascii="Arial" w:cs="Arial" w:eastAsia="Arial" w:hAnsi="Arial"/>
          <w:sz w:val="12"/>
          <w:szCs w:val="12"/>
          <w:color w:val="auto"/>
        </w:rPr>
        <w:t>The unpaid amounts billed from Harris are included within “Due to Harris Corporation” on our Consolidated Balance Sheets. Additionally, we have other receivables and payables in the normal course of business with Harris. These amounts are netted within “Due to Harris Corporation” on our Consolidated Balance Sheets. Total</w:t>
      </w:r>
    </w:p>
    <w:p>
      <w:pPr>
        <w:spacing w:after="0" w:line="23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106" w:name="page107"/>
    <w:bookmarkEnd w:id="10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HARRIS STRATEX NETWORKS, INC. AND SUBSIDIARIES</w:t>
      </w:r>
    </w:p>
    <w:p>
      <w:pPr>
        <w:spacing w:after="0" w:line="102"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66" w:lineRule="exact"/>
        <w:rPr>
          <w:sz w:val="20"/>
          <w:szCs w:val="20"/>
          <w:color w:val="auto"/>
        </w:rPr>
      </w:pPr>
    </w:p>
    <w:p>
      <w:pPr>
        <w:ind w:left="680" w:right="280"/>
        <w:spacing w:after="0" w:line="294" w:lineRule="auto"/>
        <w:rPr>
          <w:sz w:val="20"/>
          <w:szCs w:val="20"/>
          <w:color w:val="auto"/>
        </w:rPr>
      </w:pPr>
      <w:r>
        <w:rPr>
          <w:rFonts w:ascii="Arial" w:cs="Arial" w:eastAsia="Arial" w:hAnsi="Arial"/>
          <w:sz w:val="13"/>
          <w:szCs w:val="13"/>
          <w:color w:val="auto"/>
        </w:rPr>
        <w:t>receivables from Harris were $6.3 million and $4.0 million as of July 3, 2009 and June 27, 2008. Total payables to Harris were $3.3 million and $20.8 million as of July 3, 2009 and June 27, 2008.</w:t>
      </w:r>
    </w:p>
    <w:p>
      <w:pPr>
        <w:spacing w:after="0" w:line="47" w:lineRule="exact"/>
        <w:rPr>
          <w:sz w:val="20"/>
          <w:szCs w:val="20"/>
          <w:color w:val="auto"/>
        </w:rPr>
      </w:pPr>
    </w:p>
    <w:p>
      <w:pPr>
        <w:ind w:left="680" w:right="140" w:firstLine="399"/>
        <w:spacing w:after="0" w:line="267" w:lineRule="auto"/>
        <w:rPr>
          <w:sz w:val="20"/>
          <w:szCs w:val="20"/>
          <w:color w:val="auto"/>
        </w:rPr>
      </w:pPr>
      <w:r>
        <w:rPr>
          <w:rFonts w:ascii="Arial" w:cs="Arial" w:eastAsia="Arial" w:hAnsi="Arial"/>
          <w:sz w:val="13"/>
          <w:szCs w:val="13"/>
          <w:color w:val="auto"/>
        </w:rPr>
        <w:t>Prior to January 26, 2007, MCD used certain assets in Canada owned by Harris that were not contributed to us as part of the Combination Agreement. We continue to use these assets in our business and we entered into a 5-year lease agreement to accommodate this use. This agreement is a capital lease under generally accepted accounting principles. As of July 3, 2009, our lease obligation to Harris was $1.4 million of which $0.5 million is a current liability and the related asset amount, net of accumulated amortization of $1.4 million is included in property, plant and equipment. Quarterly lease payments are due to Harris based on the amount of 103% of Harris’ annual depreciation calculated in accordance with U.S. generally accepted accounting principles.</w:t>
      </w:r>
    </w:p>
    <w:p>
      <w:pPr>
        <w:spacing w:after="0" w:line="65"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During the first quarter of fiscal 2008, we recognized an impairment charge of $1.3 million on a portion of these assets which is included in our restructuring charges. We also</w:t>
      </w:r>
    </w:p>
    <w:p>
      <w:pPr>
        <w:spacing w:after="0" w:line="34" w:lineRule="exact"/>
        <w:rPr>
          <w:sz w:val="20"/>
          <w:szCs w:val="20"/>
          <w:color w:val="auto"/>
        </w:rPr>
      </w:pPr>
    </w:p>
    <w:p>
      <w:pPr>
        <w:ind w:left="680"/>
        <w:spacing w:after="0"/>
        <w:rPr>
          <w:sz w:val="20"/>
          <w:szCs w:val="20"/>
          <w:color w:val="auto"/>
        </w:rPr>
      </w:pPr>
      <w:r>
        <w:rPr>
          <w:rFonts w:ascii="Arial" w:cs="Arial" w:eastAsia="Arial" w:hAnsi="Arial"/>
          <w:sz w:val="12"/>
          <w:szCs w:val="12"/>
          <w:color w:val="auto"/>
        </w:rPr>
        <w:t>recognized an increase of $0.4 million to the lease obligation balance during fiscal 2008 from a recapitalization under the lease terms, primarily because of the impairment charge</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2"/>
          <w:szCs w:val="12"/>
          <w:color w:val="auto"/>
        </w:rPr>
        <w:t>discussed above and a rescheduling of the lease payments. During fiscal 2009 we paid Harris $1.4 million under this capital lease obligation. During fiscal 2008, we paid Harris</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2"/>
          <w:szCs w:val="12"/>
          <w:color w:val="auto"/>
        </w:rPr>
        <w:t>$3.8 million under this capital lease obligation resulting from the $1.3 million impairment discussed above and the lease payments. Our amortization expense on this capital lease was</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$1.1 million, $1.8 million and $0.8 million in fiscal 2009, 2008 and 2007. As of July 3, 2009, the future minimum payments for this lease are $0.8 million for fiscal 2010, $0.5 million</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for fiscal 2011 and $0.2 million for fiscal 2012.</w:t>
      </w:r>
    </w:p>
    <w:p>
      <w:pPr>
        <w:spacing w:after="0" w:line="171"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Note Q —</w:t>
      </w:r>
      <w:r>
        <w:rPr>
          <w:sz w:val="20"/>
          <w:szCs w:val="20"/>
          <w:color w:val="auto"/>
        </w:rPr>
        <w:tab/>
      </w:r>
      <w:r>
        <w:rPr>
          <w:rFonts w:ascii="Arial" w:cs="Arial" w:eastAsia="Arial" w:hAnsi="Arial"/>
          <w:sz w:val="12"/>
          <w:szCs w:val="12"/>
          <w:b w:val="1"/>
          <w:bCs w:val="1"/>
          <w:color w:val="auto"/>
        </w:rPr>
        <w:t>Operating Lease Commitments</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We lease sales facilities, administrative facilities and equipment under non-cancelable operating leases. These leases have initial lease terms that extend through fiscal year 2018.</w:t>
      </w:r>
    </w:p>
    <w:p>
      <w:pPr>
        <w:spacing w:after="0" w:line="11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Rental expense for operating leases, including rentals on a month-to-month basis was $11.9 million, $13.6 million and $6.1 million in fiscal 2009, 2008 and 2007.</w:t>
      </w:r>
    </w:p>
    <w:p>
      <w:pPr>
        <w:spacing w:after="0" w:line="102" w:lineRule="exact"/>
        <w:rPr>
          <w:sz w:val="20"/>
          <w:szCs w:val="20"/>
          <w:color w:val="auto"/>
        </w:rPr>
      </w:pPr>
    </w:p>
    <w:p>
      <w:pPr>
        <w:ind w:left="680" w:right="460" w:firstLine="399"/>
        <w:spacing w:after="0" w:line="294" w:lineRule="auto"/>
        <w:rPr>
          <w:sz w:val="20"/>
          <w:szCs w:val="20"/>
          <w:color w:val="auto"/>
        </w:rPr>
      </w:pPr>
      <w:r>
        <w:rPr>
          <w:rFonts w:ascii="Arial" w:cs="Arial" w:eastAsia="Arial" w:hAnsi="Arial"/>
          <w:sz w:val="13"/>
          <w:szCs w:val="13"/>
          <w:color w:val="auto"/>
        </w:rPr>
        <w:t>As of July 3, 2009, our future minimum commitments for all non-cancelable operating facility and equipment leases with an initial lease term in excess of one year are as follows:</w:t>
      </w:r>
    </w:p>
    <w:p>
      <w:pPr>
        <w:spacing w:after="0" w:line="35"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8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87"/>
              </w:rPr>
              <w:t>Fiscal Years Ending</w:t>
            </w:r>
          </w:p>
        </w:tc>
      </w:tr>
      <w:tr>
        <w:trPr>
          <w:trHeight w:val="128"/>
        </w:trPr>
        <w:tc>
          <w:tcPr>
            <w:tcW w:w="8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8"/>
              </w:rPr>
              <w:t>in June</w:t>
            </w:r>
          </w:p>
        </w:tc>
      </w:tr>
      <w:tr>
        <w:trPr>
          <w:trHeight w:val="135"/>
        </w:trPr>
        <w:tc>
          <w:tcPr>
            <w:tcW w:w="83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jc w:val="center"/>
              <w:ind w:right="137"/>
              <w:spacing w:after="0"/>
              <w:rPr>
                <w:sz w:val="20"/>
                <w:szCs w:val="20"/>
                <w:color w:val="auto"/>
              </w:rPr>
            </w:pPr>
            <w:r>
              <w:rPr>
                <w:rFonts w:ascii="Arial" w:cs="Arial" w:eastAsia="Arial" w:hAnsi="Arial"/>
                <w:sz w:val="11"/>
                <w:szCs w:val="11"/>
                <w:b w:val="1"/>
                <w:bCs w:val="1"/>
                <w:color w:val="auto"/>
                <w:w w:val="90"/>
              </w:rPr>
              <w:t>(In millions)</w:t>
            </w:r>
          </w:p>
        </w:tc>
        <w:tc>
          <w:tcPr>
            <w:tcW w:w="80" w:type="dxa"/>
            <w:vAlign w:val="bottom"/>
          </w:tcPr>
          <w:p>
            <w:pPr>
              <w:spacing w:after="0"/>
              <w:rPr>
                <w:sz w:val="11"/>
                <w:szCs w:val="11"/>
                <w:color w:val="auto"/>
              </w:rPr>
            </w:pPr>
          </w:p>
        </w:tc>
      </w:tr>
      <w:tr>
        <w:trPr>
          <w:trHeight w:val="167"/>
        </w:trPr>
        <w:tc>
          <w:tcPr>
            <w:tcW w:w="8380" w:type="dxa"/>
            <w:vAlign w:val="bottom"/>
            <w:shd w:val="clear" w:color="auto" w:fill="CCEEFF"/>
          </w:tcPr>
          <w:p>
            <w:pPr>
              <w:spacing w:after="0"/>
              <w:rPr>
                <w:sz w:val="20"/>
                <w:szCs w:val="20"/>
                <w:color w:val="auto"/>
              </w:rPr>
            </w:pPr>
            <w:r>
              <w:rPr>
                <w:rFonts w:ascii="Arial" w:cs="Arial" w:eastAsia="Arial" w:hAnsi="Arial"/>
                <w:sz w:val="13"/>
                <w:szCs w:val="13"/>
                <w:color w:val="auto"/>
              </w:rPr>
              <w:t>2010</w:t>
            </w:r>
          </w:p>
        </w:tc>
        <w:tc>
          <w:tcPr>
            <w:tcW w:w="2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w w:val="82"/>
              </w:rPr>
              <w:t>$</w:t>
            </w: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12.0</w:t>
            </w:r>
          </w:p>
        </w:tc>
      </w:tr>
      <w:tr>
        <w:trPr>
          <w:trHeight w:val="161"/>
        </w:trPr>
        <w:tc>
          <w:tcPr>
            <w:tcW w:w="8380" w:type="dxa"/>
            <w:vAlign w:val="bottom"/>
          </w:tcPr>
          <w:p>
            <w:pPr>
              <w:spacing w:after="0"/>
              <w:rPr>
                <w:sz w:val="20"/>
                <w:szCs w:val="20"/>
                <w:color w:val="auto"/>
              </w:rPr>
            </w:pPr>
            <w:r>
              <w:rPr>
                <w:rFonts w:ascii="Arial" w:cs="Arial" w:eastAsia="Arial" w:hAnsi="Arial"/>
                <w:sz w:val="13"/>
                <w:szCs w:val="13"/>
                <w:color w:val="auto"/>
              </w:rPr>
              <w:t>2011</w:t>
            </w:r>
          </w:p>
        </w:tc>
        <w:tc>
          <w:tcPr>
            <w:tcW w:w="200" w:type="dxa"/>
            <w:vAlign w:val="bottom"/>
          </w:tcPr>
          <w:p>
            <w:pPr>
              <w:spacing w:after="0"/>
              <w:rPr>
                <w:sz w:val="14"/>
                <w:szCs w:val="14"/>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3"/>
                <w:szCs w:val="13"/>
                <w:color w:val="auto"/>
              </w:rPr>
              <w:t>8.7</w:t>
            </w:r>
          </w:p>
        </w:tc>
      </w:tr>
      <w:tr>
        <w:trPr>
          <w:trHeight w:val="161"/>
        </w:trPr>
        <w:tc>
          <w:tcPr>
            <w:tcW w:w="8380" w:type="dxa"/>
            <w:vAlign w:val="bottom"/>
            <w:shd w:val="clear" w:color="auto" w:fill="CCEEFF"/>
          </w:tcPr>
          <w:p>
            <w:pPr>
              <w:spacing w:after="0"/>
              <w:rPr>
                <w:sz w:val="20"/>
                <w:szCs w:val="20"/>
                <w:color w:val="auto"/>
              </w:rPr>
            </w:pPr>
            <w:r>
              <w:rPr>
                <w:rFonts w:ascii="Arial" w:cs="Arial" w:eastAsia="Arial" w:hAnsi="Arial"/>
                <w:sz w:val="13"/>
                <w:szCs w:val="13"/>
                <w:color w:val="auto"/>
              </w:rPr>
              <w:t>2012</w:t>
            </w:r>
          </w:p>
        </w:tc>
        <w:tc>
          <w:tcPr>
            <w:tcW w:w="20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3.7</w:t>
            </w:r>
          </w:p>
        </w:tc>
      </w:tr>
      <w:tr>
        <w:trPr>
          <w:trHeight w:val="161"/>
        </w:trPr>
        <w:tc>
          <w:tcPr>
            <w:tcW w:w="8380" w:type="dxa"/>
            <w:vAlign w:val="bottom"/>
          </w:tcPr>
          <w:p>
            <w:pPr>
              <w:spacing w:after="0"/>
              <w:rPr>
                <w:sz w:val="20"/>
                <w:szCs w:val="20"/>
                <w:color w:val="auto"/>
              </w:rPr>
            </w:pPr>
            <w:r>
              <w:rPr>
                <w:rFonts w:ascii="Arial" w:cs="Arial" w:eastAsia="Arial" w:hAnsi="Arial"/>
                <w:sz w:val="13"/>
                <w:szCs w:val="13"/>
                <w:color w:val="auto"/>
              </w:rPr>
              <w:t>2013</w:t>
            </w:r>
          </w:p>
        </w:tc>
        <w:tc>
          <w:tcPr>
            <w:tcW w:w="200" w:type="dxa"/>
            <w:vAlign w:val="bottom"/>
          </w:tcPr>
          <w:p>
            <w:pPr>
              <w:spacing w:after="0"/>
              <w:rPr>
                <w:sz w:val="14"/>
                <w:szCs w:val="14"/>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3"/>
                <w:szCs w:val="13"/>
                <w:color w:val="auto"/>
              </w:rPr>
              <w:t>2.0</w:t>
            </w:r>
          </w:p>
        </w:tc>
      </w:tr>
      <w:tr>
        <w:trPr>
          <w:trHeight w:val="161"/>
        </w:trPr>
        <w:tc>
          <w:tcPr>
            <w:tcW w:w="8380" w:type="dxa"/>
            <w:vAlign w:val="bottom"/>
            <w:shd w:val="clear" w:color="auto" w:fill="CCEEFF"/>
          </w:tcPr>
          <w:p>
            <w:pPr>
              <w:spacing w:after="0"/>
              <w:rPr>
                <w:sz w:val="20"/>
                <w:szCs w:val="20"/>
                <w:color w:val="auto"/>
              </w:rPr>
            </w:pPr>
            <w:r>
              <w:rPr>
                <w:rFonts w:ascii="Arial" w:cs="Arial" w:eastAsia="Arial" w:hAnsi="Arial"/>
                <w:sz w:val="13"/>
                <w:szCs w:val="13"/>
                <w:color w:val="auto"/>
              </w:rPr>
              <w:t>2014</w:t>
            </w:r>
          </w:p>
        </w:tc>
        <w:tc>
          <w:tcPr>
            <w:tcW w:w="20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1.2</w:t>
            </w:r>
          </w:p>
        </w:tc>
      </w:tr>
      <w:tr>
        <w:trPr>
          <w:trHeight w:val="161"/>
        </w:trPr>
        <w:tc>
          <w:tcPr>
            <w:tcW w:w="8380" w:type="dxa"/>
            <w:vAlign w:val="bottom"/>
          </w:tcPr>
          <w:p>
            <w:pPr>
              <w:spacing w:after="0"/>
              <w:rPr>
                <w:sz w:val="20"/>
                <w:szCs w:val="20"/>
                <w:color w:val="auto"/>
              </w:rPr>
            </w:pPr>
            <w:r>
              <w:rPr>
                <w:rFonts w:ascii="Arial" w:cs="Arial" w:eastAsia="Arial" w:hAnsi="Arial"/>
                <w:sz w:val="13"/>
                <w:szCs w:val="13"/>
                <w:color w:val="auto"/>
              </w:rPr>
              <w:t>Thereafter</w:t>
            </w:r>
          </w:p>
        </w:tc>
        <w:tc>
          <w:tcPr>
            <w:tcW w:w="2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w:t>
            </w:r>
          </w:p>
        </w:tc>
        <w:tc>
          <w:tcPr>
            <w:tcW w:w="80" w:type="dxa"/>
            <w:vAlign w:val="bottom"/>
          </w:tcPr>
          <w:p>
            <w:pPr>
              <w:spacing w:after="0"/>
              <w:rPr>
                <w:sz w:val="14"/>
                <w:szCs w:val="14"/>
                <w:color w:val="auto"/>
              </w:rPr>
            </w:pPr>
          </w:p>
        </w:tc>
      </w:tr>
      <w:tr>
        <w:trPr>
          <w:trHeight w:val="161"/>
        </w:trPr>
        <w:tc>
          <w:tcPr>
            <w:tcW w:w="8380" w:type="dxa"/>
            <w:vAlign w:val="bottom"/>
            <w:shd w:val="clear" w:color="auto" w:fill="CCEEFF"/>
          </w:tcPr>
          <w:p>
            <w:pPr>
              <w:spacing w:after="0"/>
              <w:rPr>
                <w:sz w:val="20"/>
                <w:szCs w:val="20"/>
                <w:color w:val="auto"/>
              </w:rPr>
            </w:pPr>
            <w:r>
              <w:rPr>
                <w:rFonts w:ascii="Arial" w:cs="Arial" w:eastAsia="Arial" w:hAnsi="Arial"/>
                <w:sz w:val="13"/>
                <w:szCs w:val="13"/>
                <w:color w:val="auto"/>
              </w:rPr>
              <w:t>Total</w:t>
            </w:r>
          </w:p>
        </w:tc>
        <w:tc>
          <w:tcPr>
            <w:tcW w:w="2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w w:val="82"/>
              </w:rPr>
              <w:t>$</w:t>
            </w: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28.9</w:t>
            </w:r>
          </w:p>
        </w:tc>
      </w:tr>
      <w:tr>
        <w:trPr>
          <w:trHeight w:val="20"/>
        </w:trPr>
        <w:tc>
          <w:tcPr>
            <w:tcW w:w="8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280" w:firstLine="399"/>
        <w:spacing w:after="0" w:line="294" w:lineRule="auto"/>
        <w:rPr>
          <w:sz w:val="20"/>
          <w:szCs w:val="20"/>
          <w:color w:val="auto"/>
        </w:rPr>
      </w:pPr>
      <w:r>
        <w:rPr>
          <w:rFonts w:ascii="Arial" w:cs="Arial" w:eastAsia="Arial" w:hAnsi="Arial"/>
          <w:sz w:val="13"/>
          <w:szCs w:val="13"/>
          <w:color w:val="auto"/>
        </w:rPr>
        <w:t>These commitments do not contain any material rent escalations, rent holidays, contingent rent, rent concessions, leasehold improvement incentives or unusual provisions or conditions. We do not consider any of these individual leases material to our operations.</w:t>
      </w:r>
    </w:p>
    <w:p>
      <w:pPr>
        <w:spacing w:after="0" w:line="125"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Note R —</w:t>
      </w:r>
      <w:r>
        <w:rPr>
          <w:sz w:val="20"/>
          <w:szCs w:val="20"/>
          <w:color w:val="auto"/>
        </w:rPr>
        <w:tab/>
      </w:r>
      <w:r>
        <w:rPr>
          <w:rFonts w:ascii="Arial" w:cs="Arial" w:eastAsia="Arial" w:hAnsi="Arial"/>
          <w:sz w:val="12"/>
          <w:szCs w:val="12"/>
          <w:b w:val="1"/>
          <w:bCs w:val="1"/>
          <w:color w:val="auto"/>
        </w:rPr>
        <w:t>Risk Management, Derivative Financial Instruments and Hedging Activities</w:t>
      </w:r>
    </w:p>
    <w:p>
      <w:pPr>
        <w:spacing w:after="0" w:line="104" w:lineRule="exact"/>
        <w:rPr>
          <w:sz w:val="20"/>
          <w:szCs w:val="20"/>
          <w:color w:val="auto"/>
        </w:rPr>
      </w:pPr>
    </w:p>
    <w:p>
      <w:pPr>
        <w:ind w:left="680" w:right="260" w:firstLine="399"/>
        <w:spacing w:after="0" w:line="294" w:lineRule="auto"/>
        <w:rPr>
          <w:sz w:val="20"/>
          <w:szCs w:val="20"/>
          <w:color w:val="auto"/>
        </w:rPr>
      </w:pPr>
      <w:r>
        <w:rPr>
          <w:rFonts w:ascii="Arial" w:cs="Arial" w:eastAsia="Arial" w:hAnsi="Arial"/>
          <w:sz w:val="13"/>
          <w:szCs w:val="13"/>
          <w:color w:val="auto"/>
        </w:rPr>
        <w:t>We are exposed to global market risks, including the effect of changes in foreign currency exchange rates, and use derivatives to manage financial exposures that occur in the normal course of business. We do not hold nor issue derivatives for trading purposes.</w:t>
      </w:r>
    </w:p>
    <w:p>
      <w:pPr>
        <w:spacing w:after="0" w:line="258"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107" w:name="page108"/>
    <w:bookmarkEnd w:id="10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HARRIS STRATEX NETWORKS, INC. AND SUBSIDIARIES</w:t>
      </w:r>
    </w:p>
    <w:p>
      <w:pPr>
        <w:spacing w:after="0" w:line="102"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66" w:lineRule="exact"/>
        <w:rPr>
          <w:sz w:val="20"/>
          <w:szCs w:val="20"/>
          <w:color w:val="auto"/>
        </w:rPr>
      </w:pPr>
    </w:p>
    <w:p>
      <w:pPr>
        <w:ind w:left="680" w:right="120" w:firstLine="399"/>
        <w:spacing w:after="0" w:line="267" w:lineRule="auto"/>
        <w:rPr>
          <w:sz w:val="20"/>
          <w:szCs w:val="20"/>
          <w:color w:val="auto"/>
        </w:rPr>
      </w:pPr>
      <w:r>
        <w:rPr>
          <w:rFonts w:ascii="Arial" w:cs="Arial" w:eastAsia="Arial" w:hAnsi="Arial"/>
          <w:sz w:val="13"/>
          <w:szCs w:val="13"/>
          <w:color w:val="auto"/>
        </w:rPr>
        <w:t>We formally document all relationships between hedging instruments and hedged items, as well as the risk-management objective and strategy for undertaking hedge transactions. This process includes linking all derivatives to either specific firm commitments or forecasted transactions. We also enter into foreign exchange forward contracts to mitigate the change in fair value of specific assets and liabilities on the balance sheet; these are not designated as hedging instruments. Accordingly, changes in the fair value of hedges of recorded balance sheet positions are recognized immediately in cost of external product sales on the consolidated statements of operations together with the transaction gain or loss from the hedged balance sheet position.</w:t>
      </w:r>
    </w:p>
    <w:p>
      <w:pPr>
        <w:spacing w:after="0" w:line="65" w:lineRule="exact"/>
        <w:rPr>
          <w:sz w:val="20"/>
          <w:szCs w:val="20"/>
          <w:color w:val="auto"/>
        </w:rPr>
      </w:pPr>
    </w:p>
    <w:p>
      <w:pPr>
        <w:jc w:val="both"/>
        <w:ind w:left="680" w:right="140" w:firstLine="399"/>
        <w:spacing w:after="0" w:line="276" w:lineRule="auto"/>
        <w:rPr>
          <w:sz w:val="20"/>
          <w:szCs w:val="20"/>
          <w:color w:val="auto"/>
        </w:rPr>
      </w:pPr>
      <w:r>
        <w:rPr>
          <w:rFonts w:ascii="Arial" w:cs="Arial" w:eastAsia="Arial" w:hAnsi="Arial"/>
          <w:sz w:val="13"/>
          <w:szCs w:val="13"/>
          <w:color w:val="auto"/>
        </w:rPr>
        <w:t>Substantially all derivatives outstanding as of July 3, 2009 are designated as cash flow hedges or non-designated hedges of recorded balance sheet positions. All derivatives are recognized on the balance sheet at their fair value. The total notional amount of outstanding derivatives as of July 3, 2009 was $74.9 million, of which $9.7 million were designated as cash flow hedges and $65.2 million were not designated as cash flow hedging instruments.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As of July 3, 2009, we had 40 foreign currency forward contracts outstanding with a total net notional amount of $29.2 million consisting of 14 different currencies, primarily the</w:t>
      </w:r>
    </w:p>
    <w:p>
      <w:pPr>
        <w:spacing w:after="0" w:line="34" w:lineRule="exact"/>
        <w:rPr>
          <w:sz w:val="20"/>
          <w:szCs w:val="20"/>
          <w:color w:val="auto"/>
        </w:rPr>
      </w:pPr>
    </w:p>
    <w:p>
      <w:pPr>
        <w:ind w:left="680"/>
        <w:spacing w:after="0"/>
        <w:rPr>
          <w:sz w:val="20"/>
          <w:szCs w:val="20"/>
          <w:color w:val="auto"/>
        </w:rPr>
      </w:pPr>
      <w:r>
        <w:rPr>
          <w:rFonts w:ascii="Arial" w:cs="Arial" w:eastAsia="Arial" w:hAnsi="Arial"/>
          <w:sz w:val="12"/>
          <w:szCs w:val="12"/>
          <w:color w:val="auto"/>
        </w:rPr>
        <w:t>Australian dollar, Canadian dollar, Euro and Polish zloty. Following is a summary by currency of the contract net notional amounts grouped by the underlying foreign currency:</w:t>
      </w:r>
    </w:p>
    <w:p>
      <w:pPr>
        <w:spacing w:after="0" w:line="92"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7880" w:type="dxa"/>
            <w:vAlign w:val="bottom"/>
          </w:tcPr>
          <w:p>
            <w:pPr>
              <w:spacing w:after="0"/>
              <w:rPr>
                <w:sz w:val="10"/>
                <w:szCs w:val="10"/>
                <w:color w:val="auto"/>
              </w:rPr>
            </w:pPr>
          </w:p>
        </w:tc>
        <w:tc>
          <w:tcPr>
            <w:tcW w:w="1520" w:type="dxa"/>
            <w:vAlign w:val="bottom"/>
            <w:gridSpan w:val="3"/>
            <w:vMerge w:val="restart"/>
          </w:tcPr>
          <w:p>
            <w:pPr>
              <w:ind w:left="160"/>
              <w:spacing w:after="0"/>
              <w:rPr>
                <w:sz w:val="20"/>
                <w:szCs w:val="20"/>
                <w:color w:val="auto"/>
              </w:rPr>
            </w:pPr>
            <w:r>
              <w:rPr>
                <w:rFonts w:ascii="Arial" w:cs="Arial" w:eastAsia="Arial" w:hAnsi="Arial"/>
                <w:sz w:val="11"/>
                <w:szCs w:val="11"/>
                <w:b w:val="1"/>
                <w:bCs w:val="1"/>
                <w:color w:val="auto"/>
              </w:rPr>
              <w:t>Contract Amount</w:t>
            </w:r>
          </w:p>
        </w:tc>
        <w:tc>
          <w:tcPr>
            <w:tcW w:w="580" w:type="dxa"/>
            <w:vAlign w:val="bottom"/>
            <w:gridSpan w:val="4"/>
          </w:tcPr>
          <w:p>
            <w:pPr>
              <w:jc w:val="center"/>
              <w:ind w:right="80"/>
              <w:spacing w:after="0"/>
              <w:rPr>
                <w:sz w:val="20"/>
                <w:szCs w:val="20"/>
                <w:color w:val="auto"/>
              </w:rPr>
            </w:pPr>
            <w:r>
              <w:rPr>
                <w:rFonts w:ascii="Arial" w:cs="Arial" w:eastAsia="Arial" w:hAnsi="Arial"/>
                <w:sz w:val="11"/>
                <w:szCs w:val="11"/>
                <w:b w:val="1"/>
                <w:bCs w:val="1"/>
                <w:color w:val="auto"/>
                <w:w w:val="92"/>
              </w:rPr>
              <w:t>Contract</w:t>
            </w:r>
          </w:p>
        </w:tc>
        <w:tc>
          <w:tcPr>
            <w:tcW w:w="0" w:type="dxa"/>
            <w:vAlign w:val="bottom"/>
          </w:tcPr>
          <w:p>
            <w:pPr>
              <w:spacing w:after="0"/>
              <w:rPr>
                <w:sz w:val="1"/>
                <w:szCs w:val="1"/>
                <w:color w:val="auto"/>
              </w:rPr>
            </w:pPr>
          </w:p>
        </w:tc>
      </w:tr>
      <w:tr>
        <w:trPr>
          <w:trHeight w:val="111"/>
        </w:trPr>
        <w:tc>
          <w:tcPr>
            <w:tcW w:w="7880" w:type="dxa"/>
            <w:vAlign w:val="bottom"/>
          </w:tcPr>
          <w:p>
            <w:pPr>
              <w:spacing w:after="0"/>
              <w:rPr>
                <w:sz w:val="9"/>
                <w:szCs w:val="9"/>
                <w:color w:val="auto"/>
              </w:rPr>
            </w:pPr>
          </w:p>
        </w:tc>
        <w:tc>
          <w:tcPr>
            <w:tcW w:w="1520" w:type="dxa"/>
            <w:vAlign w:val="bottom"/>
            <w:gridSpan w:val="3"/>
            <w:vMerge w:val="continue"/>
          </w:tcPr>
          <w:p>
            <w:pPr>
              <w:spacing w:after="0"/>
              <w:rPr>
                <w:sz w:val="9"/>
                <w:szCs w:val="9"/>
                <w:color w:val="auto"/>
              </w:rPr>
            </w:pPr>
          </w:p>
        </w:tc>
        <w:tc>
          <w:tcPr>
            <w:tcW w:w="580" w:type="dxa"/>
            <w:vAlign w:val="bottom"/>
            <w:gridSpan w:val="4"/>
          </w:tcPr>
          <w:p>
            <w:pPr>
              <w:jc w:val="center"/>
              <w:ind w:right="80"/>
              <w:spacing w:after="0" w:line="111" w:lineRule="exact"/>
              <w:rPr>
                <w:sz w:val="20"/>
                <w:szCs w:val="20"/>
                <w:color w:val="auto"/>
              </w:rPr>
            </w:pPr>
            <w:r>
              <w:rPr>
                <w:rFonts w:ascii="Arial" w:cs="Arial" w:eastAsia="Arial" w:hAnsi="Arial"/>
                <w:sz w:val="11"/>
                <w:szCs w:val="11"/>
                <w:b w:val="1"/>
                <w:bCs w:val="1"/>
                <w:color w:val="auto"/>
                <w:w w:val="91"/>
              </w:rPr>
              <w:t>Amount</w:t>
            </w:r>
          </w:p>
        </w:tc>
        <w:tc>
          <w:tcPr>
            <w:tcW w:w="0" w:type="dxa"/>
            <w:vAlign w:val="bottom"/>
          </w:tcPr>
          <w:p>
            <w:pPr>
              <w:spacing w:after="0"/>
              <w:rPr>
                <w:sz w:val="1"/>
                <w:szCs w:val="1"/>
                <w:color w:val="auto"/>
              </w:rPr>
            </w:pPr>
          </w:p>
        </w:tc>
      </w:tr>
      <w:tr>
        <w:trPr>
          <w:trHeight w:val="128"/>
        </w:trPr>
        <w:tc>
          <w:tcPr>
            <w:tcW w:w="7880" w:type="dxa"/>
            <w:vAlign w:val="bottom"/>
          </w:tcPr>
          <w:p>
            <w:pPr>
              <w:spacing w:after="0"/>
              <w:rPr>
                <w:sz w:val="11"/>
                <w:szCs w:val="11"/>
                <w:color w:val="auto"/>
              </w:rPr>
            </w:pPr>
          </w:p>
        </w:tc>
        <w:tc>
          <w:tcPr>
            <w:tcW w:w="1140" w:type="dxa"/>
            <w:vAlign w:val="bottom"/>
            <w:tcBorders>
              <w:bottom w:val="single" w:sz="8" w:color="auto"/>
            </w:tcBorders>
            <w:gridSpan w:val="2"/>
          </w:tcPr>
          <w:p>
            <w:pPr>
              <w:ind w:left="180"/>
              <w:spacing w:after="0"/>
              <w:rPr>
                <w:sz w:val="20"/>
                <w:szCs w:val="20"/>
                <w:color w:val="auto"/>
              </w:rPr>
            </w:pPr>
            <w:r>
              <w:rPr>
                <w:rFonts w:ascii="Arial" w:cs="Arial" w:eastAsia="Arial" w:hAnsi="Arial"/>
                <w:sz w:val="11"/>
                <w:szCs w:val="11"/>
                <w:b w:val="1"/>
                <w:bCs w:val="1"/>
                <w:color w:val="auto"/>
              </w:rPr>
              <w:t>(Local Currency)</w:t>
            </w: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center"/>
              <w:ind w:right="35"/>
              <w:spacing w:after="0"/>
              <w:rPr>
                <w:sz w:val="20"/>
                <w:szCs w:val="20"/>
                <w:color w:val="auto"/>
              </w:rPr>
            </w:pPr>
            <w:r>
              <w:rPr>
                <w:rFonts w:ascii="Arial" w:cs="Arial" w:eastAsia="Arial" w:hAnsi="Arial"/>
                <w:sz w:val="11"/>
                <w:szCs w:val="11"/>
                <w:b w:val="1"/>
                <w:bCs w:val="1"/>
                <w:color w:val="auto"/>
                <w:w w:val="98"/>
              </w:rPr>
              <w:t>(USD)</w:t>
            </w:r>
          </w:p>
        </w:tc>
        <w:tc>
          <w:tcPr>
            <w:tcW w:w="8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78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b w:val="1"/>
                <w:bCs w:val="1"/>
                <w:color w:val="auto"/>
              </w:rPr>
              <w:t>(In millions)</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7880" w:type="dxa"/>
            <w:vAlign w:val="bottom"/>
            <w:shd w:val="clear" w:color="auto" w:fill="CCEEFF"/>
          </w:tcPr>
          <w:p>
            <w:pPr>
              <w:spacing w:after="0"/>
              <w:rPr>
                <w:sz w:val="20"/>
                <w:szCs w:val="20"/>
                <w:color w:val="auto"/>
              </w:rPr>
            </w:pPr>
            <w:r>
              <w:rPr>
                <w:rFonts w:ascii="Arial" w:cs="Arial" w:eastAsia="Arial" w:hAnsi="Arial"/>
                <w:sz w:val="13"/>
                <w:szCs w:val="13"/>
                <w:color w:val="auto"/>
              </w:rPr>
              <w:t>Australian dollar (“AUD”) net contracts to receive (pay) USD</w:t>
            </w: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(AUD)</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10.8</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8.6</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880" w:type="dxa"/>
            <w:vAlign w:val="bottom"/>
          </w:tcPr>
          <w:p>
            <w:pPr>
              <w:spacing w:after="0"/>
              <w:rPr>
                <w:sz w:val="20"/>
                <w:szCs w:val="20"/>
                <w:color w:val="auto"/>
              </w:rPr>
            </w:pPr>
            <w:r>
              <w:rPr>
                <w:rFonts w:ascii="Arial" w:cs="Arial" w:eastAsia="Arial" w:hAnsi="Arial"/>
                <w:sz w:val="13"/>
                <w:szCs w:val="13"/>
                <w:color w:val="auto"/>
              </w:rPr>
              <w:t>Canadian dollar (“CAD”) net contracts to receive (pay) USD</w:t>
            </w: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(CAD)</w:t>
            </w:r>
          </w:p>
        </w:tc>
        <w:tc>
          <w:tcPr>
            <w:tcW w:w="920" w:type="dxa"/>
            <w:vAlign w:val="bottom"/>
            <w:gridSpan w:val="2"/>
          </w:tcPr>
          <w:p>
            <w:pPr>
              <w:jc w:val="right"/>
              <w:ind w:right="320"/>
              <w:spacing w:after="0"/>
              <w:rPr>
                <w:sz w:val="20"/>
                <w:szCs w:val="20"/>
                <w:color w:val="auto"/>
              </w:rPr>
            </w:pPr>
            <w:r>
              <w:rPr>
                <w:rFonts w:ascii="Arial" w:cs="Arial" w:eastAsia="Arial" w:hAnsi="Arial"/>
                <w:sz w:val="13"/>
                <w:szCs w:val="13"/>
                <w:color w:val="auto"/>
              </w:rPr>
              <w:t>(5.7)</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gridSpan w:val="3"/>
          </w:tcPr>
          <w:p>
            <w:pPr>
              <w:jc w:val="right"/>
              <w:ind w:right="40"/>
              <w:spacing w:after="0"/>
              <w:rPr>
                <w:sz w:val="20"/>
                <w:szCs w:val="20"/>
                <w:color w:val="auto"/>
              </w:rPr>
            </w:pPr>
            <w:r>
              <w:rPr>
                <w:rFonts w:ascii="Arial" w:cs="Arial" w:eastAsia="Arial" w:hAnsi="Arial"/>
                <w:sz w:val="13"/>
                <w:szCs w:val="13"/>
                <w:color w:val="auto"/>
              </w:rPr>
              <w:t>(5.0)</w:t>
            </w:r>
          </w:p>
        </w:tc>
        <w:tc>
          <w:tcPr>
            <w:tcW w:w="0" w:type="dxa"/>
            <w:vAlign w:val="bottom"/>
          </w:tcPr>
          <w:p>
            <w:pPr>
              <w:spacing w:after="0"/>
              <w:rPr>
                <w:sz w:val="1"/>
                <w:szCs w:val="1"/>
                <w:color w:val="auto"/>
              </w:rPr>
            </w:pPr>
          </w:p>
        </w:tc>
      </w:tr>
      <w:tr>
        <w:trPr>
          <w:trHeight w:val="161"/>
        </w:trPr>
        <w:tc>
          <w:tcPr>
            <w:tcW w:w="7880" w:type="dxa"/>
            <w:vAlign w:val="bottom"/>
            <w:shd w:val="clear" w:color="auto" w:fill="CCEEFF"/>
          </w:tcPr>
          <w:p>
            <w:pPr>
              <w:spacing w:after="0"/>
              <w:rPr>
                <w:sz w:val="20"/>
                <w:szCs w:val="20"/>
                <w:color w:val="auto"/>
              </w:rPr>
            </w:pPr>
            <w:r>
              <w:rPr>
                <w:rFonts w:ascii="Arial" w:cs="Arial" w:eastAsia="Arial" w:hAnsi="Arial"/>
                <w:sz w:val="13"/>
                <w:szCs w:val="13"/>
                <w:color w:val="auto"/>
              </w:rPr>
              <w:t>Euro (“EUR”) net contracts to receive (pay) USD</w:t>
            </w: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(EUR)</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10.4</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14.6</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880" w:type="dxa"/>
            <w:vAlign w:val="bottom"/>
          </w:tcPr>
          <w:p>
            <w:pPr>
              <w:spacing w:after="0"/>
              <w:rPr>
                <w:sz w:val="20"/>
                <w:szCs w:val="20"/>
                <w:color w:val="auto"/>
              </w:rPr>
            </w:pPr>
            <w:r>
              <w:rPr>
                <w:rFonts w:ascii="Arial" w:cs="Arial" w:eastAsia="Arial" w:hAnsi="Arial"/>
                <w:sz w:val="13"/>
                <w:szCs w:val="13"/>
                <w:color w:val="auto"/>
              </w:rPr>
              <w:t>Polish zloty (“PLN”) net contracts to receive (pay) USD</w:t>
            </w: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(PLN)</w:t>
            </w:r>
          </w:p>
        </w:tc>
        <w:tc>
          <w:tcPr>
            <w:tcW w:w="920" w:type="dxa"/>
            <w:vAlign w:val="bottom"/>
            <w:gridSpan w:val="2"/>
          </w:tcPr>
          <w:p>
            <w:pPr>
              <w:jc w:val="right"/>
              <w:ind w:right="380"/>
              <w:spacing w:after="0"/>
              <w:rPr>
                <w:sz w:val="20"/>
                <w:szCs w:val="20"/>
                <w:color w:val="auto"/>
              </w:rPr>
            </w:pPr>
            <w:r>
              <w:rPr>
                <w:rFonts w:ascii="Arial" w:cs="Arial" w:eastAsia="Arial" w:hAnsi="Arial"/>
                <w:sz w:val="13"/>
                <w:szCs w:val="13"/>
                <w:color w:val="auto"/>
              </w:rPr>
              <w:t>31.2</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20" w:type="dxa"/>
            <w:vAlign w:val="bottom"/>
            <w:gridSpan w:val="2"/>
          </w:tcPr>
          <w:p>
            <w:pPr>
              <w:jc w:val="right"/>
              <w:ind w:right="20"/>
              <w:spacing w:after="0"/>
              <w:rPr>
                <w:sz w:val="20"/>
                <w:szCs w:val="20"/>
                <w:color w:val="auto"/>
              </w:rPr>
            </w:pPr>
            <w:r>
              <w:rPr>
                <w:rFonts w:ascii="Arial" w:cs="Arial" w:eastAsia="Arial" w:hAnsi="Arial"/>
                <w:sz w:val="13"/>
                <w:szCs w:val="13"/>
                <w:color w:val="auto"/>
              </w:rPr>
              <w:t>9.6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880" w:type="dxa"/>
            <w:vAlign w:val="bottom"/>
            <w:shd w:val="clear" w:color="auto" w:fill="CCEEFF"/>
          </w:tcPr>
          <w:p>
            <w:pPr>
              <w:spacing w:after="0"/>
              <w:rPr>
                <w:sz w:val="20"/>
                <w:szCs w:val="20"/>
                <w:color w:val="auto"/>
              </w:rPr>
            </w:pPr>
            <w:r>
              <w:rPr>
                <w:rFonts w:ascii="Arial" w:cs="Arial" w:eastAsia="Arial" w:hAnsi="Arial"/>
                <w:sz w:val="13"/>
                <w:szCs w:val="13"/>
                <w:color w:val="auto"/>
              </w:rPr>
              <w:t>All other currencies net contracts to receive (pay) USD</w:t>
            </w:r>
          </w:p>
        </w:tc>
        <w:tc>
          <w:tcPr>
            <w:tcW w:w="6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1.4</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880" w:type="dxa"/>
            <w:vAlign w:val="bottom"/>
          </w:tcPr>
          <w:p>
            <w:pPr>
              <w:spacing w:after="0"/>
              <w:rPr>
                <w:sz w:val="20"/>
                <w:szCs w:val="20"/>
                <w:color w:val="auto"/>
              </w:rPr>
            </w:pPr>
            <w:r>
              <w:rPr>
                <w:rFonts w:ascii="Arial" w:cs="Arial" w:eastAsia="Arial" w:hAnsi="Arial"/>
                <w:sz w:val="13"/>
                <w:szCs w:val="13"/>
                <w:color w:val="auto"/>
              </w:rPr>
              <w:t>Total of all currencies</w:t>
            </w: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29.2</w:t>
            </w:r>
          </w:p>
        </w:tc>
        <w:tc>
          <w:tcPr>
            <w:tcW w:w="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presents the fair value of derivative instruments included within our Consolidated Balance Sheet as of July 3, 2009:</w:t>
      </w:r>
    </w:p>
    <w:p>
      <w:pPr>
        <w:spacing w:after="0" w:line="106" w:lineRule="exact"/>
        <w:rPr>
          <w:sz w:val="20"/>
          <w:szCs w:val="20"/>
          <w:color w:val="auto"/>
        </w:rPr>
      </w:pPr>
    </w:p>
    <w:tbl>
      <w:tblPr>
        <w:tblLayout w:type="fixed"/>
        <w:tblInd w:w="680" w:type="dxa"/>
        <w:tblCellMar>
          <w:top w:w="0" w:type="dxa"/>
          <w:left w:w="0" w:type="dxa"/>
          <w:bottom w:w="0" w:type="dxa"/>
          <w:right w:w="0" w:type="dxa"/>
        </w:tblCellMar>
      </w:tblPr>
      <w:tr>
        <w:trPr>
          <w:trHeight w:val="128"/>
        </w:trPr>
        <w:tc>
          <w:tcPr>
            <w:tcW w:w="2900" w:type="dxa"/>
            <w:vAlign w:val="bottom"/>
          </w:tcPr>
          <w:p>
            <w:pPr>
              <w:spacing w:after="0"/>
              <w:rPr>
                <w:sz w:val="11"/>
                <w:szCs w:val="11"/>
                <w:color w:val="auto"/>
              </w:rPr>
            </w:pPr>
          </w:p>
        </w:tc>
        <w:tc>
          <w:tcPr>
            <w:tcW w:w="2400" w:type="dxa"/>
            <w:vAlign w:val="bottom"/>
            <w:tcBorders>
              <w:bottom w:val="single" w:sz="8" w:color="auto"/>
            </w:tcBorders>
          </w:tcPr>
          <w:p>
            <w:pPr>
              <w:ind w:left="1260"/>
              <w:spacing w:after="0"/>
              <w:rPr>
                <w:sz w:val="20"/>
                <w:szCs w:val="20"/>
                <w:color w:val="auto"/>
              </w:rPr>
            </w:pPr>
            <w:r>
              <w:rPr>
                <w:rFonts w:ascii="Arial" w:cs="Arial" w:eastAsia="Arial" w:hAnsi="Arial"/>
                <w:sz w:val="11"/>
                <w:szCs w:val="11"/>
                <w:b w:val="1"/>
                <w:bCs w:val="1"/>
                <w:color w:val="auto"/>
              </w:rPr>
              <w:t>Asset Derivatives</w:t>
            </w:r>
          </w:p>
        </w:tc>
        <w:tc>
          <w:tcPr>
            <w:tcW w:w="3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400" w:type="dxa"/>
            <w:vAlign w:val="bottom"/>
            <w:tcBorders>
              <w:bottom w:val="single" w:sz="8" w:color="auto"/>
            </w:tcBorders>
          </w:tcPr>
          <w:p>
            <w:pPr>
              <w:ind w:left="1160"/>
              <w:spacing w:after="0"/>
              <w:rPr>
                <w:sz w:val="20"/>
                <w:szCs w:val="20"/>
                <w:color w:val="auto"/>
              </w:rPr>
            </w:pPr>
            <w:r>
              <w:rPr>
                <w:rFonts w:ascii="Arial" w:cs="Arial" w:eastAsia="Arial" w:hAnsi="Arial"/>
                <w:sz w:val="11"/>
                <w:szCs w:val="11"/>
                <w:b w:val="1"/>
                <w:bCs w:val="1"/>
                <w:color w:val="auto"/>
              </w:rPr>
              <w:t>Liability Derivatives</w:t>
            </w:r>
          </w:p>
        </w:tc>
        <w:tc>
          <w:tcPr>
            <w:tcW w:w="2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2900" w:type="dxa"/>
            <w:vAlign w:val="bottom"/>
          </w:tcPr>
          <w:p>
            <w:pPr>
              <w:spacing w:after="0"/>
              <w:rPr>
                <w:sz w:val="7"/>
                <w:szCs w:val="7"/>
                <w:color w:val="auto"/>
              </w:rPr>
            </w:pPr>
          </w:p>
        </w:tc>
        <w:tc>
          <w:tcPr>
            <w:tcW w:w="2400" w:type="dxa"/>
            <w:vAlign w:val="bottom"/>
          </w:tcPr>
          <w:p>
            <w:pPr>
              <w:jc w:val="center"/>
              <w:spacing w:after="0" w:line="84" w:lineRule="exact"/>
              <w:rPr>
                <w:sz w:val="20"/>
                <w:szCs w:val="20"/>
                <w:color w:val="auto"/>
              </w:rPr>
            </w:pPr>
            <w:r>
              <w:rPr>
                <w:rFonts w:ascii="Arial" w:cs="Arial" w:eastAsia="Arial" w:hAnsi="Arial"/>
                <w:sz w:val="9"/>
                <w:szCs w:val="9"/>
                <w:b w:val="1"/>
                <w:bCs w:val="1"/>
                <w:color w:val="auto"/>
              </w:rPr>
              <w:t>Balance Sheet</w:t>
            </w:r>
          </w:p>
        </w:tc>
        <w:tc>
          <w:tcPr>
            <w:tcW w:w="300" w:type="dxa"/>
            <w:vAlign w:val="bottom"/>
          </w:tcPr>
          <w:p>
            <w:pPr>
              <w:spacing w:after="0"/>
              <w:rPr>
                <w:sz w:val="7"/>
                <w:szCs w:val="7"/>
                <w:color w:val="auto"/>
              </w:rPr>
            </w:pPr>
          </w:p>
        </w:tc>
        <w:tc>
          <w:tcPr>
            <w:tcW w:w="620" w:type="dxa"/>
            <w:vAlign w:val="bottom"/>
            <w:gridSpan w:val="2"/>
            <w:vMerge w:val="restart"/>
          </w:tcPr>
          <w:p>
            <w:pPr>
              <w:jc w:val="right"/>
              <w:spacing w:after="0"/>
              <w:rPr>
                <w:sz w:val="20"/>
                <w:szCs w:val="20"/>
                <w:color w:val="auto"/>
              </w:rPr>
            </w:pPr>
            <w:r>
              <w:rPr>
                <w:rFonts w:ascii="Arial" w:cs="Arial" w:eastAsia="Arial" w:hAnsi="Arial"/>
                <w:sz w:val="11"/>
                <w:szCs w:val="11"/>
                <w:b w:val="1"/>
                <w:bCs w:val="1"/>
                <w:color w:val="auto"/>
              </w:rPr>
              <w:t>Fair Value</w:t>
            </w:r>
          </w:p>
        </w:tc>
        <w:tc>
          <w:tcPr>
            <w:tcW w:w="400" w:type="dxa"/>
            <w:vAlign w:val="bottom"/>
            <w:vMerge w:val="restart"/>
          </w:tcPr>
          <w:p>
            <w:pPr>
              <w:spacing w:after="0"/>
              <w:rPr>
                <w:sz w:val="7"/>
                <w:szCs w:val="7"/>
                <w:color w:val="auto"/>
              </w:rPr>
            </w:pPr>
          </w:p>
        </w:tc>
        <w:tc>
          <w:tcPr>
            <w:tcW w:w="2400" w:type="dxa"/>
            <w:vAlign w:val="bottom"/>
          </w:tcPr>
          <w:p>
            <w:pPr>
              <w:jc w:val="center"/>
              <w:spacing w:after="0" w:line="84" w:lineRule="exact"/>
              <w:rPr>
                <w:sz w:val="20"/>
                <w:szCs w:val="20"/>
                <w:color w:val="auto"/>
              </w:rPr>
            </w:pPr>
            <w:r>
              <w:rPr>
                <w:rFonts w:ascii="Arial" w:cs="Arial" w:eastAsia="Arial" w:hAnsi="Arial"/>
                <w:sz w:val="9"/>
                <w:szCs w:val="9"/>
                <w:b w:val="1"/>
                <w:bCs w:val="1"/>
                <w:color w:val="auto"/>
              </w:rPr>
              <w:t>Balance Sheet</w:t>
            </w:r>
          </w:p>
        </w:tc>
        <w:tc>
          <w:tcPr>
            <w:tcW w:w="280" w:type="dxa"/>
            <w:vAlign w:val="bottom"/>
          </w:tcPr>
          <w:p>
            <w:pPr>
              <w:spacing w:after="0"/>
              <w:rPr>
                <w:sz w:val="7"/>
                <w:szCs w:val="7"/>
                <w:color w:val="auto"/>
              </w:rPr>
            </w:pPr>
          </w:p>
        </w:tc>
        <w:tc>
          <w:tcPr>
            <w:tcW w:w="600" w:type="dxa"/>
            <w:vAlign w:val="bottom"/>
            <w:gridSpan w:val="2"/>
            <w:vMerge w:val="restart"/>
          </w:tcPr>
          <w:p>
            <w:pPr>
              <w:jc w:val="right"/>
              <w:spacing w:after="0"/>
              <w:rPr>
                <w:sz w:val="20"/>
                <w:szCs w:val="20"/>
                <w:color w:val="auto"/>
              </w:rPr>
            </w:pPr>
            <w:r>
              <w:rPr>
                <w:rFonts w:ascii="Arial" w:cs="Arial" w:eastAsia="Arial" w:hAnsi="Arial"/>
                <w:sz w:val="11"/>
                <w:szCs w:val="11"/>
                <w:b w:val="1"/>
                <w:bCs w:val="1"/>
                <w:color w:val="auto"/>
                <w:w w:val="98"/>
              </w:rPr>
              <w:t>Fair Value</w:t>
            </w: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2900" w:type="dxa"/>
            <w:vAlign w:val="bottom"/>
          </w:tcPr>
          <w:p>
            <w:pPr>
              <w:spacing w:after="0"/>
              <w:rPr>
                <w:sz w:val="11"/>
                <w:szCs w:val="11"/>
                <w:color w:val="auto"/>
              </w:rPr>
            </w:pP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1"/>
              </w:rPr>
              <w:t>Location</w:t>
            </w:r>
          </w:p>
        </w:tc>
        <w:tc>
          <w:tcPr>
            <w:tcW w:w="300" w:type="dxa"/>
            <w:vAlign w:val="bottom"/>
          </w:tcPr>
          <w:p>
            <w:pPr>
              <w:spacing w:after="0"/>
              <w:rPr>
                <w:sz w:val="11"/>
                <w:szCs w:val="11"/>
                <w:color w:val="auto"/>
              </w:rPr>
            </w:pPr>
          </w:p>
        </w:tc>
        <w:tc>
          <w:tcPr>
            <w:tcW w:w="620" w:type="dxa"/>
            <w:vAlign w:val="bottom"/>
            <w:tcBorders>
              <w:bottom w:val="single" w:sz="8" w:color="auto"/>
            </w:tcBorders>
            <w:gridSpan w:val="2"/>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7"/>
              </w:rPr>
              <w:t>Location</w:t>
            </w:r>
          </w:p>
        </w:tc>
        <w:tc>
          <w:tcPr>
            <w:tcW w:w="280" w:type="dxa"/>
            <w:vAlign w:val="bottom"/>
          </w:tcPr>
          <w:p>
            <w:pPr>
              <w:spacing w:after="0"/>
              <w:rPr>
                <w:sz w:val="11"/>
                <w:szCs w:val="11"/>
                <w:color w:val="auto"/>
              </w:rPr>
            </w:pPr>
          </w:p>
        </w:tc>
        <w:tc>
          <w:tcPr>
            <w:tcW w:w="600" w:type="dxa"/>
            <w:vAlign w:val="bottom"/>
            <w:tcBorders>
              <w:bottom w:val="single" w:sz="8" w:color="auto"/>
            </w:tcBorders>
            <w:gridSpan w:val="2"/>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90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160" w:type="dxa"/>
            <w:vAlign w:val="bottom"/>
            <w:gridSpan w:val="3"/>
          </w:tcPr>
          <w:p>
            <w:pPr>
              <w:ind w:left="260"/>
              <w:spacing w:after="0"/>
              <w:rPr>
                <w:sz w:val="20"/>
                <w:szCs w:val="20"/>
                <w:color w:val="auto"/>
              </w:rPr>
            </w:pPr>
            <w:r>
              <w:rPr>
                <w:rFonts w:ascii="Arial" w:cs="Arial" w:eastAsia="Arial" w:hAnsi="Arial"/>
                <w:sz w:val="11"/>
                <w:szCs w:val="11"/>
                <w:b w:val="1"/>
                <w:bCs w:val="1"/>
                <w:color w:val="auto"/>
              </w:rPr>
              <w:t>(In millions)</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900" w:type="dxa"/>
            <w:vAlign w:val="bottom"/>
          </w:tcPr>
          <w:p>
            <w:pPr>
              <w:spacing w:after="0"/>
              <w:rPr>
                <w:sz w:val="20"/>
                <w:szCs w:val="20"/>
                <w:color w:val="auto"/>
              </w:rPr>
            </w:pPr>
            <w:r>
              <w:rPr>
                <w:rFonts w:ascii="Arial" w:cs="Arial" w:eastAsia="Arial" w:hAnsi="Arial"/>
                <w:sz w:val="13"/>
                <w:szCs w:val="13"/>
                <w:color w:val="auto"/>
              </w:rPr>
              <w:t>Derivatives designated as hedging instruments</w:t>
            </w:r>
          </w:p>
        </w:tc>
        <w:tc>
          <w:tcPr>
            <w:tcW w:w="2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900" w:type="dxa"/>
            <w:vAlign w:val="bottom"/>
          </w:tcPr>
          <w:p>
            <w:pPr>
              <w:ind w:left="140"/>
              <w:spacing w:after="0"/>
              <w:rPr>
                <w:sz w:val="20"/>
                <w:szCs w:val="20"/>
                <w:color w:val="auto"/>
              </w:rPr>
            </w:pPr>
            <w:r>
              <w:rPr>
                <w:rFonts w:ascii="Arial" w:cs="Arial" w:eastAsia="Arial" w:hAnsi="Arial"/>
                <w:sz w:val="13"/>
                <w:szCs w:val="13"/>
                <w:color w:val="auto"/>
              </w:rPr>
              <w:t>under Statement 133:</w:t>
            </w:r>
          </w:p>
        </w:tc>
        <w:tc>
          <w:tcPr>
            <w:tcW w:w="2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900" w:type="dxa"/>
            <w:vAlign w:val="bottom"/>
          </w:tcPr>
          <w:p>
            <w:pPr>
              <w:ind w:left="140"/>
              <w:spacing w:after="0"/>
              <w:rPr>
                <w:sz w:val="20"/>
                <w:szCs w:val="20"/>
                <w:color w:val="auto"/>
              </w:rPr>
            </w:pPr>
            <w:r>
              <w:rPr>
                <w:rFonts w:ascii="Arial" w:cs="Arial" w:eastAsia="Arial" w:hAnsi="Arial"/>
                <w:sz w:val="13"/>
                <w:szCs w:val="13"/>
                <w:color w:val="auto"/>
              </w:rPr>
              <w:t>Foreign exchange forward contracts</w:t>
            </w:r>
          </w:p>
        </w:tc>
        <w:tc>
          <w:tcPr>
            <w:tcW w:w="2400" w:type="dxa"/>
            <w:vAlign w:val="bottom"/>
          </w:tcPr>
          <w:p>
            <w:pPr>
              <w:ind w:left="20"/>
              <w:spacing w:after="0"/>
              <w:rPr>
                <w:sz w:val="20"/>
                <w:szCs w:val="20"/>
                <w:color w:val="auto"/>
              </w:rPr>
            </w:pPr>
            <w:r>
              <w:rPr>
                <w:rFonts w:ascii="Arial" w:cs="Arial" w:eastAsia="Arial" w:hAnsi="Arial"/>
                <w:sz w:val="13"/>
                <w:szCs w:val="13"/>
                <w:color w:val="auto"/>
              </w:rPr>
              <w:t>Other current assets</w:t>
            </w:r>
          </w:p>
        </w:tc>
        <w:tc>
          <w:tcPr>
            <w:tcW w:w="5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360" w:type="dxa"/>
            <w:vAlign w:val="bottom"/>
          </w:tcPr>
          <w:p>
            <w:pPr>
              <w:jc w:val="right"/>
              <w:spacing w:after="0"/>
              <w:rPr>
                <w:sz w:val="20"/>
                <w:szCs w:val="20"/>
                <w:color w:val="auto"/>
              </w:rPr>
            </w:pPr>
            <w:r>
              <w:rPr>
                <w:rFonts w:ascii="Arial" w:cs="Arial" w:eastAsia="Arial" w:hAnsi="Arial"/>
                <w:sz w:val="13"/>
                <w:szCs w:val="13"/>
                <w:color w:val="auto"/>
              </w:rPr>
              <w:t>0.2</w:t>
            </w:r>
          </w:p>
        </w:tc>
        <w:tc>
          <w:tcPr>
            <w:tcW w:w="400" w:type="dxa"/>
            <w:vAlign w:val="bottom"/>
          </w:tcPr>
          <w:p>
            <w:pPr>
              <w:spacing w:after="0"/>
              <w:rPr>
                <w:sz w:val="14"/>
                <w:szCs w:val="14"/>
                <w:color w:val="auto"/>
              </w:rPr>
            </w:pPr>
          </w:p>
        </w:tc>
        <w:tc>
          <w:tcPr>
            <w:tcW w:w="2400" w:type="dxa"/>
            <w:vAlign w:val="bottom"/>
          </w:tcPr>
          <w:p>
            <w:pPr>
              <w:spacing w:after="0"/>
              <w:rPr>
                <w:sz w:val="20"/>
                <w:szCs w:val="20"/>
                <w:color w:val="auto"/>
              </w:rPr>
            </w:pPr>
            <w:r>
              <w:rPr>
                <w:rFonts w:ascii="Arial" w:cs="Arial" w:eastAsia="Arial" w:hAnsi="Arial"/>
                <w:sz w:val="13"/>
                <w:szCs w:val="13"/>
                <w:color w:val="auto"/>
              </w:rPr>
              <w:t>Other current liabilities</w:t>
            </w:r>
          </w:p>
        </w:tc>
        <w:tc>
          <w:tcPr>
            <w:tcW w:w="5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360" w:type="dxa"/>
            <w:vAlign w:val="bottom"/>
            <w:gridSpan w:val="2"/>
          </w:tcPr>
          <w:p>
            <w:pPr>
              <w:jc w:val="right"/>
              <w:ind w:right="20"/>
              <w:spacing w:after="0"/>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161"/>
        </w:trPr>
        <w:tc>
          <w:tcPr>
            <w:tcW w:w="2900" w:type="dxa"/>
            <w:vAlign w:val="bottom"/>
          </w:tcPr>
          <w:p>
            <w:pPr>
              <w:spacing w:after="0"/>
              <w:rPr>
                <w:sz w:val="20"/>
                <w:szCs w:val="20"/>
                <w:color w:val="auto"/>
              </w:rPr>
            </w:pPr>
            <w:r>
              <w:rPr>
                <w:rFonts w:ascii="Arial" w:cs="Arial" w:eastAsia="Arial" w:hAnsi="Arial"/>
                <w:sz w:val="13"/>
                <w:szCs w:val="13"/>
                <w:color w:val="auto"/>
              </w:rPr>
              <w:t>Derivatives not designated as hedging</w:t>
            </w:r>
          </w:p>
        </w:tc>
        <w:tc>
          <w:tcPr>
            <w:tcW w:w="2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900" w:type="dxa"/>
            <w:vAlign w:val="bottom"/>
          </w:tcPr>
          <w:p>
            <w:pPr>
              <w:ind w:left="140"/>
              <w:spacing w:after="0"/>
              <w:rPr>
                <w:sz w:val="20"/>
                <w:szCs w:val="20"/>
                <w:color w:val="auto"/>
              </w:rPr>
            </w:pPr>
            <w:r>
              <w:rPr>
                <w:rFonts w:ascii="Arial" w:cs="Arial" w:eastAsia="Arial" w:hAnsi="Arial"/>
                <w:sz w:val="13"/>
                <w:szCs w:val="13"/>
                <w:color w:val="auto"/>
              </w:rPr>
              <w:t>instruments under Statement 133:</w:t>
            </w:r>
          </w:p>
        </w:tc>
        <w:tc>
          <w:tcPr>
            <w:tcW w:w="2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900" w:type="dxa"/>
            <w:vAlign w:val="bottom"/>
          </w:tcPr>
          <w:p>
            <w:pPr>
              <w:ind w:left="140"/>
              <w:spacing w:after="0"/>
              <w:rPr>
                <w:sz w:val="20"/>
                <w:szCs w:val="20"/>
                <w:color w:val="auto"/>
              </w:rPr>
            </w:pPr>
            <w:r>
              <w:rPr>
                <w:rFonts w:ascii="Arial" w:cs="Arial" w:eastAsia="Arial" w:hAnsi="Arial"/>
                <w:sz w:val="13"/>
                <w:szCs w:val="13"/>
                <w:color w:val="auto"/>
              </w:rPr>
              <w:t>Foreign exchange forward contracts</w:t>
            </w:r>
          </w:p>
        </w:tc>
        <w:tc>
          <w:tcPr>
            <w:tcW w:w="2400" w:type="dxa"/>
            <w:vAlign w:val="bottom"/>
          </w:tcPr>
          <w:p>
            <w:pPr>
              <w:ind w:left="20"/>
              <w:spacing w:after="0"/>
              <w:rPr>
                <w:sz w:val="20"/>
                <w:szCs w:val="20"/>
                <w:color w:val="auto"/>
              </w:rPr>
            </w:pPr>
            <w:r>
              <w:rPr>
                <w:rFonts w:ascii="Arial" w:cs="Arial" w:eastAsia="Arial" w:hAnsi="Arial"/>
                <w:sz w:val="13"/>
                <w:szCs w:val="13"/>
                <w:color w:val="auto"/>
              </w:rPr>
              <w:t>Other current assets</w:t>
            </w:r>
          </w:p>
        </w:tc>
        <w:tc>
          <w:tcPr>
            <w:tcW w:w="5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360" w:type="dxa"/>
            <w:vAlign w:val="bottom"/>
          </w:tcPr>
          <w:p>
            <w:pPr>
              <w:jc w:val="right"/>
              <w:spacing w:after="0"/>
              <w:rPr>
                <w:sz w:val="20"/>
                <w:szCs w:val="20"/>
                <w:color w:val="auto"/>
              </w:rPr>
            </w:pPr>
            <w:r>
              <w:rPr>
                <w:rFonts w:ascii="Arial" w:cs="Arial" w:eastAsia="Arial" w:hAnsi="Arial"/>
                <w:sz w:val="13"/>
                <w:szCs w:val="13"/>
                <w:color w:val="auto"/>
              </w:rPr>
              <w:t>0.9</w:t>
            </w:r>
          </w:p>
        </w:tc>
        <w:tc>
          <w:tcPr>
            <w:tcW w:w="400" w:type="dxa"/>
            <w:vAlign w:val="bottom"/>
          </w:tcPr>
          <w:p>
            <w:pPr>
              <w:spacing w:after="0"/>
              <w:rPr>
                <w:sz w:val="14"/>
                <w:szCs w:val="14"/>
                <w:color w:val="auto"/>
              </w:rPr>
            </w:pPr>
          </w:p>
        </w:tc>
        <w:tc>
          <w:tcPr>
            <w:tcW w:w="2400" w:type="dxa"/>
            <w:vAlign w:val="bottom"/>
          </w:tcPr>
          <w:p>
            <w:pPr>
              <w:spacing w:after="0"/>
              <w:rPr>
                <w:sz w:val="20"/>
                <w:szCs w:val="20"/>
                <w:color w:val="auto"/>
              </w:rPr>
            </w:pPr>
            <w:r>
              <w:rPr>
                <w:rFonts w:ascii="Arial" w:cs="Arial" w:eastAsia="Arial" w:hAnsi="Arial"/>
                <w:sz w:val="13"/>
                <w:szCs w:val="13"/>
                <w:color w:val="auto"/>
              </w:rPr>
              <w:t>Other current liabilities</w:t>
            </w:r>
          </w:p>
        </w:tc>
        <w:tc>
          <w:tcPr>
            <w:tcW w:w="5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360" w:type="dxa"/>
            <w:vAlign w:val="bottom"/>
            <w:gridSpan w:val="2"/>
          </w:tcPr>
          <w:p>
            <w:pPr>
              <w:jc w:val="right"/>
              <w:ind w:right="20"/>
              <w:spacing w:after="0"/>
              <w:rPr>
                <w:sz w:val="20"/>
                <w:szCs w:val="20"/>
                <w:color w:val="auto"/>
              </w:rPr>
            </w:pPr>
            <w:r>
              <w:rPr>
                <w:rFonts w:ascii="Arial" w:cs="Arial" w:eastAsia="Arial" w:hAnsi="Arial"/>
                <w:sz w:val="13"/>
                <w:szCs w:val="13"/>
                <w:color w:val="auto"/>
              </w:rPr>
              <w:t>0.9</w:t>
            </w:r>
          </w:p>
        </w:tc>
        <w:tc>
          <w:tcPr>
            <w:tcW w:w="0" w:type="dxa"/>
            <w:vAlign w:val="bottom"/>
          </w:tcPr>
          <w:p>
            <w:pPr>
              <w:spacing w:after="0"/>
              <w:rPr>
                <w:sz w:val="1"/>
                <w:szCs w:val="1"/>
                <w:color w:val="auto"/>
              </w:rPr>
            </w:pPr>
          </w:p>
        </w:tc>
      </w:tr>
      <w:tr>
        <w:trPr>
          <w:trHeight w:val="162"/>
        </w:trPr>
        <w:tc>
          <w:tcPr>
            <w:tcW w:w="2900" w:type="dxa"/>
            <w:vAlign w:val="bottom"/>
          </w:tcPr>
          <w:p>
            <w:pPr>
              <w:spacing w:after="0"/>
              <w:rPr>
                <w:sz w:val="20"/>
                <w:szCs w:val="20"/>
                <w:color w:val="auto"/>
              </w:rPr>
            </w:pPr>
            <w:r>
              <w:rPr>
                <w:rFonts w:ascii="Arial" w:cs="Arial" w:eastAsia="Arial" w:hAnsi="Arial"/>
                <w:sz w:val="13"/>
                <w:szCs w:val="13"/>
                <w:color w:val="auto"/>
              </w:rPr>
              <w:t>Total derivatives</w:t>
            </w:r>
          </w:p>
        </w:tc>
        <w:tc>
          <w:tcPr>
            <w:tcW w:w="2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20"/>
              <w:spacing w:after="0"/>
              <w:rPr>
                <w:sz w:val="20"/>
                <w:szCs w:val="20"/>
                <w:color w:val="auto"/>
              </w:rPr>
            </w:pPr>
            <w:r>
              <w:rPr>
                <w:rFonts w:ascii="Arial" w:cs="Arial" w:eastAsia="Arial" w:hAnsi="Arial"/>
                <w:sz w:val="13"/>
                <w:szCs w:val="13"/>
                <w:color w:val="auto"/>
                <w:w w:val="82"/>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w:t>
            </w:r>
          </w:p>
        </w:tc>
        <w:tc>
          <w:tcPr>
            <w:tcW w:w="4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20"/>
              <w:spacing w:after="0"/>
              <w:rPr>
                <w:sz w:val="20"/>
                <w:szCs w:val="20"/>
                <w:color w:val="auto"/>
              </w:rPr>
            </w:pPr>
            <w:r>
              <w:rPr>
                <w:rFonts w:ascii="Arial" w:cs="Arial" w:eastAsia="Arial" w:hAnsi="Arial"/>
                <w:sz w:val="13"/>
                <w:szCs w:val="13"/>
                <w:color w:val="auto"/>
                <w:w w:val="82"/>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0.9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60" w:firstLine="399"/>
        <w:spacing w:after="0" w:line="294" w:lineRule="auto"/>
        <w:rPr>
          <w:sz w:val="20"/>
          <w:szCs w:val="20"/>
          <w:color w:val="auto"/>
        </w:rPr>
      </w:pPr>
      <w:r>
        <w:rPr>
          <w:rFonts w:ascii="Arial" w:cs="Arial" w:eastAsia="Arial" w:hAnsi="Arial"/>
          <w:sz w:val="13"/>
          <w:szCs w:val="13"/>
          <w:color w:val="auto"/>
        </w:rPr>
        <w:t>The following table presents the amounts of gains (losses) from cash flow hedges recorded in Other Comprehensive Income, the amounts transferred from Other Comprehensive Income and recorded in revenue</w:t>
      </w:r>
    </w:p>
    <w:p>
      <w:pPr>
        <w:spacing w:after="0" w:line="258"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108" w:name="page109"/>
    <w:bookmarkEnd w:id="10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HARRIS STRATEX NETWORKS, INC. AND SUBSIDIARIES</w:t>
      </w:r>
    </w:p>
    <w:p>
      <w:pPr>
        <w:spacing w:after="0" w:line="102"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6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and cost of products sold, and the amounts associated with excluded time value and hedge ineffectiveness during fiscal 2009 (in millions):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80" w:type="dxa"/>
            <w:vAlign w:val="bottom"/>
          </w:tcPr>
          <w:p>
            <w:pPr>
              <w:spacing w:after="0"/>
              <w:rPr>
                <w:sz w:val="10"/>
                <w:szCs w:val="10"/>
                <w:color w:val="auto"/>
              </w:rPr>
            </w:pPr>
          </w:p>
        </w:tc>
        <w:tc>
          <w:tcPr>
            <w:tcW w:w="8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87"/>
              </w:rPr>
              <w:t>Amount of Gain (Loss)</w:t>
            </w:r>
          </w:p>
        </w:tc>
        <w:tc>
          <w:tcPr>
            <w:tcW w:w="0" w:type="dxa"/>
            <w:vAlign w:val="bottom"/>
          </w:tcPr>
          <w:p>
            <w:pPr>
              <w:spacing w:after="0"/>
              <w:rPr>
                <w:sz w:val="1"/>
                <w:szCs w:val="1"/>
                <w:color w:val="auto"/>
              </w:rPr>
            </w:pPr>
          </w:p>
        </w:tc>
      </w:tr>
      <w:tr>
        <w:trPr>
          <w:trHeight w:val="111"/>
        </w:trPr>
        <w:tc>
          <w:tcPr>
            <w:tcW w:w="80" w:type="dxa"/>
            <w:vAlign w:val="bottom"/>
          </w:tcPr>
          <w:p>
            <w:pPr>
              <w:spacing w:after="0"/>
              <w:rPr>
                <w:sz w:val="9"/>
                <w:szCs w:val="9"/>
                <w:color w:val="auto"/>
              </w:rPr>
            </w:pPr>
          </w:p>
        </w:tc>
        <w:tc>
          <w:tcPr>
            <w:tcW w:w="8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60" w:type="dxa"/>
            <w:vAlign w:val="bottom"/>
            <w:gridSpan w:val="2"/>
          </w:tcPr>
          <w:p>
            <w:pPr>
              <w:jc w:val="center"/>
              <w:ind w:right="320"/>
              <w:spacing w:after="0" w:line="111" w:lineRule="exact"/>
              <w:rPr>
                <w:sz w:val="20"/>
                <w:szCs w:val="20"/>
                <w:color w:val="auto"/>
              </w:rPr>
            </w:pPr>
            <w:r>
              <w:rPr>
                <w:rFonts w:ascii="Arial" w:cs="Arial" w:eastAsia="Arial" w:hAnsi="Arial"/>
                <w:sz w:val="11"/>
                <w:szCs w:val="11"/>
                <w:b w:val="1"/>
                <w:bCs w:val="1"/>
                <w:color w:val="auto"/>
                <w:w w:val="84"/>
              </w:rPr>
              <w:t>Recognized on</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8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88"/>
              </w:rPr>
              <w:t>Derivatives</w:t>
            </w:r>
          </w:p>
        </w:tc>
        <w:tc>
          <w:tcPr>
            <w:tcW w:w="0" w:type="dxa"/>
            <w:vAlign w:val="bottom"/>
          </w:tcPr>
          <w:p>
            <w:pPr>
              <w:spacing w:after="0"/>
              <w:rPr>
                <w:sz w:val="1"/>
                <w:szCs w:val="1"/>
                <w:color w:val="auto"/>
              </w:rPr>
            </w:pPr>
          </w:p>
        </w:tc>
      </w:tr>
      <w:tr>
        <w:trPr>
          <w:trHeight w:val="84"/>
        </w:trPr>
        <w:tc>
          <w:tcPr>
            <w:tcW w:w="80" w:type="dxa"/>
            <w:vAlign w:val="bottom"/>
          </w:tcPr>
          <w:p>
            <w:pPr>
              <w:spacing w:after="0"/>
              <w:rPr>
                <w:sz w:val="7"/>
                <w:szCs w:val="7"/>
                <w:color w:val="auto"/>
              </w:rPr>
            </w:pPr>
          </w:p>
        </w:tc>
        <w:tc>
          <w:tcPr>
            <w:tcW w:w="8020" w:type="dxa"/>
            <w:vAlign w:val="bottom"/>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1580" w:type="dxa"/>
            <w:vAlign w:val="bottom"/>
            <w:tcBorders>
              <w:top w:val="single" w:sz="8" w:color="auto"/>
            </w:tcBorders>
          </w:tcPr>
          <w:p>
            <w:pPr>
              <w:jc w:val="center"/>
              <w:ind w:right="162"/>
              <w:spacing w:after="0" w:line="84" w:lineRule="exact"/>
              <w:rPr>
                <w:sz w:val="20"/>
                <w:szCs w:val="20"/>
                <w:color w:val="auto"/>
              </w:rPr>
            </w:pPr>
            <w:r>
              <w:rPr>
                <w:rFonts w:ascii="Arial" w:cs="Arial" w:eastAsia="Arial" w:hAnsi="Arial"/>
                <w:sz w:val="9"/>
                <w:szCs w:val="9"/>
                <w:b w:val="1"/>
                <w:bCs w:val="1"/>
                <w:color w:val="auto"/>
              </w:rPr>
              <w:t>Fiscal</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1"/>
        </w:trPr>
        <w:tc>
          <w:tcPr>
            <w:tcW w:w="80" w:type="dxa"/>
            <w:vAlign w:val="bottom"/>
          </w:tcPr>
          <w:p>
            <w:pPr>
              <w:spacing w:after="0"/>
              <w:rPr>
                <w:sz w:val="9"/>
                <w:szCs w:val="9"/>
                <w:color w:val="auto"/>
              </w:rPr>
            </w:pPr>
          </w:p>
        </w:tc>
        <w:tc>
          <w:tcPr>
            <w:tcW w:w="8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60" w:type="dxa"/>
            <w:vAlign w:val="bottom"/>
            <w:gridSpan w:val="2"/>
          </w:tcPr>
          <w:p>
            <w:pPr>
              <w:jc w:val="center"/>
              <w:ind w:right="320"/>
              <w:spacing w:after="0" w:line="111" w:lineRule="exact"/>
              <w:rPr>
                <w:sz w:val="20"/>
                <w:szCs w:val="20"/>
                <w:color w:val="auto"/>
              </w:rPr>
            </w:pPr>
            <w:r>
              <w:rPr>
                <w:rFonts w:ascii="Arial" w:cs="Arial" w:eastAsia="Arial" w:hAnsi="Arial"/>
                <w:sz w:val="11"/>
                <w:szCs w:val="11"/>
                <w:b w:val="1"/>
                <w:bCs w:val="1"/>
                <w:color w:val="auto"/>
                <w:w w:val="92"/>
              </w:rPr>
              <w:t>Year</w:t>
            </w:r>
          </w:p>
        </w:tc>
        <w:tc>
          <w:tcPr>
            <w:tcW w:w="0" w:type="dxa"/>
            <w:vAlign w:val="bottom"/>
          </w:tcPr>
          <w:p>
            <w:pPr>
              <w:spacing w:after="0"/>
              <w:rPr>
                <w:sz w:val="1"/>
                <w:szCs w:val="1"/>
                <w:color w:val="auto"/>
              </w:rPr>
            </w:pPr>
          </w:p>
        </w:tc>
      </w:tr>
      <w:tr>
        <w:trPr>
          <w:trHeight w:val="111"/>
        </w:trPr>
        <w:tc>
          <w:tcPr>
            <w:tcW w:w="80" w:type="dxa"/>
            <w:vAlign w:val="bottom"/>
          </w:tcPr>
          <w:p>
            <w:pPr>
              <w:spacing w:after="0"/>
              <w:rPr>
                <w:sz w:val="9"/>
                <w:szCs w:val="9"/>
                <w:color w:val="auto"/>
              </w:rPr>
            </w:pPr>
          </w:p>
        </w:tc>
        <w:tc>
          <w:tcPr>
            <w:tcW w:w="8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60" w:type="dxa"/>
            <w:vAlign w:val="bottom"/>
            <w:gridSpan w:val="2"/>
          </w:tcPr>
          <w:p>
            <w:pPr>
              <w:jc w:val="center"/>
              <w:ind w:right="320"/>
              <w:spacing w:after="0" w:line="111" w:lineRule="exact"/>
              <w:rPr>
                <w:sz w:val="20"/>
                <w:szCs w:val="20"/>
                <w:color w:val="auto"/>
              </w:rPr>
            </w:pPr>
            <w:r>
              <w:rPr>
                <w:rFonts w:ascii="Arial" w:cs="Arial" w:eastAsia="Arial" w:hAnsi="Arial"/>
                <w:sz w:val="11"/>
                <w:szCs w:val="11"/>
                <w:b w:val="1"/>
                <w:bCs w:val="1"/>
                <w:color w:val="auto"/>
                <w:w w:val="89"/>
              </w:rPr>
              <w:t>Ended</w:t>
            </w:r>
          </w:p>
        </w:tc>
        <w:tc>
          <w:tcPr>
            <w:tcW w:w="0" w:type="dxa"/>
            <w:vAlign w:val="bottom"/>
          </w:tcPr>
          <w:p>
            <w:pPr>
              <w:spacing w:after="0"/>
              <w:rPr>
                <w:sz w:val="1"/>
                <w:szCs w:val="1"/>
                <w:color w:val="auto"/>
              </w:rPr>
            </w:pPr>
          </w:p>
        </w:tc>
      </w:tr>
      <w:tr>
        <w:trPr>
          <w:trHeight w:val="121"/>
        </w:trPr>
        <w:tc>
          <w:tcPr>
            <w:tcW w:w="81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Locations of Gains (Losses) Recorded From Derivatives Designated as Cash Flow Hedges Under Statement 133</w:t>
            </w:r>
          </w:p>
        </w:tc>
        <w:tc>
          <w:tcPr>
            <w:tcW w:w="220" w:type="dxa"/>
            <w:vAlign w:val="bottom"/>
          </w:tcPr>
          <w:p>
            <w:pPr>
              <w:spacing w:after="0"/>
              <w:rPr>
                <w:sz w:val="10"/>
                <w:szCs w:val="10"/>
                <w:color w:val="auto"/>
              </w:rPr>
            </w:pPr>
          </w:p>
        </w:tc>
        <w:tc>
          <w:tcPr>
            <w:tcW w:w="1660" w:type="dxa"/>
            <w:vAlign w:val="bottom"/>
            <w:gridSpan w:val="2"/>
          </w:tcPr>
          <w:p>
            <w:pPr>
              <w:jc w:val="center"/>
              <w:ind w:right="320"/>
              <w:spacing w:after="0" w:line="121" w:lineRule="exact"/>
              <w:rPr>
                <w:sz w:val="20"/>
                <w:szCs w:val="20"/>
                <w:color w:val="auto"/>
              </w:rPr>
            </w:pPr>
            <w:r>
              <w:rPr>
                <w:rFonts w:ascii="Arial" w:cs="Arial" w:eastAsia="Arial" w:hAnsi="Arial"/>
                <w:sz w:val="11"/>
                <w:szCs w:val="11"/>
                <w:b w:val="1"/>
                <w:bCs w:val="1"/>
                <w:color w:val="auto"/>
                <w:w w:val="87"/>
              </w:rPr>
              <w:t>July 3,</w:t>
            </w:r>
          </w:p>
        </w:tc>
        <w:tc>
          <w:tcPr>
            <w:tcW w:w="0" w:type="dxa"/>
            <w:vAlign w:val="bottom"/>
          </w:tcPr>
          <w:p>
            <w:pPr>
              <w:spacing w:after="0"/>
              <w:rPr>
                <w:sz w:val="1"/>
                <w:szCs w:val="1"/>
                <w:color w:val="auto"/>
              </w:rPr>
            </w:pPr>
          </w:p>
        </w:tc>
      </w:tr>
      <w:tr>
        <w:trPr>
          <w:trHeight w:val="128"/>
        </w:trPr>
        <w:tc>
          <w:tcPr>
            <w:tcW w:w="810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580" w:type="dxa"/>
            <w:vAlign w:val="bottom"/>
          </w:tcPr>
          <w:p>
            <w:pPr>
              <w:jc w:val="center"/>
              <w:ind w:right="182"/>
              <w:spacing w:after="0"/>
              <w:rPr>
                <w:sz w:val="20"/>
                <w:szCs w:val="20"/>
                <w:color w:val="auto"/>
              </w:rPr>
            </w:pPr>
            <w:r>
              <w:rPr>
                <w:rFonts w:ascii="Arial" w:cs="Arial" w:eastAsia="Arial" w:hAnsi="Arial"/>
                <w:sz w:val="11"/>
                <w:szCs w:val="11"/>
                <w:b w:val="1"/>
                <w:bCs w:val="1"/>
                <w:color w:val="auto"/>
                <w:w w:val="89"/>
              </w:rPr>
              <w:t>2009</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
        </w:trPr>
        <w:tc>
          <w:tcPr>
            <w:tcW w:w="80" w:type="dxa"/>
            <w:vAlign w:val="bottom"/>
            <w:tcBorders>
              <w:top w:val="single" w:sz="8" w:color="auto"/>
            </w:tcBorders>
          </w:tcPr>
          <w:p>
            <w:pPr>
              <w:spacing w:after="0"/>
              <w:rPr>
                <w:sz w:val="2"/>
                <w:szCs w:val="2"/>
                <w:color w:val="auto"/>
              </w:rPr>
            </w:pPr>
          </w:p>
        </w:tc>
        <w:tc>
          <w:tcPr>
            <w:tcW w:w="802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5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8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Amount of gain of effective hedges recognized in Other Comprehensive Income</w:t>
            </w:r>
          </w:p>
        </w:tc>
        <w:tc>
          <w:tcPr>
            <w:tcW w:w="2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16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2.6</w:t>
            </w:r>
          </w:p>
        </w:tc>
        <w:tc>
          <w:tcPr>
            <w:tcW w:w="0" w:type="dxa"/>
            <w:vAlign w:val="bottom"/>
          </w:tcPr>
          <w:p>
            <w:pPr>
              <w:spacing w:after="0"/>
              <w:rPr>
                <w:sz w:val="1"/>
                <w:szCs w:val="1"/>
                <w:color w:val="auto"/>
              </w:rPr>
            </w:pPr>
          </w:p>
        </w:tc>
      </w:tr>
      <w:tr>
        <w:trPr>
          <w:trHeight w:val="161"/>
        </w:trPr>
        <w:tc>
          <w:tcPr>
            <w:tcW w:w="8100" w:type="dxa"/>
            <w:vAlign w:val="bottom"/>
            <w:gridSpan w:val="2"/>
          </w:tcPr>
          <w:p>
            <w:pPr>
              <w:spacing w:after="0"/>
              <w:rPr>
                <w:sz w:val="20"/>
                <w:szCs w:val="20"/>
                <w:color w:val="auto"/>
              </w:rPr>
            </w:pPr>
            <w:r>
              <w:rPr>
                <w:rFonts w:ascii="Arial" w:cs="Arial" w:eastAsia="Arial" w:hAnsi="Arial"/>
                <w:sz w:val="13"/>
                <w:szCs w:val="13"/>
                <w:color w:val="auto"/>
              </w:rPr>
              <w:t>Amount of gain of effective hedges reclassified from Other Comprehensive Income into:</w:t>
            </w:r>
          </w:p>
        </w:tc>
        <w:tc>
          <w:tcPr>
            <w:tcW w:w="2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0" w:type="dxa"/>
            <w:vAlign w:val="bottom"/>
            <w:shd w:val="clear" w:color="auto" w:fill="CCEEFF"/>
          </w:tcPr>
          <w:p>
            <w:pPr>
              <w:spacing w:after="0"/>
              <w:rPr>
                <w:sz w:val="14"/>
                <w:szCs w:val="14"/>
                <w:color w:val="auto"/>
              </w:rPr>
            </w:pPr>
          </w:p>
        </w:tc>
        <w:tc>
          <w:tcPr>
            <w:tcW w:w="8020" w:type="dxa"/>
            <w:vAlign w:val="bottom"/>
            <w:shd w:val="clear" w:color="auto" w:fill="CCEEFF"/>
          </w:tcPr>
          <w:p>
            <w:pPr>
              <w:ind w:left="60"/>
              <w:spacing w:after="0"/>
              <w:rPr>
                <w:sz w:val="20"/>
                <w:szCs w:val="20"/>
                <w:color w:val="auto"/>
              </w:rPr>
            </w:pPr>
            <w:r>
              <w:rPr>
                <w:rFonts w:ascii="Arial" w:cs="Arial" w:eastAsia="Arial" w:hAnsi="Arial"/>
                <w:sz w:val="13"/>
                <w:szCs w:val="13"/>
                <w:color w:val="auto"/>
              </w:rPr>
              <w:t>Revenue</w:t>
            </w:r>
          </w:p>
        </w:tc>
        <w:tc>
          <w:tcPr>
            <w:tcW w:w="220" w:type="dxa"/>
            <w:vAlign w:val="bottom"/>
            <w:shd w:val="clear" w:color="auto" w:fill="CCEEFF"/>
          </w:tcPr>
          <w:p>
            <w:pPr>
              <w:spacing w:after="0"/>
              <w:rPr>
                <w:sz w:val="14"/>
                <w:szCs w:val="14"/>
                <w:color w:val="auto"/>
              </w:rPr>
            </w:pPr>
          </w:p>
        </w:tc>
        <w:tc>
          <w:tcPr>
            <w:tcW w:w="16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2.6</w:t>
            </w:r>
          </w:p>
        </w:tc>
        <w:tc>
          <w:tcPr>
            <w:tcW w:w="0" w:type="dxa"/>
            <w:vAlign w:val="bottom"/>
          </w:tcPr>
          <w:p>
            <w:pPr>
              <w:spacing w:after="0"/>
              <w:rPr>
                <w:sz w:val="1"/>
                <w:szCs w:val="1"/>
                <w:color w:val="auto"/>
              </w:rPr>
            </w:pPr>
          </w:p>
        </w:tc>
      </w:tr>
      <w:tr>
        <w:trPr>
          <w:trHeight w:val="161"/>
        </w:trPr>
        <w:tc>
          <w:tcPr>
            <w:tcW w:w="80" w:type="dxa"/>
            <w:vAlign w:val="bottom"/>
          </w:tcPr>
          <w:p>
            <w:pPr>
              <w:spacing w:after="0"/>
              <w:rPr>
                <w:sz w:val="14"/>
                <w:szCs w:val="14"/>
                <w:color w:val="auto"/>
              </w:rPr>
            </w:pPr>
          </w:p>
        </w:tc>
        <w:tc>
          <w:tcPr>
            <w:tcW w:w="8020" w:type="dxa"/>
            <w:vAlign w:val="bottom"/>
          </w:tcPr>
          <w:p>
            <w:pPr>
              <w:ind w:left="60"/>
              <w:spacing w:after="0"/>
              <w:rPr>
                <w:sz w:val="20"/>
                <w:szCs w:val="20"/>
                <w:color w:val="auto"/>
              </w:rPr>
            </w:pPr>
            <w:r>
              <w:rPr>
                <w:rFonts w:ascii="Arial" w:cs="Arial" w:eastAsia="Arial" w:hAnsi="Arial"/>
                <w:sz w:val="13"/>
                <w:szCs w:val="13"/>
                <w:color w:val="auto"/>
              </w:rPr>
              <w:t>Cost of Products Sold</w:t>
            </w:r>
          </w:p>
        </w:tc>
        <w:tc>
          <w:tcPr>
            <w:tcW w:w="220" w:type="dxa"/>
            <w:vAlign w:val="bottom"/>
          </w:tcPr>
          <w:p>
            <w:pPr>
              <w:spacing w:after="0"/>
              <w:rPr>
                <w:sz w:val="14"/>
                <w:szCs w:val="14"/>
                <w:color w:val="auto"/>
              </w:rPr>
            </w:pPr>
          </w:p>
        </w:tc>
        <w:tc>
          <w:tcPr>
            <w:tcW w:w="16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8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Amount of loss recorded into Cost of Products Sold associated with excluded time value</w:t>
            </w:r>
          </w:p>
        </w:tc>
        <w:tc>
          <w:tcPr>
            <w:tcW w:w="220" w:type="dxa"/>
            <w:vAlign w:val="bottom"/>
            <w:shd w:val="clear" w:color="auto" w:fill="CCEEFF"/>
          </w:tcPr>
          <w:p>
            <w:pPr>
              <w:spacing w:after="0"/>
              <w:rPr>
                <w:sz w:val="14"/>
                <w:szCs w:val="14"/>
                <w:color w:val="auto"/>
              </w:rPr>
            </w:pPr>
          </w:p>
        </w:tc>
        <w:tc>
          <w:tcPr>
            <w:tcW w:w="16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8100" w:type="dxa"/>
            <w:vAlign w:val="bottom"/>
            <w:gridSpan w:val="2"/>
          </w:tcPr>
          <w:p>
            <w:pPr>
              <w:spacing w:after="0"/>
              <w:rPr>
                <w:sz w:val="20"/>
                <w:szCs w:val="20"/>
                <w:color w:val="auto"/>
              </w:rPr>
            </w:pPr>
            <w:r>
              <w:rPr>
                <w:rFonts w:ascii="Arial" w:cs="Arial" w:eastAsia="Arial" w:hAnsi="Arial"/>
                <w:sz w:val="13"/>
                <w:szCs w:val="13"/>
                <w:color w:val="auto"/>
              </w:rPr>
              <w:t>Amount of gain (loss) recorded into Cost of Products Sold due to hedge ineffectiveness</w:t>
            </w:r>
          </w:p>
        </w:tc>
        <w:tc>
          <w:tcPr>
            <w:tcW w:w="220" w:type="dxa"/>
            <w:vAlign w:val="bottom"/>
          </w:tcPr>
          <w:p>
            <w:pPr>
              <w:spacing w:after="0"/>
              <w:rPr>
                <w:sz w:val="14"/>
                <w:szCs w:val="14"/>
                <w:color w:val="auto"/>
              </w:rPr>
            </w:pPr>
          </w:p>
        </w:tc>
        <w:tc>
          <w:tcPr>
            <w:tcW w:w="16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680" w:right="300" w:firstLine="399"/>
        <w:spacing w:after="0" w:line="276" w:lineRule="auto"/>
        <w:rPr>
          <w:sz w:val="20"/>
          <w:szCs w:val="20"/>
          <w:color w:val="auto"/>
        </w:rPr>
      </w:pPr>
      <w:r>
        <w:rPr>
          <w:rFonts w:ascii="Arial" w:cs="Arial" w:eastAsia="Arial" w:hAnsi="Arial"/>
          <w:sz w:val="13"/>
          <w:szCs w:val="13"/>
          <w:color w:val="auto"/>
        </w:rPr>
        <w:t>Refer to Note D — Fair Value Measurements of Financial Assets and Financial Liabilities for a description of how the above financial instruments are valued and Note L — Accumulated Other Comprehensive (Loss) Income and Comprehensive Loss for additional information on changes in other comprehensive (loss) income for the quarter and three quarters ended July 3, 2009.</w:t>
      </w:r>
    </w:p>
    <w:p>
      <w:pPr>
        <w:spacing w:after="0" w:line="8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Cash Flow Hedges</w:t>
      </w:r>
    </w:p>
    <w:p>
      <w:pPr>
        <w:spacing w:after="0" w:line="74" w:lineRule="exact"/>
        <w:rPr>
          <w:sz w:val="20"/>
          <w:szCs w:val="20"/>
          <w:color w:val="auto"/>
        </w:rPr>
      </w:pPr>
    </w:p>
    <w:p>
      <w:pPr>
        <w:ind w:left="680" w:right="80" w:firstLine="399"/>
        <w:spacing w:after="0" w:line="295" w:lineRule="auto"/>
        <w:rPr>
          <w:sz w:val="20"/>
          <w:szCs w:val="20"/>
          <w:color w:val="auto"/>
        </w:rPr>
      </w:pPr>
      <w:r>
        <w:rPr>
          <w:rFonts w:ascii="Arial" w:cs="Arial" w:eastAsia="Arial" w:hAnsi="Arial"/>
          <w:sz w:val="12"/>
          <w:szCs w:val="12"/>
          <w:color w:val="auto"/>
        </w:rPr>
        <w:t>The purpose of our foreign currency hedging activities is to protect us from the risk that the eventual cash flows resulting from transactions in foreign currencies, including revenue, product costs, selling and administrative expenses and intercompany transactions will be adversely affected by changes in exchange rates. It is our policy to utilize derivatives to reduce foreign currency exchange risks where internal netting strategies cannot be effectively employed. As of July 3, 2009, hedged transactions included our customer and intercompany backlog and outstanding purchase commitments denominated in Euros. We hedge up to 100% of anticipated exposures typically one to three months in advance, but have hedged as much as five months in advance. We generally review our exposures twice each month and adjust the amount of derivatives outstanding as needed.</w:t>
      </w:r>
    </w:p>
    <w:p>
      <w:pPr>
        <w:spacing w:after="0" w:line="29" w:lineRule="exact"/>
        <w:rPr>
          <w:sz w:val="20"/>
          <w:szCs w:val="20"/>
          <w:color w:val="auto"/>
        </w:rPr>
      </w:pPr>
    </w:p>
    <w:p>
      <w:pPr>
        <w:ind w:left="680" w:firstLine="399"/>
        <w:spacing w:after="0" w:line="267" w:lineRule="auto"/>
        <w:rPr>
          <w:sz w:val="20"/>
          <w:szCs w:val="20"/>
          <w:color w:val="auto"/>
        </w:rPr>
      </w:pPr>
      <w:r>
        <w:rPr>
          <w:rFonts w:ascii="Arial" w:cs="Arial" w:eastAsia="Arial" w:hAnsi="Arial"/>
          <w:sz w:val="13"/>
          <w:szCs w:val="13"/>
          <w:color w:val="auto"/>
        </w:rPr>
        <w:t>All changes in fair values of outstanding cash flow hedge derivatives, except those associated with excluded time value and hedge ineffectiveness are recorded in the consolidated financial statements and the related gain or loss on the transaction is reflected in net income or loss. In some cases, amounts recorded in other comprehensive income or loss will be released to net income or loss some time after the maturity of the related derivative. The consolidated statement of income classification of effective hedge results is the same as that of the underlying exposure. For example, results of hedges of revenue and product costs are recorded in revenue and cost of external product sales, respectively, when the underlying hedged transaction is recorded.</w:t>
      </w:r>
    </w:p>
    <w:p>
      <w:pPr>
        <w:spacing w:after="0" w:line="35" w:lineRule="exact"/>
        <w:rPr>
          <w:sz w:val="20"/>
          <w:szCs w:val="20"/>
          <w:color w:val="auto"/>
        </w:rPr>
      </w:pPr>
    </w:p>
    <w:p>
      <w:pPr>
        <w:ind w:left="680" w:right="180" w:firstLine="399"/>
        <w:spacing w:after="0" w:line="270" w:lineRule="auto"/>
        <w:rPr>
          <w:sz w:val="20"/>
          <w:szCs w:val="20"/>
          <w:color w:val="auto"/>
        </w:rPr>
      </w:pPr>
      <w:r>
        <w:rPr>
          <w:rFonts w:ascii="Arial" w:cs="Arial" w:eastAsia="Arial" w:hAnsi="Arial"/>
          <w:sz w:val="13"/>
          <w:szCs w:val="13"/>
          <w:color w:val="auto"/>
        </w:rPr>
        <w:t>As of July 3, 2009, $0.3 million of deferred net losses on both outstanding and matured derivatives accumulated in other comprehensive income or loss are expected to be reclassified to net income or loss during the next twelve months as a result of underlying hedged transactions also being recorded in net income or loss. Actual amounts ultimately reclassified to net income or loss are dependent on the exchange rates in effect when derivative contracts that are currently outstanding mature. As of July 3, 2009, the maximum term over which we are hedging cash flow exposures is five months.</w:t>
      </w:r>
    </w:p>
    <w:p>
      <w:pPr>
        <w:spacing w:after="0" w:line="33" w:lineRule="exact"/>
        <w:rPr>
          <w:sz w:val="20"/>
          <w:szCs w:val="20"/>
          <w:color w:val="auto"/>
        </w:rPr>
      </w:pPr>
    </w:p>
    <w:p>
      <w:pPr>
        <w:ind w:left="680" w:right="80" w:firstLine="399"/>
        <w:spacing w:after="0" w:line="338" w:lineRule="auto"/>
        <w:rPr>
          <w:sz w:val="20"/>
          <w:szCs w:val="20"/>
          <w:color w:val="auto"/>
        </w:rPr>
      </w:pPr>
      <w:r>
        <w:rPr>
          <w:rFonts w:ascii="Arial" w:cs="Arial" w:eastAsia="Arial" w:hAnsi="Arial"/>
          <w:sz w:val="12"/>
          <w:szCs w:val="12"/>
          <w:color w:val="auto"/>
        </w:rPr>
        <w:t>We formally assess both at inception and on an ongoing basis, whether the derivatives that are used in the hedging transaction have been highly effective in offsetting changes in the value or cash flows of hedged items and whether those derivatives may be expected to remain highly effective in future periods. We discontinue hedge</w:t>
      </w:r>
    </w:p>
    <w:p>
      <w:pPr>
        <w:spacing w:after="0" w:line="23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109" w:name="page110"/>
    <w:bookmarkEnd w:id="10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HARRIS STRATEX NETWORKS, INC. AND SUBSIDIARIES</w:t>
      </w:r>
    </w:p>
    <w:p>
      <w:pPr>
        <w:spacing w:after="0" w:line="102"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66" w:lineRule="exact"/>
        <w:rPr>
          <w:sz w:val="20"/>
          <w:szCs w:val="20"/>
          <w:color w:val="auto"/>
        </w:rPr>
      </w:pPr>
    </w:p>
    <w:p>
      <w:pPr>
        <w:ind w:left="680" w:right="80"/>
        <w:spacing w:after="0" w:line="276" w:lineRule="auto"/>
        <w:rPr>
          <w:sz w:val="20"/>
          <w:szCs w:val="20"/>
          <w:color w:val="auto"/>
        </w:rPr>
      </w:pPr>
      <w:r>
        <w:rPr>
          <w:rFonts w:ascii="Arial" w:cs="Arial" w:eastAsia="Arial" w:hAnsi="Arial"/>
          <w:sz w:val="13"/>
          <w:szCs w:val="13"/>
          <w:color w:val="auto"/>
        </w:rPr>
        <w:t>accounting when the derivative expires or is sold, terminated, or exercised or it is no longer probable that the forecasted transaction will occur. When it is determined that a derivative is not, or has ceased to be, highly effective as a hedge, we discontinue hedge accounting and redesignate the hedge as a non-Statement 133 hedge, if it is still outstanding at the time the determination is made.</w:t>
      </w:r>
    </w:p>
    <w:p>
      <w:pPr>
        <w:spacing w:after="0" w:line="38" w:lineRule="exact"/>
        <w:rPr>
          <w:sz w:val="20"/>
          <w:szCs w:val="20"/>
          <w:color w:val="auto"/>
        </w:rPr>
      </w:pPr>
    </w:p>
    <w:p>
      <w:pPr>
        <w:ind w:left="680" w:right="60" w:firstLine="399"/>
        <w:spacing w:after="0" w:line="295" w:lineRule="auto"/>
        <w:rPr>
          <w:sz w:val="20"/>
          <w:szCs w:val="20"/>
          <w:color w:val="auto"/>
        </w:rPr>
      </w:pPr>
      <w:r>
        <w:rPr>
          <w:rFonts w:ascii="Arial" w:cs="Arial" w:eastAsia="Arial" w:hAnsi="Arial"/>
          <w:sz w:val="12"/>
          <w:szCs w:val="12"/>
          <w:color w:val="auto"/>
        </w:rPr>
        <w:t>When we discontinue hedge accounting because it is no longer probable that the forecasted transaction will occur in the originally expected period, the gain or loss on the derivative remains in accumulated other comprehensive income or loss and is reclassified to net income or loss when the forecasted transaction affects net income or loss. However, if it is probable that a forecasted transaction will not occur by the end of the originally specified time period or within an additional two-month period of time thereafter, the gains and losses that were accumulated in other comprehensive income or loss will be recognized immediately in net income or loss. In all situations in which hedge accounting is discontinued and the derivative remains outstanding, we will carry the derivative at its fair value on the balance sheet, recognizing future changes in the fair value in cost of external product sales.</w:t>
      </w:r>
    </w:p>
    <w:p>
      <w:pPr>
        <w:spacing w:after="0" w:line="6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Non-Designated Hedges</w:t>
      </w:r>
    </w:p>
    <w:p>
      <w:pPr>
        <w:spacing w:after="0" w:line="84" w:lineRule="exact"/>
        <w:rPr>
          <w:sz w:val="20"/>
          <w:szCs w:val="20"/>
          <w:color w:val="auto"/>
        </w:rPr>
      </w:pPr>
    </w:p>
    <w:p>
      <w:pPr>
        <w:ind w:left="680" w:right="20" w:firstLine="399"/>
        <w:spacing w:after="0" w:line="295" w:lineRule="auto"/>
        <w:rPr>
          <w:sz w:val="20"/>
          <w:szCs w:val="20"/>
          <w:color w:val="auto"/>
        </w:rPr>
      </w:pPr>
      <w:r>
        <w:rPr>
          <w:rFonts w:ascii="Arial" w:cs="Arial" w:eastAsia="Arial" w:hAnsi="Arial"/>
          <w:sz w:val="12"/>
          <w:szCs w:val="12"/>
          <w:color w:val="auto"/>
        </w:rPr>
        <w:t>As mentioned above, the total notional amount of outstanding derivatives as of July 3, 2009 not designated as cash flow hedging instruments was $65.2 million. The purpose of these hedges is to offset realized and unrealized foreign exchange gains and losses recorded on non-functional currency monetary assets and liabilities, including primarily cash balances and accounts receivable and accounts payable from third party and intercompany transactions recorded on the balance sheet. Since these gains and losses are considered by us to be operational in nature, we record both the gains and losses from the revaluation of the balance sheet transactions and the gains and losses on the derivatives in cost of products sold. During fiscal 2009, we recorded in cost of products sold the following amount of net gains recorded on non-designated hedges as follows, in millions:</w:t>
      </w:r>
    </w:p>
    <w:p>
      <w:pPr>
        <w:spacing w:after="0" w:line="7"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6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gridSpan w:val="2"/>
          </w:tcPr>
          <w:p>
            <w:pPr>
              <w:jc w:val="center"/>
              <w:ind w:right="620"/>
              <w:spacing w:after="0"/>
              <w:rPr>
                <w:sz w:val="20"/>
                <w:szCs w:val="20"/>
                <w:color w:val="auto"/>
              </w:rPr>
            </w:pPr>
            <w:r>
              <w:rPr>
                <w:rFonts w:ascii="Arial" w:cs="Arial" w:eastAsia="Arial" w:hAnsi="Arial"/>
                <w:sz w:val="11"/>
                <w:szCs w:val="11"/>
                <w:b w:val="1"/>
                <w:bCs w:val="1"/>
                <w:color w:val="auto"/>
                <w:w w:val="89"/>
              </w:rPr>
              <w:t>Fiscal Year</w:t>
            </w:r>
          </w:p>
        </w:tc>
        <w:tc>
          <w:tcPr>
            <w:tcW w:w="2380" w:type="dxa"/>
            <w:vAlign w:val="bottom"/>
          </w:tcPr>
          <w:p>
            <w:pPr>
              <w:jc w:val="center"/>
              <w:spacing w:after="0"/>
              <w:rPr>
                <w:sz w:val="20"/>
                <w:szCs w:val="20"/>
                <w:color w:val="auto"/>
              </w:rPr>
            </w:pPr>
            <w:r>
              <w:rPr>
                <w:rFonts w:ascii="Arial" w:cs="Arial" w:eastAsia="Arial" w:hAnsi="Arial"/>
                <w:sz w:val="11"/>
                <w:szCs w:val="11"/>
                <w:b w:val="1"/>
                <w:bCs w:val="1"/>
                <w:color w:val="auto"/>
                <w:w w:val="89"/>
              </w:rPr>
              <w:t>Location of Gain</w:t>
            </w:r>
          </w:p>
        </w:tc>
      </w:tr>
      <w:tr>
        <w:trPr>
          <w:trHeight w:val="111"/>
        </w:trPr>
        <w:tc>
          <w:tcPr>
            <w:tcW w:w="6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60" w:type="dxa"/>
            <w:vAlign w:val="bottom"/>
            <w:gridSpan w:val="2"/>
          </w:tcPr>
          <w:p>
            <w:pPr>
              <w:jc w:val="center"/>
              <w:ind w:right="640"/>
              <w:spacing w:after="0" w:line="111" w:lineRule="exact"/>
              <w:rPr>
                <w:sz w:val="20"/>
                <w:szCs w:val="20"/>
                <w:color w:val="auto"/>
              </w:rPr>
            </w:pPr>
            <w:r>
              <w:rPr>
                <w:rFonts w:ascii="Arial" w:cs="Arial" w:eastAsia="Arial" w:hAnsi="Arial"/>
                <w:sz w:val="11"/>
                <w:szCs w:val="11"/>
                <w:b w:val="1"/>
                <w:bCs w:val="1"/>
                <w:color w:val="auto"/>
                <w:w w:val="89"/>
              </w:rPr>
              <w:t>Ended</w:t>
            </w:r>
          </w:p>
        </w:tc>
        <w:tc>
          <w:tcPr>
            <w:tcW w:w="238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w w:val="83"/>
              </w:rPr>
              <w:t>(Loss) Recognized</w:t>
            </w:r>
          </w:p>
        </w:tc>
      </w:tr>
      <w:tr>
        <w:trPr>
          <w:trHeight w:val="111"/>
        </w:trPr>
        <w:tc>
          <w:tcPr>
            <w:tcW w:w="6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60" w:type="dxa"/>
            <w:vAlign w:val="bottom"/>
            <w:gridSpan w:val="2"/>
          </w:tcPr>
          <w:p>
            <w:pPr>
              <w:jc w:val="center"/>
              <w:ind w:right="620"/>
              <w:spacing w:after="0" w:line="111" w:lineRule="exact"/>
              <w:rPr>
                <w:sz w:val="20"/>
                <w:szCs w:val="20"/>
                <w:color w:val="auto"/>
              </w:rPr>
            </w:pPr>
            <w:r>
              <w:rPr>
                <w:rFonts w:ascii="Arial" w:cs="Arial" w:eastAsia="Arial" w:hAnsi="Arial"/>
                <w:sz w:val="11"/>
                <w:szCs w:val="11"/>
                <w:b w:val="1"/>
                <w:bCs w:val="1"/>
                <w:color w:val="auto"/>
                <w:w w:val="93"/>
              </w:rPr>
              <w:t>July 3,</w:t>
            </w:r>
          </w:p>
        </w:tc>
        <w:tc>
          <w:tcPr>
            <w:tcW w:w="238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w w:val="85"/>
              </w:rPr>
              <w:t>in Income on</w:t>
            </w:r>
          </w:p>
        </w:tc>
      </w:tr>
      <w:tr>
        <w:trPr>
          <w:trHeight w:val="128"/>
        </w:trPr>
        <w:tc>
          <w:tcPr>
            <w:tcW w:w="62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center"/>
              <w:ind w:right="64"/>
              <w:spacing w:after="0"/>
              <w:rPr>
                <w:sz w:val="20"/>
                <w:szCs w:val="20"/>
                <w:color w:val="auto"/>
              </w:rPr>
            </w:pPr>
            <w:r>
              <w:rPr>
                <w:rFonts w:ascii="Arial" w:cs="Arial" w:eastAsia="Arial" w:hAnsi="Arial"/>
                <w:sz w:val="11"/>
                <w:szCs w:val="11"/>
                <w:b w:val="1"/>
                <w:bCs w:val="1"/>
                <w:color w:val="auto"/>
                <w:w w:val="81"/>
              </w:rPr>
              <w:t>2009</w:t>
            </w:r>
          </w:p>
        </w:tc>
        <w:tc>
          <w:tcPr>
            <w:tcW w:w="500" w:type="dxa"/>
            <w:vAlign w:val="bottom"/>
          </w:tcPr>
          <w:p>
            <w:pPr>
              <w:spacing w:after="0"/>
              <w:rPr>
                <w:sz w:val="11"/>
                <w:szCs w:val="11"/>
                <w:color w:val="auto"/>
              </w:rPr>
            </w:pP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5"/>
              </w:rPr>
              <w:t>Derivatives</w:t>
            </w:r>
          </w:p>
        </w:tc>
      </w:tr>
      <w:tr>
        <w:trPr>
          <w:trHeight w:val="181"/>
        </w:trPr>
        <w:tc>
          <w:tcPr>
            <w:tcW w:w="6200" w:type="dxa"/>
            <w:vAlign w:val="bottom"/>
          </w:tcPr>
          <w:p>
            <w:pPr>
              <w:spacing w:after="0"/>
              <w:rPr>
                <w:sz w:val="20"/>
                <w:szCs w:val="20"/>
                <w:color w:val="auto"/>
              </w:rPr>
            </w:pPr>
            <w:r>
              <w:rPr>
                <w:rFonts w:ascii="Arial" w:cs="Arial" w:eastAsia="Arial" w:hAnsi="Arial"/>
                <w:sz w:val="13"/>
                <w:szCs w:val="13"/>
                <w:color w:val="auto"/>
              </w:rPr>
              <w:t>Derivatives not designated as hedging instruments:</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380" w:type="dxa"/>
            <w:vAlign w:val="bottom"/>
          </w:tcPr>
          <w:p>
            <w:pPr>
              <w:spacing w:after="0"/>
              <w:rPr>
                <w:sz w:val="15"/>
                <w:szCs w:val="15"/>
                <w:color w:val="auto"/>
              </w:rPr>
            </w:pPr>
          </w:p>
        </w:tc>
      </w:tr>
      <w:tr>
        <w:trPr>
          <w:trHeight w:val="172"/>
        </w:trPr>
        <w:tc>
          <w:tcPr>
            <w:tcW w:w="6200" w:type="dxa"/>
            <w:vAlign w:val="bottom"/>
          </w:tcPr>
          <w:p>
            <w:pPr>
              <w:ind w:left="140"/>
              <w:spacing w:after="0"/>
              <w:rPr>
                <w:sz w:val="20"/>
                <w:szCs w:val="20"/>
                <w:color w:val="auto"/>
              </w:rPr>
            </w:pPr>
            <w:r>
              <w:rPr>
                <w:rFonts w:ascii="Arial" w:cs="Arial" w:eastAsia="Arial" w:hAnsi="Arial"/>
                <w:sz w:val="13"/>
                <w:szCs w:val="13"/>
                <w:color w:val="auto"/>
              </w:rPr>
              <w:t>Foreign exchange forward contracts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tcPr>
          <w:p>
            <w:pPr>
              <w:jc w:val="right"/>
              <w:ind w:right="480"/>
              <w:spacing w:after="0"/>
              <w:rPr>
                <w:sz w:val="20"/>
                <w:szCs w:val="20"/>
                <w:color w:val="auto"/>
              </w:rPr>
            </w:pPr>
            <w:r>
              <w:rPr>
                <w:rFonts w:ascii="Arial" w:cs="Arial" w:eastAsia="Arial" w:hAnsi="Arial"/>
                <w:sz w:val="13"/>
                <w:szCs w:val="13"/>
                <w:color w:val="auto"/>
              </w:rPr>
              <w:t>5.4</w:t>
            </w:r>
          </w:p>
        </w:tc>
        <w:tc>
          <w:tcPr>
            <w:tcW w:w="2380" w:type="dxa"/>
            <w:vAlign w:val="bottom"/>
          </w:tcPr>
          <w:p>
            <w:pPr>
              <w:spacing w:after="0"/>
              <w:rPr>
                <w:sz w:val="20"/>
                <w:szCs w:val="20"/>
                <w:color w:val="auto"/>
              </w:rPr>
            </w:pPr>
            <w:r>
              <w:rPr>
                <w:rFonts w:ascii="Arial" w:cs="Arial" w:eastAsia="Arial" w:hAnsi="Arial"/>
                <w:sz w:val="13"/>
                <w:szCs w:val="13"/>
                <w:color w:val="auto"/>
              </w:rPr>
              <w:t>Cost of products sold</w:t>
            </w:r>
          </w:p>
        </w:tc>
      </w:tr>
    </w:tbl>
    <w:p>
      <w:pPr>
        <w:spacing w:after="0" w:line="159"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Credit Risk</w:t>
      </w:r>
    </w:p>
    <w:p>
      <w:pPr>
        <w:spacing w:after="0" w:line="104" w:lineRule="exact"/>
        <w:rPr>
          <w:sz w:val="20"/>
          <w:szCs w:val="20"/>
          <w:color w:val="auto"/>
        </w:rPr>
      </w:pPr>
    </w:p>
    <w:p>
      <w:pPr>
        <w:ind w:left="680" w:right="80" w:firstLine="399"/>
        <w:spacing w:after="0" w:line="295" w:lineRule="auto"/>
        <w:rPr>
          <w:sz w:val="20"/>
          <w:szCs w:val="20"/>
          <w:color w:val="auto"/>
        </w:rPr>
      </w:pPr>
      <w:r>
        <w:rPr>
          <w:rFonts w:ascii="Arial" w:cs="Arial" w:eastAsia="Arial" w:hAnsi="Arial"/>
          <w:sz w:val="12"/>
          <w:szCs w:val="12"/>
          <w:color w:val="auto"/>
        </w:rPr>
        <w:t>We are exposed to credit-related losses in the event of non-performance by counterparties to hedging instruments. The counterparties to all derivative transactions are major financial institutions with investment grade credit ratings. However, this does not eliminate our exposure to credit risk with these institutions. Should any of these counterparties fail to perform as contracted, we could incur interest charges and unanticipated gains or losses on the settlement of the derivatives in addition to the recorded fair value of the derivative due to non-delivery of the currency. To manage this risk, we have established strict counterparty credit guidelines and maintain credit relationships with several financial institutions providing foreign currency exchange services in accordance with corporate policy. As a result of the above considerations, we consider the risk of counterparty default to be immaterial.</w:t>
      </w:r>
    </w:p>
    <w:p>
      <w:pPr>
        <w:spacing w:after="0" w:line="49" w:lineRule="exact"/>
        <w:rPr>
          <w:sz w:val="20"/>
          <w:szCs w:val="20"/>
          <w:color w:val="auto"/>
        </w:rPr>
      </w:pPr>
    </w:p>
    <w:p>
      <w:pPr>
        <w:ind w:left="680" w:right="100" w:firstLine="399"/>
        <w:spacing w:after="0" w:line="265" w:lineRule="auto"/>
        <w:rPr>
          <w:sz w:val="20"/>
          <w:szCs w:val="20"/>
          <w:color w:val="auto"/>
        </w:rPr>
      </w:pPr>
      <w:r>
        <w:rPr>
          <w:rFonts w:ascii="Arial" w:cs="Arial" w:eastAsia="Arial" w:hAnsi="Arial"/>
          <w:sz w:val="13"/>
          <w:szCs w:val="13"/>
          <w:color w:val="auto"/>
        </w:rPr>
        <w:t>We have informal credit facilities with several commercial banks under which we transact foreign exchange transactions. These facilities are generally restricted to a total notional amount outstanding, a maximum settlement amount in any one day and a maximum term. There are no written agreements supporting these facilities with the exception of one bank which provided us with their general terms and conditions for trading that we acknowledged. None of the facilities are collateralized and none require compliance with financial covenants or contain cross default or other provisions which could affect other credit arrangements we have with the same or other banks. If we fail to deliver currencies as required upon settlement of a trade, the bank may require early settlement on a net basis of all derivatives outstanding and if any amounts are still owing to the bank, they may charge any cash account we have with the bank for that amount.</w:t>
      </w:r>
    </w:p>
    <w:p>
      <w:pPr>
        <w:spacing w:after="0" w:line="269"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110" w:name="page111"/>
    <w:bookmarkEnd w:id="11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HARRIS STRATEX NETWORKS, INC. AND SUBSIDIARIES</w:t>
      </w:r>
    </w:p>
    <w:p>
      <w:pPr>
        <w:spacing w:after="0" w:line="102"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00" w:lineRule="exact"/>
        <w:rPr>
          <w:sz w:val="20"/>
          <w:szCs w:val="20"/>
          <w:color w:val="auto"/>
        </w:rPr>
      </w:pPr>
    </w:p>
    <w:p>
      <w:pPr>
        <w:spacing w:after="0" w:line="235"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Note S —</w:t>
      </w:r>
      <w:r>
        <w:rPr>
          <w:sz w:val="20"/>
          <w:szCs w:val="20"/>
          <w:color w:val="auto"/>
        </w:rPr>
        <w:tab/>
      </w:r>
      <w:r>
        <w:rPr>
          <w:rFonts w:ascii="Arial" w:cs="Arial" w:eastAsia="Arial" w:hAnsi="Arial"/>
          <w:sz w:val="11"/>
          <w:szCs w:val="11"/>
          <w:b w:val="1"/>
          <w:bCs w:val="1"/>
          <w:color w:val="auto"/>
        </w:rPr>
        <w:t>Legal Proceedings</w:t>
      </w:r>
    </w:p>
    <w:p>
      <w:pPr>
        <w:spacing w:after="0" w:line="104" w:lineRule="exact"/>
        <w:rPr>
          <w:sz w:val="20"/>
          <w:szCs w:val="20"/>
          <w:color w:val="auto"/>
        </w:rPr>
      </w:pPr>
    </w:p>
    <w:p>
      <w:pPr>
        <w:ind w:left="680" w:right="20" w:firstLine="399"/>
        <w:spacing w:after="0" w:line="263" w:lineRule="auto"/>
        <w:rPr>
          <w:sz w:val="20"/>
          <w:szCs w:val="20"/>
          <w:color w:val="auto"/>
        </w:rPr>
      </w:pPr>
      <w:r>
        <w:rPr>
          <w:rFonts w:ascii="Arial" w:cs="Arial" w:eastAsia="Arial" w:hAnsi="Arial"/>
          <w:sz w:val="13"/>
          <w:szCs w:val="13"/>
          <w:color w:val="auto"/>
        </w:rPr>
        <w:t>We and certain of our current and former executive officers and directors were named in a federal securities class action complaint filed on September 15, 2008 in the United States District Court for the District of Delaware by plaintiff Norfolk County Retirement System on behalf of an alleged class of purchasers of our securities from January 29, 2007 to July 30, 2008, including shareholders of Stratex Networks, Inc. who exchanged shares of Stratex Networks, Inc. for our shares as part of the merger between Stratex Networks and the Microwave Communications Division of Harris Corporation. This action relates to the restatement of our prior financial statements as discussed in our fiscal 2008 Annual Report on Form 10-K filed with the Securities and Exchange Commission on September 25, 2008. Similar complaints were filed in the United States District Court of Delaware on October 6 and October 30, 2008. Each complaint alleges violations of Sections 10(b) and 20(a) of the Securities Exchange Act of 1934 and Rule 10b-5 promulgated thereunder, as well as violations of Sections 11 and 15 of the Securities Act of 1933 and seeks, among other relief, determinations that the action is a proper class action, unspecified compensatory damages and reasonable attorneys’ fees and costs. The actions were consolidated on June 5, 2009 and a consolidated class action complaint was filed on July 29, 2009. We believe that we have meritorious defenses and intend to defend ourselves vigorously.</w:t>
      </w:r>
    </w:p>
    <w:p>
      <w:pPr>
        <w:spacing w:after="0" w:line="67" w:lineRule="exact"/>
        <w:rPr>
          <w:sz w:val="20"/>
          <w:szCs w:val="20"/>
          <w:color w:val="auto"/>
        </w:rPr>
      </w:pPr>
    </w:p>
    <w:p>
      <w:pPr>
        <w:ind w:left="680" w:right="180" w:firstLine="399"/>
        <w:spacing w:after="0" w:line="270" w:lineRule="auto"/>
        <w:rPr>
          <w:sz w:val="20"/>
          <w:szCs w:val="20"/>
          <w:color w:val="auto"/>
        </w:rPr>
      </w:pPr>
      <w:r>
        <w:rPr>
          <w:rFonts w:ascii="Arial" w:cs="Arial" w:eastAsia="Arial" w:hAnsi="Arial"/>
          <w:sz w:val="13"/>
          <w:szCs w:val="13"/>
          <w:color w:val="auto"/>
        </w:rPr>
        <w:t>On February 8, 2007, a court order was entered against Stratex do Brasil, a subsidiary of Harris Stratex Networks Operating Company, in Brazil, to enforce performance of an alleged agreement between the former Stratex Networks, Inc. entity and a supplier. We have not determined what, if any, liability this may result in, as the court did not award any damages. We have appealed the decision to enforce the alleged agreement, and do not expect this litigation to have a material adverse effect on our business, operating results or financial condition.</w:t>
      </w:r>
    </w:p>
    <w:p>
      <w:pPr>
        <w:spacing w:after="0" w:line="63" w:lineRule="exact"/>
        <w:rPr>
          <w:sz w:val="20"/>
          <w:szCs w:val="20"/>
          <w:color w:val="auto"/>
        </w:rPr>
      </w:pPr>
    </w:p>
    <w:p>
      <w:pPr>
        <w:jc w:val="both"/>
        <w:ind w:left="680" w:right="260" w:firstLine="399"/>
        <w:spacing w:after="0" w:line="270" w:lineRule="auto"/>
        <w:rPr>
          <w:sz w:val="20"/>
          <w:szCs w:val="20"/>
          <w:color w:val="auto"/>
        </w:rPr>
      </w:pPr>
      <w:r>
        <w:rPr>
          <w:rFonts w:ascii="Arial" w:cs="Arial" w:eastAsia="Arial" w:hAnsi="Arial"/>
          <w:sz w:val="13"/>
          <w:szCs w:val="13"/>
          <w:color w:val="auto"/>
        </w:rPr>
        <w:t>From time to time, we may be involved in various legal claims and litigation that arise in the normal course of our operations. While the results of such claims and litigation cannot be predicted with certainty, we currently believe that we are not a party to any litigation the final outcome of which is likely to have a material adverse effect on our financial position, results of operations or cash flows. However, should we not prevail in any such litigation; it could have a materially adverse impact on our operating results, cash flows or financial position.</w:t>
      </w:r>
    </w:p>
    <w:p>
      <w:pPr>
        <w:spacing w:after="0" w:line="141"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Note T —</w:t>
      </w:r>
      <w:r>
        <w:rPr>
          <w:sz w:val="20"/>
          <w:szCs w:val="20"/>
          <w:color w:val="auto"/>
        </w:rPr>
        <w:tab/>
      </w:r>
      <w:r>
        <w:rPr>
          <w:rFonts w:ascii="Arial" w:cs="Arial" w:eastAsia="Arial" w:hAnsi="Arial"/>
          <w:sz w:val="12"/>
          <w:szCs w:val="12"/>
          <w:b w:val="1"/>
          <w:bCs w:val="1"/>
          <w:color w:val="auto"/>
        </w:rPr>
        <w:t>Quarterly Financial Data (Unaudited)</w:t>
      </w:r>
    </w:p>
    <w:p>
      <w:pPr>
        <w:spacing w:after="0" w:line="104" w:lineRule="exact"/>
        <w:rPr>
          <w:sz w:val="20"/>
          <w:szCs w:val="20"/>
          <w:color w:val="auto"/>
        </w:rPr>
      </w:pPr>
    </w:p>
    <w:p>
      <w:pPr>
        <w:ind w:left="680" w:firstLine="399"/>
        <w:spacing w:after="0" w:line="294" w:lineRule="auto"/>
        <w:rPr>
          <w:sz w:val="20"/>
          <w:szCs w:val="20"/>
          <w:color w:val="auto"/>
        </w:rPr>
      </w:pPr>
      <w:r>
        <w:rPr>
          <w:rFonts w:ascii="Arial" w:cs="Arial" w:eastAsia="Arial" w:hAnsi="Arial"/>
          <w:sz w:val="13"/>
          <w:szCs w:val="13"/>
          <w:color w:val="auto"/>
        </w:rPr>
        <w:t>The following financial information reflects all normal recurring adjustments, which are, in the opinion of management, necessary for a fair statement of the results of the interim periods. Our fiscal quarters end on the Friday nearest the end of the calendar quarter.</w:t>
      </w:r>
    </w:p>
    <w:p>
      <w:pPr>
        <w:spacing w:after="0" w:line="47" w:lineRule="exact"/>
        <w:rPr>
          <w:sz w:val="20"/>
          <w:szCs w:val="20"/>
          <w:color w:val="auto"/>
        </w:rPr>
      </w:pPr>
    </w:p>
    <w:p>
      <w:pPr>
        <w:ind w:left="680" w:right="20" w:firstLine="399"/>
        <w:spacing w:after="0" w:line="292" w:lineRule="auto"/>
        <w:rPr>
          <w:sz w:val="20"/>
          <w:szCs w:val="20"/>
          <w:color w:val="auto"/>
        </w:rPr>
      </w:pPr>
      <w:r>
        <w:rPr>
          <w:rFonts w:ascii="Arial" w:cs="Arial" w:eastAsia="Arial" w:hAnsi="Arial"/>
          <w:sz w:val="12"/>
          <w:szCs w:val="12"/>
          <w:color w:val="auto"/>
        </w:rPr>
        <w:t>During the closing of our fiscal year 2009 accounts, we determined an error occurred in the calculation of our currency translation expense that affected our previously reported Cost of product sales and services in each of the first three quarters of fiscal 2009. The results for fiscal year 2009 include an adjustment for cumulative currency translation expense of $2.9 million included in Cost of product sales and services. This expense related to un-hedged currency exposure on accounts receivables in Polish Zlotych. The quarterly impact of this translation benefit/(expense) credited/(charged) to Cost of product sales and services was a $0.9 million credit or $0.01 increase to income per common share in the first quarter of fiscal 2009; ($3.3 million) charge or increase ($0.06) to loss per common share in the second quarter of fiscal 2009; ($1.1 million) charge or increase ($0.02) to loss per common share in the third quarter of fiscal 2009; $0.6 million credit or $0.01 decrease to loss per common share in the fourth quarter of fiscal 2009.</w:t>
      </w:r>
    </w:p>
    <w:p>
      <w:pPr>
        <w:spacing w:after="0" w:line="51"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We have concluded that the impact of this error is not material to the previously filed quarterly reports on Form 10-Q for the quarters ended September 26, 2008, January 2, 2009 and April 3, 2009 and do not plan to file amendments to these previously filed quarterly reports on Form 10-Q for those periods. Instead, we will update the amounts for these fiscal 2009 periods when we file on Form 10-Q for these three quarters during fiscal 2010. The</w:t>
      </w:r>
    </w:p>
    <w:p>
      <w:pPr>
        <w:spacing w:after="0" w:line="270"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9" w:right="1039" w:bottom="1440" w:gutter="0" w:footer="0" w:header="0"/>
        </w:sectPr>
      </w:pPr>
    </w:p>
    <w:bookmarkStart w:id="111" w:name="page112"/>
    <w:bookmarkEnd w:id="11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HARRIS STRATEX NETWORKS, INC. AND SUBSIDIARIES</w:t>
      </w:r>
    </w:p>
    <w:p>
      <w:pPr>
        <w:spacing w:after="0" w:line="102"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6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summarized quarterly data presented below reflect the correction of this error. Accordingly, summarized quarterly data for fiscal 2009 and 2008 are as follows: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1300" w:type="dxa"/>
            <w:vAlign w:val="bottom"/>
          </w:tcPr>
          <w:p>
            <w:pPr>
              <w:spacing w:after="0"/>
              <w:rPr>
                <w:sz w:val="10"/>
                <w:szCs w:val="10"/>
                <w:color w:val="auto"/>
              </w:rPr>
            </w:pPr>
          </w:p>
        </w:tc>
        <w:tc>
          <w:tcPr>
            <w:tcW w:w="4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tcPr>
          <w:p>
            <w:pPr>
              <w:spacing w:after="0"/>
              <w:rPr>
                <w:sz w:val="20"/>
                <w:szCs w:val="20"/>
                <w:color w:val="auto"/>
              </w:rPr>
            </w:pPr>
            <w:r>
              <w:rPr>
                <w:rFonts w:ascii="Arial" w:cs="Arial" w:eastAsia="Arial" w:hAnsi="Arial"/>
                <w:sz w:val="11"/>
                <w:szCs w:val="11"/>
                <w:b w:val="1"/>
                <w:bCs w:val="1"/>
                <w:color w:val="auto"/>
              </w:rPr>
              <w:t>1st Quarter</w:t>
            </w:r>
          </w:p>
        </w:tc>
        <w:tc>
          <w:tcPr>
            <w:tcW w:w="100" w:type="dxa"/>
            <w:vAlign w:val="bottom"/>
          </w:tcPr>
          <w:p>
            <w:pPr>
              <w:spacing w:after="0"/>
              <w:rPr>
                <w:sz w:val="10"/>
                <w:szCs w:val="10"/>
                <w:color w:val="auto"/>
              </w:rPr>
            </w:pPr>
          </w:p>
        </w:tc>
        <w:tc>
          <w:tcPr>
            <w:tcW w:w="1120" w:type="dxa"/>
            <w:vAlign w:val="bottom"/>
            <w:gridSpan w:val="2"/>
          </w:tcPr>
          <w:p>
            <w:pPr>
              <w:jc w:val="center"/>
              <w:ind w:right="446"/>
              <w:spacing w:after="0"/>
              <w:rPr>
                <w:sz w:val="20"/>
                <w:szCs w:val="20"/>
                <w:color w:val="auto"/>
              </w:rPr>
            </w:pPr>
            <w:r>
              <w:rPr>
                <w:rFonts w:ascii="Arial" w:cs="Arial" w:eastAsia="Arial" w:hAnsi="Arial"/>
                <w:sz w:val="11"/>
                <w:szCs w:val="11"/>
                <w:b w:val="1"/>
                <w:bCs w:val="1"/>
                <w:color w:val="auto"/>
                <w:w w:val="92"/>
              </w:rPr>
              <w:t>2nd Quarter</w:t>
            </w:r>
          </w:p>
        </w:tc>
        <w:tc>
          <w:tcPr>
            <w:tcW w:w="100" w:type="dxa"/>
            <w:vAlign w:val="bottom"/>
          </w:tcPr>
          <w:p>
            <w:pPr>
              <w:spacing w:after="0"/>
              <w:rPr>
                <w:sz w:val="10"/>
                <w:szCs w:val="10"/>
                <w:color w:val="auto"/>
              </w:rPr>
            </w:pPr>
          </w:p>
        </w:tc>
        <w:tc>
          <w:tcPr>
            <w:tcW w:w="1080" w:type="dxa"/>
            <w:vAlign w:val="bottom"/>
            <w:gridSpan w:val="2"/>
          </w:tcPr>
          <w:p>
            <w:pPr>
              <w:jc w:val="center"/>
              <w:ind w:right="480"/>
              <w:spacing w:after="0"/>
              <w:rPr>
                <w:sz w:val="20"/>
                <w:szCs w:val="20"/>
                <w:color w:val="auto"/>
              </w:rPr>
            </w:pPr>
            <w:r>
              <w:rPr>
                <w:rFonts w:ascii="Arial" w:cs="Arial" w:eastAsia="Arial" w:hAnsi="Arial"/>
                <w:sz w:val="11"/>
                <w:szCs w:val="11"/>
                <w:b w:val="1"/>
                <w:bCs w:val="1"/>
                <w:color w:val="auto"/>
                <w:w w:val="93"/>
              </w:rPr>
              <w:t>3rd Quarter</w:t>
            </w:r>
          </w:p>
        </w:tc>
        <w:tc>
          <w:tcPr>
            <w:tcW w:w="100" w:type="dxa"/>
            <w:vAlign w:val="bottom"/>
          </w:tcPr>
          <w:p>
            <w:pPr>
              <w:spacing w:after="0"/>
              <w:rPr>
                <w:sz w:val="10"/>
                <w:szCs w:val="10"/>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4"/>
              </w:rPr>
              <w:t>4th Quarter</w:t>
            </w:r>
          </w:p>
        </w:tc>
      </w:tr>
      <w:tr>
        <w:trPr>
          <w:trHeight w:val="128"/>
        </w:trPr>
        <w:tc>
          <w:tcPr>
            <w:tcW w:w="130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09-26-2008</w:t>
            </w: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center"/>
              <w:ind w:right="37"/>
              <w:spacing w:after="0"/>
              <w:rPr>
                <w:sz w:val="20"/>
                <w:szCs w:val="20"/>
                <w:color w:val="auto"/>
              </w:rPr>
            </w:pPr>
            <w:r>
              <w:rPr>
                <w:rFonts w:ascii="Arial" w:cs="Arial" w:eastAsia="Arial" w:hAnsi="Arial"/>
                <w:sz w:val="11"/>
                <w:szCs w:val="11"/>
                <w:b w:val="1"/>
                <w:bCs w:val="1"/>
                <w:color w:val="auto"/>
                <w:w w:val="88"/>
              </w:rPr>
              <w:t>01-02-2009</w:t>
            </w: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center"/>
              <w:ind w:right="16"/>
              <w:spacing w:after="0"/>
              <w:rPr>
                <w:sz w:val="20"/>
                <w:szCs w:val="20"/>
                <w:color w:val="auto"/>
              </w:rPr>
            </w:pPr>
            <w:r>
              <w:rPr>
                <w:rFonts w:ascii="Arial" w:cs="Arial" w:eastAsia="Arial" w:hAnsi="Arial"/>
                <w:sz w:val="11"/>
                <w:szCs w:val="11"/>
                <w:b w:val="1"/>
                <w:bCs w:val="1"/>
                <w:color w:val="auto"/>
                <w:w w:val="88"/>
              </w:rPr>
              <w:t>04-03-2009</w:t>
            </w: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center"/>
              <w:ind w:right="16"/>
              <w:spacing w:after="0"/>
              <w:rPr>
                <w:sz w:val="20"/>
                <w:szCs w:val="20"/>
                <w:color w:val="auto"/>
              </w:rPr>
            </w:pPr>
            <w:r>
              <w:rPr>
                <w:rFonts w:ascii="Arial" w:cs="Arial" w:eastAsia="Arial" w:hAnsi="Arial"/>
                <w:sz w:val="11"/>
                <w:szCs w:val="11"/>
                <w:b w:val="1"/>
                <w:bCs w:val="1"/>
                <w:color w:val="auto"/>
                <w:w w:val="88"/>
              </w:rPr>
              <w:t>07-03-2009</w:t>
            </w:r>
          </w:p>
        </w:tc>
        <w:tc>
          <w:tcPr>
            <w:tcW w:w="80" w:type="dxa"/>
            <w:vAlign w:val="bottom"/>
          </w:tcPr>
          <w:p>
            <w:pPr>
              <w:spacing w:after="0"/>
              <w:rPr>
                <w:sz w:val="11"/>
                <w:szCs w:val="11"/>
                <w:color w:val="auto"/>
              </w:rPr>
            </w:pPr>
          </w:p>
        </w:tc>
      </w:tr>
      <w:tr>
        <w:trPr>
          <w:trHeight w:val="136"/>
        </w:trPr>
        <w:tc>
          <w:tcPr>
            <w:tcW w:w="130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b w:val="1"/>
                <w:bCs w:val="1"/>
                <w:color w:val="auto"/>
              </w:rPr>
              <w:t>(In millions,</w:t>
            </w:r>
          </w:p>
        </w:tc>
        <w:tc>
          <w:tcPr>
            <w:tcW w:w="1200" w:type="dxa"/>
            <w:vAlign w:val="bottom"/>
            <w:gridSpan w:val="3"/>
          </w:tcPr>
          <w:p>
            <w:pPr>
              <w:spacing w:after="0"/>
              <w:rPr>
                <w:sz w:val="20"/>
                <w:szCs w:val="20"/>
                <w:color w:val="auto"/>
              </w:rPr>
            </w:pPr>
            <w:r>
              <w:rPr>
                <w:rFonts w:ascii="Arial" w:cs="Arial" w:eastAsia="Arial" w:hAnsi="Arial"/>
                <w:sz w:val="11"/>
                <w:szCs w:val="11"/>
                <w:b w:val="1"/>
                <w:bCs w:val="1"/>
                <w:color w:val="auto"/>
                <w:w w:val="98"/>
              </w:rPr>
              <w:t>except share amounts)</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7"/>
        </w:trPr>
        <w:tc>
          <w:tcPr>
            <w:tcW w:w="5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Fiscal 2009</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1"/>
        </w:trPr>
        <w:tc>
          <w:tcPr>
            <w:tcW w:w="5600" w:type="dxa"/>
            <w:vAlign w:val="bottom"/>
            <w:gridSpan w:val="2"/>
          </w:tcPr>
          <w:p>
            <w:pPr>
              <w:spacing w:after="0"/>
              <w:rPr>
                <w:sz w:val="20"/>
                <w:szCs w:val="20"/>
                <w:color w:val="auto"/>
              </w:rPr>
            </w:pPr>
            <w:r>
              <w:rPr>
                <w:rFonts w:ascii="Arial" w:cs="Arial" w:eastAsia="Arial" w:hAnsi="Arial"/>
                <w:sz w:val="13"/>
                <w:szCs w:val="13"/>
                <w:color w:val="auto"/>
              </w:rPr>
              <w:t>Revenue</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195.8</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gridSpan w:val="2"/>
          </w:tcPr>
          <w:p>
            <w:pPr>
              <w:jc w:val="right"/>
              <w:ind w:right="346"/>
              <w:spacing w:after="0"/>
              <w:rPr>
                <w:sz w:val="20"/>
                <w:szCs w:val="20"/>
                <w:color w:val="auto"/>
              </w:rPr>
            </w:pPr>
            <w:r>
              <w:rPr>
                <w:rFonts w:ascii="Arial" w:cs="Arial" w:eastAsia="Arial" w:hAnsi="Arial"/>
                <w:sz w:val="13"/>
                <w:szCs w:val="13"/>
                <w:color w:val="auto"/>
              </w:rPr>
              <w:t>190.9</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158.0</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135.2</w:t>
            </w:r>
          </w:p>
        </w:tc>
      </w:tr>
      <w:tr>
        <w:trPr>
          <w:trHeight w:val="161"/>
        </w:trPr>
        <w:tc>
          <w:tcPr>
            <w:tcW w:w="5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Gross margin</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59.1</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gridSpan w:val="2"/>
            <w:shd w:val="clear" w:color="auto" w:fill="CCEEFF"/>
          </w:tcPr>
          <w:p>
            <w:pPr>
              <w:jc w:val="right"/>
              <w:ind w:right="346"/>
              <w:spacing w:after="0"/>
              <w:rPr>
                <w:sz w:val="20"/>
                <w:szCs w:val="20"/>
                <w:color w:val="auto"/>
              </w:rPr>
            </w:pPr>
            <w:r>
              <w:rPr>
                <w:rFonts w:ascii="Arial" w:cs="Arial" w:eastAsia="Arial" w:hAnsi="Arial"/>
                <w:sz w:val="13"/>
                <w:szCs w:val="13"/>
                <w:color w:val="auto"/>
              </w:rPr>
              <w:t>51.1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16.5</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47.7</w:t>
            </w:r>
          </w:p>
        </w:tc>
      </w:tr>
      <w:tr>
        <w:trPr>
          <w:trHeight w:val="161"/>
        </w:trPr>
        <w:tc>
          <w:tcPr>
            <w:tcW w:w="5600" w:type="dxa"/>
            <w:vAlign w:val="bottom"/>
            <w:gridSpan w:val="2"/>
          </w:tcPr>
          <w:p>
            <w:pPr>
              <w:spacing w:after="0"/>
              <w:rPr>
                <w:sz w:val="20"/>
                <w:szCs w:val="20"/>
                <w:color w:val="auto"/>
              </w:rPr>
            </w:pPr>
            <w:r>
              <w:rPr>
                <w:rFonts w:ascii="Arial" w:cs="Arial" w:eastAsia="Arial" w:hAnsi="Arial"/>
                <w:sz w:val="13"/>
                <w:szCs w:val="13"/>
                <w:color w:val="auto"/>
              </w:rPr>
              <w:t>Income (loss) from operations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7.7</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gridSpan w:val="2"/>
          </w:tcPr>
          <w:p>
            <w:pPr>
              <w:jc w:val="right"/>
              <w:ind w:right="306"/>
              <w:spacing w:after="0"/>
              <w:rPr>
                <w:sz w:val="20"/>
                <w:szCs w:val="20"/>
                <w:color w:val="auto"/>
              </w:rPr>
            </w:pPr>
            <w:r>
              <w:rPr>
                <w:rFonts w:ascii="Arial" w:cs="Arial" w:eastAsia="Arial" w:hAnsi="Arial"/>
                <w:sz w:val="13"/>
                <w:szCs w:val="13"/>
                <w:color w:val="auto"/>
              </w:rPr>
              <w:t>(294.8)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(35.2)</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40"/>
              <w:spacing w:after="0"/>
              <w:rPr>
                <w:sz w:val="20"/>
                <w:szCs w:val="20"/>
                <w:color w:val="auto"/>
              </w:rPr>
            </w:pPr>
            <w:r>
              <w:rPr>
                <w:rFonts w:ascii="Arial" w:cs="Arial" w:eastAsia="Arial" w:hAnsi="Arial"/>
                <w:sz w:val="13"/>
                <w:szCs w:val="13"/>
                <w:color w:val="auto"/>
              </w:rPr>
              <w:t>(13.0)</w:t>
            </w:r>
          </w:p>
        </w:tc>
      </w:tr>
      <w:tr>
        <w:trPr>
          <w:trHeight w:val="161"/>
        </w:trPr>
        <w:tc>
          <w:tcPr>
            <w:tcW w:w="5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income (loss)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6.5</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gridSpan w:val="2"/>
            <w:shd w:val="clear" w:color="auto" w:fill="CCEEFF"/>
          </w:tcPr>
          <w:p>
            <w:pPr>
              <w:jc w:val="right"/>
              <w:ind w:right="306"/>
              <w:spacing w:after="0"/>
              <w:rPr>
                <w:sz w:val="20"/>
                <w:szCs w:val="20"/>
                <w:color w:val="auto"/>
              </w:rPr>
            </w:pPr>
            <w:r>
              <w:rPr>
                <w:rFonts w:ascii="Arial" w:cs="Arial" w:eastAsia="Arial" w:hAnsi="Arial"/>
                <w:sz w:val="13"/>
                <w:szCs w:val="13"/>
                <w:color w:val="auto"/>
              </w:rPr>
              <w:t>(318.7)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(39.4)</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(3.4)</w:t>
            </w:r>
          </w:p>
        </w:tc>
      </w:tr>
      <w:tr>
        <w:trPr>
          <w:trHeight w:val="161"/>
        </w:trPr>
        <w:tc>
          <w:tcPr>
            <w:tcW w:w="5600" w:type="dxa"/>
            <w:vAlign w:val="bottom"/>
            <w:gridSpan w:val="2"/>
          </w:tcPr>
          <w:p>
            <w:pPr>
              <w:spacing w:after="0"/>
              <w:rPr>
                <w:sz w:val="20"/>
                <w:szCs w:val="20"/>
                <w:color w:val="auto"/>
              </w:rPr>
            </w:pPr>
            <w:r>
              <w:rPr>
                <w:rFonts w:ascii="Arial" w:cs="Arial" w:eastAsia="Arial" w:hAnsi="Arial"/>
                <w:sz w:val="13"/>
                <w:szCs w:val="13"/>
                <w:color w:val="auto"/>
              </w:rPr>
              <w:t>Per share data(1):</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1"/>
        </w:trPr>
        <w:tc>
          <w:tcPr>
            <w:tcW w:w="56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Basic net income (loss) per share of Class A and Class B Common Stock</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0.11</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gridSpan w:val="2"/>
            <w:shd w:val="clear" w:color="auto" w:fill="CCEEFF"/>
          </w:tcPr>
          <w:p>
            <w:pPr>
              <w:jc w:val="right"/>
              <w:ind w:right="306"/>
              <w:spacing w:after="0"/>
              <w:rPr>
                <w:sz w:val="20"/>
                <w:szCs w:val="20"/>
                <w:color w:val="auto"/>
              </w:rPr>
            </w:pPr>
            <w:r>
              <w:rPr>
                <w:rFonts w:ascii="Arial" w:cs="Arial" w:eastAsia="Arial" w:hAnsi="Arial"/>
                <w:sz w:val="13"/>
                <w:szCs w:val="13"/>
                <w:color w:val="auto"/>
              </w:rPr>
              <w:t>(5.43)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(0.67)</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(0.06)</w:t>
            </w:r>
          </w:p>
        </w:tc>
      </w:tr>
      <w:tr>
        <w:trPr>
          <w:trHeight w:val="161"/>
        </w:trPr>
        <w:tc>
          <w:tcPr>
            <w:tcW w:w="5600" w:type="dxa"/>
            <w:vAlign w:val="bottom"/>
            <w:gridSpan w:val="2"/>
          </w:tcPr>
          <w:p>
            <w:pPr>
              <w:ind w:left="140"/>
              <w:spacing w:after="0"/>
              <w:rPr>
                <w:sz w:val="20"/>
                <w:szCs w:val="20"/>
                <w:color w:val="auto"/>
              </w:rPr>
            </w:pPr>
            <w:r>
              <w:rPr>
                <w:rFonts w:ascii="Arial" w:cs="Arial" w:eastAsia="Arial" w:hAnsi="Arial"/>
                <w:sz w:val="13"/>
                <w:szCs w:val="13"/>
                <w:color w:val="auto"/>
              </w:rPr>
              <w:t>Diluted net income (loss) per share of Class A and Class B Common Stock(2)</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0.10</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gridSpan w:val="2"/>
          </w:tcPr>
          <w:p>
            <w:pPr>
              <w:jc w:val="right"/>
              <w:ind w:right="306"/>
              <w:spacing w:after="0"/>
              <w:rPr>
                <w:sz w:val="20"/>
                <w:szCs w:val="20"/>
                <w:color w:val="auto"/>
              </w:rPr>
            </w:pPr>
            <w:r>
              <w:rPr>
                <w:rFonts w:ascii="Arial" w:cs="Arial" w:eastAsia="Arial" w:hAnsi="Arial"/>
                <w:sz w:val="13"/>
                <w:szCs w:val="13"/>
                <w:color w:val="auto"/>
              </w:rPr>
              <w:t>(5.43)</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(0.67)</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40"/>
              <w:spacing w:after="0"/>
              <w:rPr>
                <w:sz w:val="20"/>
                <w:szCs w:val="20"/>
                <w:color w:val="auto"/>
              </w:rPr>
            </w:pPr>
            <w:r>
              <w:rPr>
                <w:rFonts w:ascii="Arial" w:cs="Arial" w:eastAsia="Arial" w:hAnsi="Arial"/>
                <w:sz w:val="13"/>
                <w:szCs w:val="13"/>
                <w:color w:val="auto"/>
              </w:rPr>
              <w:t>(0.06)</w:t>
            </w:r>
          </w:p>
        </w:tc>
      </w:tr>
      <w:tr>
        <w:trPr>
          <w:trHeight w:val="161"/>
        </w:trPr>
        <w:tc>
          <w:tcPr>
            <w:tcW w:w="5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Market price range of one share of Class A Common Stock:</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1"/>
        </w:trPr>
        <w:tc>
          <w:tcPr>
            <w:tcW w:w="5600" w:type="dxa"/>
            <w:vAlign w:val="bottom"/>
            <w:gridSpan w:val="2"/>
          </w:tcPr>
          <w:p>
            <w:pPr>
              <w:ind w:left="140"/>
              <w:spacing w:after="0"/>
              <w:rPr>
                <w:sz w:val="20"/>
                <w:szCs w:val="20"/>
                <w:color w:val="auto"/>
              </w:rPr>
            </w:pPr>
            <w:r>
              <w:rPr>
                <w:rFonts w:ascii="Arial" w:cs="Arial" w:eastAsia="Arial" w:hAnsi="Arial"/>
                <w:sz w:val="13"/>
                <w:szCs w:val="13"/>
                <w:color w:val="auto"/>
              </w:rPr>
              <w:t>High</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11.45</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gridSpan w:val="2"/>
          </w:tcPr>
          <w:p>
            <w:pPr>
              <w:jc w:val="right"/>
              <w:ind w:right="346"/>
              <w:spacing w:after="0"/>
              <w:rPr>
                <w:sz w:val="20"/>
                <w:szCs w:val="20"/>
                <w:color w:val="auto"/>
              </w:rPr>
            </w:pPr>
            <w:r>
              <w:rPr>
                <w:rFonts w:ascii="Arial" w:cs="Arial" w:eastAsia="Arial" w:hAnsi="Arial"/>
                <w:sz w:val="13"/>
                <w:szCs w:val="13"/>
                <w:color w:val="auto"/>
              </w:rPr>
              <w:t>7.85</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7.24</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6.75</w:t>
            </w:r>
          </w:p>
        </w:tc>
      </w:tr>
      <w:tr>
        <w:trPr>
          <w:trHeight w:val="161"/>
        </w:trPr>
        <w:tc>
          <w:tcPr>
            <w:tcW w:w="56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Low</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6.85</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gridSpan w:val="2"/>
            <w:shd w:val="clear" w:color="auto" w:fill="CCEEFF"/>
          </w:tcPr>
          <w:p>
            <w:pPr>
              <w:jc w:val="right"/>
              <w:ind w:right="346"/>
              <w:spacing w:after="0"/>
              <w:rPr>
                <w:sz w:val="20"/>
                <w:szCs w:val="20"/>
                <w:color w:val="auto"/>
              </w:rPr>
            </w:pPr>
            <w:r>
              <w:rPr>
                <w:rFonts w:ascii="Arial" w:cs="Arial" w:eastAsia="Arial" w:hAnsi="Arial"/>
                <w:sz w:val="13"/>
                <w:szCs w:val="13"/>
                <w:color w:val="auto"/>
              </w:rPr>
              <w:t>3.26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3.00</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3.91</w:t>
            </w:r>
          </w:p>
        </w:tc>
      </w:tr>
      <w:tr>
        <w:trPr>
          <w:trHeight w:val="275"/>
        </w:trPr>
        <w:tc>
          <w:tcPr>
            <w:tcW w:w="1300" w:type="dxa"/>
            <w:vAlign w:val="bottom"/>
          </w:tcPr>
          <w:p>
            <w:pPr>
              <w:spacing w:after="0"/>
              <w:rPr>
                <w:sz w:val="23"/>
                <w:szCs w:val="23"/>
                <w:color w:val="auto"/>
              </w:rPr>
            </w:pPr>
          </w:p>
        </w:tc>
        <w:tc>
          <w:tcPr>
            <w:tcW w:w="4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20" w:type="dxa"/>
            <w:vAlign w:val="bottom"/>
            <w:gridSpan w:val="2"/>
          </w:tcPr>
          <w:p>
            <w:pPr>
              <w:spacing w:after="0"/>
              <w:rPr>
                <w:sz w:val="20"/>
                <w:szCs w:val="20"/>
                <w:color w:val="auto"/>
              </w:rPr>
            </w:pPr>
            <w:r>
              <w:rPr>
                <w:rFonts w:ascii="Arial" w:cs="Arial" w:eastAsia="Arial" w:hAnsi="Arial"/>
                <w:sz w:val="11"/>
                <w:szCs w:val="11"/>
                <w:b w:val="1"/>
                <w:bCs w:val="1"/>
                <w:color w:val="auto"/>
              </w:rPr>
              <w:t>1st Quarter</w:t>
            </w:r>
          </w:p>
        </w:tc>
        <w:tc>
          <w:tcPr>
            <w:tcW w:w="100" w:type="dxa"/>
            <w:vAlign w:val="bottom"/>
          </w:tcPr>
          <w:p>
            <w:pPr>
              <w:spacing w:after="0"/>
              <w:rPr>
                <w:sz w:val="23"/>
                <w:szCs w:val="23"/>
                <w:color w:val="auto"/>
              </w:rPr>
            </w:pPr>
          </w:p>
        </w:tc>
        <w:tc>
          <w:tcPr>
            <w:tcW w:w="1120" w:type="dxa"/>
            <w:vAlign w:val="bottom"/>
            <w:gridSpan w:val="2"/>
          </w:tcPr>
          <w:p>
            <w:pPr>
              <w:jc w:val="center"/>
              <w:ind w:right="446"/>
              <w:spacing w:after="0"/>
              <w:rPr>
                <w:sz w:val="20"/>
                <w:szCs w:val="20"/>
                <w:color w:val="auto"/>
              </w:rPr>
            </w:pPr>
            <w:r>
              <w:rPr>
                <w:rFonts w:ascii="Arial" w:cs="Arial" w:eastAsia="Arial" w:hAnsi="Arial"/>
                <w:sz w:val="11"/>
                <w:szCs w:val="11"/>
                <w:b w:val="1"/>
                <w:bCs w:val="1"/>
                <w:color w:val="auto"/>
                <w:w w:val="92"/>
              </w:rPr>
              <w:t>2nd Quarter</w:t>
            </w:r>
          </w:p>
        </w:tc>
        <w:tc>
          <w:tcPr>
            <w:tcW w:w="100" w:type="dxa"/>
            <w:vAlign w:val="bottom"/>
          </w:tcPr>
          <w:p>
            <w:pPr>
              <w:spacing w:after="0"/>
              <w:rPr>
                <w:sz w:val="23"/>
                <w:szCs w:val="23"/>
                <w:color w:val="auto"/>
              </w:rPr>
            </w:pPr>
          </w:p>
        </w:tc>
        <w:tc>
          <w:tcPr>
            <w:tcW w:w="1080" w:type="dxa"/>
            <w:vAlign w:val="bottom"/>
            <w:gridSpan w:val="2"/>
          </w:tcPr>
          <w:p>
            <w:pPr>
              <w:jc w:val="center"/>
              <w:ind w:right="480"/>
              <w:spacing w:after="0"/>
              <w:rPr>
                <w:sz w:val="20"/>
                <w:szCs w:val="20"/>
                <w:color w:val="auto"/>
              </w:rPr>
            </w:pPr>
            <w:r>
              <w:rPr>
                <w:rFonts w:ascii="Arial" w:cs="Arial" w:eastAsia="Arial" w:hAnsi="Arial"/>
                <w:sz w:val="11"/>
                <w:szCs w:val="11"/>
                <w:b w:val="1"/>
                <w:bCs w:val="1"/>
                <w:color w:val="auto"/>
                <w:w w:val="93"/>
              </w:rPr>
              <w:t>3rd Quarter</w:t>
            </w:r>
          </w:p>
        </w:tc>
        <w:tc>
          <w:tcPr>
            <w:tcW w:w="100" w:type="dxa"/>
            <w:vAlign w:val="bottom"/>
          </w:tcPr>
          <w:p>
            <w:pPr>
              <w:spacing w:after="0"/>
              <w:rPr>
                <w:sz w:val="23"/>
                <w:szCs w:val="23"/>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4"/>
              </w:rPr>
              <w:t>4th Quarter</w:t>
            </w:r>
          </w:p>
        </w:tc>
      </w:tr>
      <w:tr>
        <w:trPr>
          <w:trHeight w:val="128"/>
        </w:trPr>
        <w:tc>
          <w:tcPr>
            <w:tcW w:w="130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09-28-2007</w:t>
            </w: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center"/>
              <w:ind w:right="37"/>
              <w:spacing w:after="0"/>
              <w:rPr>
                <w:sz w:val="20"/>
                <w:szCs w:val="20"/>
                <w:color w:val="auto"/>
              </w:rPr>
            </w:pPr>
            <w:r>
              <w:rPr>
                <w:rFonts w:ascii="Arial" w:cs="Arial" w:eastAsia="Arial" w:hAnsi="Arial"/>
                <w:sz w:val="11"/>
                <w:szCs w:val="11"/>
                <w:b w:val="1"/>
                <w:bCs w:val="1"/>
                <w:color w:val="auto"/>
                <w:w w:val="88"/>
              </w:rPr>
              <w:t>12-28-2007</w:t>
            </w: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center"/>
              <w:ind w:right="16"/>
              <w:spacing w:after="0"/>
              <w:rPr>
                <w:sz w:val="20"/>
                <w:szCs w:val="20"/>
                <w:color w:val="auto"/>
              </w:rPr>
            </w:pPr>
            <w:r>
              <w:rPr>
                <w:rFonts w:ascii="Arial" w:cs="Arial" w:eastAsia="Arial" w:hAnsi="Arial"/>
                <w:sz w:val="11"/>
                <w:szCs w:val="11"/>
                <w:b w:val="1"/>
                <w:bCs w:val="1"/>
                <w:color w:val="auto"/>
                <w:w w:val="88"/>
              </w:rPr>
              <w:t>03-28-2008</w:t>
            </w: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center"/>
              <w:ind w:right="16"/>
              <w:spacing w:after="0"/>
              <w:rPr>
                <w:sz w:val="20"/>
                <w:szCs w:val="20"/>
                <w:color w:val="auto"/>
              </w:rPr>
            </w:pPr>
            <w:r>
              <w:rPr>
                <w:rFonts w:ascii="Arial" w:cs="Arial" w:eastAsia="Arial" w:hAnsi="Arial"/>
                <w:sz w:val="11"/>
                <w:szCs w:val="11"/>
                <w:b w:val="1"/>
                <w:bCs w:val="1"/>
                <w:color w:val="auto"/>
                <w:w w:val="88"/>
              </w:rPr>
              <w:t>06-27-2008</w:t>
            </w:r>
          </w:p>
        </w:tc>
        <w:tc>
          <w:tcPr>
            <w:tcW w:w="80" w:type="dxa"/>
            <w:vAlign w:val="bottom"/>
          </w:tcPr>
          <w:p>
            <w:pPr>
              <w:spacing w:after="0"/>
              <w:rPr>
                <w:sz w:val="11"/>
                <w:szCs w:val="11"/>
                <w:color w:val="auto"/>
              </w:rPr>
            </w:pPr>
          </w:p>
        </w:tc>
      </w:tr>
      <w:tr>
        <w:trPr>
          <w:trHeight w:val="135"/>
        </w:trPr>
        <w:tc>
          <w:tcPr>
            <w:tcW w:w="130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b w:val="1"/>
                <w:bCs w:val="1"/>
                <w:color w:val="auto"/>
              </w:rPr>
              <w:t>(In millions,</w:t>
            </w:r>
          </w:p>
        </w:tc>
        <w:tc>
          <w:tcPr>
            <w:tcW w:w="1200" w:type="dxa"/>
            <w:vAlign w:val="bottom"/>
            <w:gridSpan w:val="3"/>
          </w:tcPr>
          <w:p>
            <w:pPr>
              <w:spacing w:after="0"/>
              <w:rPr>
                <w:sz w:val="20"/>
                <w:szCs w:val="20"/>
                <w:color w:val="auto"/>
              </w:rPr>
            </w:pPr>
            <w:r>
              <w:rPr>
                <w:rFonts w:ascii="Arial" w:cs="Arial" w:eastAsia="Arial" w:hAnsi="Arial"/>
                <w:sz w:val="11"/>
                <w:szCs w:val="11"/>
                <w:b w:val="1"/>
                <w:bCs w:val="1"/>
                <w:color w:val="auto"/>
                <w:w w:val="98"/>
              </w:rPr>
              <w:t>except share amounts)</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7"/>
        </w:trPr>
        <w:tc>
          <w:tcPr>
            <w:tcW w:w="5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Fiscal 2008</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1"/>
        </w:trPr>
        <w:tc>
          <w:tcPr>
            <w:tcW w:w="5600" w:type="dxa"/>
            <w:vAlign w:val="bottom"/>
            <w:gridSpan w:val="2"/>
          </w:tcPr>
          <w:p>
            <w:pPr>
              <w:spacing w:after="0"/>
              <w:rPr>
                <w:sz w:val="20"/>
                <w:szCs w:val="20"/>
                <w:color w:val="auto"/>
              </w:rPr>
            </w:pPr>
            <w:r>
              <w:rPr>
                <w:rFonts w:ascii="Arial" w:cs="Arial" w:eastAsia="Arial" w:hAnsi="Arial"/>
                <w:sz w:val="13"/>
                <w:szCs w:val="13"/>
                <w:color w:val="auto"/>
              </w:rPr>
              <w:t>Revenue</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172.3</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gridSpan w:val="2"/>
          </w:tcPr>
          <w:p>
            <w:pPr>
              <w:jc w:val="right"/>
              <w:ind w:right="346"/>
              <w:spacing w:after="0"/>
              <w:rPr>
                <w:sz w:val="20"/>
                <w:szCs w:val="20"/>
                <w:color w:val="auto"/>
              </w:rPr>
            </w:pPr>
            <w:r>
              <w:rPr>
                <w:rFonts w:ascii="Arial" w:cs="Arial" w:eastAsia="Arial" w:hAnsi="Arial"/>
                <w:sz w:val="13"/>
                <w:szCs w:val="13"/>
                <w:color w:val="auto"/>
              </w:rPr>
              <w:t>181.1</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178.2</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186.8</w:t>
            </w:r>
          </w:p>
        </w:tc>
      </w:tr>
      <w:tr>
        <w:trPr>
          <w:trHeight w:val="161"/>
        </w:trPr>
        <w:tc>
          <w:tcPr>
            <w:tcW w:w="5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Gross margin</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47.0</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gridSpan w:val="2"/>
            <w:shd w:val="clear" w:color="auto" w:fill="CCEEFF"/>
          </w:tcPr>
          <w:p>
            <w:pPr>
              <w:jc w:val="right"/>
              <w:ind w:right="346"/>
              <w:spacing w:after="0"/>
              <w:rPr>
                <w:sz w:val="20"/>
                <w:szCs w:val="20"/>
                <w:color w:val="auto"/>
              </w:rPr>
            </w:pPr>
            <w:r>
              <w:rPr>
                <w:rFonts w:ascii="Arial" w:cs="Arial" w:eastAsia="Arial" w:hAnsi="Arial"/>
                <w:sz w:val="13"/>
                <w:szCs w:val="13"/>
                <w:color w:val="auto"/>
              </w:rPr>
              <w:t>49.0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50.3</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43.9</w:t>
            </w:r>
          </w:p>
        </w:tc>
      </w:tr>
      <w:tr>
        <w:trPr>
          <w:trHeight w:val="161"/>
        </w:trPr>
        <w:tc>
          <w:tcPr>
            <w:tcW w:w="5600" w:type="dxa"/>
            <w:vAlign w:val="bottom"/>
            <w:gridSpan w:val="2"/>
          </w:tcPr>
          <w:p>
            <w:pPr>
              <w:spacing w:after="0"/>
              <w:rPr>
                <w:sz w:val="20"/>
                <w:szCs w:val="20"/>
                <w:color w:val="auto"/>
              </w:rPr>
            </w:pPr>
            <w:r>
              <w:rPr>
                <w:rFonts w:ascii="Arial" w:cs="Arial" w:eastAsia="Arial" w:hAnsi="Arial"/>
                <w:sz w:val="13"/>
                <w:szCs w:val="13"/>
                <w:color w:val="auto"/>
              </w:rPr>
              <w:t>(Loss) income from operations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340"/>
              <w:spacing w:after="0"/>
              <w:rPr>
                <w:sz w:val="20"/>
                <w:szCs w:val="20"/>
                <w:color w:val="auto"/>
              </w:rPr>
            </w:pPr>
            <w:r>
              <w:rPr>
                <w:rFonts w:ascii="Arial" w:cs="Arial" w:eastAsia="Arial" w:hAnsi="Arial"/>
                <w:sz w:val="13"/>
                <w:szCs w:val="13"/>
                <w:color w:val="auto"/>
              </w:rPr>
              <w:t>(0.0)</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gridSpan w:val="2"/>
          </w:tcPr>
          <w:p>
            <w:pPr>
              <w:jc w:val="right"/>
              <w:ind w:right="306"/>
              <w:spacing w:after="0"/>
              <w:rPr>
                <w:sz w:val="20"/>
                <w:szCs w:val="20"/>
                <w:color w:val="auto"/>
              </w:rPr>
            </w:pPr>
            <w:r>
              <w:rPr>
                <w:rFonts w:ascii="Arial" w:cs="Arial" w:eastAsia="Arial" w:hAnsi="Arial"/>
                <w:sz w:val="13"/>
                <w:szCs w:val="13"/>
                <w:color w:val="auto"/>
              </w:rPr>
              <w:t>(4.4)</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5.8</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40"/>
              <w:spacing w:after="0"/>
              <w:rPr>
                <w:sz w:val="20"/>
                <w:szCs w:val="20"/>
                <w:color w:val="auto"/>
              </w:rPr>
            </w:pPr>
            <w:r>
              <w:rPr>
                <w:rFonts w:ascii="Arial" w:cs="Arial" w:eastAsia="Arial" w:hAnsi="Arial"/>
                <w:sz w:val="13"/>
                <w:szCs w:val="13"/>
                <w:color w:val="auto"/>
              </w:rPr>
              <w:t>(15.1)</w:t>
            </w:r>
          </w:p>
        </w:tc>
      </w:tr>
      <w:tr>
        <w:trPr>
          <w:trHeight w:val="161"/>
        </w:trPr>
        <w:tc>
          <w:tcPr>
            <w:tcW w:w="5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(loss) income</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(0.2)</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gridSpan w:val="2"/>
            <w:shd w:val="clear" w:color="auto" w:fill="CCEEFF"/>
          </w:tcPr>
          <w:p>
            <w:pPr>
              <w:jc w:val="right"/>
              <w:ind w:right="306"/>
              <w:spacing w:after="0"/>
              <w:rPr>
                <w:sz w:val="20"/>
                <w:szCs w:val="20"/>
                <w:color w:val="auto"/>
              </w:rPr>
            </w:pPr>
            <w:r>
              <w:rPr>
                <w:rFonts w:ascii="Arial" w:cs="Arial" w:eastAsia="Arial" w:hAnsi="Arial"/>
                <w:sz w:val="13"/>
                <w:szCs w:val="13"/>
                <w:color w:val="auto"/>
              </w:rPr>
              <w:t>(3.2)</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5.2</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(13.7)</w:t>
            </w:r>
          </w:p>
        </w:tc>
      </w:tr>
      <w:tr>
        <w:trPr>
          <w:trHeight w:val="161"/>
        </w:trPr>
        <w:tc>
          <w:tcPr>
            <w:tcW w:w="5600" w:type="dxa"/>
            <w:vAlign w:val="bottom"/>
            <w:gridSpan w:val="2"/>
          </w:tcPr>
          <w:p>
            <w:pPr>
              <w:spacing w:after="0"/>
              <w:rPr>
                <w:sz w:val="20"/>
                <w:szCs w:val="20"/>
                <w:color w:val="auto"/>
              </w:rPr>
            </w:pPr>
            <w:r>
              <w:rPr>
                <w:rFonts w:ascii="Arial" w:cs="Arial" w:eastAsia="Arial" w:hAnsi="Arial"/>
                <w:sz w:val="13"/>
                <w:szCs w:val="13"/>
                <w:color w:val="auto"/>
              </w:rPr>
              <w:t>Per share data(1):</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1"/>
        </w:trPr>
        <w:tc>
          <w:tcPr>
            <w:tcW w:w="56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Basic net (loss) income per share of Class A and Class B Common Stock</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(0.0)</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gridSpan w:val="2"/>
            <w:shd w:val="clear" w:color="auto" w:fill="CCEEFF"/>
          </w:tcPr>
          <w:p>
            <w:pPr>
              <w:jc w:val="right"/>
              <w:ind w:right="306"/>
              <w:spacing w:after="0"/>
              <w:rPr>
                <w:sz w:val="20"/>
                <w:szCs w:val="20"/>
                <w:color w:val="auto"/>
              </w:rPr>
            </w:pPr>
            <w:r>
              <w:rPr>
                <w:rFonts w:ascii="Arial" w:cs="Arial" w:eastAsia="Arial" w:hAnsi="Arial"/>
                <w:sz w:val="13"/>
                <w:szCs w:val="13"/>
                <w:color w:val="auto"/>
              </w:rPr>
              <w:t>(0.05)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0.09</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(0.23)</w:t>
            </w:r>
          </w:p>
        </w:tc>
      </w:tr>
      <w:tr>
        <w:trPr>
          <w:trHeight w:val="161"/>
        </w:trPr>
        <w:tc>
          <w:tcPr>
            <w:tcW w:w="5600" w:type="dxa"/>
            <w:vAlign w:val="bottom"/>
            <w:gridSpan w:val="2"/>
          </w:tcPr>
          <w:p>
            <w:pPr>
              <w:ind w:left="140"/>
              <w:spacing w:after="0"/>
              <w:rPr>
                <w:sz w:val="20"/>
                <w:szCs w:val="20"/>
                <w:color w:val="auto"/>
              </w:rPr>
            </w:pPr>
            <w:r>
              <w:rPr>
                <w:rFonts w:ascii="Arial" w:cs="Arial" w:eastAsia="Arial" w:hAnsi="Arial"/>
                <w:sz w:val="13"/>
                <w:szCs w:val="13"/>
                <w:color w:val="auto"/>
              </w:rPr>
              <w:t>Diluted net (loss) income per share of Class A and Class B Common Stock(2)</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340"/>
              <w:spacing w:after="0"/>
              <w:rPr>
                <w:sz w:val="20"/>
                <w:szCs w:val="20"/>
                <w:color w:val="auto"/>
              </w:rPr>
            </w:pPr>
            <w:r>
              <w:rPr>
                <w:rFonts w:ascii="Arial" w:cs="Arial" w:eastAsia="Arial" w:hAnsi="Arial"/>
                <w:sz w:val="13"/>
                <w:szCs w:val="13"/>
                <w:color w:val="auto"/>
              </w:rPr>
              <w:t>(0.0)</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gridSpan w:val="2"/>
          </w:tcPr>
          <w:p>
            <w:pPr>
              <w:jc w:val="right"/>
              <w:ind w:right="306"/>
              <w:spacing w:after="0"/>
              <w:rPr>
                <w:sz w:val="20"/>
                <w:szCs w:val="20"/>
                <w:color w:val="auto"/>
              </w:rPr>
            </w:pPr>
            <w:r>
              <w:rPr>
                <w:rFonts w:ascii="Arial" w:cs="Arial" w:eastAsia="Arial" w:hAnsi="Arial"/>
                <w:sz w:val="13"/>
                <w:szCs w:val="13"/>
                <w:color w:val="auto"/>
              </w:rPr>
              <w:t>(0.05)</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0.05</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40"/>
              <w:spacing w:after="0"/>
              <w:rPr>
                <w:sz w:val="20"/>
                <w:szCs w:val="20"/>
                <w:color w:val="auto"/>
              </w:rPr>
            </w:pPr>
            <w:r>
              <w:rPr>
                <w:rFonts w:ascii="Arial" w:cs="Arial" w:eastAsia="Arial" w:hAnsi="Arial"/>
                <w:sz w:val="13"/>
                <w:szCs w:val="13"/>
                <w:color w:val="auto"/>
              </w:rPr>
              <w:t>(0.23)</w:t>
            </w:r>
          </w:p>
        </w:tc>
      </w:tr>
      <w:tr>
        <w:trPr>
          <w:trHeight w:val="161"/>
        </w:trPr>
        <w:tc>
          <w:tcPr>
            <w:tcW w:w="5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Market price range of one share of Class A Common Stock:</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1"/>
        </w:trPr>
        <w:tc>
          <w:tcPr>
            <w:tcW w:w="5600" w:type="dxa"/>
            <w:vAlign w:val="bottom"/>
            <w:gridSpan w:val="2"/>
          </w:tcPr>
          <w:p>
            <w:pPr>
              <w:ind w:left="140"/>
              <w:spacing w:after="0"/>
              <w:rPr>
                <w:sz w:val="20"/>
                <w:szCs w:val="20"/>
                <w:color w:val="auto"/>
              </w:rPr>
            </w:pPr>
            <w:r>
              <w:rPr>
                <w:rFonts w:ascii="Arial" w:cs="Arial" w:eastAsia="Arial" w:hAnsi="Arial"/>
                <w:sz w:val="13"/>
                <w:szCs w:val="13"/>
                <w:color w:val="auto"/>
              </w:rPr>
              <w:t>High</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20.90</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gridSpan w:val="2"/>
          </w:tcPr>
          <w:p>
            <w:pPr>
              <w:jc w:val="right"/>
              <w:ind w:right="346"/>
              <w:spacing w:after="0"/>
              <w:rPr>
                <w:sz w:val="20"/>
                <w:szCs w:val="20"/>
                <w:color w:val="auto"/>
              </w:rPr>
            </w:pPr>
            <w:r>
              <w:rPr>
                <w:rFonts w:ascii="Arial" w:cs="Arial" w:eastAsia="Arial" w:hAnsi="Arial"/>
                <w:sz w:val="13"/>
                <w:szCs w:val="13"/>
                <w:color w:val="auto"/>
              </w:rPr>
              <w:t>19.97</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18.75</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11.44</w:t>
            </w:r>
          </w:p>
        </w:tc>
      </w:tr>
      <w:tr>
        <w:trPr>
          <w:trHeight w:val="161"/>
        </w:trPr>
        <w:tc>
          <w:tcPr>
            <w:tcW w:w="56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Low</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15.90</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gridSpan w:val="2"/>
            <w:shd w:val="clear" w:color="auto" w:fill="CCEEFF"/>
          </w:tcPr>
          <w:p>
            <w:pPr>
              <w:jc w:val="right"/>
              <w:ind w:right="346"/>
              <w:spacing w:after="0"/>
              <w:rPr>
                <w:sz w:val="20"/>
                <w:szCs w:val="20"/>
                <w:color w:val="auto"/>
              </w:rPr>
            </w:pPr>
            <w:r>
              <w:rPr>
                <w:rFonts w:ascii="Arial" w:cs="Arial" w:eastAsia="Arial" w:hAnsi="Arial"/>
                <w:sz w:val="13"/>
                <w:szCs w:val="13"/>
                <w:color w:val="auto"/>
              </w:rPr>
              <w:t>15.41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8.53</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8.88</w:t>
            </w:r>
          </w:p>
        </w:tc>
      </w:tr>
      <w:tr>
        <w:trPr>
          <w:trHeight w:val="101"/>
        </w:trPr>
        <w:tc>
          <w:tcPr>
            <w:tcW w:w="1300" w:type="dxa"/>
            <w:vAlign w:val="bottom"/>
            <w:tcBorders>
              <w:bottom w:val="single" w:sz="8" w:color="auto"/>
            </w:tcBorders>
          </w:tcPr>
          <w:p>
            <w:pPr>
              <w:spacing w:after="0"/>
              <w:rPr>
                <w:sz w:val="8"/>
                <w:szCs w:val="8"/>
                <w:color w:val="auto"/>
              </w:rPr>
            </w:pPr>
          </w:p>
        </w:tc>
        <w:tc>
          <w:tcPr>
            <w:tcW w:w="43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r>
    </w:tbl>
    <w:p>
      <w:pPr>
        <w:spacing w:after="0" w:line="40" w:lineRule="exact"/>
        <w:rPr>
          <w:sz w:val="20"/>
          <w:szCs w:val="20"/>
          <w:color w:val="auto"/>
        </w:rPr>
      </w:pPr>
    </w:p>
    <w:p>
      <w:pPr>
        <w:ind w:left="1000" w:right="260" w:hanging="266"/>
        <w:spacing w:after="0" w:line="276" w:lineRule="auto"/>
        <w:tabs>
          <w:tab w:leader="none" w:pos="1000" w:val="left"/>
        </w:tabs>
        <w:numPr>
          <w:ilvl w:val="0"/>
          <w:numId w:val="33"/>
        </w:numPr>
        <w:rPr>
          <w:rFonts w:ascii="Arial" w:cs="Arial" w:eastAsia="Arial" w:hAnsi="Arial"/>
          <w:sz w:val="13"/>
          <w:szCs w:val="13"/>
          <w:color w:val="auto"/>
        </w:rPr>
      </w:pPr>
      <w:r>
        <w:rPr>
          <w:rFonts w:ascii="Arial" w:cs="Arial" w:eastAsia="Arial" w:hAnsi="Arial"/>
          <w:sz w:val="13"/>
          <w:szCs w:val="13"/>
          <w:color w:val="auto"/>
        </w:rPr>
        <w:t>The net income (loss) per common share amounts are the same for Class A and Class B because the holders of each class are legally entitled to equal per share distributions whether through dividends or in liquidation. Net income (loss) per share are computed independently for each of the quarters presented. Therefore, the sum of the quarterly per share totals may not equal the total for the year.</w:t>
      </w:r>
    </w:p>
    <w:p>
      <w:pPr>
        <w:spacing w:after="0" w:line="8" w:lineRule="exact"/>
        <w:rPr>
          <w:rFonts w:ascii="Arial" w:cs="Arial" w:eastAsia="Arial" w:hAnsi="Arial"/>
          <w:sz w:val="13"/>
          <w:szCs w:val="13"/>
          <w:color w:val="auto"/>
        </w:rPr>
      </w:pPr>
    </w:p>
    <w:p>
      <w:pPr>
        <w:ind w:left="1000" w:right="60" w:hanging="266"/>
        <w:spacing w:after="0" w:line="291" w:lineRule="auto"/>
        <w:tabs>
          <w:tab w:leader="none" w:pos="1000" w:val="left"/>
        </w:tabs>
        <w:numPr>
          <w:ilvl w:val="0"/>
          <w:numId w:val="33"/>
        </w:numPr>
        <w:rPr>
          <w:rFonts w:ascii="Arial" w:cs="Arial" w:eastAsia="Arial" w:hAnsi="Arial"/>
          <w:sz w:val="13"/>
          <w:szCs w:val="13"/>
          <w:color w:val="auto"/>
        </w:rPr>
      </w:pPr>
      <w:r>
        <w:rPr>
          <w:rFonts w:ascii="Arial" w:cs="Arial" w:eastAsia="Arial" w:hAnsi="Arial"/>
          <w:sz w:val="13"/>
          <w:szCs w:val="13"/>
          <w:color w:val="auto"/>
        </w:rPr>
        <w:t>During the first quarter of fiscal 2009 and third quarter of fiscal 2008, the calculations of diluted earnings per share include a potential deduction to net income of $0.2 million and $2.1 million for the assumed after-tax effect of the change in fair value of warrants using the “treasury stock” method.</w:t>
      </w:r>
    </w:p>
    <w:p>
      <w:pPr>
        <w:ind w:left="1000" w:right="80" w:hanging="266"/>
        <w:spacing w:after="0" w:line="294" w:lineRule="auto"/>
        <w:tabs>
          <w:tab w:leader="none" w:pos="1000" w:val="left"/>
        </w:tabs>
        <w:numPr>
          <w:ilvl w:val="0"/>
          <w:numId w:val="33"/>
        </w:numPr>
        <w:rPr>
          <w:rFonts w:ascii="Arial" w:cs="Arial" w:eastAsia="Arial" w:hAnsi="Arial"/>
          <w:sz w:val="13"/>
          <w:szCs w:val="13"/>
          <w:color w:val="auto"/>
        </w:rPr>
      </w:pPr>
      <w:r>
        <w:rPr>
          <w:rFonts w:ascii="Arial" w:cs="Arial" w:eastAsia="Arial" w:hAnsi="Arial"/>
          <w:sz w:val="13"/>
          <w:szCs w:val="13"/>
          <w:color w:val="auto"/>
        </w:rPr>
        <w:t>Prior to January 26, 2007, the Company was a division of Harris Corporation and there were no shares outstanding for purposes of net income or loss per share calculations. Basic and diluted weighted average shares</w:t>
      </w:r>
    </w:p>
    <w:p>
      <w:pPr>
        <w:spacing w:after="0" w:line="248"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112" w:name="page113"/>
    <w:bookmarkEnd w:id="11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3" w:lineRule="exact"/>
        <w:rPr>
          <w:sz w:val="20"/>
          <w:szCs w:val="20"/>
          <w:color w:val="auto"/>
        </w:rPr>
      </w:pPr>
    </w:p>
    <w:p>
      <w:pPr>
        <w:jc w:val="center"/>
        <w:ind w:right="-839"/>
        <w:spacing w:after="0"/>
        <w:rPr>
          <w:sz w:val="20"/>
          <w:szCs w:val="20"/>
          <w:color w:val="auto"/>
        </w:rPr>
      </w:pPr>
      <w:r>
        <w:rPr>
          <w:rFonts w:ascii="Arial" w:cs="Arial" w:eastAsia="Arial" w:hAnsi="Arial"/>
          <w:sz w:val="13"/>
          <w:szCs w:val="13"/>
          <w:b w:val="1"/>
          <w:bCs w:val="1"/>
          <w:color w:val="auto"/>
        </w:rPr>
        <w:t>HARRIS STRATEX NETWORKS, INC. AND SUBSIDIARIES</w:t>
      </w:r>
    </w:p>
    <w:p>
      <w:pPr>
        <w:spacing w:after="0" w:line="102" w:lineRule="exact"/>
        <w:rPr>
          <w:sz w:val="20"/>
          <w:szCs w:val="20"/>
          <w:color w:val="auto"/>
        </w:rPr>
      </w:pPr>
    </w:p>
    <w:p>
      <w:pPr>
        <w:jc w:val="center"/>
        <w:ind w:right="-83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66" w:lineRule="exact"/>
        <w:rPr>
          <w:sz w:val="20"/>
          <w:szCs w:val="20"/>
          <w:color w:val="auto"/>
        </w:rPr>
      </w:pPr>
    </w:p>
    <w:p>
      <w:pPr>
        <w:jc w:val="both"/>
        <w:ind w:left="1000"/>
        <w:spacing w:after="0" w:line="276" w:lineRule="auto"/>
        <w:rPr>
          <w:sz w:val="20"/>
          <w:szCs w:val="20"/>
          <w:color w:val="auto"/>
        </w:rPr>
      </w:pPr>
      <w:r>
        <w:rPr>
          <w:rFonts w:ascii="Arial" w:cs="Arial" w:eastAsia="Arial" w:hAnsi="Arial"/>
          <w:sz w:val="13"/>
          <w:szCs w:val="13"/>
          <w:color w:val="auto"/>
        </w:rPr>
        <w:t>outstanding are calculated based on the daily outstanding shares, reflecting the fact that no shares were outstanding prior to January 26, 2007. Our Class A Common Stock began trading on the NASDAQ Global Market on January 30, 2007 under the symbol HSTX. Therefore, the sum of the quarterly net loss per share totals will not equal the total for the year.</w:t>
      </w:r>
    </w:p>
    <w:p>
      <w:pPr>
        <w:spacing w:after="0" w:line="59" w:lineRule="exact"/>
        <w:rPr>
          <w:sz w:val="20"/>
          <w:szCs w:val="20"/>
          <w:color w:val="auto"/>
        </w:rPr>
      </w:pPr>
    </w:p>
    <w:p>
      <w:pPr>
        <w:ind w:left="680" w:right="240" w:firstLine="399"/>
        <w:spacing w:after="0" w:line="294" w:lineRule="auto"/>
        <w:rPr>
          <w:sz w:val="20"/>
          <w:szCs w:val="20"/>
          <w:color w:val="auto"/>
        </w:rPr>
      </w:pPr>
      <w:r>
        <w:rPr>
          <w:rFonts w:ascii="Arial" w:cs="Arial" w:eastAsia="Arial" w:hAnsi="Arial"/>
          <w:sz w:val="13"/>
          <w:szCs w:val="13"/>
          <w:color w:val="auto"/>
        </w:rPr>
        <w:t>We have not paid cash dividends on our Common Stock and do not intend to pay cash dividends in the foreseeable future. As of July 3, 2009, we had approximately 5,800 stockholders of record of our Class A Common Stock.</w:t>
      </w:r>
    </w:p>
    <w:p>
      <w:pPr>
        <w:spacing w:after="0" w:line="258"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500"/>
          </w:cols>
          <w:pgMar w:left="220" w:top="349" w:right="1179" w:bottom="1440" w:gutter="0" w:footer="0" w:header="0"/>
        </w:sectPr>
      </w:pPr>
    </w:p>
    <w:bookmarkStart w:id="113" w:name="page114"/>
    <w:bookmarkEnd w:id="11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9.</w:t>
      </w:r>
      <w:r>
        <w:rPr>
          <w:sz w:val="20"/>
          <w:szCs w:val="20"/>
          <w:color w:val="auto"/>
        </w:rPr>
        <w:tab/>
      </w:r>
      <w:r>
        <w:rPr>
          <w:rFonts w:ascii="Arial" w:cs="Arial" w:eastAsia="Arial" w:hAnsi="Arial"/>
          <w:sz w:val="11"/>
          <w:szCs w:val="11"/>
          <w:b w:val="1"/>
          <w:bCs w:val="1"/>
          <w:i w:val="1"/>
          <w:iCs w:val="1"/>
          <w:color w:val="auto"/>
        </w:rPr>
        <w:t>Changes in and Disagreements with Accountants on Accounting and Financial Disclosure.</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None.</w:t>
      </w:r>
    </w:p>
    <w:p>
      <w:pPr>
        <w:spacing w:after="0" w:line="181"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9A.</w:t>
      </w:r>
      <w:r>
        <w:rPr>
          <w:sz w:val="20"/>
          <w:szCs w:val="20"/>
          <w:color w:val="auto"/>
        </w:rPr>
        <w:tab/>
      </w:r>
      <w:r>
        <w:rPr>
          <w:rFonts w:ascii="Arial" w:cs="Arial" w:eastAsia="Arial" w:hAnsi="Arial"/>
          <w:sz w:val="11"/>
          <w:szCs w:val="11"/>
          <w:b w:val="1"/>
          <w:bCs w:val="1"/>
          <w:i w:val="1"/>
          <w:iCs w:val="1"/>
          <w:color w:val="auto"/>
        </w:rPr>
        <w:t>Controls and Procedures.</w:t>
      </w:r>
    </w:p>
    <w:p>
      <w:pPr>
        <w:spacing w:after="0" w:line="10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Evaluation of Disclosure Controls and Procedures</w:t>
      </w:r>
    </w:p>
    <w:p>
      <w:pPr>
        <w:spacing w:after="0" w:line="104" w:lineRule="exact"/>
        <w:rPr>
          <w:sz w:val="20"/>
          <w:szCs w:val="20"/>
          <w:color w:val="auto"/>
        </w:rPr>
      </w:pPr>
    </w:p>
    <w:p>
      <w:pPr>
        <w:ind w:left="680" w:firstLine="399"/>
        <w:spacing w:after="0" w:line="292" w:lineRule="auto"/>
        <w:rPr>
          <w:sz w:val="20"/>
          <w:szCs w:val="20"/>
          <w:color w:val="auto"/>
        </w:rPr>
      </w:pPr>
      <w:r>
        <w:rPr>
          <w:rFonts w:ascii="Arial" w:cs="Arial" w:eastAsia="Arial" w:hAnsi="Arial"/>
          <w:sz w:val="12"/>
          <w:szCs w:val="12"/>
          <w:color w:val="auto"/>
        </w:rPr>
        <w:t>We maintain disclosure controls and procedures that are designed to ensure that information required to be disclosed in our reports filed or submitted under the Exchange Act is recorded, processed, summarized and reported within the time periods specified in SEC rules and forms. Our disclosure controls and procedures include, without limitation, controls and procedures designed to ensure that information required to be disclosed in our reports filed under the Exchange Act is accumulated and communicated to management, including our Chief Executive Officer and Chief Financial Officer, as appropriate to allow timely decisions regarding required disclosures.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w:t>
      </w:r>
    </w:p>
    <w:p>
      <w:pPr>
        <w:spacing w:after="0" w:line="51" w:lineRule="exact"/>
        <w:rPr>
          <w:sz w:val="20"/>
          <w:szCs w:val="20"/>
          <w:color w:val="auto"/>
        </w:rPr>
      </w:pPr>
    </w:p>
    <w:p>
      <w:pPr>
        <w:ind w:left="680" w:right="20" w:firstLine="399"/>
        <w:spacing w:after="0" w:line="309" w:lineRule="auto"/>
        <w:rPr>
          <w:sz w:val="20"/>
          <w:szCs w:val="20"/>
          <w:color w:val="auto"/>
        </w:rPr>
      </w:pPr>
      <w:r>
        <w:rPr>
          <w:rFonts w:ascii="Arial" w:cs="Arial" w:eastAsia="Arial" w:hAnsi="Arial"/>
          <w:sz w:val="12"/>
          <w:szCs w:val="12"/>
          <w:color w:val="auto"/>
        </w:rPr>
        <w:t>Management has conducted an evaluation, under the supervision and with the participation of the Chief Executive Officer and Chief Financial Officer, of the effectiveness of the design and operation of our disclosure controls and procedures (as defined in Rules 13a-15(e) and 15d-15(e) under the Securities Exchange Act of 1934, as amended (the “Exchange Act”)). Based on this evaluation, the Chief Executive Officer and Chief Financial Officer concluded that our disclosure controls and procedures were effective, as of July 3, 2009.</w:t>
      </w:r>
    </w:p>
    <w:p>
      <w:pPr>
        <w:spacing w:after="0" w:line="12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Management’s Report on Internal Control over Financial Reporting</w:t>
      </w:r>
    </w:p>
    <w:p>
      <w:pPr>
        <w:spacing w:after="0" w:line="104" w:lineRule="exact"/>
        <w:rPr>
          <w:sz w:val="20"/>
          <w:szCs w:val="20"/>
          <w:color w:val="auto"/>
        </w:rPr>
      </w:pPr>
    </w:p>
    <w:p>
      <w:pPr>
        <w:ind w:left="680" w:right="40" w:firstLine="399"/>
        <w:spacing w:after="0" w:line="267" w:lineRule="auto"/>
        <w:rPr>
          <w:sz w:val="20"/>
          <w:szCs w:val="20"/>
          <w:color w:val="auto"/>
        </w:rPr>
      </w:pPr>
      <w:r>
        <w:rPr>
          <w:rFonts w:ascii="Arial" w:cs="Arial" w:eastAsia="Arial" w:hAnsi="Arial"/>
          <w:sz w:val="13"/>
          <w:szCs w:val="13"/>
          <w:color w:val="auto"/>
        </w:rPr>
        <w:t>Our management is responsible for establishing and maintaining adequate internal control over financial reporting, (as defined in Rules 13a-15(f) and 15d-15(f) under the Exchange Act). Under the supervision and with the participation of management, including our Chief Executive Officer and Chief Financial Officer, we conducted an evaluation of the effectiveness of the Company’s internal control over financial reporting based on the framework in Internal Control — Integrated Framework issued by the Committee of Sponsoring Organizations of the Treadway Commission. Because of its inherent limitations, a system of internal control over financial reporting can provide only reasonable assurance with respect to financial statement preparation and presentation.</w:t>
      </w:r>
    </w:p>
    <w:p>
      <w:pPr>
        <w:spacing w:after="0" w:line="6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Based on our assessment, management has concluded that we maintained effective internal control over financial reporting as of July 3, 2009.</w:t>
      </w:r>
    </w:p>
    <w:p>
      <w:pPr>
        <w:spacing w:after="0" w:line="102" w:lineRule="exact"/>
        <w:rPr>
          <w:sz w:val="20"/>
          <w:szCs w:val="20"/>
          <w:color w:val="auto"/>
        </w:rPr>
      </w:pPr>
    </w:p>
    <w:p>
      <w:pPr>
        <w:ind w:left="680" w:firstLine="399"/>
        <w:spacing w:after="0" w:line="294" w:lineRule="auto"/>
        <w:rPr>
          <w:sz w:val="20"/>
          <w:szCs w:val="20"/>
          <w:color w:val="auto"/>
        </w:rPr>
      </w:pPr>
      <w:r>
        <w:rPr>
          <w:rFonts w:ascii="Arial" w:cs="Arial" w:eastAsia="Arial" w:hAnsi="Arial"/>
          <w:sz w:val="13"/>
          <w:szCs w:val="13"/>
          <w:color w:val="auto"/>
        </w:rPr>
        <w:t>The attestation report of Ernst &amp; Young LLP, an independent registered public accounting firm, on our internal control over financial reporting appears on page 59 in this Annual Report.</w:t>
      </w:r>
    </w:p>
    <w:p>
      <w:pPr>
        <w:spacing w:after="0" w:line="12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Remediation of Material Weaknesses in Internal Control over Financial Reporting</w:t>
      </w:r>
    </w:p>
    <w:p>
      <w:pPr>
        <w:spacing w:after="0" w:line="104" w:lineRule="exact"/>
        <w:rPr>
          <w:sz w:val="20"/>
          <w:szCs w:val="20"/>
          <w:color w:val="auto"/>
        </w:rPr>
      </w:pPr>
    </w:p>
    <w:p>
      <w:pPr>
        <w:ind w:left="680" w:right="60" w:firstLine="399"/>
        <w:spacing w:after="0" w:line="267" w:lineRule="auto"/>
        <w:rPr>
          <w:sz w:val="20"/>
          <w:szCs w:val="20"/>
          <w:color w:val="auto"/>
        </w:rPr>
      </w:pPr>
      <w:r>
        <w:rPr>
          <w:rFonts w:ascii="Arial" w:cs="Arial" w:eastAsia="Arial" w:hAnsi="Arial"/>
          <w:sz w:val="13"/>
          <w:szCs w:val="13"/>
          <w:color w:val="auto"/>
        </w:rPr>
        <w:t>Our management report on internal control over financial reporting for the fiscal year ended June 27, 2008 described material weaknesses in our internal control over financial reporting. These material weaknesses continued to exist during the first three quarters of fiscal 2009, during which time we were engaged in the implementation and testing of remedial measures designed to address these material weaknesses. In the fourth quarter of fiscal 2009, we completed testing of the design and operating effectiveness of enhanced controls to demonstrate their operating effectiveness over a period of time sufficient to support our conclusion that, as of July 3, 2009, we had remediated the previously reported material weaknesses in our internal control over financial reporting.</w:t>
      </w:r>
    </w:p>
    <w:p>
      <w:pPr>
        <w:spacing w:after="0" w:line="65"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During fiscal 2009, we implemented the following changes in our internal control over financial reporting to address previously reported material weaknesses:</w:t>
      </w:r>
    </w:p>
    <w:p>
      <w:pPr>
        <w:spacing w:after="0" w:line="102" w:lineRule="exact"/>
        <w:rPr>
          <w:sz w:val="20"/>
          <w:szCs w:val="20"/>
          <w:color w:val="auto"/>
        </w:rPr>
      </w:pPr>
    </w:p>
    <w:p>
      <w:pPr>
        <w:ind w:left="5580" w:right="2560" w:hanging="4493"/>
        <w:spacing w:after="0" w:line="779" w:lineRule="auto"/>
        <w:tabs>
          <w:tab w:leader="none" w:pos="1224" w:val="left"/>
        </w:tabs>
        <w:numPr>
          <w:ilvl w:val="0"/>
          <w:numId w:val="34"/>
        </w:numPr>
        <w:rPr>
          <w:rFonts w:ascii="Arial" w:cs="Arial" w:eastAsia="Arial" w:hAnsi="Arial"/>
          <w:sz w:val="13"/>
          <w:szCs w:val="13"/>
          <w:color w:val="auto"/>
        </w:rPr>
      </w:pPr>
      <w:r>
        <w:rPr>
          <w:rFonts w:ascii="Arial" w:cs="Arial" w:eastAsia="Arial" w:hAnsi="Arial"/>
          <w:sz w:val="13"/>
          <w:szCs w:val="13"/>
          <w:color w:val="auto"/>
        </w:rPr>
        <w:t>Management designed and/or implemented several key initiatives to strengthen our internal control over project cost variances. 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-113030</wp:posOffset>
            </wp:positionV>
            <wp:extent cx="7287895" cy="190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20"/>
          </w:cols>
          <w:pgMar w:left="220" w:top="349" w:right="1059" w:bottom="1440" w:gutter="0" w:footer="0" w:header="0"/>
        </w:sectPr>
      </w:pPr>
    </w:p>
    <w:bookmarkStart w:id="114" w:name="page115"/>
    <w:bookmarkEnd w:id="11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1300" w:hanging="208"/>
        <w:spacing w:after="0"/>
        <w:tabs>
          <w:tab w:leader="none" w:pos="1300" w:val="left"/>
        </w:tabs>
        <w:numPr>
          <w:ilvl w:val="0"/>
          <w:numId w:val="35"/>
        </w:numPr>
        <w:rPr>
          <w:rFonts w:ascii="Arial" w:cs="Arial" w:eastAsia="Arial" w:hAnsi="Arial"/>
          <w:sz w:val="13"/>
          <w:szCs w:val="13"/>
          <w:color w:val="auto"/>
        </w:rPr>
      </w:pPr>
      <w:r>
        <w:rPr>
          <w:rFonts w:ascii="Arial" w:cs="Arial" w:eastAsia="Arial" w:hAnsi="Arial"/>
          <w:sz w:val="13"/>
          <w:szCs w:val="13"/>
          <w:color w:val="auto"/>
        </w:rPr>
        <w:t>We now generate and review a project work in process exposure report each quarter to ensure work in process is properly relieved of costs.</w:t>
      </w:r>
    </w:p>
    <w:p>
      <w:pPr>
        <w:spacing w:after="0" w:line="92" w:lineRule="exact"/>
        <w:rPr>
          <w:rFonts w:ascii="Arial" w:cs="Arial" w:eastAsia="Arial" w:hAnsi="Arial"/>
          <w:sz w:val="13"/>
          <w:szCs w:val="13"/>
          <w:color w:val="auto"/>
        </w:rPr>
      </w:pPr>
    </w:p>
    <w:p>
      <w:pPr>
        <w:ind w:left="1300" w:right="360" w:hanging="208"/>
        <w:spacing w:after="0" w:line="294" w:lineRule="auto"/>
        <w:tabs>
          <w:tab w:leader="none" w:pos="1300" w:val="left"/>
        </w:tabs>
        <w:numPr>
          <w:ilvl w:val="0"/>
          <w:numId w:val="35"/>
        </w:numPr>
        <w:rPr>
          <w:rFonts w:ascii="Arial" w:cs="Arial" w:eastAsia="Arial" w:hAnsi="Arial"/>
          <w:sz w:val="13"/>
          <w:szCs w:val="13"/>
          <w:color w:val="auto"/>
        </w:rPr>
      </w:pPr>
      <w:r>
        <w:rPr>
          <w:rFonts w:ascii="Arial" w:cs="Arial" w:eastAsia="Arial" w:hAnsi="Arial"/>
          <w:sz w:val="13"/>
          <w:szCs w:val="13"/>
          <w:color w:val="auto"/>
        </w:rPr>
        <w:t>We have trained appropriate personnel in the methods of review of the project costs and created a high-level awareness of the importance of more thorough project cost reviews.</w:t>
      </w:r>
    </w:p>
    <w:p>
      <w:pPr>
        <w:spacing w:after="0" w:line="36" w:lineRule="exact"/>
        <w:rPr>
          <w:rFonts w:ascii="Arial" w:cs="Arial" w:eastAsia="Arial" w:hAnsi="Arial"/>
          <w:sz w:val="13"/>
          <w:szCs w:val="13"/>
          <w:color w:val="auto"/>
        </w:rPr>
      </w:pPr>
    </w:p>
    <w:p>
      <w:pPr>
        <w:ind w:left="1300" w:hanging="208"/>
        <w:spacing w:after="0"/>
        <w:tabs>
          <w:tab w:leader="none" w:pos="1300" w:val="left"/>
        </w:tabs>
        <w:numPr>
          <w:ilvl w:val="0"/>
          <w:numId w:val="35"/>
        </w:numPr>
        <w:rPr>
          <w:rFonts w:ascii="Arial" w:cs="Arial" w:eastAsia="Arial" w:hAnsi="Arial"/>
          <w:sz w:val="13"/>
          <w:szCs w:val="13"/>
          <w:color w:val="auto"/>
        </w:rPr>
      </w:pPr>
      <w:r>
        <w:rPr>
          <w:rFonts w:ascii="Arial" w:cs="Arial" w:eastAsia="Arial" w:hAnsi="Arial"/>
          <w:sz w:val="13"/>
          <w:szCs w:val="13"/>
          <w:color w:val="auto"/>
        </w:rPr>
        <w:t>We conduct regular reviews to ensure the timely closing of projects.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35"/>
        </w:numPr>
        <w:rPr>
          <w:rFonts w:ascii="Arial" w:cs="Arial" w:eastAsia="Arial" w:hAnsi="Arial"/>
          <w:sz w:val="13"/>
          <w:szCs w:val="13"/>
          <w:color w:val="auto"/>
        </w:rPr>
      </w:pPr>
      <w:r>
        <w:rPr>
          <w:rFonts w:ascii="Arial" w:cs="Arial" w:eastAsia="Arial" w:hAnsi="Arial"/>
          <w:sz w:val="13"/>
          <w:szCs w:val="13"/>
          <w:color w:val="auto"/>
        </w:rPr>
        <w:t>We ensure that project costs are properly reconciled and aged balances are evaluated on a quarterly basis.</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2. Management designed and/or implemented several key initiatives to strengthen our process for reconciling balance sheet accounts.</w:t>
      </w:r>
    </w:p>
    <w:p>
      <w:pPr>
        <w:spacing w:after="0" w:line="102" w:lineRule="exact"/>
        <w:rPr>
          <w:sz w:val="20"/>
          <w:szCs w:val="20"/>
          <w:color w:val="auto"/>
        </w:rPr>
      </w:pPr>
    </w:p>
    <w:p>
      <w:pPr>
        <w:ind w:left="1300" w:hanging="208"/>
        <w:spacing w:after="0"/>
        <w:tabs>
          <w:tab w:leader="none" w:pos="1300" w:val="left"/>
        </w:tabs>
        <w:numPr>
          <w:ilvl w:val="0"/>
          <w:numId w:val="36"/>
        </w:numPr>
        <w:rPr>
          <w:rFonts w:ascii="Arial" w:cs="Arial" w:eastAsia="Arial" w:hAnsi="Arial"/>
          <w:sz w:val="13"/>
          <w:szCs w:val="13"/>
          <w:color w:val="auto"/>
        </w:rPr>
      </w:pPr>
      <w:r>
        <w:rPr>
          <w:rFonts w:ascii="Arial" w:cs="Arial" w:eastAsia="Arial" w:hAnsi="Arial"/>
          <w:sz w:val="13"/>
          <w:szCs w:val="13"/>
          <w:color w:val="auto"/>
        </w:rPr>
        <w:t>We accelerated the on-going implementation of software tools to track the account reconciliation process with all major subsidiaries now tracked.</w:t>
      </w:r>
    </w:p>
    <w:p>
      <w:pPr>
        <w:spacing w:after="0" w:line="92" w:lineRule="exact"/>
        <w:rPr>
          <w:rFonts w:ascii="Arial" w:cs="Arial" w:eastAsia="Arial" w:hAnsi="Arial"/>
          <w:sz w:val="13"/>
          <w:szCs w:val="13"/>
          <w:color w:val="auto"/>
        </w:rPr>
      </w:pPr>
    </w:p>
    <w:p>
      <w:pPr>
        <w:ind w:left="1300" w:right="100" w:hanging="208"/>
        <w:spacing w:after="0" w:line="294" w:lineRule="auto"/>
        <w:tabs>
          <w:tab w:leader="none" w:pos="1300" w:val="left"/>
        </w:tabs>
        <w:numPr>
          <w:ilvl w:val="0"/>
          <w:numId w:val="36"/>
        </w:numPr>
        <w:rPr>
          <w:rFonts w:ascii="Arial" w:cs="Arial" w:eastAsia="Arial" w:hAnsi="Arial"/>
          <w:sz w:val="13"/>
          <w:szCs w:val="13"/>
          <w:color w:val="auto"/>
        </w:rPr>
      </w:pPr>
      <w:r>
        <w:rPr>
          <w:rFonts w:ascii="Arial" w:cs="Arial" w:eastAsia="Arial" w:hAnsi="Arial"/>
          <w:sz w:val="13"/>
          <w:szCs w:val="13"/>
          <w:color w:val="auto"/>
        </w:rPr>
        <w:t>We instituted procedures to ensure the timely completion of account reconciliations supported by a sub-ledger or other independent documentation or calculation with 100% of key account reconciliations now prepared, reviewed, and approved prior to filing financial statements.</w:t>
      </w:r>
    </w:p>
    <w:p>
      <w:pPr>
        <w:spacing w:after="0" w:line="36" w:lineRule="exact"/>
        <w:rPr>
          <w:rFonts w:ascii="Arial" w:cs="Arial" w:eastAsia="Arial" w:hAnsi="Arial"/>
          <w:sz w:val="13"/>
          <w:szCs w:val="13"/>
          <w:color w:val="auto"/>
        </w:rPr>
      </w:pPr>
    </w:p>
    <w:p>
      <w:pPr>
        <w:ind w:left="1300" w:hanging="208"/>
        <w:spacing w:after="0"/>
        <w:tabs>
          <w:tab w:leader="none" w:pos="1300" w:val="left"/>
        </w:tabs>
        <w:numPr>
          <w:ilvl w:val="0"/>
          <w:numId w:val="36"/>
        </w:numPr>
        <w:rPr>
          <w:rFonts w:ascii="Arial" w:cs="Arial" w:eastAsia="Arial" w:hAnsi="Arial"/>
          <w:sz w:val="13"/>
          <w:szCs w:val="13"/>
          <w:color w:val="auto"/>
        </w:rPr>
      </w:pPr>
      <w:r>
        <w:rPr>
          <w:rFonts w:ascii="Arial" w:cs="Arial" w:eastAsia="Arial" w:hAnsi="Arial"/>
          <w:sz w:val="13"/>
          <w:szCs w:val="13"/>
          <w:color w:val="auto"/>
        </w:rPr>
        <w:t>We dedicated additional resources to ensure timely reviews of account reconciliations and resolution of aged balances and reconciling items.</w:t>
      </w:r>
    </w:p>
    <w:p>
      <w:pPr>
        <w:spacing w:after="0" w:line="18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Changes in Internal Control over Financial Reporting</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remediation of the material weaknesses described above during the quarter ended July 3, 2009 has materially affected our internal control over financial reporting.</w:t>
      </w:r>
    </w:p>
    <w:p>
      <w:pPr>
        <w:spacing w:after="0" w:line="181"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9B.</w:t>
      </w:r>
      <w:r>
        <w:rPr>
          <w:sz w:val="20"/>
          <w:szCs w:val="20"/>
          <w:color w:val="auto"/>
        </w:rPr>
        <w:tab/>
      </w:r>
      <w:r>
        <w:rPr>
          <w:rFonts w:ascii="Arial" w:cs="Arial" w:eastAsia="Arial" w:hAnsi="Arial"/>
          <w:sz w:val="12"/>
          <w:szCs w:val="12"/>
          <w:b w:val="1"/>
          <w:bCs w:val="1"/>
          <w:i w:val="1"/>
          <w:iCs w:val="1"/>
          <w:color w:val="auto"/>
        </w:rPr>
        <w:t>Other Information.</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None.</w:t>
      </w:r>
    </w:p>
    <w:p>
      <w:pPr>
        <w:spacing w:after="0" w:line="262"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PART III</w:t>
      </w:r>
    </w:p>
    <w:p>
      <w:pPr>
        <w:spacing w:after="0" w:line="104" w:lineRule="exact"/>
        <w:rPr>
          <w:sz w:val="20"/>
          <w:szCs w:val="20"/>
          <w:color w:val="auto"/>
        </w:rPr>
      </w:pPr>
    </w:p>
    <w:p>
      <w:pPr>
        <w:ind w:left="680" w:right="200" w:firstLine="399"/>
        <w:spacing w:after="0" w:line="294" w:lineRule="auto"/>
        <w:rPr>
          <w:sz w:val="20"/>
          <w:szCs w:val="20"/>
          <w:color w:val="auto"/>
        </w:rPr>
      </w:pPr>
      <w:r>
        <w:rPr>
          <w:rFonts w:ascii="Arial" w:cs="Arial" w:eastAsia="Arial" w:hAnsi="Arial"/>
          <w:sz w:val="13"/>
          <w:szCs w:val="13"/>
          <w:color w:val="auto"/>
        </w:rPr>
        <w:t>Certain information required by Part III is omitted from this Annual Report on Form 10-K because we will file a Definitive Proxy Statement with the Securities and Exchange Commission within 120 days after the end of our fiscal year ended July 3, 2009.</w:t>
      </w:r>
    </w:p>
    <w:p>
      <w:pPr>
        <w:spacing w:after="0" w:line="125"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10.</w:t>
      </w:r>
      <w:r>
        <w:rPr>
          <w:sz w:val="20"/>
          <w:szCs w:val="20"/>
          <w:color w:val="auto"/>
        </w:rPr>
        <w:tab/>
      </w:r>
      <w:r>
        <w:rPr>
          <w:rFonts w:ascii="Arial" w:cs="Arial" w:eastAsia="Arial" w:hAnsi="Arial"/>
          <w:sz w:val="11"/>
          <w:szCs w:val="11"/>
          <w:b w:val="1"/>
          <w:bCs w:val="1"/>
          <w:i w:val="1"/>
          <w:iCs w:val="1"/>
          <w:color w:val="auto"/>
        </w:rPr>
        <w:t>Directors, Executive Officers and Corporate Governance.</w:t>
      </w:r>
    </w:p>
    <w:p>
      <w:pPr>
        <w:spacing w:after="0" w:line="104" w:lineRule="exact"/>
        <w:rPr>
          <w:sz w:val="20"/>
          <w:szCs w:val="20"/>
          <w:color w:val="auto"/>
        </w:rPr>
      </w:pPr>
    </w:p>
    <w:p>
      <w:pPr>
        <w:ind w:left="680" w:firstLine="399"/>
        <w:spacing w:after="0" w:line="270" w:lineRule="auto"/>
        <w:rPr>
          <w:sz w:val="20"/>
          <w:szCs w:val="20"/>
          <w:color w:val="auto"/>
        </w:rPr>
      </w:pPr>
      <w:r>
        <w:rPr>
          <w:rFonts w:ascii="Arial" w:cs="Arial" w:eastAsia="Arial" w:hAnsi="Arial"/>
          <w:sz w:val="13"/>
          <w:szCs w:val="13"/>
          <w:color w:val="auto"/>
        </w:rPr>
        <w:t xml:space="preserve">We adopted a Code of Business Ethics, that is available at </w:t>
      </w:r>
      <w:r>
        <w:rPr>
          <w:rFonts w:ascii="Arial" w:cs="Arial" w:eastAsia="Arial" w:hAnsi="Arial"/>
          <w:sz w:val="13"/>
          <w:szCs w:val="13"/>
          <w:u w:val="single" w:color="auto"/>
          <w:color w:val="auto"/>
        </w:rPr>
        <w:t>www.harrisstratex.com</w:t>
      </w:r>
      <w:r>
        <w:rPr>
          <w:rFonts w:ascii="Arial" w:cs="Arial" w:eastAsia="Arial" w:hAnsi="Arial"/>
          <w:sz w:val="13"/>
          <w:szCs w:val="13"/>
          <w:color w:val="auto"/>
        </w:rPr>
        <w:t>. No amendments to our Code of Business Ethics, or waivers from our Code of Business Ethics with respect to any of our executive officers or directors have been made. If, in the future, we amend our Code of Business Ethics or grant waivers from our code of Business Ethics with respect to any of our executive officers or directors, we will make information regarding such amendments or waivers available on our corporate website (</w:t>
      </w:r>
      <w:r>
        <w:rPr>
          <w:rFonts w:ascii="Arial" w:cs="Arial" w:eastAsia="Arial" w:hAnsi="Arial"/>
          <w:sz w:val="13"/>
          <w:szCs w:val="13"/>
          <w:u w:val="single" w:color="auto"/>
          <w:color w:val="auto"/>
        </w:rPr>
        <w:t>www.harrisstratex.com</w:t>
      </w:r>
      <w:r>
        <w:rPr>
          <w:rFonts w:ascii="Arial" w:cs="Arial" w:eastAsia="Arial" w:hAnsi="Arial"/>
          <w:sz w:val="13"/>
          <w:szCs w:val="13"/>
          <w:color w:val="auto"/>
        </w:rPr>
        <w:t>) for a period of at least 12 months.</w:t>
      </w:r>
    </w:p>
    <w:p>
      <w:pPr>
        <w:spacing w:after="0" w:line="63" w:lineRule="exact"/>
        <w:rPr>
          <w:sz w:val="20"/>
          <w:szCs w:val="20"/>
          <w:color w:val="auto"/>
        </w:rPr>
      </w:pPr>
    </w:p>
    <w:p>
      <w:pPr>
        <w:ind w:left="680" w:right="320" w:firstLine="399"/>
        <w:spacing w:after="0" w:line="338" w:lineRule="auto"/>
        <w:rPr>
          <w:sz w:val="20"/>
          <w:szCs w:val="20"/>
          <w:color w:val="auto"/>
        </w:rPr>
      </w:pPr>
      <w:r>
        <w:rPr>
          <w:rFonts w:ascii="Arial" w:cs="Arial" w:eastAsia="Arial" w:hAnsi="Arial"/>
          <w:sz w:val="12"/>
          <w:szCs w:val="12"/>
          <w:color w:val="auto"/>
        </w:rPr>
        <w:t>Information regarding our directors and compliance with Section 16(a) of the Securities and Exchange Act of 1934, as amended, by our directors and executive officers will appear in our definitive Proxy Statement for our 2009 Annual Meeting of Shareholders to be held on or about November 19, 2009 and is incorporated herein by reference.</w:t>
      </w:r>
    </w:p>
    <w:p>
      <w:pPr>
        <w:spacing w:after="0" w:line="103"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11.</w:t>
      </w:r>
      <w:r>
        <w:rPr>
          <w:sz w:val="20"/>
          <w:szCs w:val="20"/>
          <w:color w:val="auto"/>
        </w:rPr>
        <w:tab/>
      </w:r>
      <w:r>
        <w:rPr>
          <w:rFonts w:ascii="Arial" w:cs="Arial" w:eastAsia="Arial" w:hAnsi="Arial"/>
          <w:sz w:val="11"/>
          <w:szCs w:val="11"/>
          <w:b w:val="1"/>
          <w:bCs w:val="1"/>
          <w:i w:val="1"/>
          <w:iCs w:val="1"/>
          <w:color w:val="auto"/>
        </w:rPr>
        <w:t>Executive Compensation.</w:t>
      </w:r>
    </w:p>
    <w:p>
      <w:pPr>
        <w:spacing w:after="0" w:line="104" w:lineRule="exact"/>
        <w:rPr>
          <w:sz w:val="20"/>
          <w:szCs w:val="20"/>
          <w:color w:val="auto"/>
        </w:rPr>
      </w:pPr>
    </w:p>
    <w:p>
      <w:pPr>
        <w:ind w:left="680" w:right="680" w:firstLine="399"/>
        <w:spacing w:after="0" w:line="294" w:lineRule="auto"/>
        <w:rPr>
          <w:sz w:val="20"/>
          <w:szCs w:val="20"/>
          <w:color w:val="auto"/>
        </w:rPr>
      </w:pPr>
      <w:r>
        <w:rPr>
          <w:rFonts w:ascii="Arial" w:cs="Arial" w:eastAsia="Arial" w:hAnsi="Arial"/>
          <w:sz w:val="13"/>
          <w:szCs w:val="13"/>
          <w:color w:val="auto"/>
        </w:rPr>
        <w:t>Information regarding our executive compensation will appear in our definitive Proxy Statement for our 2009 Annual Meeting of Shareholders to be held on or about November 19, 2009 and is incorporated herein by reference.</w:t>
      </w:r>
    </w:p>
    <w:p>
      <w:pPr>
        <w:spacing w:after="0" w:line="258"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115" w:name="page116"/>
    <w:bookmarkEnd w:id="11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12.</w:t>
      </w:r>
      <w:r>
        <w:rPr>
          <w:sz w:val="20"/>
          <w:szCs w:val="20"/>
          <w:color w:val="auto"/>
        </w:rPr>
        <w:tab/>
      </w:r>
      <w:r>
        <w:rPr>
          <w:rFonts w:ascii="Arial" w:cs="Arial" w:eastAsia="Arial" w:hAnsi="Arial"/>
          <w:sz w:val="11"/>
          <w:szCs w:val="11"/>
          <w:b w:val="1"/>
          <w:bCs w:val="1"/>
          <w:i w:val="1"/>
          <w:iCs w:val="1"/>
          <w:color w:val="auto"/>
        </w:rPr>
        <w:t>Security Ownership of Certain Beneficial Owners and Management and Related Stockholder Matters.</w:t>
      </w:r>
    </w:p>
    <w:p>
      <w:pPr>
        <w:spacing w:after="0" w:line="10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Equity Compensation Plan Summary</w:t>
      </w:r>
    </w:p>
    <w:p>
      <w:pPr>
        <w:spacing w:after="0" w:line="104" w:lineRule="exact"/>
        <w:rPr>
          <w:sz w:val="20"/>
          <w:szCs w:val="20"/>
          <w:color w:val="auto"/>
        </w:rPr>
      </w:pPr>
    </w:p>
    <w:p>
      <w:pPr>
        <w:ind w:left="680" w:firstLine="399"/>
        <w:spacing w:after="0" w:line="294" w:lineRule="auto"/>
        <w:rPr>
          <w:sz w:val="20"/>
          <w:szCs w:val="20"/>
          <w:color w:val="auto"/>
        </w:rPr>
      </w:pPr>
      <w:r>
        <w:rPr>
          <w:rFonts w:ascii="Arial" w:cs="Arial" w:eastAsia="Arial" w:hAnsi="Arial"/>
          <w:sz w:val="13"/>
          <w:szCs w:val="13"/>
          <w:color w:val="auto"/>
        </w:rPr>
        <w:t>The following table provides information as of July 3, 2009, relating to our equity compensation plan pursuant to which grants of options, restricted stock and performance shares may be granted from time to time and the option plans and agreements assumed by us in connection with the Stratex acquisition:</w:t>
      </w:r>
    </w:p>
    <w:p>
      <w:pPr>
        <w:spacing w:after="0" w:line="35"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130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2200" w:type="dxa"/>
            <w:vAlign w:val="bottom"/>
            <w:gridSpan w:val="2"/>
            <w:vMerge w:val="restart"/>
          </w:tcPr>
          <w:p>
            <w:pPr>
              <w:jc w:val="center"/>
              <w:ind w:right="380"/>
              <w:spacing w:after="0"/>
              <w:rPr>
                <w:sz w:val="20"/>
                <w:szCs w:val="20"/>
                <w:color w:val="auto"/>
              </w:rPr>
            </w:pPr>
            <w:r>
              <w:rPr>
                <w:rFonts w:ascii="Arial" w:cs="Arial" w:eastAsia="Arial" w:hAnsi="Arial"/>
                <w:sz w:val="11"/>
                <w:szCs w:val="11"/>
                <w:b w:val="1"/>
                <w:bCs w:val="1"/>
                <w:color w:val="auto"/>
                <w:w w:val="88"/>
              </w:rPr>
              <w:t>Number of Securities to</w:t>
            </w:r>
          </w:p>
        </w:tc>
        <w:tc>
          <w:tcPr>
            <w:tcW w:w="1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8"/>
              </w:rPr>
              <w:t>Number of Securities</w:t>
            </w:r>
          </w:p>
        </w:tc>
        <w:tc>
          <w:tcPr>
            <w:tcW w:w="0" w:type="dxa"/>
            <w:vAlign w:val="bottom"/>
          </w:tcPr>
          <w:p>
            <w:pPr>
              <w:spacing w:after="0"/>
              <w:rPr>
                <w:sz w:val="1"/>
                <w:szCs w:val="1"/>
                <w:color w:val="auto"/>
              </w:rPr>
            </w:pPr>
          </w:p>
        </w:tc>
      </w:tr>
      <w:tr>
        <w:trPr>
          <w:trHeight w:val="111"/>
        </w:trPr>
        <w:tc>
          <w:tcPr>
            <w:tcW w:w="1300" w:type="dxa"/>
            <w:vAlign w:val="bottom"/>
          </w:tcPr>
          <w:p>
            <w:pPr>
              <w:spacing w:after="0"/>
              <w:rPr>
                <w:sz w:val="9"/>
                <w:szCs w:val="9"/>
                <w:color w:val="auto"/>
              </w:rPr>
            </w:pPr>
          </w:p>
        </w:tc>
        <w:tc>
          <w:tcPr>
            <w:tcW w:w="2200" w:type="dxa"/>
            <w:vAlign w:val="bottom"/>
          </w:tcPr>
          <w:p>
            <w:pPr>
              <w:spacing w:after="0"/>
              <w:rPr>
                <w:sz w:val="9"/>
                <w:szCs w:val="9"/>
                <w:color w:val="auto"/>
              </w:rPr>
            </w:pPr>
          </w:p>
        </w:tc>
        <w:tc>
          <w:tcPr>
            <w:tcW w:w="220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60" w:type="dxa"/>
            <w:vAlign w:val="bottom"/>
            <w:gridSpan w:val="2"/>
          </w:tcPr>
          <w:p>
            <w:pPr>
              <w:jc w:val="center"/>
              <w:ind w:right="100"/>
              <w:spacing w:after="0" w:line="111" w:lineRule="exact"/>
              <w:rPr>
                <w:sz w:val="20"/>
                <w:szCs w:val="20"/>
                <w:color w:val="auto"/>
              </w:rPr>
            </w:pPr>
            <w:r>
              <w:rPr>
                <w:rFonts w:ascii="Arial" w:cs="Arial" w:eastAsia="Arial" w:hAnsi="Arial"/>
                <w:sz w:val="11"/>
                <w:szCs w:val="11"/>
                <w:b w:val="1"/>
                <w:bCs w:val="1"/>
                <w:color w:val="auto"/>
                <w:w w:val="89"/>
              </w:rPr>
              <w:t>Remaining Available for</w:t>
            </w:r>
          </w:p>
        </w:tc>
        <w:tc>
          <w:tcPr>
            <w:tcW w:w="0" w:type="dxa"/>
            <w:vAlign w:val="bottom"/>
          </w:tcPr>
          <w:p>
            <w:pPr>
              <w:spacing w:after="0"/>
              <w:rPr>
                <w:sz w:val="1"/>
                <w:szCs w:val="1"/>
                <w:color w:val="auto"/>
              </w:rPr>
            </w:pPr>
          </w:p>
        </w:tc>
      </w:tr>
      <w:tr>
        <w:trPr>
          <w:trHeight w:val="111"/>
        </w:trPr>
        <w:tc>
          <w:tcPr>
            <w:tcW w:w="1300" w:type="dxa"/>
            <w:vAlign w:val="bottom"/>
          </w:tcPr>
          <w:p>
            <w:pPr>
              <w:spacing w:after="0"/>
              <w:rPr>
                <w:sz w:val="9"/>
                <w:szCs w:val="9"/>
                <w:color w:val="auto"/>
              </w:rPr>
            </w:pPr>
          </w:p>
        </w:tc>
        <w:tc>
          <w:tcPr>
            <w:tcW w:w="2200" w:type="dxa"/>
            <w:vAlign w:val="bottom"/>
          </w:tcPr>
          <w:p>
            <w:pPr>
              <w:spacing w:after="0"/>
              <w:rPr>
                <w:sz w:val="9"/>
                <w:szCs w:val="9"/>
                <w:color w:val="auto"/>
              </w:rPr>
            </w:pPr>
          </w:p>
        </w:tc>
        <w:tc>
          <w:tcPr>
            <w:tcW w:w="2200" w:type="dxa"/>
            <w:vAlign w:val="bottom"/>
            <w:gridSpan w:val="2"/>
          </w:tcPr>
          <w:p>
            <w:pPr>
              <w:jc w:val="center"/>
              <w:ind w:right="400"/>
              <w:spacing w:after="0" w:line="111" w:lineRule="exact"/>
              <w:rPr>
                <w:sz w:val="20"/>
                <w:szCs w:val="20"/>
                <w:color w:val="auto"/>
              </w:rPr>
            </w:pPr>
            <w:r>
              <w:rPr>
                <w:rFonts w:ascii="Arial" w:cs="Arial" w:eastAsia="Arial" w:hAnsi="Arial"/>
                <w:sz w:val="11"/>
                <w:szCs w:val="11"/>
                <w:b w:val="1"/>
                <w:bCs w:val="1"/>
                <w:color w:val="auto"/>
                <w:w w:val="85"/>
              </w:rPr>
              <w:t>be Issued Upon Exercise</w:t>
            </w:r>
          </w:p>
        </w:tc>
        <w:tc>
          <w:tcPr>
            <w:tcW w:w="180" w:type="dxa"/>
            <w:vAlign w:val="bottom"/>
          </w:tcPr>
          <w:p>
            <w:pPr>
              <w:spacing w:after="0"/>
              <w:rPr>
                <w:sz w:val="9"/>
                <w:szCs w:val="9"/>
                <w:color w:val="auto"/>
              </w:rPr>
            </w:pPr>
          </w:p>
        </w:tc>
        <w:tc>
          <w:tcPr>
            <w:tcW w:w="1840" w:type="dxa"/>
            <w:vAlign w:val="bottom"/>
            <w:gridSpan w:val="2"/>
            <w:vMerge w:val="restart"/>
          </w:tcPr>
          <w:p>
            <w:pPr>
              <w:jc w:val="center"/>
              <w:ind w:right="560"/>
              <w:spacing w:after="0"/>
              <w:rPr>
                <w:sz w:val="20"/>
                <w:szCs w:val="20"/>
                <w:color w:val="auto"/>
              </w:rPr>
            </w:pPr>
            <w:r>
              <w:rPr>
                <w:rFonts w:ascii="Arial" w:cs="Arial" w:eastAsia="Arial" w:hAnsi="Arial"/>
                <w:sz w:val="11"/>
                <w:szCs w:val="11"/>
                <w:b w:val="1"/>
                <w:bCs w:val="1"/>
                <w:color w:val="auto"/>
                <w:w w:val="86"/>
              </w:rPr>
              <w:t>Weighted-Average</w:t>
            </w:r>
          </w:p>
        </w:tc>
        <w:tc>
          <w:tcPr>
            <w:tcW w:w="2260" w:type="dxa"/>
            <w:vAlign w:val="bottom"/>
            <w:gridSpan w:val="2"/>
          </w:tcPr>
          <w:p>
            <w:pPr>
              <w:jc w:val="center"/>
              <w:ind w:right="100"/>
              <w:spacing w:after="0" w:line="111" w:lineRule="exact"/>
              <w:rPr>
                <w:sz w:val="20"/>
                <w:szCs w:val="20"/>
                <w:color w:val="auto"/>
              </w:rPr>
            </w:pPr>
            <w:r>
              <w:rPr>
                <w:rFonts w:ascii="Arial" w:cs="Arial" w:eastAsia="Arial" w:hAnsi="Arial"/>
                <w:sz w:val="11"/>
                <w:szCs w:val="11"/>
                <w:b w:val="1"/>
                <w:bCs w:val="1"/>
                <w:color w:val="auto"/>
                <w:w w:val="89"/>
              </w:rPr>
              <w:t>Further Issuance Under Equity</w:t>
            </w:r>
          </w:p>
        </w:tc>
        <w:tc>
          <w:tcPr>
            <w:tcW w:w="0" w:type="dxa"/>
            <w:vAlign w:val="bottom"/>
          </w:tcPr>
          <w:p>
            <w:pPr>
              <w:spacing w:after="0"/>
              <w:rPr>
                <w:sz w:val="1"/>
                <w:szCs w:val="1"/>
                <w:color w:val="auto"/>
              </w:rPr>
            </w:pPr>
          </w:p>
        </w:tc>
      </w:tr>
      <w:tr>
        <w:trPr>
          <w:trHeight w:val="111"/>
        </w:trPr>
        <w:tc>
          <w:tcPr>
            <w:tcW w:w="1300" w:type="dxa"/>
            <w:vAlign w:val="bottom"/>
          </w:tcPr>
          <w:p>
            <w:pPr>
              <w:spacing w:after="0"/>
              <w:rPr>
                <w:sz w:val="9"/>
                <w:szCs w:val="9"/>
                <w:color w:val="auto"/>
              </w:rPr>
            </w:pPr>
          </w:p>
        </w:tc>
        <w:tc>
          <w:tcPr>
            <w:tcW w:w="2200" w:type="dxa"/>
            <w:vAlign w:val="bottom"/>
          </w:tcPr>
          <w:p>
            <w:pPr>
              <w:spacing w:after="0"/>
              <w:rPr>
                <w:sz w:val="9"/>
                <w:szCs w:val="9"/>
                <w:color w:val="auto"/>
              </w:rPr>
            </w:pPr>
          </w:p>
        </w:tc>
        <w:tc>
          <w:tcPr>
            <w:tcW w:w="2200" w:type="dxa"/>
            <w:vAlign w:val="bottom"/>
            <w:gridSpan w:val="2"/>
          </w:tcPr>
          <w:p>
            <w:pPr>
              <w:jc w:val="center"/>
              <w:ind w:right="400"/>
              <w:spacing w:after="0" w:line="111" w:lineRule="exact"/>
              <w:rPr>
                <w:sz w:val="20"/>
                <w:szCs w:val="20"/>
                <w:color w:val="auto"/>
              </w:rPr>
            </w:pPr>
            <w:r>
              <w:rPr>
                <w:rFonts w:ascii="Arial" w:cs="Arial" w:eastAsia="Arial" w:hAnsi="Arial"/>
                <w:sz w:val="11"/>
                <w:szCs w:val="11"/>
                <w:b w:val="1"/>
                <w:bCs w:val="1"/>
                <w:color w:val="auto"/>
                <w:w w:val="86"/>
              </w:rPr>
              <w:t>of Options and Vesting of</w:t>
            </w:r>
          </w:p>
        </w:tc>
        <w:tc>
          <w:tcPr>
            <w:tcW w:w="180" w:type="dxa"/>
            <w:vAlign w:val="bottom"/>
          </w:tcPr>
          <w:p>
            <w:pPr>
              <w:spacing w:after="0"/>
              <w:rPr>
                <w:sz w:val="9"/>
                <w:szCs w:val="9"/>
                <w:color w:val="auto"/>
              </w:rPr>
            </w:pPr>
          </w:p>
        </w:tc>
        <w:tc>
          <w:tcPr>
            <w:tcW w:w="1840" w:type="dxa"/>
            <w:vAlign w:val="bottom"/>
            <w:gridSpan w:val="2"/>
            <w:vMerge w:val="continue"/>
          </w:tcPr>
          <w:p>
            <w:pPr>
              <w:spacing w:after="0"/>
              <w:rPr>
                <w:sz w:val="9"/>
                <w:szCs w:val="9"/>
                <w:color w:val="auto"/>
              </w:rPr>
            </w:pPr>
          </w:p>
        </w:tc>
        <w:tc>
          <w:tcPr>
            <w:tcW w:w="2260" w:type="dxa"/>
            <w:vAlign w:val="bottom"/>
            <w:gridSpan w:val="2"/>
          </w:tcPr>
          <w:p>
            <w:pPr>
              <w:jc w:val="center"/>
              <w:ind w:right="80"/>
              <w:spacing w:after="0" w:line="111" w:lineRule="exact"/>
              <w:rPr>
                <w:sz w:val="20"/>
                <w:szCs w:val="20"/>
                <w:color w:val="auto"/>
              </w:rPr>
            </w:pPr>
            <w:r>
              <w:rPr>
                <w:rFonts w:ascii="Arial" w:cs="Arial" w:eastAsia="Arial" w:hAnsi="Arial"/>
                <w:sz w:val="11"/>
                <w:szCs w:val="11"/>
                <w:b w:val="1"/>
                <w:bCs w:val="1"/>
                <w:color w:val="auto"/>
                <w:w w:val="86"/>
              </w:rPr>
              <w:t>Compensation Plans</w:t>
            </w:r>
          </w:p>
        </w:tc>
        <w:tc>
          <w:tcPr>
            <w:tcW w:w="0" w:type="dxa"/>
            <w:vAlign w:val="bottom"/>
          </w:tcPr>
          <w:p>
            <w:pPr>
              <w:spacing w:after="0"/>
              <w:rPr>
                <w:sz w:val="1"/>
                <w:szCs w:val="1"/>
                <w:color w:val="auto"/>
              </w:rPr>
            </w:pPr>
          </w:p>
        </w:tc>
      </w:tr>
      <w:tr>
        <w:trPr>
          <w:trHeight w:val="121"/>
        </w:trPr>
        <w:tc>
          <w:tcPr>
            <w:tcW w:w="3500" w:type="dxa"/>
            <w:vAlign w:val="bottom"/>
            <w:gridSpan w:val="2"/>
            <w:vMerge w:val="restart"/>
          </w:tcPr>
          <w:p>
            <w:pPr>
              <w:spacing w:after="0"/>
              <w:rPr>
                <w:sz w:val="20"/>
                <w:szCs w:val="20"/>
                <w:color w:val="auto"/>
              </w:rPr>
            </w:pPr>
            <w:r>
              <w:rPr>
                <w:rFonts w:ascii="Arial" w:cs="Arial" w:eastAsia="Arial" w:hAnsi="Arial"/>
                <w:sz w:val="11"/>
                <w:szCs w:val="11"/>
                <w:b w:val="1"/>
                <w:bCs w:val="1"/>
                <w:u w:val="single" w:color="auto"/>
                <w:color w:val="auto"/>
              </w:rPr>
              <w:t>P</w:t>
            </w:r>
            <w:r>
              <w:rPr>
                <w:rFonts w:ascii="Arial" w:cs="Arial" w:eastAsia="Arial" w:hAnsi="Arial"/>
                <w:sz w:val="11"/>
                <w:szCs w:val="11"/>
                <w:b w:val="1"/>
                <w:bCs w:val="1"/>
                <w:color w:val="auto"/>
              </w:rPr>
              <w:t>lan Category</w:t>
            </w:r>
          </w:p>
        </w:tc>
        <w:tc>
          <w:tcPr>
            <w:tcW w:w="2200" w:type="dxa"/>
            <w:vAlign w:val="bottom"/>
            <w:gridSpan w:val="2"/>
          </w:tcPr>
          <w:p>
            <w:pPr>
              <w:jc w:val="center"/>
              <w:ind w:right="400"/>
              <w:spacing w:after="0" w:line="121" w:lineRule="exact"/>
              <w:rPr>
                <w:sz w:val="20"/>
                <w:szCs w:val="20"/>
                <w:color w:val="auto"/>
              </w:rPr>
            </w:pPr>
            <w:r>
              <w:rPr>
                <w:rFonts w:ascii="Arial" w:cs="Arial" w:eastAsia="Arial" w:hAnsi="Arial"/>
                <w:sz w:val="11"/>
                <w:szCs w:val="11"/>
                <w:b w:val="1"/>
                <w:bCs w:val="1"/>
                <w:color w:val="auto"/>
                <w:w w:val="87"/>
              </w:rPr>
              <w:t>Restricted Stock and</w:t>
            </w:r>
          </w:p>
        </w:tc>
        <w:tc>
          <w:tcPr>
            <w:tcW w:w="180" w:type="dxa"/>
            <w:vAlign w:val="bottom"/>
          </w:tcPr>
          <w:p>
            <w:pPr>
              <w:spacing w:after="0"/>
              <w:rPr>
                <w:sz w:val="10"/>
                <w:szCs w:val="10"/>
                <w:color w:val="auto"/>
              </w:rPr>
            </w:pPr>
          </w:p>
        </w:tc>
        <w:tc>
          <w:tcPr>
            <w:tcW w:w="1840" w:type="dxa"/>
            <w:vAlign w:val="bottom"/>
            <w:gridSpan w:val="2"/>
          </w:tcPr>
          <w:p>
            <w:pPr>
              <w:jc w:val="center"/>
              <w:ind w:right="580"/>
              <w:spacing w:after="0" w:line="121" w:lineRule="exact"/>
              <w:rPr>
                <w:sz w:val="20"/>
                <w:szCs w:val="20"/>
                <w:color w:val="auto"/>
              </w:rPr>
            </w:pPr>
            <w:r>
              <w:rPr>
                <w:rFonts w:ascii="Arial" w:cs="Arial" w:eastAsia="Arial" w:hAnsi="Arial"/>
                <w:sz w:val="11"/>
                <w:szCs w:val="11"/>
                <w:b w:val="1"/>
                <w:bCs w:val="1"/>
                <w:color w:val="auto"/>
                <w:w w:val="87"/>
              </w:rPr>
              <w:t>Exercise Price of</w:t>
            </w:r>
          </w:p>
        </w:tc>
        <w:tc>
          <w:tcPr>
            <w:tcW w:w="2260" w:type="dxa"/>
            <w:vAlign w:val="bottom"/>
            <w:gridSpan w:val="2"/>
          </w:tcPr>
          <w:p>
            <w:pPr>
              <w:jc w:val="center"/>
              <w:ind w:right="100"/>
              <w:spacing w:after="0" w:line="121" w:lineRule="exact"/>
              <w:rPr>
                <w:sz w:val="20"/>
                <w:szCs w:val="20"/>
                <w:color w:val="auto"/>
              </w:rPr>
            </w:pPr>
            <w:r>
              <w:rPr>
                <w:rFonts w:ascii="Arial" w:cs="Arial" w:eastAsia="Arial" w:hAnsi="Arial"/>
                <w:sz w:val="11"/>
                <w:szCs w:val="11"/>
                <w:b w:val="1"/>
                <w:bCs w:val="1"/>
                <w:color w:val="auto"/>
                <w:w w:val="87"/>
              </w:rPr>
              <w:t>(Excluding Securities Reflected</w:t>
            </w:r>
          </w:p>
        </w:tc>
        <w:tc>
          <w:tcPr>
            <w:tcW w:w="0" w:type="dxa"/>
            <w:vAlign w:val="bottom"/>
          </w:tcPr>
          <w:p>
            <w:pPr>
              <w:spacing w:after="0"/>
              <w:rPr>
                <w:sz w:val="1"/>
                <w:szCs w:val="1"/>
                <w:color w:val="auto"/>
              </w:rPr>
            </w:pPr>
          </w:p>
        </w:tc>
      </w:tr>
      <w:tr>
        <w:trPr>
          <w:trHeight w:val="128"/>
        </w:trPr>
        <w:tc>
          <w:tcPr>
            <w:tcW w:w="3500" w:type="dxa"/>
            <w:vAlign w:val="bottom"/>
            <w:gridSpan w:val="2"/>
            <w:vMerge w:val="continue"/>
          </w:tcPr>
          <w:p>
            <w:pPr>
              <w:spacing w:after="0"/>
              <w:rPr>
                <w:sz w:val="11"/>
                <w:szCs w:val="11"/>
                <w:color w:val="auto"/>
              </w:rPr>
            </w:pPr>
          </w:p>
        </w:tc>
        <w:tc>
          <w:tcPr>
            <w:tcW w:w="2200" w:type="dxa"/>
            <w:vAlign w:val="bottom"/>
            <w:gridSpan w:val="2"/>
          </w:tcPr>
          <w:p>
            <w:pPr>
              <w:jc w:val="center"/>
              <w:ind w:right="380"/>
              <w:spacing w:after="0"/>
              <w:rPr>
                <w:sz w:val="20"/>
                <w:szCs w:val="20"/>
                <w:color w:val="auto"/>
              </w:rPr>
            </w:pPr>
            <w:r>
              <w:rPr>
                <w:rFonts w:ascii="Arial" w:cs="Arial" w:eastAsia="Arial" w:hAnsi="Arial"/>
                <w:sz w:val="11"/>
                <w:szCs w:val="11"/>
                <w:b w:val="1"/>
                <w:bCs w:val="1"/>
                <w:color w:val="auto"/>
                <w:w w:val="87"/>
              </w:rPr>
              <w:t>Performance Shares</w:t>
            </w:r>
          </w:p>
        </w:tc>
        <w:tc>
          <w:tcPr>
            <w:tcW w:w="180" w:type="dxa"/>
            <w:vAlign w:val="bottom"/>
          </w:tcPr>
          <w:p>
            <w:pPr>
              <w:spacing w:after="0"/>
              <w:rPr>
                <w:sz w:val="11"/>
                <w:szCs w:val="11"/>
                <w:color w:val="auto"/>
              </w:rPr>
            </w:pPr>
          </w:p>
        </w:tc>
        <w:tc>
          <w:tcPr>
            <w:tcW w:w="1840" w:type="dxa"/>
            <w:vAlign w:val="bottom"/>
            <w:gridSpan w:val="2"/>
          </w:tcPr>
          <w:p>
            <w:pPr>
              <w:jc w:val="center"/>
              <w:ind w:right="580"/>
              <w:spacing w:after="0"/>
              <w:rPr>
                <w:sz w:val="20"/>
                <w:szCs w:val="20"/>
                <w:color w:val="auto"/>
              </w:rPr>
            </w:pPr>
            <w:r>
              <w:rPr>
                <w:rFonts w:ascii="Arial" w:cs="Arial" w:eastAsia="Arial" w:hAnsi="Arial"/>
                <w:sz w:val="11"/>
                <w:szCs w:val="11"/>
                <w:b w:val="1"/>
                <w:bCs w:val="1"/>
                <w:color w:val="auto"/>
                <w:w w:val="89"/>
              </w:rPr>
              <w:t>Outstanding Options(1)</w:t>
            </w:r>
          </w:p>
        </w:tc>
        <w:tc>
          <w:tcPr>
            <w:tcW w:w="22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0"/>
              </w:rPr>
              <w:t>in the First Column)</w:t>
            </w:r>
          </w:p>
        </w:tc>
        <w:tc>
          <w:tcPr>
            <w:tcW w:w="0" w:type="dxa"/>
            <w:vAlign w:val="bottom"/>
          </w:tcPr>
          <w:p>
            <w:pPr>
              <w:spacing w:after="0"/>
              <w:rPr>
                <w:sz w:val="1"/>
                <w:szCs w:val="1"/>
                <w:color w:val="auto"/>
              </w:rPr>
            </w:pPr>
          </w:p>
        </w:tc>
      </w:tr>
      <w:tr>
        <w:trPr>
          <w:trHeight w:val="30"/>
        </w:trPr>
        <w:tc>
          <w:tcPr>
            <w:tcW w:w="13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8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4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1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35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Equity Compensation plan approved by security holders(2)</w:t>
            </w:r>
          </w:p>
        </w:tc>
        <w:tc>
          <w:tcPr>
            <w:tcW w:w="22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1,857,381</w:t>
            </w:r>
          </w:p>
        </w:tc>
        <w:tc>
          <w:tcPr>
            <w:tcW w:w="1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184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7.94</w:t>
            </w:r>
          </w:p>
        </w:tc>
        <w:tc>
          <w:tcPr>
            <w:tcW w:w="22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3,058,363</w:t>
            </w:r>
          </w:p>
        </w:tc>
        <w:tc>
          <w:tcPr>
            <w:tcW w:w="0" w:type="dxa"/>
            <w:vAlign w:val="bottom"/>
          </w:tcPr>
          <w:p>
            <w:pPr>
              <w:spacing w:after="0"/>
              <w:rPr>
                <w:sz w:val="1"/>
                <w:szCs w:val="1"/>
                <w:color w:val="auto"/>
              </w:rPr>
            </w:pPr>
          </w:p>
        </w:tc>
      </w:tr>
      <w:tr>
        <w:trPr>
          <w:trHeight w:val="151"/>
        </w:trPr>
        <w:tc>
          <w:tcPr>
            <w:tcW w:w="3500" w:type="dxa"/>
            <w:vAlign w:val="bottom"/>
            <w:gridSpan w:val="2"/>
          </w:tcPr>
          <w:p>
            <w:pPr>
              <w:spacing w:after="0"/>
              <w:rPr>
                <w:sz w:val="20"/>
                <w:szCs w:val="20"/>
                <w:color w:val="auto"/>
              </w:rPr>
            </w:pPr>
            <w:r>
              <w:rPr>
                <w:rFonts w:ascii="Arial" w:cs="Arial" w:eastAsia="Arial" w:hAnsi="Arial"/>
                <w:sz w:val="12"/>
                <w:szCs w:val="12"/>
                <w:color w:val="auto"/>
              </w:rPr>
              <w:t>Equity Compensation plans not approved by security holders(3)</w:t>
            </w:r>
          </w:p>
        </w:tc>
        <w:tc>
          <w:tcPr>
            <w:tcW w:w="2200" w:type="dxa"/>
            <w:vAlign w:val="bottom"/>
            <w:gridSpan w:val="2"/>
          </w:tcPr>
          <w:p>
            <w:pPr>
              <w:jc w:val="right"/>
              <w:ind w:right="400"/>
              <w:spacing w:after="0"/>
              <w:rPr>
                <w:sz w:val="20"/>
                <w:szCs w:val="20"/>
                <w:color w:val="auto"/>
              </w:rPr>
            </w:pPr>
            <w:r>
              <w:rPr>
                <w:rFonts w:ascii="Arial" w:cs="Arial" w:eastAsia="Arial" w:hAnsi="Arial"/>
                <w:sz w:val="12"/>
                <w:szCs w:val="12"/>
                <w:color w:val="auto"/>
              </w:rPr>
              <w:t>1,693,820</w:t>
            </w:r>
          </w:p>
        </w:tc>
        <w:tc>
          <w:tcPr>
            <w:tcW w:w="180" w:type="dxa"/>
            <w:vAlign w:val="bottom"/>
          </w:tcPr>
          <w:p>
            <w:pPr>
              <w:jc w:val="right"/>
              <w:ind w:right="40"/>
              <w:spacing w:after="0"/>
              <w:rPr>
                <w:sz w:val="20"/>
                <w:szCs w:val="20"/>
                <w:color w:val="auto"/>
              </w:rPr>
            </w:pPr>
            <w:r>
              <w:rPr>
                <w:rFonts w:ascii="Arial" w:cs="Arial" w:eastAsia="Arial" w:hAnsi="Arial"/>
                <w:sz w:val="12"/>
                <w:szCs w:val="12"/>
                <w:color w:val="auto"/>
                <w:w w:val="89"/>
              </w:rPr>
              <w:t>$</w:t>
            </w:r>
          </w:p>
        </w:tc>
        <w:tc>
          <w:tcPr>
            <w:tcW w:w="1840" w:type="dxa"/>
            <w:vAlign w:val="bottom"/>
            <w:gridSpan w:val="2"/>
          </w:tcPr>
          <w:p>
            <w:pPr>
              <w:jc w:val="right"/>
              <w:ind w:right="400"/>
              <w:spacing w:after="0"/>
              <w:rPr>
                <w:sz w:val="20"/>
                <w:szCs w:val="20"/>
                <w:color w:val="auto"/>
              </w:rPr>
            </w:pPr>
            <w:r>
              <w:rPr>
                <w:rFonts w:ascii="Arial" w:cs="Arial" w:eastAsia="Arial" w:hAnsi="Arial"/>
                <w:sz w:val="12"/>
                <w:szCs w:val="12"/>
                <w:color w:val="auto"/>
              </w:rPr>
              <w:t>25.52</w:t>
            </w:r>
          </w:p>
        </w:tc>
        <w:tc>
          <w:tcPr>
            <w:tcW w:w="226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5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Total</w:t>
            </w:r>
          </w:p>
        </w:tc>
        <w:tc>
          <w:tcPr>
            <w:tcW w:w="22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3,551,201</w:t>
            </w:r>
          </w:p>
        </w:tc>
        <w:tc>
          <w:tcPr>
            <w:tcW w:w="1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184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18.59</w:t>
            </w:r>
          </w:p>
        </w:tc>
        <w:tc>
          <w:tcPr>
            <w:tcW w:w="22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3,058,363</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
        </w:trPr>
        <w:tc>
          <w:tcPr>
            <w:tcW w:w="1300" w:type="dxa"/>
            <w:vAlign w:val="bottom"/>
            <w:tcBorders>
              <w:bottom w:val="single" w:sz="8" w:color="auto"/>
            </w:tcBorders>
          </w:tcPr>
          <w:p>
            <w:pPr>
              <w:spacing w:after="0"/>
              <w:rPr>
                <w:sz w:val="7"/>
                <w:szCs w:val="7"/>
                <w:color w:val="auto"/>
              </w:rPr>
            </w:pPr>
          </w:p>
        </w:tc>
        <w:tc>
          <w:tcPr>
            <w:tcW w:w="2200" w:type="dxa"/>
            <w:vAlign w:val="bottom"/>
          </w:tcPr>
          <w:p>
            <w:pPr>
              <w:spacing w:after="0"/>
              <w:rPr>
                <w:sz w:val="7"/>
                <w:szCs w:val="7"/>
                <w:color w:val="auto"/>
              </w:rPr>
            </w:pPr>
          </w:p>
        </w:tc>
        <w:tc>
          <w:tcPr>
            <w:tcW w:w="18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18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00" w:hanging="266"/>
        <w:spacing w:after="0"/>
        <w:tabs>
          <w:tab w:leader="none" w:pos="1000" w:val="left"/>
        </w:tabs>
        <w:numPr>
          <w:ilvl w:val="0"/>
          <w:numId w:val="37"/>
        </w:numPr>
        <w:rPr>
          <w:rFonts w:ascii="Arial" w:cs="Arial" w:eastAsia="Arial" w:hAnsi="Arial"/>
          <w:sz w:val="13"/>
          <w:szCs w:val="13"/>
          <w:color w:val="auto"/>
        </w:rPr>
      </w:pPr>
      <w:r>
        <w:rPr>
          <w:rFonts w:ascii="Arial" w:cs="Arial" w:eastAsia="Arial" w:hAnsi="Arial"/>
          <w:sz w:val="13"/>
          <w:szCs w:val="13"/>
          <w:color w:val="auto"/>
        </w:rPr>
        <w:t>Excludes weighted average fair value of restricted stock and performance shares at issuance date.</w:t>
      </w:r>
    </w:p>
    <w:p>
      <w:pPr>
        <w:spacing w:after="0" w:line="52" w:lineRule="exact"/>
        <w:rPr>
          <w:rFonts w:ascii="Arial" w:cs="Arial" w:eastAsia="Arial" w:hAnsi="Arial"/>
          <w:sz w:val="13"/>
          <w:szCs w:val="13"/>
          <w:color w:val="auto"/>
        </w:rPr>
      </w:pPr>
    </w:p>
    <w:p>
      <w:pPr>
        <w:ind w:left="1000" w:hanging="266"/>
        <w:spacing w:after="0"/>
        <w:tabs>
          <w:tab w:leader="none" w:pos="1000" w:val="left"/>
        </w:tabs>
        <w:numPr>
          <w:ilvl w:val="0"/>
          <w:numId w:val="37"/>
        </w:numPr>
        <w:rPr>
          <w:rFonts w:ascii="Arial" w:cs="Arial" w:eastAsia="Arial" w:hAnsi="Arial"/>
          <w:sz w:val="13"/>
          <w:szCs w:val="13"/>
          <w:color w:val="auto"/>
        </w:rPr>
      </w:pPr>
      <w:r>
        <w:rPr>
          <w:rFonts w:ascii="Arial" w:cs="Arial" w:eastAsia="Arial" w:hAnsi="Arial"/>
          <w:sz w:val="13"/>
          <w:szCs w:val="13"/>
          <w:color w:val="auto"/>
        </w:rPr>
        <w:t>Consists solely of our 2007 Stock Equity Plan.</w:t>
      </w:r>
    </w:p>
    <w:p>
      <w:pPr>
        <w:spacing w:after="0" w:line="52" w:lineRule="exact"/>
        <w:rPr>
          <w:rFonts w:ascii="Arial" w:cs="Arial" w:eastAsia="Arial" w:hAnsi="Arial"/>
          <w:sz w:val="13"/>
          <w:szCs w:val="13"/>
          <w:color w:val="auto"/>
        </w:rPr>
      </w:pPr>
    </w:p>
    <w:p>
      <w:pPr>
        <w:ind w:left="1000" w:right="180" w:hanging="266"/>
        <w:spacing w:after="0" w:line="294" w:lineRule="auto"/>
        <w:tabs>
          <w:tab w:leader="none" w:pos="1000" w:val="left"/>
        </w:tabs>
        <w:numPr>
          <w:ilvl w:val="0"/>
          <w:numId w:val="37"/>
        </w:numPr>
        <w:rPr>
          <w:rFonts w:ascii="Arial" w:cs="Arial" w:eastAsia="Arial" w:hAnsi="Arial"/>
          <w:sz w:val="13"/>
          <w:szCs w:val="13"/>
          <w:color w:val="auto"/>
        </w:rPr>
      </w:pPr>
      <w:r>
        <w:rPr>
          <w:rFonts w:ascii="Arial" w:cs="Arial" w:eastAsia="Arial" w:hAnsi="Arial"/>
          <w:sz w:val="13"/>
          <w:szCs w:val="13"/>
          <w:color w:val="auto"/>
        </w:rPr>
        <w:t>Consists of common stock that may be issued pursuant to option plans and agreements assumed pursuant to the Stratex acquisition. The Stratex plans were duly approved by the shareholders of Stratex prior to the merger with us. No shares are available for further issuance.</w:t>
      </w:r>
    </w:p>
    <w:p>
      <w:pPr>
        <w:spacing w:after="0" w:line="47" w:lineRule="exact"/>
        <w:rPr>
          <w:sz w:val="20"/>
          <w:szCs w:val="20"/>
          <w:color w:val="auto"/>
        </w:rPr>
      </w:pPr>
    </w:p>
    <w:p>
      <w:pPr>
        <w:ind w:left="680" w:right="520" w:firstLine="399"/>
        <w:spacing w:after="0" w:line="294" w:lineRule="auto"/>
        <w:rPr>
          <w:sz w:val="20"/>
          <w:szCs w:val="20"/>
          <w:color w:val="auto"/>
        </w:rPr>
      </w:pPr>
      <w:r>
        <w:rPr>
          <w:rFonts w:ascii="Arial" w:cs="Arial" w:eastAsia="Arial" w:hAnsi="Arial"/>
          <w:sz w:val="13"/>
          <w:szCs w:val="13"/>
          <w:color w:val="auto"/>
        </w:rPr>
        <w:t>For further information on our equity compensation plans see “Note B — Significant Accounting Policies” and “Note M — Share-Based Compensation” in the Notes to Consolidated Financial Statements included in Item 8.</w:t>
      </w:r>
    </w:p>
    <w:p>
      <w:pPr>
        <w:spacing w:after="0" w:line="47" w:lineRule="exact"/>
        <w:rPr>
          <w:sz w:val="20"/>
          <w:szCs w:val="20"/>
          <w:color w:val="auto"/>
        </w:rPr>
      </w:pPr>
    </w:p>
    <w:p>
      <w:pPr>
        <w:ind w:left="680" w:right="280" w:firstLine="399"/>
        <w:spacing w:after="0" w:line="294" w:lineRule="auto"/>
        <w:rPr>
          <w:sz w:val="20"/>
          <w:szCs w:val="20"/>
          <w:color w:val="auto"/>
        </w:rPr>
      </w:pPr>
      <w:r>
        <w:rPr>
          <w:rFonts w:ascii="Arial" w:cs="Arial" w:eastAsia="Arial" w:hAnsi="Arial"/>
          <w:sz w:val="13"/>
          <w:szCs w:val="13"/>
          <w:color w:val="auto"/>
        </w:rPr>
        <w:t>The other information required by this item will appear in our definitive Proxy Statement for our 2009 Annual Meeting of Shareholders to be held on or about November 19, 2009 and is incorporated herein by reference.</w:t>
      </w:r>
    </w:p>
    <w:p>
      <w:pPr>
        <w:spacing w:after="0" w:line="125"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13.</w:t>
      </w:r>
      <w:r>
        <w:rPr>
          <w:sz w:val="20"/>
          <w:szCs w:val="20"/>
          <w:color w:val="auto"/>
        </w:rPr>
        <w:tab/>
      </w:r>
      <w:r>
        <w:rPr>
          <w:rFonts w:ascii="Arial" w:cs="Arial" w:eastAsia="Arial" w:hAnsi="Arial"/>
          <w:sz w:val="11"/>
          <w:szCs w:val="11"/>
          <w:b w:val="1"/>
          <w:bCs w:val="1"/>
          <w:i w:val="1"/>
          <w:iCs w:val="1"/>
          <w:color w:val="auto"/>
        </w:rPr>
        <w:t>Certain Relationships and Related Transactions, and Director Independence.</w:t>
      </w:r>
    </w:p>
    <w:p>
      <w:pPr>
        <w:spacing w:after="0" w:line="104" w:lineRule="exact"/>
        <w:rPr>
          <w:sz w:val="20"/>
          <w:szCs w:val="20"/>
          <w:color w:val="auto"/>
        </w:rPr>
      </w:pPr>
    </w:p>
    <w:p>
      <w:pPr>
        <w:ind w:left="680" w:right="460" w:firstLine="399"/>
        <w:spacing w:after="0" w:line="338" w:lineRule="auto"/>
        <w:rPr>
          <w:sz w:val="20"/>
          <w:szCs w:val="20"/>
          <w:color w:val="auto"/>
        </w:rPr>
      </w:pPr>
      <w:r>
        <w:rPr>
          <w:rFonts w:ascii="Arial" w:cs="Arial" w:eastAsia="Arial" w:hAnsi="Arial"/>
          <w:sz w:val="12"/>
          <w:szCs w:val="12"/>
          <w:color w:val="auto"/>
        </w:rPr>
        <w:t>Information regarding certain relationships and related transactions, and director independence will appear under “Transactions with Related Persons” and “Corporate Governance” in our definitive Proxy Statement for our 2009 Annual Meeting of Shareholders to be held on or about November 19, 2009 and is incorporated herein by reference.</w:t>
      </w:r>
    </w:p>
    <w:p>
      <w:pPr>
        <w:spacing w:after="0" w:line="103"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14.</w:t>
      </w:r>
      <w:r>
        <w:rPr>
          <w:sz w:val="20"/>
          <w:szCs w:val="20"/>
          <w:color w:val="auto"/>
        </w:rPr>
        <w:tab/>
      </w:r>
      <w:r>
        <w:rPr>
          <w:rFonts w:ascii="Arial" w:cs="Arial" w:eastAsia="Arial" w:hAnsi="Arial"/>
          <w:sz w:val="11"/>
          <w:szCs w:val="11"/>
          <w:b w:val="1"/>
          <w:bCs w:val="1"/>
          <w:i w:val="1"/>
          <w:iCs w:val="1"/>
          <w:color w:val="auto"/>
        </w:rPr>
        <w:t>Principal Accountant Fees and Services.</w:t>
      </w:r>
    </w:p>
    <w:p>
      <w:pPr>
        <w:spacing w:after="0" w:line="104" w:lineRule="exact"/>
        <w:rPr>
          <w:sz w:val="20"/>
          <w:szCs w:val="20"/>
          <w:color w:val="auto"/>
        </w:rPr>
      </w:pPr>
    </w:p>
    <w:p>
      <w:pPr>
        <w:ind w:left="680" w:right="280" w:firstLine="399"/>
        <w:spacing w:after="0" w:line="294" w:lineRule="auto"/>
        <w:rPr>
          <w:sz w:val="20"/>
          <w:szCs w:val="20"/>
          <w:color w:val="auto"/>
        </w:rPr>
      </w:pPr>
      <w:r>
        <w:rPr>
          <w:rFonts w:ascii="Arial" w:cs="Arial" w:eastAsia="Arial" w:hAnsi="Arial"/>
          <w:sz w:val="13"/>
          <w:szCs w:val="13"/>
          <w:color w:val="auto"/>
        </w:rPr>
        <w:t>Information regarding our principal accountant fees and services will appear in our definitive Proxy Statement for our 2009 Annual Meeting of Shareholders to be held on or about November 19, 2009 and is incorporated herein by reference.</w:t>
      </w:r>
    </w:p>
    <w:p>
      <w:pPr>
        <w:spacing w:after="0" w:line="248"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174"/>
        </w:trPr>
        <w:tc>
          <w:tcPr>
            <w:tcW w:w="700" w:type="dxa"/>
            <w:vAlign w:val="bottom"/>
          </w:tcPr>
          <w:p>
            <w:pPr>
              <w:spacing w:after="0"/>
              <w:rPr>
                <w:sz w:val="15"/>
                <w:szCs w:val="15"/>
                <w:color w:val="auto"/>
              </w:rPr>
            </w:pPr>
          </w:p>
        </w:tc>
        <w:tc>
          <w:tcPr>
            <w:tcW w:w="8940" w:type="dxa"/>
            <w:vAlign w:val="bottom"/>
          </w:tcPr>
          <w:p>
            <w:pPr>
              <w:ind w:left="4040"/>
              <w:spacing w:after="0"/>
              <w:rPr>
                <w:sz w:val="20"/>
                <w:szCs w:val="20"/>
                <w:color w:val="auto"/>
              </w:rPr>
            </w:pPr>
            <w:r>
              <w:rPr>
                <w:rFonts w:ascii="Arial" w:cs="Arial" w:eastAsia="Arial" w:hAnsi="Arial"/>
                <w:sz w:val="13"/>
                <w:szCs w:val="13"/>
                <w:b w:val="1"/>
                <w:bCs w:val="1"/>
                <w:color w:val="auto"/>
              </w:rPr>
              <w:t>PART IV</w:t>
            </w:r>
          </w:p>
        </w:tc>
        <w:tc>
          <w:tcPr>
            <w:tcW w:w="340" w:type="dxa"/>
            <w:vAlign w:val="bottom"/>
          </w:tcPr>
          <w:p>
            <w:pPr>
              <w:spacing w:after="0"/>
              <w:rPr>
                <w:sz w:val="15"/>
                <w:szCs w:val="15"/>
                <w:color w:val="auto"/>
              </w:rPr>
            </w:pPr>
          </w:p>
        </w:tc>
      </w:tr>
      <w:tr>
        <w:trPr>
          <w:trHeight w:val="333"/>
        </w:trPr>
        <w:tc>
          <w:tcPr>
            <w:tcW w:w="700" w:type="dxa"/>
            <w:vAlign w:val="bottom"/>
          </w:tcPr>
          <w:p>
            <w:pPr>
              <w:spacing w:after="0"/>
              <w:rPr>
                <w:sz w:val="20"/>
                <w:szCs w:val="20"/>
                <w:color w:val="auto"/>
              </w:rPr>
            </w:pPr>
            <w:r>
              <w:rPr>
                <w:rFonts w:ascii="Arial" w:cs="Arial" w:eastAsia="Arial" w:hAnsi="Arial"/>
                <w:sz w:val="13"/>
                <w:szCs w:val="13"/>
                <w:b w:val="1"/>
                <w:bCs w:val="1"/>
                <w:color w:val="auto"/>
              </w:rPr>
              <w:t>Item 15.</w:t>
            </w:r>
          </w:p>
        </w:tc>
        <w:tc>
          <w:tcPr>
            <w:tcW w:w="8940" w:type="dxa"/>
            <w:vAlign w:val="bottom"/>
          </w:tcPr>
          <w:p>
            <w:pPr>
              <w:ind w:left="220"/>
              <w:spacing w:after="0"/>
              <w:rPr>
                <w:sz w:val="20"/>
                <w:szCs w:val="20"/>
                <w:color w:val="auto"/>
              </w:rPr>
            </w:pPr>
            <w:r>
              <w:rPr>
                <w:rFonts w:ascii="Arial" w:cs="Arial" w:eastAsia="Arial" w:hAnsi="Arial"/>
                <w:sz w:val="13"/>
                <w:szCs w:val="13"/>
                <w:b w:val="1"/>
                <w:bCs w:val="1"/>
                <w:i w:val="1"/>
                <w:iCs w:val="1"/>
                <w:color w:val="auto"/>
              </w:rPr>
              <w:t>Exhibits and Financial Statement Schedules.</w:t>
            </w:r>
          </w:p>
        </w:tc>
        <w:tc>
          <w:tcPr>
            <w:tcW w:w="340" w:type="dxa"/>
            <w:vAlign w:val="bottom"/>
          </w:tcPr>
          <w:p>
            <w:pPr>
              <w:spacing w:after="0"/>
              <w:rPr>
                <w:sz w:val="24"/>
                <w:szCs w:val="24"/>
                <w:color w:val="auto"/>
              </w:rPr>
            </w:pPr>
          </w:p>
        </w:tc>
      </w:tr>
      <w:tr>
        <w:trPr>
          <w:trHeight w:val="252"/>
        </w:trPr>
        <w:tc>
          <w:tcPr>
            <w:tcW w:w="9640" w:type="dxa"/>
            <w:vAlign w:val="bottom"/>
            <w:gridSpan w:val="2"/>
          </w:tcPr>
          <w:p>
            <w:pPr>
              <w:ind w:left="400"/>
              <w:spacing w:after="0"/>
              <w:rPr>
                <w:sz w:val="20"/>
                <w:szCs w:val="20"/>
                <w:color w:val="auto"/>
              </w:rPr>
            </w:pPr>
            <w:r>
              <w:rPr>
                <w:rFonts w:ascii="Arial" w:cs="Arial" w:eastAsia="Arial" w:hAnsi="Arial"/>
                <w:sz w:val="13"/>
                <w:szCs w:val="13"/>
                <w:color w:val="auto"/>
              </w:rPr>
              <w:t>a) The following documents are filed as a part of this Annual Report on Form 10-K:</w:t>
            </w:r>
          </w:p>
        </w:tc>
        <w:tc>
          <w:tcPr>
            <w:tcW w:w="340" w:type="dxa"/>
            <w:vAlign w:val="bottom"/>
          </w:tcPr>
          <w:p>
            <w:pPr>
              <w:spacing w:after="0"/>
              <w:rPr>
                <w:sz w:val="21"/>
                <w:szCs w:val="21"/>
                <w:color w:val="auto"/>
              </w:rPr>
            </w:pPr>
          </w:p>
        </w:tc>
      </w:tr>
      <w:tr>
        <w:trPr>
          <w:trHeight w:val="293"/>
        </w:trPr>
        <w:tc>
          <w:tcPr>
            <w:tcW w:w="700" w:type="dxa"/>
            <w:vAlign w:val="bottom"/>
          </w:tcPr>
          <w:p>
            <w:pPr>
              <w:spacing w:after="0"/>
              <w:rPr>
                <w:sz w:val="24"/>
                <w:szCs w:val="24"/>
                <w:color w:val="auto"/>
              </w:rPr>
            </w:pPr>
          </w:p>
        </w:tc>
        <w:tc>
          <w:tcPr>
            <w:tcW w:w="8940" w:type="dxa"/>
            <w:vAlign w:val="bottom"/>
          </w:tcPr>
          <w:p>
            <w:pPr>
              <w:spacing w:after="0"/>
              <w:rPr>
                <w:sz w:val="24"/>
                <w:szCs w:val="2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8"/>
              </w:rPr>
              <w:t>Page</w:t>
            </w:r>
          </w:p>
        </w:tc>
      </w:tr>
      <w:tr>
        <w:trPr>
          <w:trHeight w:val="181"/>
        </w:trPr>
        <w:tc>
          <w:tcPr>
            <w:tcW w:w="9640" w:type="dxa"/>
            <w:vAlign w:val="bottom"/>
            <w:gridSpan w:val="2"/>
          </w:tcPr>
          <w:p>
            <w:pPr>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List of Financial Statements Filed as Part of this Annual Report on Form 10-K</w:t>
            </w:r>
          </w:p>
        </w:tc>
        <w:tc>
          <w:tcPr>
            <w:tcW w:w="340" w:type="dxa"/>
            <w:vAlign w:val="bottom"/>
          </w:tcPr>
          <w:p>
            <w:pPr>
              <w:spacing w:after="0"/>
              <w:rPr>
                <w:sz w:val="15"/>
                <w:szCs w:val="15"/>
                <w:color w:val="auto"/>
              </w:rPr>
            </w:pPr>
          </w:p>
        </w:tc>
      </w:tr>
      <w:tr>
        <w:trPr>
          <w:trHeight w:val="161"/>
        </w:trPr>
        <w:tc>
          <w:tcPr>
            <w:tcW w:w="9640" w:type="dxa"/>
            <w:vAlign w:val="bottom"/>
            <w:gridSpan w:val="2"/>
          </w:tcPr>
          <w:p>
            <w:pPr>
              <w:spacing w:after="0"/>
              <w:rPr>
                <w:sz w:val="20"/>
                <w:szCs w:val="20"/>
                <w:color w:val="auto"/>
              </w:rPr>
            </w:pPr>
            <w:r>
              <w:rPr>
                <w:rFonts w:ascii="Arial" w:cs="Arial" w:eastAsia="Arial" w:hAnsi="Arial"/>
                <w:sz w:val="13"/>
                <w:szCs w:val="13"/>
                <w:color w:val="auto"/>
                <w:w w:val="97"/>
              </w:rPr>
              <w:t>The following financial statements and reports of Harris Stratex Networks, Inc. and its consolidated subsidiaries are included in Part II, Item 8. of this Annual Report on Form</w:t>
            </w:r>
          </w:p>
        </w:tc>
        <w:tc>
          <w:tcPr>
            <w:tcW w:w="340" w:type="dxa"/>
            <w:vAlign w:val="bottom"/>
          </w:tcPr>
          <w:p>
            <w:pPr>
              <w:spacing w:after="0"/>
              <w:rPr>
                <w:sz w:val="14"/>
                <w:szCs w:val="14"/>
                <w:color w:val="auto"/>
              </w:rPr>
            </w:pPr>
          </w:p>
        </w:tc>
      </w:tr>
      <w:tr>
        <w:trPr>
          <w:trHeight w:val="161"/>
        </w:trPr>
        <w:tc>
          <w:tcPr>
            <w:tcW w:w="9640" w:type="dxa"/>
            <w:vAlign w:val="bottom"/>
            <w:gridSpan w:val="2"/>
          </w:tcPr>
          <w:p>
            <w:pPr>
              <w:ind w:left="140"/>
              <w:spacing w:after="0"/>
              <w:rPr>
                <w:sz w:val="20"/>
                <w:szCs w:val="20"/>
                <w:color w:val="auto"/>
              </w:rPr>
            </w:pPr>
            <w:r>
              <w:rPr>
                <w:rFonts w:ascii="Arial" w:cs="Arial" w:eastAsia="Arial" w:hAnsi="Arial"/>
                <w:sz w:val="13"/>
                <w:szCs w:val="13"/>
                <w:color w:val="auto"/>
              </w:rPr>
              <w:t>10-K at the page numbers referenced below:</w:t>
            </w:r>
          </w:p>
        </w:tc>
        <w:tc>
          <w:tcPr>
            <w:tcW w:w="340" w:type="dxa"/>
            <w:vAlign w:val="bottom"/>
          </w:tcPr>
          <w:p>
            <w:pPr>
              <w:spacing w:after="0"/>
              <w:rPr>
                <w:sz w:val="14"/>
                <w:szCs w:val="14"/>
                <w:color w:val="auto"/>
              </w:rPr>
            </w:pPr>
          </w:p>
        </w:tc>
      </w:tr>
      <w:tr>
        <w:trPr>
          <w:trHeight w:val="161"/>
        </w:trPr>
        <w:tc>
          <w:tcPr>
            <w:tcW w:w="9640" w:type="dxa"/>
            <w:vAlign w:val="bottom"/>
            <w:gridSpan w:val="2"/>
          </w:tcPr>
          <w:p>
            <w:pPr>
              <w:spacing w:after="0"/>
              <w:rPr>
                <w:sz w:val="20"/>
                <w:szCs w:val="20"/>
                <w:color w:val="auto"/>
              </w:rPr>
            </w:pPr>
            <w:r>
              <w:rPr>
                <w:rFonts w:ascii="Arial" w:cs="Arial" w:eastAsia="Arial" w:hAnsi="Arial"/>
                <w:sz w:val="13"/>
                <w:szCs w:val="13"/>
                <w:color w:val="auto"/>
              </w:rPr>
              <w:t>— Report of Independent Registered Public Accounting Firm</w:t>
            </w:r>
          </w:p>
        </w:tc>
        <w:tc>
          <w:tcPr>
            <w:tcW w:w="340" w:type="dxa"/>
            <w:vAlign w:val="bottom"/>
          </w:tcPr>
          <w:p>
            <w:pPr>
              <w:jc w:val="right"/>
              <w:spacing w:after="0"/>
              <w:rPr>
                <w:sz w:val="20"/>
                <w:szCs w:val="20"/>
                <w:color w:val="auto"/>
              </w:rPr>
            </w:pPr>
            <w:r>
              <w:rPr>
                <w:rFonts w:ascii="Arial" w:cs="Arial" w:eastAsia="Arial" w:hAnsi="Arial"/>
                <w:sz w:val="13"/>
                <w:szCs w:val="13"/>
                <w:color w:val="auto"/>
              </w:rPr>
              <w:t>58</w:t>
            </w:r>
          </w:p>
        </w:tc>
      </w:tr>
      <w:tr>
        <w:trPr>
          <w:trHeight w:val="161"/>
        </w:trPr>
        <w:tc>
          <w:tcPr>
            <w:tcW w:w="9640" w:type="dxa"/>
            <w:vAlign w:val="bottom"/>
            <w:gridSpan w:val="2"/>
          </w:tcPr>
          <w:p>
            <w:pPr>
              <w:spacing w:after="0"/>
              <w:rPr>
                <w:sz w:val="20"/>
                <w:szCs w:val="20"/>
                <w:color w:val="auto"/>
              </w:rPr>
            </w:pPr>
            <w:r>
              <w:rPr>
                <w:rFonts w:ascii="Arial" w:cs="Arial" w:eastAsia="Arial" w:hAnsi="Arial"/>
                <w:sz w:val="13"/>
                <w:szCs w:val="13"/>
                <w:color w:val="auto"/>
              </w:rPr>
              <w:t>— Report of Independent Registered Public Accounting Firm</w:t>
            </w:r>
          </w:p>
        </w:tc>
        <w:tc>
          <w:tcPr>
            <w:tcW w:w="340" w:type="dxa"/>
            <w:vAlign w:val="bottom"/>
          </w:tcPr>
          <w:p>
            <w:pPr>
              <w:jc w:val="right"/>
              <w:spacing w:after="0"/>
              <w:rPr>
                <w:sz w:val="20"/>
                <w:szCs w:val="20"/>
                <w:color w:val="auto"/>
              </w:rPr>
            </w:pPr>
            <w:r>
              <w:rPr>
                <w:rFonts w:ascii="Arial" w:cs="Arial" w:eastAsia="Arial" w:hAnsi="Arial"/>
                <w:sz w:val="13"/>
                <w:szCs w:val="13"/>
                <w:color w:val="auto"/>
              </w:rPr>
              <w:t>59</w:t>
            </w:r>
          </w:p>
        </w:tc>
      </w:tr>
      <w:tr>
        <w:trPr>
          <w:trHeight w:val="161"/>
        </w:trPr>
        <w:tc>
          <w:tcPr>
            <w:tcW w:w="9640" w:type="dxa"/>
            <w:vAlign w:val="bottom"/>
            <w:gridSpan w:val="2"/>
          </w:tcPr>
          <w:p>
            <w:pPr>
              <w:spacing w:after="0"/>
              <w:rPr>
                <w:sz w:val="20"/>
                <w:szCs w:val="20"/>
                <w:color w:val="auto"/>
              </w:rPr>
            </w:pPr>
            <w:r>
              <w:rPr>
                <w:rFonts w:ascii="Arial" w:cs="Arial" w:eastAsia="Arial" w:hAnsi="Arial"/>
                <w:sz w:val="13"/>
                <w:szCs w:val="13"/>
                <w:color w:val="auto"/>
              </w:rPr>
              <w:t>— Consolidated Statements of Operations — Fiscal Years ended July 3, 2009; June 27, 2008; and June 29, 2007</w:t>
            </w:r>
          </w:p>
        </w:tc>
        <w:tc>
          <w:tcPr>
            <w:tcW w:w="340" w:type="dxa"/>
            <w:vAlign w:val="bottom"/>
          </w:tcPr>
          <w:p>
            <w:pPr>
              <w:jc w:val="right"/>
              <w:spacing w:after="0"/>
              <w:rPr>
                <w:sz w:val="20"/>
                <w:szCs w:val="20"/>
                <w:color w:val="auto"/>
              </w:rPr>
            </w:pPr>
            <w:r>
              <w:rPr>
                <w:rFonts w:ascii="Arial" w:cs="Arial" w:eastAsia="Arial" w:hAnsi="Arial"/>
                <w:sz w:val="13"/>
                <w:szCs w:val="13"/>
                <w:color w:val="auto"/>
              </w:rPr>
              <w:t>60</w:t>
            </w:r>
          </w:p>
        </w:tc>
      </w:tr>
      <w:tr>
        <w:trPr>
          <w:trHeight w:val="161"/>
        </w:trPr>
        <w:tc>
          <w:tcPr>
            <w:tcW w:w="9640" w:type="dxa"/>
            <w:vAlign w:val="bottom"/>
            <w:gridSpan w:val="2"/>
          </w:tcPr>
          <w:p>
            <w:pPr>
              <w:spacing w:after="0"/>
              <w:rPr>
                <w:sz w:val="20"/>
                <w:szCs w:val="20"/>
                <w:color w:val="auto"/>
              </w:rPr>
            </w:pPr>
            <w:r>
              <w:rPr>
                <w:rFonts w:ascii="Arial" w:cs="Arial" w:eastAsia="Arial" w:hAnsi="Arial"/>
                <w:sz w:val="13"/>
                <w:szCs w:val="13"/>
                <w:color w:val="auto"/>
              </w:rPr>
              <w:t>— Consolidated Balance Sheets — July 3, 2009 and June 27, 2008</w:t>
            </w:r>
          </w:p>
        </w:tc>
        <w:tc>
          <w:tcPr>
            <w:tcW w:w="340" w:type="dxa"/>
            <w:vAlign w:val="bottom"/>
          </w:tcPr>
          <w:p>
            <w:pPr>
              <w:jc w:val="right"/>
              <w:spacing w:after="0"/>
              <w:rPr>
                <w:sz w:val="20"/>
                <w:szCs w:val="20"/>
                <w:color w:val="auto"/>
              </w:rPr>
            </w:pPr>
            <w:r>
              <w:rPr>
                <w:rFonts w:ascii="Arial" w:cs="Arial" w:eastAsia="Arial" w:hAnsi="Arial"/>
                <w:sz w:val="13"/>
                <w:szCs w:val="13"/>
                <w:color w:val="auto"/>
              </w:rPr>
              <w:t>61</w:t>
            </w:r>
          </w:p>
        </w:tc>
      </w:tr>
      <w:tr>
        <w:trPr>
          <w:trHeight w:val="161"/>
        </w:trPr>
        <w:tc>
          <w:tcPr>
            <w:tcW w:w="9640" w:type="dxa"/>
            <w:vAlign w:val="bottom"/>
            <w:gridSpan w:val="2"/>
          </w:tcPr>
          <w:p>
            <w:pPr>
              <w:spacing w:after="0"/>
              <w:rPr>
                <w:sz w:val="20"/>
                <w:szCs w:val="20"/>
                <w:color w:val="auto"/>
              </w:rPr>
            </w:pPr>
            <w:r>
              <w:rPr>
                <w:rFonts w:ascii="Arial" w:cs="Arial" w:eastAsia="Arial" w:hAnsi="Arial"/>
                <w:sz w:val="13"/>
                <w:szCs w:val="13"/>
                <w:color w:val="auto"/>
              </w:rPr>
              <w:t>— Consolidated Statements of Cash Flows — Fiscal Years ended July 3, 2009; June 27, 2008; and June 29, 2007</w:t>
            </w:r>
          </w:p>
        </w:tc>
        <w:tc>
          <w:tcPr>
            <w:tcW w:w="340" w:type="dxa"/>
            <w:vAlign w:val="bottom"/>
          </w:tcPr>
          <w:p>
            <w:pPr>
              <w:jc w:val="right"/>
              <w:spacing w:after="0"/>
              <w:rPr>
                <w:sz w:val="20"/>
                <w:szCs w:val="20"/>
                <w:color w:val="auto"/>
              </w:rPr>
            </w:pPr>
            <w:r>
              <w:rPr>
                <w:rFonts w:ascii="Arial" w:cs="Arial" w:eastAsia="Arial" w:hAnsi="Arial"/>
                <w:sz w:val="13"/>
                <w:szCs w:val="13"/>
                <w:color w:val="auto"/>
              </w:rPr>
              <w:t>62</w:t>
            </w:r>
          </w:p>
        </w:tc>
      </w:tr>
      <w:tr>
        <w:trPr>
          <w:trHeight w:val="161"/>
        </w:trPr>
        <w:tc>
          <w:tcPr>
            <w:tcW w:w="9640" w:type="dxa"/>
            <w:vAlign w:val="bottom"/>
            <w:gridSpan w:val="2"/>
          </w:tcPr>
          <w:p>
            <w:pPr>
              <w:spacing w:after="0"/>
              <w:rPr>
                <w:sz w:val="20"/>
                <w:szCs w:val="20"/>
                <w:color w:val="auto"/>
              </w:rPr>
            </w:pPr>
            <w:r>
              <w:rPr>
                <w:rFonts w:ascii="Arial" w:cs="Arial" w:eastAsia="Arial" w:hAnsi="Arial"/>
                <w:sz w:val="13"/>
                <w:szCs w:val="13"/>
                <w:color w:val="auto"/>
              </w:rPr>
              <w:t>— Consolidated Statement of Shareholders’ Equity and Comprehensive Loss — Fiscal Years ended July 3, 2009; June 27, 2008; and June 29, 2007</w:t>
            </w:r>
          </w:p>
        </w:tc>
        <w:tc>
          <w:tcPr>
            <w:tcW w:w="340" w:type="dxa"/>
            <w:vAlign w:val="bottom"/>
          </w:tcPr>
          <w:p>
            <w:pPr>
              <w:jc w:val="right"/>
              <w:spacing w:after="0"/>
              <w:rPr>
                <w:sz w:val="20"/>
                <w:szCs w:val="20"/>
                <w:color w:val="auto"/>
              </w:rPr>
            </w:pPr>
            <w:r>
              <w:rPr>
                <w:rFonts w:ascii="Arial" w:cs="Arial" w:eastAsia="Arial" w:hAnsi="Arial"/>
                <w:sz w:val="13"/>
                <w:szCs w:val="13"/>
                <w:color w:val="auto"/>
              </w:rPr>
              <w:t>63</w:t>
            </w:r>
          </w:p>
        </w:tc>
      </w:tr>
      <w:tr>
        <w:trPr>
          <w:trHeight w:val="161"/>
        </w:trPr>
        <w:tc>
          <w:tcPr>
            <w:tcW w:w="9640" w:type="dxa"/>
            <w:vAlign w:val="bottom"/>
            <w:gridSpan w:val="2"/>
          </w:tcPr>
          <w:p>
            <w:pPr>
              <w:spacing w:after="0"/>
              <w:rPr>
                <w:sz w:val="20"/>
                <w:szCs w:val="20"/>
                <w:color w:val="auto"/>
              </w:rPr>
            </w:pPr>
            <w:r>
              <w:rPr>
                <w:rFonts w:ascii="Arial" w:cs="Arial" w:eastAsia="Arial" w:hAnsi="Arial"/>
                <w:sz w:val="13"/>
                <w:szCs w:val="13"/>
                <w:color w:val="auto"/>
              </w:rPr>
              <w:t>— Notes to Consolidated Financial Statements</w:t>
            </w:r>
          </w:p>
        </w:tc>
        <w:tc>
          <w:tcPr>
            <w:tcW w:w="340" w:type="dxa"/>
            <w:vAlign w:val="bottom"/>
          </w:tcPr>
          <w:p>
            <w:pPr>
              <w:jc w:val="right"/>
              <w:spacing w:after="0"/>
              <w:rPr>
                <w:sz w:val="20"/>
                <w:szCs w:val="20"/>
                <w:color w:val="auto"/>
              </w:rPr>
            </w:pPr>
            <w:r>
              <w:rPr>
                <w:rFonts w:ascii="Arial" w:cs="Arial" w:eastAsia="Arial" w:hAnsi="Arial"/>
                <w:sz w:val="13"/>
                <w:szCs w:val="13"/>
                <w:color w:val="auto"/>
              </w:rPr>
              <w:t>64</w:t>
            </w:r>
          </w:p>
        </w:tc>
      </w:tr>
      <w:tr>
        <w:trPr>
          <w:trHeight w:val="161"/>
        </w:trPr>
        <w:tc>
          <w:tcPr>
            <w:tcW w:w="9640" w:type="dxa"/>
            <w:vAlign w:val="bottom"/>
            <w:gridSpan w:val="2"/>
          </w:tcPr>
          <w:p>
            <w:pPr>
              <w:spacing w:after="0"/>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i w:val="1"/>
                <w:iCs w:val="1"/>
                <w:color w:val="auto"/>
              </w:rPr>
              <w:t>Financial Statement Schedules:</w:t>
            </w:r>
          </w:p>
        </w:tc>
        <w:tc>
          <w:tcPr>
            <w:tcW w:w="340" w:type="dxa"/>
            <w:vAlign w:val="bottom"/>
          </w:tcPr>
          <w:p>
            <w:pPr>
              <w:spacing w:after="0"/>
              <w:rPr>
                <w:sz w:val="14"/>
                <w:szCs w:val="14"/>
                <w:color w:val="auto"/>
              </w:rPr>
            </w:pPr>
          </w:p>
        </w:tc>
      </w:tr>
      <w:tr>
        <w:trPr>
          <w:trHeight w:val="172"/>
        </w:trPr>
        <w:tc>
          <w:tcPr>
            <w:tcW w:w="9640" w:type="dxa"/>
            <w:vAlign w:val="bottom"/>
            <w:gridSpan w:val="2"/>
          </w:tcPr>
          <w:p>
            <w:pPr>
              <w:spacing w:after="0"/>
              <w:rPr>
                <w:sz w:val="20"/>
                <w:szCs w:val="20"/>
                <w:color w:val="auto"/>
              </w:rPr>
            </w:pPr>
            <w:r>
              <w:rPr>
                <w:rFonts w:ascii="Arial" w:cs="Arial" w:eastAsia="Arial" w:hAnsi="Arial"/>
                <w:sz w:val="13"/>
                <w:szCs w:val="13"/>
                <w:color w:val="auto"/>
              </w:rPr>
              <w:t>For each of the Fiscal Years ended July 3, 2009; June 27, 2008; and June 29, 2007 — Schedule II — Valuation and Qualifying Accounts and Reserves</w:t>
            </w:r>
          </w:p>
        </w:tc>
        <w:tc>
          <w:tcPr>
            <w:tcW w:w="340" w:type="dxa"/>
            <w:vAlign w:val="bottom"/>
          </w:tcPr>
          <w:p>
            <w:pPr>
              <w:jc w:val="right"/>
              <w:spacing w:after="0"/>
              <w:rPr>
                <w:sz w:val="20"/>
                <w:szCs w:val="20"/>
                <w:color w:val="auto"/>
              </w:rPr>
            </w:pPr>
            <w:r>
              <w:rPr>
                <w:rFonts w:ascii="Arial" w:cs="Arial" w:eastAsia="Arial" w:hAnsi="Arial"/>
                <w:sz w:val="13"/>
                <w:szCs w:val="13"/>
                <w:color w:val="auto"/>
              </w:rPr>
              <w:t>121</w:t>
            </w:r>
          </w:p>
        </w:tc>
      </w:tr>
    </w:tbl>
    <w:p>
      <w:pPr>
        <w:spacing w:after="0" w:line="80" w:lineRule="exact"/>
        <w:rPr>
          <w:sz w:val="20"/>
          <w:szCs w:val="20"/>
          <w:color w:val="auto"/>
        </w:rPr>
      </w:pPr>
    </w:p>
    <w:p>
      <w:pPr>
        <w:jc w:val="both"/>
        <w:ind w:right="40" w:firstLine="399"/>
        <w:spacing w:after="0" w:line="294" w:lineRule="auto"/>
        <w:rPr>
          <w:sz w:val="20"/>
          <w:szCs w:val="20"/>
          <w:color w:val="auto"/>
        </w:rPr>
      </w:pPr>
      <w:r>
        <w:rPr>
          <w:rFonts w:ascii="Arial" w:cs="Arial" w:eastAsia="Arial" w:hAnsi="Arial"/>
          <w:sz w:val="13"/>
          <w:szCs w:val="13"/>
          <w:color w:val="auto"/>
        </w:rPr>
        <w:t>All other schedules are omitted because they are not applicable, the amounts are not significant, or the required information is shown in the Consolidated Financial Statements or the Notes thereto.</w:t>
      </w:r>
    </w:p>
    <w:p>
      <w:pPr>
        <w:spacing w:after="0" w:line="47" w:lineRule="exact"/>
        <w:rPr>
          <w:sz w:val="20"/>
          <w:szCs w:val="20"/>
          <w:color w:val="auto"/>
        </w:rPr>
      </w:pPr>
    </w:p>
    <w:p>
      <w:pPr>
        <w:ind w:left="600" w:hanging="193"/>
        <w:spacing w:after="0"/>
        <w:tabs>
          <w:tab w:leader="none" w:pos="600" w:val="left"/>
        </w:tabs>
        <w:numPr>
          <w:ilvl w:val="0"/>
          <w:numId w:val="38"/>
        </w:numPr>
        <w:rPr>
          <w:rFonts w:ascii="Arial" w:cs="Arial" w:eastAsia="Arial" w:hAnsi="Arial"/>
          <w:sz w:val="13"/>
          <w:szCs w:val="13"/>
          <w:color w:val="auto"/>
        </w:rPr>
      </w:pPr>
      <w:r>
        <w:rPr>
          <w:rFonts w:ascii="Arial" w:cs="Arial" w:eastAsia="Arial" w:hAnsi="Arial"/>
          <w:sz w:val="13"/>
          <w:szCs w:val="13"/>
          <w:i w:val="1"/>
          <w:iCs w:val="1"/>
          <w:color w:val="auto"/>
        </w:rPr>
        <w:t>Exhibits:</w:t>
      </w:r>
    </w:p>
    <w:p>
      <w:pPr>
        <w:spacing w:after="0" w:line="102"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following exhibits are filed herewith or are incorporated herein by reference to exhibits previously filed with the SEC:</w:t>
      </w:r>
    </w:p>
    <w:p>
      <w:pPr>
        <w:spacing w:after="0" w:line="106" w:lineRule="exact"/>
        <w:rPr>
          <w:sz w:val="20"/>
          <w:szCs w:val="20"/>
          <w:color w:val="auto"/>
        </w:rPr>
      </w:pPr>
    </w:p>
    <w:p>
      <w:pPr>
        <w:ind w:left="300"/>
        <w:spacing w:after="0"/>
        <w:tabs>
          <w:tab w:leader="none" w:pos="5380" w:val="left"/>
        </w:tabs>
        <w:rPr>
          <w:sz w:val="20"/>
          <w:szCs w:val="20"/>
          <w:color w:val="auto"/>
        </w:rPr>
      </w:pPr>
      <w:r>
        <w:rPr>
          <w:rFonts w:ascii="Arial" w:cs="Arial" w:eastAsia="Arial" w:hAnsi="Arial"/>
          <w:sz w:val="11"/>
          <w:szCs w:val="11"/>
          <w:b w:val="1"/>
          <w:bCs w:val="1"/>
          <w:color w:val="auto"/>
        </w:rPr>
        <w:t>Ex. #</w:t>
      </w:r>
      <w:r>
        <w:rPr>
          <w:sz w:val="20"/>
          <w:szCs w:val="20"/>
          <w:color w:val="auto"/>
        </w:rPr>
        <w:tab/>
      </w:r>
      <w:r>
        <w:rPr>
          <w:rFonts w:ascii="Arial" w:cs="Arial" w:eastAsia="Arial" w:hAnsi="Arial"/>
          <w:sz w:val="9"/>
          <w:szCs w:val="9"/>
          <w:b w:val="1"/>
          <w:bCs w:val="1"/>
          <w:u w:val="single" w:color="auto"/>
          <w:color w:val="auto"/>
        </w:rPr>
        <w:t>D</w:t>
      </w:r>
      <w:r>
        <w:rPr>
          <w:rFonts w:ascii="Arial" w:cs="Arial" w:eastAsia="Arial" w:hAnsi="Arial"/>
          <w:sz w:val="9"/>
          <w:szCs w:val="9"/>
          <w:b w:val="1"/>
          <w:bCs w:val="1"/>
          <w:color w:val="auto"/>
        </w:rPr>
        <w:t>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195580</wp:posOffset>
            </wp:positionH>
            <wp:positionV relativeFrom="paragraph">
              <wp:posOffset>6985</wp:posOffset>
            </wp:positionV>
            <wp:extent cx="6350" cy="63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31" w:lineRule="exact"/>
        <w:rPr>
          <w:sz w:val="20"/>
          <w:szCs w:val="20"/>
          <w:color w:val="auto"/>
        </w:rPr>
      </w:pPr>
    </w:p>
    <w:p>
      <w:pPr>
        <w:ind w:left="920" w:right="280" w:hanging="469"/>
        <w:spacing w:after="0" w:line="286" w:lineRule="auto"/>
        <w:tabs>
          <w:tab w:leader="none" w:pos="900" w:val="left"/>
        </w:tabs>
        <w:rPr>
          <w:sz w:val="20"/>
          <w:szCs w:val="20"/>
          <w:color w:val="auto"/>
        </w:rPr>
      </w:pPr>
      <w:r>
        <w:rPr>
          <w:rFonts w:ascii="Arial" w:cs="Arial" w:eastAsia="Arial" w:hAnsi="Arial"/>
          <w:sz w:val="13"/>
          <w:szCs w:val="13"/>
          <w:color w:val="auto"/>
        </w:rPr>
        <w:t>2.1</w:t>
      </w:r>
      <w:r>
        <w:rPr>
          <w:sz w:val="20"/>
          <w:szCs w:val="20"/>
          <w:color w:val="auto"/>
        </w:rPr>
        <w:tab/>
      </w:r>
      <w:r>
        <w:rPr>
          <w:rFonts w:ascii="Arial" w:cs="Arial" w:eastAsia="Arial" w:hAnsi="Arial"/>
          <w:sz w:val="12"/>
          <w:szCs w:val="12"/>
          <w:color w:val="auto"/>
        </w:rPr>
        <w:t>Amended and Restated Formation, Contribution and Merger Agreement, dated as of December 18, 2006, among Harris Corporation, Stratex Networks, Inc., Harris Stratex Networks, Inc. and Stratex Merger Corp. (incorporated by reference to Appendix A to the proxy statement/prospectus forming a part of the Registration Statement on Form S-4 of Harris Stratex Networks, Inc. filed with the Securities and Exchange Commission on January 3, 2007, File No. 333-137980)</w:t>
      </w:r>
    </w:p>
    <w:p>
      <w:pPr>
        <w:spacing w:after="0" w:line="1" w:lineRule="exact"/>
        <w:rPr>
          <w:sz w:val="20"/>
          <w:szCs w:val="20"/>
          <w:color w:val="auto"/>
        </w:rPr>
      </w:pPr>
    </w:p>
    <w:p>
      <w:pPr>
        <w:ind w:left="920" w:right="200" w:hanging="469"/>
        <w:spacing w:after="0" w:line="280" w:lineRule="auto"/>
        <w:tabs>
          <w:tab w:leader="none" w:pos="900" w:val="left"/>
        </w:tabs>
        <w:rPr>
          <w:sz w:val="20"/>
          <w:szCs w:val="20"/>
          <w:color w:val="auto"/>
        </w:rPr>
      </w:pPr>
      <w:r>
        <w:rPr>
          <w:rFonts w:ascii="Arial" w:cs="Arial" w:eastAsia="Arial" w:hAnsi="Arial"/>
          <w:sz w:val="13"/>
          <w:szCs w:val="13"/>
          <w:color w:val="auto"/>
        </w:rPr>
        <w:t>2.2</w:t>
      </w:r>
      <w:r>
        <w:rPr>
          <w:sz w:val="20"/>
          <w:szCs w:val="20"/>
          <w:color w:val="auto"/>
        </w:rPr>
        <w:tab/>
      </w:r>
      <w:r>
        <w:rPr>
          <w:rFonts w:ascii="Arial" w:cs="Arial" w:eastAsia="Arial" w:hAnsi="Arial"/>
          <w:sz w:val="12"/>
          <w:szCs w:val="12"/>
          <w:color w:val="auto"/>
        </w:rPr>
        <w:t>Letter Agreement, dated as of January 26, 2007, among Harris Corporation, Stratex Networks, Inc., Harris Stratex Networks, Inc. and Stratex Merger Corp. (incorporated by reference to Exhibit 2.1.1 to the Report on Form 8-K filed with the Securities and Exchange Commission on February 1, 2007, File No. 001-33278)</w:t>
      </w:r>
    </w:p>
    <w:p>
      <w:pPr>
        <w:jc w:val="both"/>
        <w:ind w:left="920" w:right="380" w:hanging="469"/>
        <w:spacing w:after="0" w:line="258" w:lineRule="auto"/>
        <w:tabs>
          <w:tab w:leader="none" w:pos="900" w:val="left"/>
        </w:tabs>
        <w:rPr>
          <w:sz w:val="20"/>
          <w:szCs w:val="20"/>
          <w:color w:val="auto"/>
        </w:rPr>
      </w:pPr>
      <w:r>
        <w:rPr>
          <w:rFonts w:ascii="Arial" w:cs="Arial" w:eastAsia="Arial" w:hAnsi="Arial"/>
          <w:sz w:val="13"/>
          <w:szCs w:val="13"/>
          <w:color w:val="auto"/>
        </w:rPr>
        <w:t>2.3</w:t>
      </w:r>
      <w:r>
        <w:rPr>
          <w:sz w:val="20"/>
          <w:szCs w:val="20"/>
          <w:color w:val="auto"/>
        </w:rPr>
        <w:tab/>
      </w:r>
      <w:r>
        <w:rPr>
          <w:rFonts w:ascii="Arial" w:cs="Arial" w:eastAsia="Arial" w:hAnsi="Arial"/>
          <w:sz w:val="13"/>
          <w:szCs w:val="13"/>
          <w:color w:val="auto"/>
        </w:rPr>
        <w:t>Agreement and Plan of Merger by and among Harris Stratex Networks Operating Corporation, Eagle Networks Merger Corporation, Telsima Corporation and the Holder Representative dated as of February 27, 2009 (incorporated by reference to Exhibit 2.1 to the Report on Form 8-K filed with the Securities and Exchange Commission on March 6, 2009, File No. 001-33278)</w:t>
      </w:r>
    </w:p>
    <w:p>
      <w:pPr>
        <w:spacing w:after="0" w:line="2" w:lineRule="exact"/>
        <w:rPr>
          <w:sz w:val="20"/>
          <w:szCs w:val="20"/>
          <w:color w:val="auto"/>
        </w:rPr>
      </w:pPr>
    </w:p>
    <w:p>
      <w:pPr>
        <w:ind w:left="920" w:right="200" w:hanging="469"/>
        <w:spacing w:after="0" w:line="258" w:lineRule="auto"/>
        <w:tabs>
          <w:tab w:leader="none" w:pos="900" w:val="left"/>
        </w:tabs>
        <w:rPr>
          <w:sz w:val="20"/>
          <w:szCs w:val="20"/>
          <w:color w:val="auto"/>
        </w:rPr>
      </w:pPr>
      <w:r>
        <w:rPr>
          <w:rFonts w:ascii="Arial" w:cs="Arial" w:eastAsia="Arial" w:hAnsi="Arial"/>
          <w:sz w:val="13"/>
          <w:szCs w:val="13"/>
          <w:color w:val="auto"/>
        </w:rPr>
        <w:t>3.1</w:t>
      </w:r>
      <w:r>
        <w:rPr>
          <w:sz w:val="20"/>
          <w:szCs w:val="20"/>
          <w:color w:val="auto"/>
        </w:rPr>
        <w:tab/>
      </w:r>
      <w:r>
        <w:rPr>
          <w:rFonts w:ascii="Arial" w:cs="Arial" w:eastAsia="Arial" w:hAnsi="Arial"/>
          <w:sz w:val="13"/>
          <w:szCs w:val="13"/>
          <w:color w:val="auto"/>
        </w:rPr>
        <w:t>Amended and Restated Certificate of Incorporation of Harris Stratex Networks, Inc. as filed with the Secretary of State of the State of Delaware on January 26, 2007 (incorporated by reference to Exhibit 3.1 to the Registration Statement on Form 8-A filed with the Securities and Exchange Commission on January 26, 2007, File No. 001-33278)</w:t>
      </w:r>
    </w:p>
    <w:p>
      <w:pPr>
        <w:spacing w:after="0" w:line="2" w:lineRule="exact"/>
        <w:rPr>
          <w:sz w:val="20"/>
          <w:szCs w:val="20"/>
          <w:color w:val="auto"/>
        </w:rPr>
      </w:pPr>
    </w:p>
    <w:p>
      <w:pPr>
        <w:ind w:left="920" w:right="360" w:hanging="469"/>
        <w:spacing w:after="0" w:line="277" w:lineRule="auto"/>
        <w:tabs>
          <w:tab w:leader="none" w:pos="900" w:val="left"/>
        </w:tabs>
        <w:rPr>
          <w:sz w:val="20"/>
          <w:szCs w:val="20"/>
          <w:color w:val="auto"/>
        </w:rPr>
      </w:pPr>
      <w:r>
        <w:rPr>
          <w:rFonts w:ascii="Arial" w:cs="Arial" w:eastAsia="Arial" w:hAnsi="Arial"/>
          <w:sz w:val="13"/>
          <w:szCs w:val="13"/>
          <w:color w:val="auto"/>
        </w:rPr>
        <w:t>3.2</w:t>
      </w:r>
      <w:r>
        <w:rPr>
          <w:sz w:val="20"/>
          <w:szCs w:val="20"/>
          <w:color w:val="auto"/>
        </w:rPr>
        <w:tab/>
      </w:r>
      <w:r>
        <w:rPr>
          <w:rFonts w:ascii="Arial" w:cs="Arial" w:eastAsia="Arial" w:hAnsi="Arial"/>
          <w:sz w:val="13"/>
          <w:szCs w:val="13"/>
          <w:color w:val="auto"/>
        </w:rPr>
        <w:t>Amended and Restated Bylaws of Harris Stratex Networks, Inc., (incorporated by reference to Exhibit 3.1 to the Report on Form 8-K filed with the Securities and Exchange Commission on September 3, 2008, File No. 001-33278)</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113665</wp:posOffset>
            </wp:positionV>
            <wp:extent cx="7287895" cy="190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9980"/>
          </w:cols>
          <w:pgMar w:left="900" w:top="762" w:right="1019" w:bottom="1440" w:gutter="0" w:footer="0" w:header="0"/>
        </w:sectPr>
      </w:pPr>
    </w:p>
    <w:bookmarkStart w:id="117" w:name="page118"/>
    <w:bookmarkEnd w:id="11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9" w:lineRule="exact"/>
        <w:rPr>
          <w:sz w:val="20"/>
          <w:szCs w:val="20"/>
          <w:color w:val="auto"/>
        </w:rPr>
      </w:pPr>
    </w:p>
    <w:p>
      <w:pPr>
        <w:ind w:left="980"/>
        <w:spacing w:after="0"/>
        <w:tabs>
          <w:tab w:leader="none" w:pos="6060" w:val="left"/>
        </w:tabs>
        <w:rPr>
          <w:sz w:val="20"/>
          <w:szCs w:val="20"/>
          <w:color w:val="auto"/>
        </w:rPr>
      </w:pPr>
      <w:r>
        <w:rPr>
          <w:rFonts w:ascii="Arial" w:cs="Arial" w:eastAsia="Arial" w:hAnsi="Arial"/>
          <w:sz w:val="11"/>
          <w:szCs w:val="11"/>
          <w:b w:val="1"/>
          <w:bCs w:val="1"/>
          <w:color w:val="auto"/>
        </w:rPr>
        <w:t>Ex. #</w:t>
      </w:r>
      <w:r>
        <w:rPr>
          <w:sz w:val="20"/>
          <w:szCs w:val="20"/>
          <w:color w:val="auto"/>
        </w:rPr>
        <w:tab/>
      </w:r>
      <w:r>
        <w:rPr>
          <w:rFonts w:ascii="Arial" w:cs="Arial" w:eastAsia="Arial" w:hAnsi="Arial"/>
          <w:sz w:val="9"/>
          <w:szCs w:val="9"/>
          <w:b w:val="1"/>
          <w:bCs w:val="1"/>
          <w:u w:val="single" w:color="auto"/>
          <w:color w:val="auto"/>
        </w:rPr>
        <w:t>D</w:t>
      </w:r>
      <w:r>
        <w:rPr>
          <w:rFonts w:ascii="Arial" w:cs="Arial" w:eastAsia="Arial" w:hAnsi="Arial"/>
          <w:sz w:val="9"/>
          <w:szCs w:val="9"/>
          <w:b w:val="1"/>
          <w:bCs w:val="1"/>
          <w:color w:val="auto"/>
        </w:rPr>
        <w:t>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6985</wp:posOffset>
            </wp:positionV>
            <wp:extent cx="6350" cy="63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31" w:lineRule="exact"/>
        <w:rPr>
          <w:sz w:val="20"/>
          <w:szCs w:val="20"/>
          <w:color w:val="auto"/>
        </w:rPr>
      </w:pPr>
    </w:p>
    <w:p>
      <w:pPr>
        <w:ind w:left="1120"/>
        <w:spacing w:after="0"/>
        <w:tabs>
          <w:tab w:leader="none" w:pos="1580" w:val="left"/>
        </w:tabs>
        <w:rPr>
          <w:sz w:val="20"/>
          <w:szCs w:val="20"/>
          <w:color w:val="auto"/>
        </w:rPr>
      </w:pPr>
      <w:r>
        <w:rPr>
          <w:rFonts w:ascii="Arial" w:cs="Arial" w:eastAsia="Arial" w:hAnsi="Arial"/>
          <w:sz w:val="13"/>
          <w:szCs w:val="13"/>
          <w:color w:val="auto"/>
        </w:rPr>
        <w:t>4.1</w:t>
      </w:r>
      <w:r>
        <w:rPr>
          <w:sz w:val="20"/>
          <w:szCs w:val="20"/>
          <w:color w:val="auto"/>
        </w:rPr>
        <w:tab/>
      </w:r>
      <w:r>
        <w:rPr>
          <w:rFonts w:ascii="Arial" w:cs="Arial" w:eastAsia="Arial" w:hAnsi="Arial"/>
          <w:sz w:val="12"/>
          <w:szCs w:val="12"/>
          <w:color w:val="auto"/>
        </w:rPr>
        <w:t>Specimen common stock certificates (incorporated herein by reference to Exhibit 4.1 to the Company’s Annual Report on Form 10-K for the fiscal year ended June 29,</w:t>
      </w:r>
    </w:p>
    <w:p>
      <w:pPr>
        <w:spacing w:after="0" w:line="22" w:lineRule="exact"/>
        <w:rPr>
          <w:sz w:val="20"/>
          <w:szCs w:val="20"/>
          <w:color w:val="auto"/>
        </w:rPr>
      </w:pPr>
    </w:p>
    <w:p>
      <w:pPr>
        <w:ind w:left="1600"/>
        <w:spacing w:after="0"/>
        <w:rPr>
          <w:sz w:val="20"/>
          <w:szCs w:val="20"/>
          <w:color w:val="auto"/>
        </w:rPr>
      </w:pPr>
      <w:r>
        <w:rPr>
          <w:rFonts w:ascii="Arial" w:cs="Arial" w:eastAsia="Arial" w:hAnsi="Arial"/>
          <w:sz w:val="13"/>
          <w:szCs w:val="13"/>
          <w:color w:val="auto"/>
        </w:rPr>
        <w:t>2007 filed with the Securities and Exchange Commission on August 27, 2007, File No. 001-33278)</w:t>
      </w:r>
    </w:p>
    <w:p>
      <w:pPr>
        <w:spacing w:after="0" w:line="12" w:lineRule="exact"/>
        <w:rPr>
          <w:sz w:val="20"/>
          <w:szCs w:val="20"/>
          <w:color w:val="auto"/>
        </w:rPr>
      </w:pPr>
    </w:p>
    <w:p>
      <w:pPr>
        <w:ind w:left="1600" w:right="80" w:hanging="469"/>
        <w:spacing w:after="0" w:line="258" w:lineRule="auto"/>
        <w:tabs>
          <w:tab w:leader="none" w:pos="1580" w:val="left"/>
        </w:tabs>
        <w:rPr>
          <w:sz w:val="20"/>
          <w:szCs w:val="20"/>
          <w:color w:val="auto"/>
        </w:rPr>
      </w:pPr>
      <w:r>
        <w:rPr>
          <w:rFonts w:ascii="Arial" w:cs="Arial" w:eastAsia="Arial" w:hAnsi="Arial"/>
          <w:sz w:val="13"/>
          <w:szCs w:val="13"/>
          <w:color w:val="auto"/>
        </w:rPr>
        <w:t>4.2</w:t>
      </w:r>
      <w:r>
        <w:rPr>
          <w:sz w:val="20"/>
          <w:szCs w:val="20"/>
          <w:color w:val="auto"/>
        </w:rPr>
        <w:tab/>
      </w:r>
      <w:r>
        <w:rPr>
          <w:rFonts w:ascii="Arial" w:cs="Arial" w:eastAsia="Arial" w:hAnsi="Arial"/>
          <w:sz w:val="13"/>
          <w:szCs w:val="13"/>
          <w:color w:val="auto"/>
        </w:rPr>
        <w:t>Registration Rights Agreement between Harris Stratex Networks, Inc. and Harris Corporation dated January 26, 2007 (incorporated by reference to Exhibit 10.3 to the Report on Form 8-K filed with the Securities and Exchange Commission on February 1, 2007, File No. 001-33278)</w:t>
      </w:r>
    </w:p>
    <w:p>
      <w:pPr>
        <w:spacing w:after="0" w:line="1" w:lineRule="exact"/>
        <w:rPr>
          <w:sz w:val="20"/>
          <w:szCs w:val="20"/>
          <w:color w:val="auto"/>
        </w:rPr>
      </w:pPr>
    </w:p>
    <w:p>
      <w:pPr>
        <w:ind w:left="1600" w:right="460" w:hanging="469"/>
        <w:spacing w:after="0" w:line="258" w:lineRule="auto"/>
        <w:tabs>
          <w:tab w:leader="none" w:pos="1580" w:val="left"/>
        </w:tabs>
        <w:rPr>
          <w:sz w:val="20"/>
          <w:szCs w:val="20"/>
          <w:color w:val="auto"/>
        </w:rPr>
      </w:pPr>
      <w:r>
        <w:rPr>
          <w:rFonts w:ascii="Arial" w:cs="Arial" w:eastAsia="Arial" w:hAnsi="Arial"/>
          <w:sz w:val="13"/>
          <w:szCs w:val="13"/>
          <w:color w:val="auto"/>
        </w:rPr>
        <w:t>4.3</w:t>
      </w:r>
      <w:r>
        <w:rPr>
          <w:sz w:val="20"/>
          <w:szCs w:val="20"/>
          <w:color w:val="auto"/>
        </w:rPr>
        <w:tab/>
      </w:r>
      <w:r>
        <w:rPr>
          <w:rFonts w:ascii="Arial" w:cs="Arial" w:eastAsia="Arial" w:hAnsi="Arial"/>
          <w:sz w:val="13"/>
          <w:szCs w:val="13"/>
          <w:color w:val="auto"/>
        </w:rPr>
        <w:t>Certificate of Designations of Series A Junior Participating Preferred Stock of Harris Stratex Networks, Inc., dated April 20, 2009 (incorporated by reference to Exhibit 4.1 to the Report on Form 8-K filed with the Securities and Exchange Commission on April 22, 2009, File No. 001-33278)</w:t>
      </w:r>
    </w:p>
    <w:p>
      <w:pPr>
        <w:spacing w:after="0" w:line="1" w:lineRule="exact"/>
        <w:rPr>
          <w:sz w:val="20"/>
          <w:szCs w:val="20"/>
          <w:color w:val="auto"/>
        </w:rPr>
      </w:pPr>
    </w:p>
    <w:p>
      <w:pPr>
        <w:ind w:left="1600" w:right="100" w:hanging="536"/>
        <w:spacing w:after="0" w:line="258" w:lineRule="auto"/>
        <w:tabs>
          <w:tab w:leader="none" w:pos="1580" w:val="left"/>
        </w:tabs>
        <w:rPr>
          <w:sz w:val="20"/>
          <w:szCs w:val="20"/>
          <w:color w:val="auto"/>
        </w:rPr>
      </w:pPr>
      <w:r>
        <w:rPr>
          <w:rFonts w:ascii="Arial" w:cs="Arial" w:eastAsia="Arial" w:hAnsi="Arial"/>
          <w:sz w:val="13"/>
          <w:szCs w:val="13"/>
          <w:color w:val="auto"/>
        </w:rPr>
        <w:t>10.1</w:t>
      </w:r>
      <w:r>
        <w:rPr>
          <w:sz w:val="20"/>
          <w:szCs w:val="20"/>
          <w:color w:val="auto"/>
        </w:rPr>
        <w:tab/>
      </w:r>
      <w:r>
        <w:rPr>
          <w:rFonts w:ascii="Arial" w:cs="Arial" w:eastAsia="Arial" w:hAnsi="Arial"/>
          <w:sz w:val="13"/>
          <w:szCs w:val="13"/>
          <w:color w:val="auto"/>
        </w:rPr>
        <w:t>Investor Agreement between Harris Stratex Networks, Inc. and Harris Corporation dated January 26, 2007 (incorporated by reference to Exhibit 10.1 to the Report on Form 8-K filed with the Securities and Exchange Commission on February 1, 2007, File No. 001-33278)</w:t>
      </w:r>
    </w:p>
    <w:p>
      <w:pPr>
        <w:spacing w:after="0" w:line="1" w:lineRule="exact"/>
        <w:rPr>
          <w:sz w:val="20"/>
          <w:szCs w:val="20"/>
          <w:color w:val="auto"/>
        </w:rPr>
      </w:pPr>
    </w:p>
    <w:p>
      <w:pPr>
        <w:ind w:left="1600" w:hanging="536"/>
        <w:spacing w:after="0" w:line="258" w:lineRule="auto"/>
        <w:tabs>
          <w:tab w:leader="none" w:pos="1580" w:val="left"/>
        </w:tabs>
        <w:rPr>
          <w:sz w:val="20"/>
          <w:szCs w:val="20"/>
          <w:color w:val="auto"/>
        </w:rPr>
      </w:pPr>
      <w:r>
        <w:rPr>
          <w:rFonts w:ascii="Arial" w:cs="Arial" w:eastAsia="Arial" w:hAnsi="Arial"/>
          <w:sz w:val="13"/>
          <w:szCs w:val="13"/>
          <w:color w:val="auto"/>
        </w:rPr>
        <w:t>10.2</w:t>
      </w:r>
      <w:r>
        <w:rPr>
          <w:sz w:val="20"/>
          <w:szCs w:val="20"/>
          <w:color w:val="auto"/>
        </w:rPr>
        <w:tab/>
      </w:r>
      <w:r>
        <w:rPr>
          <w:rFonts w:ascii="Arial" w:cs="Arial" w:eastAsia="Arial" w:hAnsi="Arial"/>
          <w:sz w:val="13"/>
          <w:szCs w:val="13"/>
          <w:color w:val="auto"/>
        </w:rPr>
        <w:t>Non-Competition Agreement among Harris Stratex Networks, Inc., Harris Corporation and Stratex Networks, Inc. dated January 26, 2007 (incorporated by reference to Exhibit 10.2 to the Report on Form 8-K filed with the Securities and Exchange Commission on February 1, 2007, File No. 001-33278)</w:t>
      </w:r>
    </w:p>
    <w:p>
      <w:pPr>
        <w:spacing w:after="0" w:line="1" w:lineRule="exact"/>
        <w:rPr>
          <w:sz w:val="20"/>
          <w:szCs w:val="20"/>
          <w:color w:val="auto"/>
        </w:rPr>
      </w:pPr>
    </w:p>
    <w:p>
      <w:pPr>
        <w:ind w:left="1600" w:right="20" w:hanging="536"/>
        <w:spacing w:after="0" w:line="258" w:lineRule="auto"/>
        <w:tabs>
          <w:tab w:leader="none" w:pos="1580" w:val="left"/>
        </w:tabs>
        <w:rPr>
          <w:sz w:val="20"/>
          <w:szCs w:val="20"/>
          <w:color w:val="auto"/>
        </w:rPr>
      </w:pPr>
      <w:r>
        <w:rPr>
          <w:rFonts w:ascii="Arial" w:cs="Arial" w:eastAsia="Arial" w:hAnsi="Arial"/>
          <w:sz w:val="13"/>
          <w:szCs w:val="13"/>
          <w:color w:val="auto"/>
        </w:rPr>
        <w:t>10.3</w:t>
      </w:r>
      <w:r>
        <w:rPr>
          <w:sz w:val="20"/>
          <w:szCs w:val="20"/>
          <w:color w:val="auto"/>
        </w:rPr>
        <w:tab/>
      </w:r>
      <w:r>
        <w:rPr>
          <w:rFonts w:ascii="Arial" w:cs="Arial" w:eastAsia="Arial" w:hAnsi="Arial"/>
          <w:sz w:val="13"/>
          <w:szCs w:val="13"/>
          <w:color w:val="auto"/>
        </w:rPr>
        <w:t>Intellectual Property Agreement between Harris Stratex Networks, Inc. and Harris Corporation dated January 26, 2007 (incorporated by reference to Exhibit 10.4 to the Report on Form 8-K filed with the Securities and Exchange Commission on February 1, 2007, File No. 001-33278)</w:t>
      </w:r>
    </w:p>
    <w:p>
      <w:pPr>
        <w:spacing w:after="0" w:line="1" w:lineRule="exact"/>
        <w:rPr>
          <w:sz w:val="20"/>
          <w:szCs w:val="20"/>
          <w:color w:val="auto"/>
        </w:rPr>
      </w:pPr>
    </w:p>
    <w:p>
      <w:pPr>
        <w:ind w:left="1600" w:right="180" w:hanging="536"/>
        <w:spacing w:after="0" w:line="258" w:lineRule="auto"/>
        <w:tabs>
          <w:tab w:leader="none" w:pos="1580" w:val="left"/>
        </w:tabs>
        <w:rPr>
          <w:sz w:val="20"/>
          <w:szCs w:val="20"/>
          <w:color w:val="auto"/>
        </w:rPr>
      </w:pPr>
      <w:r>
        <w:rPr>
          <w:rFonts w:ascii="Arial" w:cs="Arial" w:eastAsia="Arial" w:hAnsi="Arial"/>
          <w:sz w:val="13"/>
          <w:szCs w:val="13"/>
          <w:color w:val="auto"/>
        </w:rPr>
        <w:t>10.4</w:t>
      </w:r>
      <w:r>
        <w:rPr>
          <w:sz w:val="20"/>
          <w:szCs w:val="20"/>
          <w:color w:val="auto"/>
        </w:rPr>
        <w:tab/>
      </w:r>
      <w:r>
        <w:rPr>
          <w:rFonts w:ascii="Arial" w:cs="Arial" w:eastAsia="Arial" w:hAnsi="Arial"/>
          <w:sz w:val="13"/>
          <w:szCs w:val="13"/>
          <w:color w:val="auto"/>
        </w:rPr>
        <w:t>Trademark and Trade Name License Agreement between Harris Stratex Networks, Inc. and Harris Corporation dated January 26, 2007 (incorporated by reference to Exhibit 10.5 to the Report on Form 8-K filed with the Securities and Exchange Commission on February 1, 2007, File No. 001-33278)</w:t>
      </w:r>
    </w:p>
    <w:p>
      <w:pPr>
        <w:spacing w:after="0" w:line="1" w:lineRule="exact"/>
        <w:rPr>
          <w:sz w:val="20"/>
          <w:szCs w:val="20"/>
          <w:color w:val="auto"/>
        </w:rPr>
      </w:pPr>
    </w:p>
    <w:p>
      <w:pPr>
        <w:ind w:left="1600" w:right="240" w:hanging="536"/>
        <w:spacing w:after="0" w:line="258" w:lineRule="auto"/>
        <w:tabs>
          <w:tab w:leader="none" w:pos="1580" w:val="left"/>
        </w:tabs>
        <w:rPr>
          <w:sz w:val="20"/>
          <w:szCs w:val="20"/>
          <w:color w:val="auto"/>
        </w:rPr>
      </w:pPr>
      <w:r>
        <w:rPr>
          <w:rFonts w:ascii="Arial" w:cs="Arial" w:eastAsia="Arial" w:hAnsi="Arial"/>
          <w:sz w:val="13"/>
          <w:szCs w:val="13"/>
          <w:color w:val="auto"/>
        </w:rPr>
        <w:t>10.5</w:t>
      </w:r>
      <w:r>
        <w:rPr>
          <w:sz w:val="20"/>
          <w:szCs w:val="20"/>
          <w:color w:val="auto"/>
        </w:rPr>
        <w:tab/>
      </w:r>
      <w:r>
        <w:rPr>
          <w:rFonts w:ascii="Arial" w:cs="Arial" w:eastAsia="Arial" w:hAnsi="Arial"/>
          <w:sz w:val="13"/>
          <w:szCs w:val="13"/>
          <w:color w:val="auto"/>
        </w:rPr>
        <w:t>Lease Agreement between Harris Stratex Networks, Inc. and Harris Corporation dated January 26, 2007 (incorporated by reference to Exhibit 10.6 to the Report on Form 8-K filed with the Securities and Exchange Commission on February 1, 2007, File No. 001-33278)</w:t>
      </w:r>
    </w:p>
    <w:p>
      <w:pPr>
        <w:spacing w:after="0" w:line="1" w:lineRule="exact"/>
        <w:rPr>
          <w:sz w:val="20"/>
          <w:szCs w:val="20"/>
          <w:color w:val="auto"/>
        </w:rPr>
      </w:pPr>
    </w:p>
    <w:p>
      <w:pPr>
        <w:ind w:left="1600" w:right="80" w:hanging="536"/>
        <w:spacing w:after="0" w:line="258" w:lineRule="auto"/>
        <w:tabs>
          <w:tab w:leader="none" w:pos="1580" w:val="left"/>
        </w:tabs>
        <w:rPr>
          <w:sz w:val="20"/>
          <w:szCs w:val="20"/>
          <w:color w:val="auto"/>
        </w:rPr>
      </w:pPr>
      <w:r>
        <w:rPr>
          <w:rFonts w:ascii="Arial" w:cs="Arial" w:eastAsia="Arial" w:hAnsi="Arial"/>
          <w:sz w:val="13"/>
          <w:szCs w:val="13"/>
          <w:color w:val="auto"/>
        </w:rPr>
        <w:t>10.6</w:t>
      </w:r>
      <w:r>
        <w:rPr>
          <w:sz w:val="20"/>
          <w:szCs w:val="20"/>
          <w:color w:val="auto"/>
        </w:rPr>
        <w:tab/>
      </w:r>
      <w:r>
        <w:rPr>
          <w:rFonts w:ascii="Arial" w:cs="Arial" w:eastAsia="Arial" w:hAnsi="Arial"/>
          <w:sz w:val="13"/>
          <w:szCs w:val="13"/>
          <w:color w:val="auto"/>
        </w:rPr>
        <w:t>Transition Services Agreement between Harris Stratex Networks, Inc. and Harris Corporation dated January 26, 2007 (incorporated by reference to Exhibit 10.7 to the Report on Form 8-K filed with the Securities and Exchange Commission on February 1, 2007, File No. 001-33278)</w:t>
      </w:r>
    </w:p>
    <w:p>
      <w:pPr>
        <w:spacing w:after="0" w:line="1" w:lineRule="exact"/>
        <w:rPr>
          <w:sz w:val="20"/>
          <w:szCs w:val="20"/>
          <w:color w:val="auto"/>
        </w:rPr>
      </w:pPr>
    </w:p>
    <w:p>
      <w:pPr>
        <w:ind w:left="1600" w:right="140" w:hanging="637"/>
        <w:spacing w:after="0" w:line="258" w:lineRule="auto"/>
        <w:tabs>
          <w:tab w:leader="none" w:pos="1580" w:val="left"/>
        </w:tabs>
        <w:rPr>
          <w:sz w:val="20"/>
          <w:szCs w:val="20"/>
          <w:color w:val="auto"/>
        </w:rPr>
      </w:pPr>
      <w:r>
        <w:rPr>
          <w:rFonts w:ascii="Arial" w:cs="Arial" w:eastAsia="Arial" w:hAnsi="Arial"/>
          <w:sz w:val="13"/>
          <w:szCs w:val="13"/>
          <w:color w:val="auto"/>
        </w:rPr>
        <w:t>10.6.1</w:t>
      </w:r>
      <w:r>
        <w:rPr>
          <w:sz w:val="20"/>
          <w:szCs w:val="20"/>
          <w:color w:val="auto"/>
        </w:rPr>
        <w:tab/>
      </w:r>
      <w:r>
        <w:rPr>
          <w:rFonts w:ascii="Arial" w:cs="Arial" w:eastAsia="Arial" w:hAnsi="Arial"/>
          <w:sz w:val="13"/>
          <w:szCs w:val="13"/>
          <w:color w:val="auto"/>
        </w:rPr>
        <w:t>Amendment to Transition Services Agreement between Harris Stratex Networks, Inc. and Harris Corporation dated December 12, 2008 (incorporated by reference to Exhibit 10.1 to the Company’s Quarterly Report on Form 10-Q for the fiscal quarter ended January 2, 2009 filed with the Securities and Exchange Commission on February 10, 2009, File No. 001-33278)</w:t>
      </w:r>
    </w:p>
    <w:p>
      <w:pPr>
        <w:spacing w:after="0" w:line="2" w:lineRule="exact"/>
        <w:rPr>
          <w:sz w:val="20"/>
          <w:szCs w:val="20"/>
          <w:color w:val="auto"/>
        </w:rPr>
      </w:pPr>
    </w:p>
    <w:p>
      <w:pPr>
        <w:ind w:left="1600" w:right="20" w:hanging="536"/>
        <w:spacing w:after="0" w:line="258" w:lineRule="auto"/>
        <w:tabs>
          <w:tab w:leader="none" w:pos="1580" w:val="left"/>
        </w:tabs>
        <w:rPr>
          <w:sz w:val="20"/>
          <w:szCs w:val="20"/>
          <w:color w:val="auto"/>
        </w:rPr>
      </w:pPr>
      <w:r>
        <w:rPr>
          <w:rFonts w:ascii="Arial" w:cs="Arial" w:eastAsia="Arial" w:hAnsi="Arial"/>
          <w:sz w:val="13"/>
          <w:szCs w:val="13"/>
          <w:color w:val="auto"/>
        </w:rPr>
        <w:t>10.7</w:t>
      </w:r>
      <w:r>
        <w:rPr>
          <w:sz w:val="20"/>
          <w:szCs w:val="20"/>
          <w:color w:val="auto"/>
        </w:rPr>
        <w:tab/>
      </w:r>
      <w:r>
        <w:rPr>
          <w:rFonts w:ascii="Arial" w:cs="Arial" w:eastAsia="Arial" w:hAnsi="Arial"/>
          <w:sz w:val="13"/>
          <w:szCs w:val="13"/>
          <w:color w:val="auto"/>
        </w:rPr>
        <w:t>Warrant Assumption Agreement between Harris Stratex Networks, Inc. and Stratex Networks, Inc. dated January 26, 2007 (incorporated by reference to Exhibit 10.8 to the Report on Form 8-K filed with the Securities and Exchange Commission on February 1, 2007, File No. 001-33278)</w:t>
      </w:r>
    </w:p>
    <w:p>
      <w:pPr>
        <w:spacing w:after="0" w:line="1" w:lineRule="exact"/>
        <w:rPr>
          <w:sz w:val="20"/>
          <w:szCs w:val="20"/>
          <w:color w:val="auto"/>
        </w:rPr>
      </w:pPr>
    </w:p>
    <w:p>
      <w:pPr>
        <w:ind w:left="1600" w:right="220" w:hanging="536"/>
        <w:spacing w:after="0" w:line="258" w:lineRule="auto"/>
        <w:tabs>
          <w:tab w:leader="none" w:pos="1580" w:val="left"/>
        </w:tabs>
        <w:rPr>
          <w:sz w:val="20"/>
          <w:szCs w:val="20"/>
          <w:color w:val="auto"/>
        </w:rPr>
      </w:pPr>
      <w:r>
        <w:rPr>
          <w:rFonts w:ascii="Arial" w:cs="Arial" w:eastAsia="Arial" w:hAnsi="Arial"/>
          <w:sz w:val="13"/>
          <w:szCs w:val="13"/>
          <w:color w:val="auto"/>
        </w:rPr>
        <w:t>10.8</w:t>
      </w:r>
      <w:r>
        <w:rPr>
          <w:sz w:val="20"/>
          <w:szCs w:val="20"/>
          <w:color w:val="auto"/>
        </w:rPr>
        <w:tab/>
      </w:r>
      <w:r>
        <w:rPr>
          <w:rFonts w:ascii="Arial" w:cs="Arial" w:eastAsia="Arial" w:hAnsi="Arial"/>
          <w:sz w:val="13"/>
          <w:szCs w:val="13"/>
          <w:color w:val="auto"/>
        </w:rPr>
        <w:t>NetBoss Service Agreement between Harris Stratex Networks, Inc. and Harris Corporation dated January 26, 2007 (incorporated by reference to Exhibit 10.9 to the Report on Form 8-K filed with the Securities and Exchange Commission on February 1, 2007, File No. 001-33278)</w:t>
      </w:r>
    </w:p>
    <w:p>
      <w:pPr>
        <w:spacing w:after="0" w:line="1" w:lineRule="exact"/>
        <w:rPr>
          <w:sz w:val="20"/>
          <w:szCs w:val="20"/>
          <w:color w:val="auto"/>
        </w:rPr>
      </w:pPr>
    </w:p>
    <w:p>
      <w:pPr>
        <w:ind w:left="1600" w:right="240" w:hanging="536"/>
        <w:spacing w:after="0" w:line="258" w:lineRule="auto"/>
        <w:tabs>
          <w:tab w:leader="none" w:pos="1580" w:val="left"/>
        </w:tabs>
        <w:rPr>
          <w:sz w:val="20"/>
          <w:szCs w:val="20"/>
          <w:color w:val="auto"/>
        </w:rPr>
      </w:pPr>
      <w:r>
        <w:rPr>
          <w:rFonts w:ascii="Arial" w:cs="Arial" w:eastAsia="Arial" w:hAnsi="Arial"/>
          <w:sz w:val="13"/>
          <w:szCs w:val="13"/>
          <w:color w:val="auto"/>
        </w:rPr>
        <w:t>10.9</w:t>
      </w:r>
      <w:r>
        <w:rPr>
          <w:sz w:val="20"/>
          <w:szCs w:val="20"/>
          <w:color w:val="auto"/>
        </w:rPr>
        <w:tab/>
      </w:r>
      <w:r>
        <w:rPr>
          <w:rFonts w:ascii="Arial" w:cs="Arial" w:eastAsia="Arial" w:hAnsi="Arial"/>
          <w:sz w:val="13"/>
          <w:szCs w:val="13"/>
          <w:color w:val="auto"/>
        </w:rPr>
        <w:t>Lease Agreement between Harris Stratex Networks Canada ULC and Harris Canada, Inc. dated January 26, 2007 (incorporated by reference to Exhibit 10.10 to the Report on Form 8-K filed with the Securities and Exchange Commission on February 1, 2007, File No. 001-33278)</w:t>
      </w:r>
    </w:p>
    <w:p>
      <w:pPr>
        <w:spacing w:after="0" w:line="1" w:lineRule="exact"/>
        <w:rPr>
          <w:sz w:val="20"/>
          <w:szCs w:val="20"/>
          <w:color w:val="auto"/>
        </w:rPr>
      </w:pPr>
    </w:p>
    <w:p>
      <w:pPr>
        <w:ind w:left="1600" w:hanging="603"/>
        <w:spacing w:after="0" w:line="258" w:lineRule="auto"/>
        <w:tabs>
          <w:tab w:leader="none" w:pos="1580" w:val="left"/>
        </w:tabs>
        <w:rPr>
          <w:sz w:val="20"/>
          <w:szCs w:val="20"/>
          <w:color w:val="auto"/>
        </w:rPr>
      </w:pPr>
      <w:r>
        <w:rPr>
          <w:rFonts w:ascii="Arial" w:cs="Arial" w:eastAsia="Arial" w:hAnsi="Arial"/>
          <w:sz w:val="13"/>
          <w:szCs w:val="13"/>
          <w:color w:val="auto"/>
        </w:rPr>
        <w:t>10.10</w:t>
      </w:r>
      <w:r>
        <w:rPr>
          <w:sz w:val="20"/>
          <w:szCs w:val="20"/>
          <w:color w:val="auto"/>
        </w:rPr>
        <w:tab/>
      </w:r>
      <w:r>
        <w:rPr>
          <w:rFonts w:ascii="Arial" w:cs="Arial" w:eastAsia="Arial" w:hAnsi="Arial"/>
          <w:sz w:val="13"/>
          <w:szCs w:val="13"/>
          <w:color w:val="auto"/>
        </w:rPr>
        <w:t>Tax Sharing Agreement between Harris Stratex Networks, Inc. and Harris Corporation dated January 26, 2007 (incorporated by reference to Exhibit 10.11 to the Report on Form 8-K filed with the Securities and Exchange Commission on February 1, 2007, File No. 001-33278)</w:t>
      </w:r>
    </w:p>
    <w:p>
      <w:pPr>
        <w:spacing w:after="0" w:line="1" w:lineRule="exact"/>
        <w:rPr>
          <w:sz w:val="20"/>
          <w:szCs w:val="20"/>
          <w:color w:val="auto"/>
        </w:rPr>
      </w:pPr>
    </w:p>
    <w:p>
      <w:pPr>
        <w:ind w:left="1000"/>
        <w:spacing w:after="0"/>
        <w:tabs>
          <w:tab w:leader="none" w:pos="1580" w:val="left"/>
        </w:tabs>
        <w:rPr>
          <w:sz w:val="20"/>
          <w:szCs w:val="20"/>
          <w:color w:val="auto"/>
        </w:rPr>
      </w:pPr>
      <w:r>
        <w:rPr>
          <w:rFonts w:ascii="Arial" w:cs="Arial" w:eastAsia="Arial" w:hAnsi="Arial"/>
          <w:sz w:val="13"/>
          <w:szCs w:val="13"/>
          <w:color w:val="auto"/>
        </w:rPr>
        <w:t>10.11</w:t>
      </w:r>
      <w:r>
        <w:rPr>
          <w:sz w:val="20"/>
          <w:szCs w:val="20"/>
          <w:color w:val="auto"/>
        </w:rPr>
        <w:tab/>
      </w:r>
      <w:r>
        <w:rPr>
          <w:rFonts w:ascii="Arial" w:cs="Arial" w:eastAsia="Arial" w:hAnsi="Arial"/>
          <w:sz w:val="12"/>
          <w:szCs w:val="12"/>
          <w:color w:val="auto"/>
        </w:rPr>
        <w:t>Intentionally omitted.</w:t>
      </w:r>
    </w:p>
    <w:p>
      <w:pPr>
        <w:spacing w:after="0" w:line="12" w:lineRule="exact"/>
        <w:rPr>
          <w:sz w:val="20"/>
          <w:szCs w:val="20"/>
          <w:color w:val="auto"/>
        </w:rPr>
      </w:pPr>
    </w:p>
    <w:p>
      <w:pPr>
        <w:ind w:left="1600" w:right="100" w:hanging="603"/>
        <w:spacing w:after="0" w:line="258" w:lineRule="auto"/>
        <w:tabs>
          <w:tab w:leader="none" w:pos="1580" w:val="left"/>
        </w:tabs>
        <w:rPr>
          <w:sz w:val="20"/>
          <w:szCs w:val="20"/>
          <w:color w:val="auto"/>
        </w:rPr>
      </w:pPr>
      <w:r>
        <w:rPr>
          <w:rFonts w:ascii="Arial" w:cs="Arial" w:eastAsia="Arial" w:hAnsi="Arial"/>
          <w:sz w:val="13"/>
          <w:szCs w:val="13"/>
          <w:color w:val="auto"/>
        </w:rPr>
        <w:t>10.12*</w:t>
      </w:r>
      <w:r>
        <w:rPr>
          <w:sz w:val="20"/>
          <w:szCs w:val="20"/>
          <w:color w:val="auto"/>
        </w:rPr>
        <w:tab/>
      </w:r>
      <w:r>
        <w:rPr>
          <w:rFonts w:ascii="Arial" w:cs="Arial" w:eastAsia="Arial" w:hAnsi="Arial"/>
          <w:sz w:val="13"/>
          <w:szCs w:val="13"/>
          <w:color w:val="auto"/>
        </w:rPr>
        <w:t>Employment Agreement, effective as of April 8, 2008, between Harris Stratex Networks, Inc. and Harald J. Braun (incorporated by reference to Exhibit 10.15.1 to the Company’s Quarterly Report on Form 10-Q for the quarter ended March 28, 2008 filed with the Securities and Exchange Commission on May 6, 2008, File No. 001-33278)</w:t>
      </w:r>
    </w:p>
    <w:p>
      <w:pPr>
        <w:spacing w:after="0" w:line="2" w:lineRule="exact"/>
        <w:rPr>
          <w:sz w:val="20"/>
          <w:szCs w:val="20"/>
          <w:color w:val="auto"/>
        </w:rPr>
      </w:pPr>
    </w:p>
    <w:p>
      <w:pPr>
        <w:ind w:left="1600" w:right="40" w:hanging="603"/>
        <w:spacing w:after="0" w:line="268" w:lineRule="auto"/>
        <w:tabs>
          <w:tab w:leader="none" w:pos="1580" w:val="left"/>
        </w:tabs>
        <w:rPr>
          <w:sz w:val="20"/>
          <w:szCs w:val="20"/>
          <w:color w:val="auto"/>
        </w:rPr>
      </w:pPr>
      <w:r>
        <w:rPr>
          <w:rFonts w:ascii="Arial" w:cs="Arial" w:eastAsia="Arial" w:hAnsi="Arial"/>
          <w:sz w:val="13"/>
          <w:szCs w:val="13"/>
          <w:color w:val="auto"/>
        </w:rPr>
        <w:t>10.13*</w:t>
      </w:r>
      <w:r>
        <w:rPr>
          <w:sz w:val="20"/>
          <w:szCs w:val="20"/>
          <w:color w:val="auto"/>
        </w:rPr>
        <w:tab/>
      </w:r>
      <w:r>
        <w:rPr>
          <w:rFonts w:ascii="Arial" w:cs="Arial" w:eastAsia="Arial" w:hAnsi="Arial"/>
          <w:sz w:val="13"/>
          <w:szCs w:val="13"/>
          <w:color w:val="auto"/>
        </w:rPr>
        <w:t>Restated Employment Agreement, dated as of May 14, 2002, by and between Stratex Networks, Inc. and Charles D. Kissner (incorporated by reference to Exhibit 10.7 to the Annual Report on Form 10-K of Stratex Networks, Inc. for the Fiscal Year Ended March 31, 2003 filed with the Securities and Exchange Commission on May 19, 2003, File No. 000-15895)</w:t>
      </w:r>
    </w:p>
    <w:p>
      <w:pPr>
        <w:spacing w:after="0" w:line="11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20"/>
          </w:cols>
          <w:pgMar w:left="220" w:top="349" w:right="1059" w:bottom="1440" w:gutter="0" w:footer="0" w:header="0"/>
        </w:sectPr>
      </w:pPr>
    </w:p>
    <w:bookmarkStart w:id="118" w:name="page119"/>
    <w:bookmarkEnd w:id="11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9" w:lineRule="exact"/>
        <w:rPr>
          <w:sz w:val="20"/>
          <w:szCs w:val="20"/>
          <w:color w:val="auto"/>
        </w:rPr>
      </w:pPr>
    </w:p>
    <w:p>
      <w:pPr>
        <w:ind w:left="980"/>
        <w:spacing w:after="0"/>
        <w:tabs>
          <w:tab w:leader="none" w:pos="6060" w:val="left"/>
        </w:tabs>
        <w:rPr>
          <w:sz w:val="20"/>
          <w:szCs w:val="20"/>
          <w:color w:val="auto"/>
        </w:rPr>
      </w:pPr>
      <w:r>
        <w:rPr>
          <w:rFonts w:ascii="Arial" w:cs="Arial" w:eastAsia="Arial" w:hAnsi="Arial"/>
          <w:sz w:val="11"/>
          <w:szCs w:val="11"/>
          <w:b w:val="1"/>
          <w:bCs w:val="1"/>
          <w:color w:val="auto"/>
        </w:rPr>
        <w:t>Ex. #</w:t>
      </w:r>
      <w:r>
        <w:rPr>
          <w:sz w:val="20"/>
          <w:szCs w:val="20"/>
          <w:color w:val="auto"/>
        </w:rPr>
        <w:tab/>
      </w:r>
      <w:r>
        <w:rPr>
          <w:rFonts w:ascii="Arial" w:cs="Arial" w:eastAsia="Arial" w:hAnsi="Arial"/>
          <w:sz w:val="9"/>
          <w:szCs w:val="9"/>
          <w:b w:val="1"/>
          <w:bCs w:val="1"/>
          <w:u w:val="single" w:color="auto"/>
          <w:color w:val="auto"/>
        </w:rPr>
        <w:t>D</w:t>
      </w:r>
      <w:r>
        <w:rPr>
          <w:rFonts w:ascii="Arial" w:cs="Arial" w:eastAsia="Arial" w:hAnsi="Arial"/>
          <w:sz w:val="9"/>
          <w:szCs w:val="9"/>
          <w:b w:val="1"/>
          <w:bCs w:val="1"/>
          <w:color w:val="auto"/>
        </w:rPr>
        <w:t>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6985</wp:posOffset>
            </wp:positionV>
            <wp:extent cx="6350" cy="63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31" w:lineRule="exact"/>
        <w:rPr>
          <w:sz w:val="20"/>
          <w:szCs w:val="20"/>
          <w:color w:val="auto"/>
        </w:rPr>
      </w:pPr>
    </w:p>
    <w:p>
      <w:pPr>
        <w:ind w:left="1600" w:right="80" w:hanging="704"/>
        <w:spacing w:after="0" w:line="264" w:lineRule="auto"/>
        <w:tabs>
          <w:tab w:leader="none" w:pos="1580" w:val="left"/>
        </w:tabs>
        <w:rPr>
          <w:sz w:val="20"/>
          <w:szCs w:val="20"/>
          <w:color w:val="auto"/>
        </w:rPr>
      </w:pPr>
      <w:r>
        <w:rPr>
          <w:rFonts w:ascii="Arial" w:cs="Arial" w:eastAsia="Arial" w:hAnsi="Arial"/>
          <w:sz w:val="13"/>
          <w:szCs w:val="13"/>
          <w:color w:val="auto"/>
        </w:rPr>
        <w:t>10.13.1*</w:t>
      </w:r>
      <w:r>
        <w:rPr>
          <w:sz w:val="20"/>
          <w:szCs w:val="20"/>
          <w:color w:val="auto"/>
        </w:rPr>
        <w:tab/>
      </w:r>
      <w:r>
        <w:rPr>
          <w:rFonts w:ascii="Arial" w:cs="Arial" w:eastAsia="Arial" w:hAnsi="Arial"/>
          <w:sz w:val="13"/>
          <w:szCs w:val="13"/>
          <w:color w:val="auto"/>
        </w:rPr>
        <w:t>Third Amendment to Employment Agreement, dated as of December 15, 2006, by and between Stratex Networks, Inc. and Charles D. Kissner (incorporated by reference to Exhibit 10.29 to Amendment No. 2 to the Registration Statement on Form S-4 filed with the Securities and Exchange Commission on December 19, 2006, File No. 333-137980)</w:t>
      </w:r>
    </w:p>
    <w:p>
      <w:pPr>
        <w:spacing w:after="0" w:line="1" w:lineRule="exact"/>
        <w:rPr>
          <w:sz w:val="20"/>
          <w:szCs w:val="20"/>
          <w:color w:val="auto"/>
        </w:rPr>
      </w:pPr>
    </w:p>
    <w:p>
      <w:pPr>
        <w:ind w:left="1600" w:right="180" w:hanging="603"/>
        <w:spacing w:after="0" w:line="258" w:lineRule="auto"/>
        <w:tabs>
          <w:tab w:leader="none" w:pos="1580" w:val="left"/>
        </w:tabs>
        <w:rPr>
          <w:sz w:val="20"/>
          <w:szCs w:val="20"/>
          <w:color w:val="auto"/>
        </w:rPr>
      </w:pPr>
      <w:r>
        <w:rPr>
          <w:rFonts w:ascii="Arial" w:cs="Arial" w:eastAsia="Arial" w:hAnsi="Arial"/>
          <w:sz w:val="13"/>
          <w:szCs w:val="13"/>
          <w:color w:val="auto"/>
        </w:rPr>
        <w:t>10.14*</w:t>
      </w:r>
      <w:r>
        <w:rPr>
          <w:sz w:val="20"/>
          <w:szCs w:val="20"/>
          <w:color w:val="auto"/>
        </w:rPr>
        <w:tab/>
      </w:r>
      <w:r>
        <w:rPr>
          <w:rFonts w:ascii="Arial" w:cs="Arial" w:eastAsia="Arial" w:hAnsi="Arial"/>
          <w:sz w:val="13"/>
          <w:szCs w:val="13"/>
          <w:color w:val="auto"/>
        </w:rPr>
        <w:t>Standard Form of Executive Employment Agreement between Harris Stratex Networks, Inc. and certain executives (incorporated by reference to Exhibit 10.16 to the Report on Form 8-K filed with the Securities and Exchange Commission on February 1, 2007, File No. 001-33278)</w:t>
      </w:r>
    </w:p>
    <w:p>
      <w:pPr>
        <w:spacing w:after="0" w:line="1" w:lineRule="exact"/>
        <w:rPr>
          <w:sz w:val="20"/>
          <w:szCs w:val="20"/>
          <w:color w:val="auto"/>
        </w:rPr>
      </w:pPr>
    </w:p>
    <w:p>
      <w:pPr>
        <w:ind w:left="1600" w:right="360" w:hanging="603"/>
        <w:spacing w:after="0" w:line="258" w:lineRule="auto"/>
        <w:tabs>
          <w:tab w:leader="none" w:pos="1580" w:val="left"/>
        </w:tabs>
        <w:rPr>
          <w:sz w:val="20"/>
          <w:szCs w:val="20"/>
          <w:color w:val="auto"/>
        </w:rPr>
      </w:pPr>
      <w:r>
        <w:rPr>
          <w:rFonts w:ascii="Arial" w:cs="Arial" w:eastAsia="Arial" w:hAnsi="Arial"/>
          <w:sz w:val="13"/>
          <w:szCs w:val="13"/>
          <w:color w:val="auto"/>
        </w:rPr>
        <w:t>10.15</w:t>
      </w:r>
      <w:r>
        <w:rPr>
          <w:sz w:val="20"/>
          <w:szCs w:val="20"/>
          <w:color w:val="auto"/>
        </w:rPr>
        <w:tab/>
      </w:r>
      <w:r>
        <w:rPr>
          <w:rFonts w:ascii="Arial" w:cs="Arial" w:eastAsia="Arial" w:hAnsi="Arial"/>
          <w:sz w:val="13"/>
          <w:szCs w:val="13"/>
          <w:color w:val="auto"/>
        </w:rPr>
        <w:t>Form of Indemnification Agreement between Harris Stratex Networks, Inc. and its directors and certain officers (incorporated by reference to Exhibit 10.16 to the Registration Statement on Form S-1 of Stratex Networks, Inc., File No. 33-13431)</w:t>
      </w:r>
    </w:p>
    <w:p>
      <w:pPr>
        <w:spacing w:after="0" w:line="1" w:lineRule="exact"/>
        <w:rPr>
          <w:sz w:val="20"/>
          <w:szCs w:val="20"/>
          <w:color w:val="auto"/>
        </w:rPr>
      </w:pPr>
    </w:p>
    <w:p>
      <w:pPr>
        <w:ind w:left="1600" w:right="120" w:hanging="603"/>
        <w:spacing w:after="0" w:line="258" w:lineRule="auto"/>
        <w:tabs>
          <w:tab w:leader="none" w:pos="1580" w:val="left"/>
        </w:tabs>
        <w:rPr>
          <w:sz w:val="20"/>
          <w:szCs w:val="20"/>
          <w:color w:val="auto"/>
        </w:rPr>
      </w:pPr>
      <w:r>
        <w:rPr>
          <w:rFonts w:ascii="Arial" w:cs="Arial" w:eastAsia="Arial" w:hAnsi="Arial"/>
          <w:sz w:val="13"/>
          <w:szCs w:val="13"/>
          <w:color w:val="auto"/>
        </w:rPr>
        <w:t>10.16</w:t>
      </w:r>
      <w:r>
        <w:rPr>
          <w:sz w:val="20"/>
          <w:szCs w:val="20"/>
          <w:color w:val="auto"/>
        </w:rPr>
        <w:tab/>
      </w:r>
      <w:r>
        <w:rPr>
          <w:rFonts w:ascii="Arial" w:cs="Arial" w:eastAsia="Arial" w:hAnsi="Arial"/>
          <w:sz w:val="13"/>
          <w:szCs w:val="13"/>
          <w:color w:val="auto"/>
        </w:rPr>
        <w:t>Sublicense Agreement, effective as of January 26, 2007, between Harris Stratex Networks, Inc. and Harris Stratex Networks Operating Corporation (incorporated by reference to Exhibit 10.22 to the Company’s Annual Report on Form 10-K for the fiscal year ended June 29, 2007 filed with the Securities and Exchange Commission on August 27, 2007. File No. 001-33278)</w:t>
      </w:r>
    </w:p>
    <w:p>
      <w:pPr>
        <w:spacing w:after="0" w:line="2" w:lineRule="exact"/>
        <w:rPr>
          <w:sz w:val="20"/>
          <w:szCs w:val="20"/>
          <w:color w:val="auto"/>
        </w:rPr>
      </w:pPr>
    </w:p>
    <w:p>
      <w:pPr>
        <w:ind w:left="1600" w:right="300" w:hanging="603"/>
        <w:spacing w:after="0" w:line="258" w:lineRule="auto"/>
        <w:tabs>
          <w:tab w:leader="none" w:pos="1580" w:val="left"/>
        </w:tabs>
        <w:rPr>
          <w:sz w:val="20"/>
          <w:szCs w:val="20"/>
          <w:color w:val="auto"/>
        </w:rPr>
      </w:pPr>
      <w:r>
        <w:rPr>
          <w:rFonts w:ascii="Arial" w:cs="Arial" w:eastAsia="Arial" w:hAnsi="Arial"/>
          <w:sz w:val="13"/>
          <w:szCs w:val="13"/>
          <w:color w:val="auto"/>
        </w:rPr>
        <w:t>10.17*</w:t>
      </w:r>
      <w:r>
        <w:rPr>
          <w:sz w:val="20"/>
          <w:szCs w:val="20"/>
          <w:color w:val="auto"/>
        </w:rPr>
        <w:tab/>
      </w:r>
      <w:r>
        <w:rPr>
          <w:rFonts w:ascii="Arial" w:cs="Arial" w:eastAsia="Arial" w:hAnsi="Arial"/>
          <w:sz w:val="13"/>
          <w:szCs w:val="13"/>
          <w:color w:val="auto"/>
        </w:rPr>
        <w:t>Harris Stratex Networks, Inc. Annual Incentive Plan (incorporated by reference to Exhibit 10.17 to the Company’s Annual Report on Form 10-K for the fiscal year ended June 27, 2008 filed with the Securities and Exchange Commission on September 25, 2008, File No. 001-33278)</w:t>
      </w:r>
    </w:p>
    <w:p>
      <w:pPr>
        <w:spacing w:after="0" w:line="1" w:lineRule="exact"/>
        <w:rPr>
          <w:sz w:val="20"/>
          <w:szCs w:val="20"/>
          <w:color w:val="auto"/>
        </w:rPr>
      </w:pPr>
    </w:p>
    <w:p>
      <w:pPr>
        <w:ind w:left="1600" w:right="100" w:hanging="670"/>
        <w:spacing w:after="0" w:line="258" w:lineRule="auto"/>
        <w:tabs>
          <w:tab w:leader="none" w:pos="1580" w:val="left"/>
        </w:tabs>
        <w:rPr>
          <w:sz w:val="20"/>
          <w:szCs w:val="20"/>
          <w:color w:val="auto"/>
        </w:rPr>
      </w:pPr>
      <w:r>
        <w:rPr>
          <w:rFonts w:ascii="Arial" w:cs="Arial" w:eastAsia="Arial" w:hAnsi="Arial"/>
          <w:sz w:val="13"/>
          <w:szCs w:val="13"/>
          <w:color w:val="auto"/>
        </w:rPr>
        <w:t>10.18*</w:t>
      </w:r>
      <w:r>
        <w:rPr>
          <w:sz w:val="20"/>
          <w:szCs w:val="20"/>
          <w:color w:val="auto"/>
        </w:rPr>
        <w:tab/>
      </w:r>
      <w:r>
        <w:rPr>
          <w:rFonts w:ascii="Arial" w:cs="Arial" w:eastAsia="Arial" w:hAnsi="Arial"/>
          <w:sz w:val="13"/>
          <w:szCs w:val="13"/>
          <w:color w:val="auto"/>
        </w:rPr>
        <w:t>Harris Stratex Networks, Inc. 2007 Stock Equity Plan (incorporated by reference to Exhibit 4.9 to the Registration Statement on Form S-8 filed with the Securities and Exchange Commission on February 5, 2007, File No. 333-140442)</w:t>
      </w:r>
    </w:p>
    <w:p>
      <w:pPr>
        <w:spacing w:after="0" w:line="1" w:lineRule="exact"/>
        <w:rPr>
          <w:sz w:val="20"/>
          <w:szCs w:val="20"/>
          <w:color w:val="auto"/>
        </w:rPr>
      </w:pPr>
    </w:p>
    <w:p>
      <w:pPr>
        <w:ind w:left="1600" w:hanging="603"/>
        <w:spacing w:after="0" w:line="258" w:lineRule="auto"/>
        <w:tabs>
          <w:tab w:leader="none" w:pos="1580" w:val="left"/>
        </w:tabs>
        <w:rPr>
          <w:sz w:val="20"/>
          <w:szCs w:val="20"/>
          <w:color w:val="auto"/>
        </w:rPr>
      </w:pPr>
      <w:r>
        <w:rPr>
          <w:rFonts w:ascii="Arial" w:cs="Arial" w:eastAsia="Arial" w:hAnsi="Arial"/>
          <w:sz w:val="13"/>
          <w:szCs w:val="13"/>
          <w:color w:val="auto"/>
        </w:rPr>
        <w:t>10.19</w:t>
      </w:r>
      <w:r>
        <w:rPr>
          <w:sz w:val="20"/>
          <w:szCs w:val="20"/>
          <w:color w:val="auto"/>
        </w:rPr>
        <w:tab/>
      </w:r>
      <w:r>
        <w:rPr>
          <w:rFonts w:ascii="Arial" w:cs="Arial" w:eastAsia="Arial" w:hAnsi="Arial"/>
          <w:sz w:val="13"/>
          <w:szCs w:val="13"/>
          <w:color w:val="auto"/>
        </w:rPr>
        <w:t>Credit Agreement between Harris Stratex Networks, Inc., Harris Stratex Networks Operating Corporation, Harris Stratex Networks(S) Pte. Ltd., Bank of America, N.A., Silicon Valley Bank, Banc of America Securities Asia Limited and Banc of America Securities LLC, dated June 30, 2008 (incorporated by reference to Exhibit 10.19 to the Company’s Annual Report on Form 10-K for the fiscal year ended June 27, 2008 filed with the Securities and Exchange Commission on September 25, 2008, File No. 001-33278)</w:t>
      </w:r>
    </w:p>
    <w:p>
      <w:pPr>
        <w:spacing w:after="0" w:line="2" w:lineRule="exact"/>
        <w:rPr>
          <w:sz w:val="20"/>
          <w:szCs w:val="20"/>
          <w:color w:val="auto"/>
        </w:rPr>
      </w:pPr>
    </w:p>
    <w:p>
      <w:pPr>
        <w:ind w:left="1600" w:right="200" w:hanging="603"/>
        <w:spacing w:after="0" w:line="258" w:lineRule="auto"/>
        <w:tabs>
          <w:tab w:leader="none" w:pos="1580" w:val="left"/>
        </w:tabs>
        <w:rPr>
          <w:sz w:val="20"/>
          <w:szCs w:val="20"/>
          <w:color w:val="auto"/>
        </w:rPr>
      </w:pPr>
      <w:r>
        <w:rPr>
          <w:rFonts w:ascii="Arial" w:cs="Arial" w:eastAsia="Arial" w:hAnsi="Arial"/>
          <w:sz w:val="13"/>
          <w:szCs w:val="13"/>
          <w:color w:val="auto"/>
        </w:rPr>
        <w:t>10.20</w:t>
      </w:r>
      <w:r>
        <w:rPr>
          <w:sz w:val="20"/>
          <w:szCs w:val="20"/>
          <w:color w:val="auto"/>
        </w:rPr>
        <w:tab/>
      </w:r>
      <w:r>
        <w:rPr>
          <w:rFonts w:ascii="Arial" w:cs="Arial" w:eastAsia="Arial" w:hAnsi="Arial"/>
          <w:sz w:val="13"/>
          <w:szCs w:val="13"/>
          <w:color w:val="auto"/>
        </w:rPr>
        <w:t>Amended and Restated Loan and Security Agreement between Stratex Networks, Inc. and Silicon Valley Bank, dated January 21, 2004 (incorporated by reference to Exhibit 10.1 to the Report on Form 8-K of Stratex Networks, Inc. on January 22, 2004, File No. 000-15895)</w:t>
      </w:r>
    </w:p>
    <w:p>
      <w:pPr>
        <w:spacing w:after="0" w:line="1" w:lineRule="exact"/>
        <w:rPr>
          <w:sz w:val="20"/>
          <w:szCs w:val="20"/>
          <w:color w:val="auto"/>
        </w:rPr>
      </w:pPr>
    </w:p>
    <w:p>
      <w:pPr>
        <w:ind w:left="1600" w:right="280" w:hanging="704"/>
        <w:spacing w:after="0" w:line="258" w:lineRule="auto"/>
        <w:tabs>
          <w:tab w:leader="none" w:pos="1580" w:val="left"/>
        </w:tabs>
        <w:rPr>
          <w:sz w:val="20"/>
          <w:szCs w:val="20"/>
          <w:color w:val="auto"/>
        </w:rPr>
      </w:pPr>
      <w:r>
        <w:rPr>
          <w:rFonts w:ascii="Arial" w:cs="Arial" w:eastAsia="Arial" w:hAnsi="Arial"/>
          <w:sz w:val="13"/>
          <w:szCs w:val="13"/>
          <w:color w:val="auto"/>
        </w:rPr>
        <w:t>10.20.1</w:t>
      </w:r>
      <w:r>
        <w:rPr>
          <w:sz w:val="20"/>
          <w:szCs w:val="20"/>
          <w:color w:val="auto"/>
        </w:rPr>
        <w:tab/>
      </w:r>
      <w:r>
        <w:rPr>
          <w:rFonts w:ascii="Arial" w:cs="Arial" w:eastAsia="Arial" w:hAnsi="Arial"/>
          <w:sz w:val="13"/>
          <w:szCs w:val="13"/>
          <w:color w:val="auto"/>
        </w:rPr>
        <w:t>Amendment No. 5 to Amended and Restated Loan and Security Agreement between Harris Stratex Networks Operating Corporation, a wholly owned subsidiary of Harris Stratex Networks, Inc. and the successor to Stratex Networks, Inc. and Silicon Valley Bank, dated February 23, 2007 (incorporated herein by reference to Exhibit 10.28.5 to the Company’s Annual Report on Form 10-K for the fiscal year ended June 29, 2007 filed with the Securities and Exchange Commission on August 27, 2007. File No. 001-33278)</w:t>
      </w:r>
    </w:p>
    <w:p>
      <w:pPr>
        <w:spacing w:after="0" w:line="2" w:lineRule="exact"/>
        <w:rPr>
          <w:sz w:val="20"/>
          <w:szCs w:val="20"/>
          <w:color w:val="auto"/>
        </w:rPr>
      </w:pPr>
    </w:p>
    <w:p>
      <w:pPr>
        <w:ind w:left="1600" w:right="120" w:hanging="603"/>
        <w:spacing w:after="0" w:line="258" w:lineRule="auto"/>
        <w:tabs>
          <w:tab w:leader="none" w:pos="1580" w:val="left"/>
        </w:tabs>
        <w:rPr>
          <w:sz w:val="20"/>
          <w:szCs w:val="20"/>
          <w:color w:val="auto"/>
        </w:rPr>
      </w:pPr>
      <w:r>
        <w:rPr>
          <w:rFonts w:ascii="Arial" w:cs="Arial" w:eastAsia="Arial" w:hAnsi="Arial"/>
          <w:sz w:val="13"/>
          <w:szCs w:val="13"/>
          <w:color w:val="auto"/>
        </w:rPr>
        <w:t>10.21</w:t>
      </w:r>
      <w:r>
        <w:rPr>
          <w:sz w:val="20"/>
          <w:szCs w:val="20"/>
          <w:color w:val="auto"/>
        </w:rPr>
        <w:tab/>
      </w:r>
      <w:r>
        <w:rPr>
          <w:rFonts w:ascii="Arial" w:cs="Arial" w:eastAsia="Arial" w:hAnsi="Arial"/>
          <w:sz w:val="13"/>
          <w:szCs w:val="13"/>
          <w:color w:val="auto"/>
        </w:rPr>
        <w:t>Rights Agreement, dated as of April 20, 2009, between Harris Stratex Networks, Inc. and Mellon Investor Services LLC, as Rights Agent, which includes the Form of Certificate of Designations of Series A Junior Participating Preferred Stock (Exhibit A), the Form of Right Certificate (Exhibit B) and the Summary of Rights to Purchase Preferred Shares (Exhibit C) (incorporated by reference to Exhibit 4.2 to the Report on Form 8-K filed with the Securities and Exchange Commission on April 22, 2009, File No. 001-33278)</w:t>
      </w:r>
    </w:p>
    <w:p>
      <w:pPr>
        <w:spacing w:after="0" w:line="2" w:lineRule="exact"/>
        <w:rPr>
          <w:sz w:val="20"/>
          <w:szCs w:val="20"/>
          <w:color w:val="auto"/>
        </w:rPr>
      </w:pPr>
    </w:p>
    <w:p>
      <w:pPr>
        <w:ind w:left="1600" w:hanging="603"/>
        <w:spacing w:after="0" w:line="258" w:lineRule="auto"/>
        <w:tabs>
          <w:tab w:leader="none" w:pos="1580" w:val="left"/>
        </w:tabs>
        <w:rPr>
          <w:sz w:val="20"/>
          <w:szCs w:val="20"/>
          <w:color w:val="auto"/>
        </w:rPr>
      </w:pPr>
      <w:r>
        <w:rPr>
          <w:rFonts w:ascii="Arial" w:cs="Arial" w:eastAsia="Arial" w:hAnsi="Arial"/>
          <w:sz w:val="13"/>
          <w:szCs w:val="13"/>
          <w:color w:val="auto"/>
        </w:rPr>
        <w:t>10.22*</w:t>
      </w:r>
      <w:r>
        <w:rPr>
          <w:sz w:val="20"/>
          <w:szCs w:val="20"/>
          <w:color w:val="auto"/>
        </w:rPr>
        <w:tab/>
      </w:r>
      <w:r>
        <w:rPr>
          <w:rFonts w:ascii="Arial" w:cs="Arial" w:eastAsia="Arial" w:hAnsi="Arial"/>
          <w:sz w:val="13"/>
          <w:szCs w:val="13"/>
          <w:color w:val="auto"/>
        </w:rPr>
        <w:t>Employment Agreement, effective as of May 4, 2009, between Harris Stratex Networks, Inc. and Thomas L. Cronan III (incorporated by reference to Exhibit 10.1 to the Report on Form 8-K filed with the Securities and Exchange Commission on May 5, 2009, File No. 001-33278)</w:t>
      </w:r>
    </w:p>
    <w:p>
      <w:pPr>
        <w:spacing w:after="0" w:line="1" w:lineRule="exact"/>
        <w:rPr>
          <w:sz w:val="20"/>
          <w:szCs w:val="20"/>
          <w:color w:val="auto"/>
        </w:rPr>
      </w:pPr>
    </w:p>
    <w:p>
      <w:pPr>
        <w:jc w:val="both"/>
        <w:ind w:left="1600" w:right="340" w:hanging="603"/>
        <w:spacing w:after="0" w:line="258" w:lineRule="auto"/>
        <w:tabs>
          <w:tab w:leader="none" w:pos="1580" w:val="left"/>
        </w:tabs>
        <w:rPr>
          <w:sz w:val="20"/>
          <w:szCs w:val="20"/>
          <w:color w:val="auto"/>
        </w:rPr>
      </w:pPr>
      <w:r>
        <w:rPr>
          <w:rFonts w:ascii="Arial" w:cs="Arial" w:eastAsia="Arial" w:hAnsi="Arial"/>
          <w:sz w:val="13"/>
          <w:szCs w:val="13"/>
          <w:color w:val="auto"/>
        </w:rPr>
        <w:t>10.23*</w:t>
      </w:r>
      <w:r>
        <w:rPr>
          <w:sz w:val="20"/>
          <w:szCs w:val="20"/>
          <w:color w:val="auto"/>
        </w:rPr>
        <w:tab/>
      </w:r>
      <w:r>
        <w:rPr>
          <w:rFonts w:ascii="Arial" w:cs="Arial" w:eastAsia="Arial" w:hAnsi="Arial"/>
          <w:sz w:val="13"/>
          <w:szCs w:val="13"/>
          <w:color w:val="auto"/>
        </w:rPr>
        <w:t>Employment Agreement, dated as of April 1, 2006, between Harris Stratex Networks, Inc. and Heinz Stumpe (incorporation by reference to Exhibit 10.15.2 to the Company’s Quarterly Report on Form 10-Q for the fiscal quarter ended March 30, 2007 filed with the Securities and Exchange Commission on May 8, 2007, File No. 001-33278)</w:t>
      </w:r>
    </w:p>
    <w:p>
      <w:pPr>
        <w:spacing w:after="0" w:line="2" w:lineRule="exact"/>
        <w:rPr>
          <w:sz w:val="20"/>
          <w:szCs w:val="20"/>
          <w:color w:val="auto"/>
        </w:rPr>
      </w:pPr>
    </w:p>
    <w:p>
      <w:pPr>
        <w:ind w:left="1600" w:right="140" w:hanging="603"/>
        <w:spacing w:after="0" w:line="268" w:lineRule="auto"/>
        <w:tabs>
          <w:tab w:leader="none" w:pos="1580" w:val="left"/>
        </w:tabs>
        <w:rPr>
          <w:sz w:val="20"/>
          <w:szCs w:val="20"/>
          <w:color w:val="auto"/>
        </w:rPr>
      </w:pPr>
      <w:r>
        <w:rPr>
          <w:rFonts w:ascii="Arial" w:cs="Arial" w:eastAsia="Arial" w:hAnsi="Arial"/>
          <w:sz w:val="13"/>
          <w:szCs w:val="13"/>
          <w:color w:val="auto"/>
        </w:rPr>
        <w:t>10.24*</w:t>
      </w:r>
      <w:r>
        <w:rPr>
          <w:sz w:val="20"/>
          <w:szCs w:val="20"/>
          <w:color w:val="auto"/>
        </w:rPr>
        <w:tab/>
      </w:r>
      <w:r>
        <w:rPr>
          <w:rFonts w:ascii="Arial" w:cs="Arial" w:eastAsia="Arial" w:hAnsi="Arial"/>
          <w:sz w:val="13"/>
          <w:szCs w:val="13"/>
          <w:color w:val="auto"/>
        </w:rPr>
        <w:t>Employment Agreement, dated as of May 14, 2002, between Stratex Networks, Inc. and Paul Kennard (incorporated by reference to Exhibit 10.1 to the Stratex Networks, Inc. Quarterly Report on Form 10-Q for the fiscal quarter ended June 30, 2006 filed with the Securities and Exchange Commission on August 9, 2006, File No. 000-15895)</w:t>
      </w:r>
    </w:p>
    <w:p>
      <w:pPr>
        <w:spacing w:after="0" w:line="11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119" w:name="page120"/>
    <w:bookmarkEnd w:id="11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9" w:lineRule="exact"/>
        <w:rPr>
          <w:sz w:val="20"/>
          <w:szCs w:val="20"/>
          <w:color w:val="auto"/>
        </w:rPr>
      </w:pPr>
    </w:p>
    <w:p>
      <w:pPr>
        <w:ind w:left="980"/>
        <w:spacing w:after="0"/>
        <w:tabs>
          <w:tab w:leader="none" w:pos="6060" w:val="left"/>
        </w:tabs>
        <w:rPr>
          <w:sz w:val="20"/>
          <w:szCs w:val="20"/>
          <w:color w:val="auto"/>
        </w:rPr>
      </w:pPr>
      <w:r>
        <w:rPr>
          <w:rFonts w:ascii="Arial" w:cs="Arial" w:eastAsia="Arial" w:hAnsi="Arial"/>
          <w:sz w:val="11"/>
          <w:szCs w:val="11"/>
          <w:b w:val="1"/>
          <w:bCs w:val="1"/>
          <w:color w:val="auto"/>
        </w:rPr>
        <w:t>Ex. #</w:t>
      </w:r>
      <w:r>
        <w:rPr>
          <w:sz w:val="20"/>
          <w:szCs w:val="20"/>
          <w:color w:val="auto"/>
        </w:rPr>
        <w:tab/>
      </w:r>
      <w:r>
        <w:rPr>
          <w:rFonts w:ascii="Arial" w:cs="Arial" w:eastAsia="Arial" w:hAnsi="Arial"/>
          <w:sz w:val="9"/>
          <w:szCs w:val="9"/>
          <w:b w:val="1"/>
          <w:bCs w:val="1"/>
          <w:u w:val="single" w:color="auto"/>
          <w:color w:val="auto"/>
        </w:rPr>
        <w:t>D</w:t>
      </w:r>
      <w:r>
        <w:rPr>
          <w:rFonts w:ascii="Arial" w:cs="Arial" w:eastAsia="Arial" w:hAnsi="Arial"/>
          <w:sz w:val="9"/>
          <w:szCs w:val="9"/>
          <w:b w:val="1"/>
          <w:bCs w:val="1"/>
          <w:color w:val="auto"/>
        </w:rPr>
        <w:t>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6985</wp:posOffset>
            </wp:positionV>
            <wp:extent cx="6350" cy="63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31" w:lineRule="exact"/>
        <w:rPr>
          <w:sz w:val="20"/>
          <w:szCs w:val="20"/>
          <w:color w:val="auto"/>
        </w:rPr>
      </w:pPr>
    </w:p>
    <w:p>
      <w:pPr>
        <w:ind w:left="1600" w:hanging="704"/>
        <w:spacing w:after="0" w:line="264" w:lineRule="auto"/>
        <w:tabs>
          <w:tab w:leader="none" w:pos="1580" w:val="left"/>
        </w:tabs>
        <w:rPr>
          <w:sz w:val="20"/>
          <w:szCs w:val="20"/>
          <w:color w:val="auto"/>
        </w:rPr>
      </w:pPr>
      <w:r>
        <w:rPr>
          <w:rFonts w:ascii="Arial" w:cs="Arial" w:eastAsia="Arial" w:hAnsi="Arial"/>
          <w:sz w:val="13"/>
          <w:szCs w:val="13"/>
          <w:color w:val="auto"/>
        </w:rPr>
        <w:t>10.24.1*</w:t>
      </w:r>
      <w:r>
        <w:rPr>
          <w:sz w:val="20"/>
          <w:szCs w:val="20"/>
          <w:color w:val="auto"/>
        </w:rPr>
        <w:tab/>
      </w:r>
      <w:r>
        <w:rPr>
          <w:rFonts w:ascii="Arial" w:cs="Arial" w:eastAsia="Arial" w:hAnsi="Arial"/>
          <w:sz w:val="13"/>
          <w:szCs w:val="13"/>
          <w:color w:val="auto"/>
        </w:rPr>
        <w:t>Amendment A, effective as of April 1, 2006, to Employment Agreement, dated May 14, 2002, between Stratex Networks, Inc. and Paul Kennard (incorporated by reference to Exhibit 10.2 to the Stratex Networks, Inc. Quarterly Report on Form 10-Q for the fiscal quarter ended June 30, 2006 filed with the Securities and Exchange Commission on August 9, 2006, File No. 000-15895)</w:t>
      </w:r>
    </w:p>
    <w:p>
      <w:pPr>
        <w:spacing w:after="0" w:line="1" w:lineRule="exact"/>
        <w:rPr>
          <w:sz w:val="20"/>
          <w:szCs w:val="20"/>
          <w:color w:val="auto"/>
        </w:rPr>
      </w:pPr>
    </w:p>
    <w:p>
      <w:pPr>
        <w:ind w:left="1600" w:hanging="704"/>
        <w:spacing w:after="0" w:line="258" w:lineRule="auto"/>
        <w:tabs>
          <w:tab w:leader="none" w:pos="1580" w:val="left"/>
        </w:tabs>
        <w:rPr>
          <w:sz w:val="20"/>
          <w:szCs w:val="20"/>
          <w:color w:val="auto"/>
        </w:rPr>
      </w:pPr>
      <w:r>
        <w:rPr>
          <w:rFonts w:ascii="Arial" w:cs="Arial" w:eastAsia="Arial" w:hAnsi="Arial"/>
          <w:sz w:val="13"/>
          <w:szCs w:val="13"/>
          <w:color w:val="auto"/>
        </w:rPr>
        <w:t>10.24.2*</w:t>
      </w:r>
      <w:r>
        <w:rPr>
          <w:sz w:val="20"/>
          <w:szCs w:val="20"/>
          <w:color w:val="auto"/>
        </w:rPr>
        <w:tab/>
      </w:r>
      <w:r>
        <w:rPr>
          <w:rFonts w:ascii="Arial" w:cs="Arial" w:eastAsia="Arial" w:hAnsi="Arial"/>
          <w:sz w:val="13"/>
          <w:szCs w:val="13"/>
          <w:color w:val="auto"/>
        </w:rPr>
        <w:t>Amendment B, effective as of April 1, 2006, to Employment Agreement, dated May 14, 2002, between Stratex Networks, Inc. and Paul Kennard (incorporated by reference to Exhibit 10.3 to the Stratex Networks, Inc. Quarterly Report on Form 10-Q for the fiscal quarter ended June 30, 2006 filed with the Securities and Exchange Commission on August 9, 2006, File No. 000-15895)</w:t>
      </w:r>
    </w:p>
    <w:p>
      <w:pPr>
        <w:spacing w:after="0" w:line="2" w:lineRule="exact"/>
        <w:rPr>
          <w:sz w:val="20"/>
          <w:szCs w:val="20"/>
          <w:color w:val="auto"/>
        </w:rPr>
      </w:pPr>
    </w:p>
    <w:p>
      <w:pPr>
        <w:ind w:left="1000"/>
        <w:spacing w:after="0"/>
        <w:tabs>
          <w:tab w:leader="none" w:pos="1580" w:val="left"/>
        </w:tabs>
        <w:rPr>
          <w:sz w:val="20"/>
          <w:szCs w:val="20"/>
          <w:color w:val="auto"/>
        </w:rPr>
      </w:pPr>
      <w:r>
        <w:rPr>
          <w:rFonts w:ascii="Arial" w:cs="Arial" w:eastAsia="Arial" w:hAnsi="Arial"/>
          <w:sz w:val="13"/>
          <w:szCs w:val="13"/>
          <w:color w:val="auto"/>
        </w:rPr>
        <w:t>10.25*</w:t>
      </w:r>
      <w:r>
        <w:rPr>
          <w:sz w:val="20"/>
          <w:szCs w:val="20"/>
          <w:color w:val="auto"/>
        </w:rPr>
        <w:tab/>
      </w:r>
      <w:r>
        <w:rPr>
          <w:rFonts w:ascii="Arial" w:cs="Arial" w:eastAsia="Arial" w:hAnsi="Arial"/>
          <w:sz w:val="12"/>
          <w:szCs w:val="12"/>
          <w:color w:val="auto"/>
        </w:rPr>
        <w:t>Employment Agreement, dated as of May 14, 2002, between Stratex Networks, Inc. and Shaun McFall</w:t>
      </w:r>
    </w:p>
    <w:p>
      <w:pPr>
        <w:spacing w:after="0" w:line="12" w:lineRule="exact"/>
        <w:rPr>
          <w:sz w:val="20"/>
          <w:szCs w:val="20"/>
          <w:color w:val="auto"/>
        </w:rPr>
      </w:pPr>
    </w:p>
    <w:p>
      <w:pPr>
        <w:ind w:left="900"/>
        <w:spacing w:after="0"/>
        <w:tabs>
          <w:tab w:leader="none" w:pos="1580" w:val="left"/>
        </w:tabs>
        <w:rPr>
          <w:sz w:val="20"/>
          <w:szCs w:val="20"/>
          <w:color w:val="auto"/>
        </w:rPr>
      </w:pPr>
      <w:r>
        <w:rPr>
          <w:rFonts w:ascii="Arial" w:cs="Arial" w:eastAsia="Arial" w:hAnsi="Arial"/>
          <w:sz w:val="13"/>
          <w:szCs w:val="13"/>
          <w:color w:val="auto"/>
        </w:rPr>
        <w:t>10.25.1*</w:t>
      </w:r>
      <w:r>
        <w:rPr>
          <w:sz w:val="20"/>
          <w:szCs w:val="20"/>
          <w:color w:val="auto"/>
        </w:rPr>
        <w:tab/>
      </w:r>
      <w:r>
        <w:rPr>
          <w:rFonts w:ascii="Arial" w:cs="Arial" w:eastAsia="Arial" w:hAnsi="Arial"/>
          <w:sz w:val="12"/>
          <w:szCs w:val="12"/>
          <w:color w:val="auto"/>
        </w:rPr>
        <w:t>Amendment, effective April 1, 2006, to Employment Agreement, dated May 14, 2002, between Stratex Networks, Inc. and Shaun McFall</w:t>
      </w:r>
    </w:p>
    <w:p>
      <w:pPr>
        <w:spacing w:after="0" w:line="12" w:lineRule="exact"/>
        <w:rPr>
          <w:sz w:val="20"/>
          <w:szCs w:val="20"/>
          <w:color w:val="auto"/>
        </w:rPr>
      </w:pPr>
    </w:p>
    <w:p>
      <w:pPr>
        <w:ind w:left="1160"/>
        <w:spacing w:after="0"/>
        <w:tabs>
          <w:tab w:leader="none" w:pos="1580" w:val="left"/>
        </w:tabs>
        <w:rPr>
          <w:sz w:val="20"/>
          <w:szCs w:val="20"/>
          <w:color w:val="auto"/>
        </w:rPr>
      </w:pPr>
      <w:r>
        <w:rPr>
          <w:rFonts w:ascii="Arial" w:cs="Arial" w:eastAsia="Arial" w:hAnsi="Arial"/>
          <w:sz w:val="13"/>
          <w:szCs w:val="13"/>
          <w:color w:val="auto"/>
        </w:rPr>
        <w:t>21</w:t>
      </w:r>
      <w:r>
        <w:rPr>
          <w:sz w:val="20"/>
          <w:szCs w:val="20"/>
          <w:color w:val="auto"/>
        </w:rPr>
        <w:tab/>
      </w:r>
      <w:r>
        <w:rPr>
          <w:rFonts w:ascii="Arial" w:cs="Arial" w:eastAsia="Arial" w:hAnsi="Arial"/>
          <w:sz w:val="13"/>
          <w:szCs w:val="13"/>
          <w:color w:val="auto"/>
        </w:rPr>
        <w:t>List of Subsidiaries of Harris Stratex Networks, Inc.</w:t>
      </w:r>
    </w:p>
    <w:p>
      <w:pPr>
        <w:spacing w:after="0" w:line="12" w:lineRule="exact"/>
        <w:rPr>
          <w:sz w:val="20"/>
          <w:szCs w:val="20"/>
          <w:color w:val="auto"/>
        </w:rPr>
      </w:pPr>
    </w:p>
    <w:p>
      <w:pPr>
        <w:ind w:left="1600" w:hanging="441"/>
        <w:spacing w:after="0"/>
        <w:tabs>
          <w:tab w:leader="none" w:pos="1600" w:val="left"/>
        </w:tabs>
        <w:numPr>
          <w:ilvl w:val="1"/>
          <w:numId w:val="39"/>
        </w:numPr>
        <w:rPr>
          <w:rFonts w:ascii="Arial" w:cs="Arial" w:eastAsia="Arial" w:hAnsi="Arial"/>
          <w:sz w:val="13"/>
          <w:szCs w:val="13"/>
          <w:color w:val="auto"/>
        </w:rPr>
      </w:pPr>
      <w:r>
        <w:rPr>
          <w:rFonts w:ascii="Arial" w:cs="Arial" w:eastAsia="Arial" w:hAnsi="Arial"/>
          <w:sz w:val="13"/>
          <w:szCs w:val="13"/>
          <w:color w:val="auto"/>
        </w:rPr>
        <w:t>Consent of Ernst &amp; Young LLP, Independent Registered Public Accounting Firm</w:t>
      </w:r>
    </w:p>
    <w:p>
      <w:pPr>
        <w:spacing w:after="0" w:line="11" w:lineRule="exact"/>
        <w:rPr>
          <w:rFonts w:ascii="Arial" w:cs="Arial" w:eastAsia="Arial" w:hAnsi="Arial"/>
          <w:sz w:val="13"/>
          <w:szCs w:val="13"/>
          <w:color w:val="auto"/>
        </w:rPr>
      </w:pPr>
    </w:p>
    <w:p>
      <w:pPr>
        <w:ind w:left="1060"/>
        <w:spacing w:after="0"/>
        <w:rPr>
          <w:rFonts w:ascii="Arial" w:cs="Arial" w:eastAsia="Arial" w:hAnsi="Arial"/>
          <w:sz w:val="13"/>
          <w:szCs w:val="13"/>
          <w:color w:val="auto"/>
        </w:rPr>
      </w:pPr>
      <w:r>
        <w:rPr>
          <w:rFonts w:ascii="Arial" w:cs="Arial" w:eastAsia="Arial" w:hAnsi="Arial"/>
          <w:sz w:val="13"/>
          <w:szCs w:val="13"/>
          <w:color w:val="auto"/>
        </w:rPr>
        <w:t>31.1</w:t>
      </w:r>
      <w:r>
        <w:rPr>
          <w:rFonts w:ascii="Arial" w:cs="Arial" w:eastAsia="Arial" w:hAnsi="Arial"/>
          <w:sz w:val="12"/>
          <w:szCs w:val="12"/>
          <w:color w:val="auto"/>
        </w:rPr>
        <w:t>Rule 13a-14(a)/15d-14(a) Certification of Chief Executive Officer.</w:t>
      </w:r>
    </w:p>
    <w:p>
      <w:pPr>
        <w:spacing w:after="0" w:line="11" w:lineRule="exact"/>
        <w:rPr>
          <w:rFonts w:ascii="Arial" w:cs="Arial" w:eastAsia="Arial" w:hAnsi="Arial"/>
          <w:sz w:val="13"/>
          <w:szCs w:val="13"/>
          <w:color w:val="auto"/>
        </w:rPr>
      </w:pPr>
    </w:p>
    <w:p>
      <w:pPr>
        <w:ind w:left="1060"/>
        <w:spacing w:after="0"/>
        <w:rPr>
          <w:rFonts w:ascii="Arial" w:cs="Arial" w:eastAsia="Arial" w:hAnsi="Arial"/>
          <w:sz w:val="13"/>
          <w:szCs w:val="13"/>
          <w:color w:val="auto"/>
        </w:rPr>
      </w:pPr>
      <w:r>
        <w:rPr>
          <w:rFonts w:ascii="Arial" w:cs="Arial" w:eastAsia="Arial" w:hAnsi="Arial"/>
          <w:sz w:val="13"/>
          <w:szCs w:val="13"/>
          <w:color w:val="auto"/>
        </w:rPr>
        <w:t>31.2</w:t>
      </w:r>
      <w:r>
        <w:rPr>
          <w:rFonts w:ascii="Arial" w:cs="Arial" w:eastAsia="Arial" w:hAnsi="Arial"/>
          <w:sz w:val="12"/>
          <w:szCs w:val="12"/>
          <w:color w:val="auto"/>
        </w:rPr>
        <w:t>Rule 13a-14(a)/15d-14(a) Certification of Chief Financial Officer.</w:t>
      </w:r>
    </w:p>
    <w:p>
      <w:pPr>
        <w:spacing w:after="0" w:line="11" w:lineRule="exact"/>
        <w:rPr>
          <w:rFonts w:ascii="Arial" w:cs="Arial" w:eastAsia="Arial" w:hAnsi="Arial"/>
          <w:sz w:val="13"/>
          <w:szCs w:val="13"/>
          <w:color w:val="auto"/>
        </w:rPr>
      </w:pPr>
    </w:p>
    <w:p>
      <w:pPr>
        <w:ind w:left="1060"/>
        <w:spacing w:after="0"/>
        <w:rPr>
          <w:rFonts w:ascii="Arial" w:cs="Arial" w:eastAsia="Arial" w:hAnsi="Arial"/>
          <w:sz w:val="13"/>
          <w:szCs w:val="13"/>
          <w:color w:val="auto"/>
        </w:rPr>
      </w:pPr>
      <w:r>
        <w:rPr>
          <w:rFonts w:ascii="Arial" w:cs="Arial" w:eastAsia="Arial" w:hAnsi="Arial"/>
          <w:sz w:val="13"/>
          <w:szCs w:val="13"/>
          <w:color w:val="auto"/>
        </w:rPr>
        <w:t>32.1</w:t>
      </w:r>
      <w:r>
        <w:rPr>
          <w:rFonts w:ascii="Arial" w:cs="Arial" w:eastAsia="Arial" w:hAnsi="Arial"/>
          <w:sz w:val="12"/>
          <w:szCs w:val="12"/>
          <w:color w:val="auto"/>
        </w:rPr>
        <w:t>Section 1350 Certification of Chief Executive Officer.</w:t>
      </w:r>
    </w:p>
    <w:p>
      <w:pPr>
        <w:spacing w:after="0" w:line="11" w:lineRule="exact"/>
        <w:rPr>
          <w:rFonts w:ascii="Arial" w:cs="Arial" w:eastAsia="Arial" w:hAnsi="Arial"/>
          <w:sz w:val="13"/>
          <w:szCs w:val="13"/>
          <w:color w:val="auto"/>
        </w:rPr>
      </w:pPr>
    </w:p>
    <w:p>
      <w:pPr>
        <w:ind w:left="1060"/>
        <w:spacing w:after="0"/>
        <w:rPr>
          <w:rFonts w:ascii="Arial" w:cs="Arial" w:eastAsia="Arial" w:hAnsi="Arial"/>
          <w:sz w:val="13"/>
          <w:szCs w:val="13"/>
          <w:color w:val="auto"/>
        </w:rPr>
      </w:pPr>
      <w:r>
        <w:rPr>
          <w:rFonts w:ascii="Arial" w:cs="Arial" w:eastAsia="Arial" w:hAnsi="Arial"/>
          <w:sz w:val="13"/>
          <w:szCs w:val="13"/>
          <w:color w:val="auto"/>
        </w:rPr>
        <w:t>32.2</w:t>
      </w:r>
      <w:r>
        <w:rPr>
          <w:rFonts w:ascii="Arial" w:cs="Arial" w:eastAsia="Arial" w:hAnsi="Arial"/>
          <w:sz w:val="12"/>
          <w:szCs w:val="12"/>
          <w:color w:val="auto"/>
        </w:rPr>
        <w:t>Section 1350 Certification of Chief Financial Officer.</w:t>
      </w:r>
    </w:p>
    <w:p>
      <w:pPr>
        <w:spacing w:after="0" w:line="162" w:lineRule="exact"/>
        <w:rPr>
          <w:rFonts w:ascii="Arial" w:cs="Arial" w:eastAsia="Arial" w:hAnsi="Arial"/>
          <w:sz w:val="13"/>
          <w:szCs w:val="13"/>
          <w:color w:val="auto"/>
        </w:rPr>
      </w:pPr>
    </w:p>
    <w:p>
      <w:pPr>
        <w:ind w:left="5580" w:right="2860" w:hanging="4890"/>
        <w:spacing w:after="0" w:line="504" w:lineRule="auto"/>
        <w:rPr>
          <w:rFonts w:ascii="Arial" w:cs="Arial" w:eastAsia="Arial" w:hAnsi="Arial"/>
          <w:sz w:val="13"/>
          <w:szCs w:val="13"/>
          <w:color w:val="auto"/>
        </w:rPr>
      </w:pPr>
      <w:r>
        <w:rPr>
          <w:rFonts w:ascii="Arial" w:cs="Arial" w:eastAsia="Arial" w:hAnsi="Arial"/>
          <w:sz w:val="13"/>
          <w:szCs w:val="13"/>
          <w:color w:val="auto"/>
        </w:rPr>
        <w:t>* Management compensatory contract, arrangement or plan required to be filed as an exhibit pursuant to Item 15(b) of this report. 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-429895</wp:posOffset>
            </wp:positionV>
            <wp:extent cx="825500" cy="63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2550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-3810</wp:posOffset>
            </wp:positionV>
            <wp:extent cx="7287895" cy="190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20"/>
          </w:cols>
          <w:pgMar w:left="220" w:top="349" w:right="1059" w:bottom="1440" w:gutter="0" w:footer="0" w:header="0"/>
        </w:sectPr>
      </w:pPr>
    </w:p>
    <w:bookmarkStart w:id="120" w:name="page121"/>
    <w:bookmarkEnd w:id="12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6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SIGNATURES</w:t>
      </w:r>
    </w:p>
    <w:p>
      <w:pPr>
        <w:spacing w:after="0" w:line="104" w:lineRule="exact"/>
        <w:rPr>
          <w:sz w:val="20"/>
          <w:szCs w:val="20"/>
          <w:color w:val="auto"/>
        </w:rPr>
      </w:pPr>
    </w:p>
    <w:p>
      <w:pPr>
        <w:ind w:left="680" w:right="1160" w:firstLine="399"/>
        <w:spacing w:after="0" w:line="294" w:lineRule="auto"/>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thereunto duly authorized.</w:t>
      </w:r>
    </w:p>
    <w:p>
      <w:pPr>
        <w:spacing w:after="0" w:line="289"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HARRIS STRATEX NETWORKS, INC.</w:t>
      </w:r>
    </w:p>
    <w:p>
      <w:pPr>
        <w:spacing w:after="0" w:line="22"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(Registrant)</w:t>
      </w:r>
    </w:p>
    <w:p>
      <w:pPr>
        <w:spacing w:after="0" w:line="334"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By: /s/ Harald J. Braun</w:t>
      </w:r>
    </w:p>
    <w:p>
      <w:pPr>
        <w:spacing w:after="0" w:line="32"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Harald J. Braun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3538855</wp:posOffset>
            </wp:positionH>
            <wp:positionV relativeFrom="paragraph">
              <wp:posOffset>-93980</wp:posOffset>
            </wp:positionV>
            <wp:extent cx="3789045" cy="63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789045" cy="6350"/>
                    </a:xfrm>
                    <a:prstGeom prst="rect">
                      <a:avLst/>
                    </a:prstGeom>
                    <a:noFill/>
                  </pic:spPr>
                </pic:pic>
              </a:graphicData>
            </a:graphic>
          </wp:anchor>
        </w:drawing>
      </w:r>
    </w:p>
    <w:p>
      <w:pPr>
        <w:spacing w:after="0" w:line="2"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President and Chief Executive Officer</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Date: September 3, 2009</w:t>
      </w:r>
    </w:p>
    <w:p>
      <w:pPr>
        <w:spacing w:after="0" w:line="102" w:lineRule="exact"/>
        <w:rPr>
          <w:sz w:val="20"/>
          <w:szCs w:val="20"/>
          <w:color w:val="auto"/>
        </w:rPr>
      </w:pPr>
    </w:p>
    <w:p>
      <w:pPr>
        <w:ind w:left="680" w:right="920" w:firstLine="399"/>
        <w:spacing w:after="0" w:line="294" w:lineRule="auto"/>
        <w:rPr>
          <w:sz w:val="20"/>
          <w:szCs w:val="20"/>
          <w:color w:val="auto"/>
        </w:rPr>
      </w:pPr>
      <w:r>
        <w:rPr>
          <w:rFonts w:ascii="Arial" w:cs="Arial" w:eastAsia="Arial" w:hAnsi="Arial"/>
          <w:sz w:val="13"/>
          <w:szCs w:val="13"/>
          <w:color w:val="auto"/>
        </w:rPr>
        <w:t>Pursuant to the requirements of the Securities Exchange Act of 1934, this report has been signed below by the following persons on behalf of the registrant and in the capacities and on the dates indicated.</w:t>
      </w:r>
    </w:p>
    <w:p>
      <w:pPr>
        <w:spacing w:after="0" w:line="51" w:lineRule="exact"/>
        <w:rPr>
          <w:sz w:val="20"/>
          <w:szCs w:val="20"/>
          <w:color w:val="auto"/>
        </w:rPr>
      </w:pPr>
    </w:p>
    <w:p>
      <w:pPr>
        <w:ind w:left="2520"/>
        <w:spacing w:after="0"/>
        <w:tabs>
          <w:tab w:leader="none" w:pos="6800" w:val="left"/>
          <w:tab w:leader="none" w:pos="9740" w:val="left"/>
        </w:tabs>
        <w:rPr>
          <w:sz w:val="20"/>
          <w:szCs w:val="20"/>
          <w:color w:val="auto"/>
        </w:rPr>
      </w:pPr>
      <w:r>
        <w:rPr>
          <w:rFonts w:ascii="Arial" w:cs="Arial" w:eastAsia="Arial" w:hAnsi="Arial"/>
          <w:sz w:val="11"/>
          <w:szCs w:val="11"/>
          <w:b w:val="1"/>
          <w:bCs w:val="1"/>
          <w:color w:val="auto"/>
        </w:rPr>
        <w:t>Signature</w:t>
      </w:r>
      <w:r>
        <w:rPr>
          <w:sz w:val="20"/>
          <w:szCs w:val="20"/>
          <w:color w:val="auto"/>
        </w:rPr>
        <w:tab/>
      </w:r>
      <w:r>
        <w:rPr>
          <w:rFonts w:ascii="Arial" w:cs="Arial" w:eastAsia="Arial" w:hAnsi="Arial"/>
          <w:sz w:val="11"/>
          <w:szCs w:val="11"/>
          <w:b w:val="1"/>
          <w:bCs w:val="1"/>
          <w:color w:val="auto"/>
        </w:rPr>
        <w:t>Title</w:t>
      </w:r>
      <w:r>
        <w:rPr>
          <w:sz w:val="20"/>
          <w:szCs w:val="20"/>
          <w:color w:val="auto"/>
        </w:rPr>
        <w:tab/>
      </w:r>
      <w:r>
        <w:rPr>
          <w:rFonts w:ascii="Arial" w:cs="Arial" w:eastAsia="Arial" w:hAnsi="Arial"/>
          <w:sz w:val="10"/>
          <w:szCs w:val="10"/>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635</wp:posOffset>
            </wp:positionV>
            <wp:extent cx="6334125" cy="63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334125" cy="6350"/>
                    </a:xfrm>
                    <a:prstGeom prst="rect">
                      <a:avLst/>
                    </a:prstGeom>
                    <a:noFill/>
                  </pic:spPr>
                </pic:pic>
              </a:graphicData>
            </a:graphic>
          </wp:anchor>
        </w:drawing>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80" w:type="dxa"/>
            <w:vAlign w:val="bottom"/>
          </w:tcPr>
          <w:p>
            <w:pPr>
              <w:spacing w:after="0"/>
              <w:rPr>
                <w:sz w:val="14"/>
                <w:szCs w:val="1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/s/ Harald J. Braun</w:t>
            </w:r>
          </w:p>
        </w:tc>
        <w:tc>
          <w:tcPr>
            <w:tcW w:w="4220" w:type="dxa"/>
            <w:vAlign w:val="bottom"/>
          </w:tcPr>
          <w:p>
            <w:pPr>
              <w:jc w:val="center"/>
              <w:ind w:left="33"/>
              <w:spacing w:after="0"/>
              <w:rPr>
                <w:sz w:val="20"/>
                <w:szCs w:val="20"/>
                <w:color w:val="auto"/>
              </w:rPr>
            </w:pPr>
            <w:r>
              <w:rPr>
                <w:rFonts w:ascii="Arial" w:cs="Arial" w:eastAsia="Arial" w:hAnsi="Arial"/>
                <w:sz w:val="13"/>
                <w:szCs w:val="13"/>
                <w:color w:val="auto"/>
                <w:w w:val="95"/>
              </w:rPr>
              <w:t>President, Chief Executive Officer and Director (Principal</w:t>
            </w:r>
          </w:p>
        </w:tc>
        <w:tc>
          <w:tcPr>
            <w:tcW w:w="2460" w:type="dxa"/>
            <w:vAlign w:val="bottom"/>
          </w:tcPr>
          <w:p>
            <w:pPr>
              <w:ind w:left="360"/>
              <w:spacing w:after="0"/>
              <w:rPr>
                <w:sz w:val="20"/>
                <w:szCs w:val="20"/>
                <w:color w:val="auto"/>
              </w:rPr>
            </w:pPr>
            <w:r>
              <w:rPr>
                <w:rFonts w:ascii="Arial" w:cs="Arial" w:eastAsia="Arial" w:hAnsi="Arial"/>
                <w:sz w:val="13"/>
                <w:szCs w:val="13"/>
                <w:color w:val="auto"/>
              </w:rPr>
              <w:t>September 3, 2009</w:t>
            </w:r>
          </w:p>
        </w:tc>
      </w:tr>
      <w:tr>
        <w:trPr>
          <w:trHeight w:val="162"/>
        </w:trPr>
        <w:tc>
          <w:tcPr>
            <w:tcW w:w="680" w:type="dxa"/>
            <w:vAlign w:val="bottom"/>
          </w:tcPr>
          <w:p>
            <w:pPr>
              <w:spacing w:after="0"/>
              <w:rPr>
                <w:sz w:val="14"/>
                <w:szCs w:val="14"/>
                <w:color w:val="auto"/>
              </w:rPr>
            </w:pPr>
          </w:p>
        </w:tc>
        <w:tc>
          <w:tcPr>
            <w:tcW w:w="4100" w:type="dxa"/>
            <w:vAlign w:val="bottom"/>
          </w:tcPr>
          <w:p>
            <w:pPr>
              <w:jc w:val="center"/>
              <w:spacing w:after="0"/>
              <w:rPr>
                <w:sz w:val="20"/>
                <w:szCs w:val="20"/>
                <w:color w:val="auto"/>
              </w:rPr>
            </w:pPr>
            <w:r>
              <w:rPr>
                <w:rFonts w:ascii="Arial" w:cs="Arial" w:eastAsia="Arial" w:hAnsi="Arial"/>
                <w:sz w:val="13"/>
                <w:szCs w:val="13"/>
                <w:color w:val="auto"/>
                <w:w w:val="92"/>
              </w:rPr>
              <w:t>Harald J. Braun</w:t>
            </w:r>
          </w:p>
        </w:tc>
        <w:tc>
          <w:tcPr>
            <w:tcW w:w="4220" w:type="dxa"/>
            <w:vAlign w:val="bottom"/>
          </w:tcPr>
          <w:p>
            <w:pPr>
              <w:jc w:val="center"/>
              <w:ind w:left="33"/>
              <w:spacing w:after="0"/>
              <w:rPr>
                <w:sz w:val="20"/>
                <w:szCs w:val="20"/>
                <w:color w:val="auto"/>
              </w:rPr>
            </w:pPr>
            <w:r>
              <w:rPr>
                <w:rFonts w:ascii="Arial" w:cs="Arial" w:eastAsia="Arial" w:hAnsi="Arial"/>
                <w:sz w:val="13"/>
                <w:szCs w:val="13"/>
                <w:color w:val="auto"/>
                <w:w w:val="97"/>
              </w:rPr>
              <w:t>Executive Officer)</w:t>
            </w:r>
          </w:p>
        </w:tc>
        <w:tc>
          <w:tcPr>
            <w:tcW w:w="2460" w:type="dxa"/>
            <w:vAlign w:val="bottom"/>
          </w:tcPr>
          <w:p>
            <w:pPr>
              <w:spacing w:after="0"/>
              <w:rPr>
                <w:sz w:val="14"/>
                <w:szCs w:val="14"/>
                <w:color w:val="auto"/>
              </w:rPr>
            </w:pPr>
          </w:p>
        </w:tc>
      </w:tr>
      <w:tr>
        <w:trPr>
          <w:trHeight w:val="312"/>
        </w:trPr>
        <w:tc>
          <w:tcPr>
            <w:tcW w:w="680" w:type="dxa"/>
            <w:vAlign w:val="bottom"/>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7"/>
              </w:rPr>
              <w:t>/s/ Thomas L. Cronan, III</w:t>
            </w:r>
          </w:p>
        </w:tc>
        <w:tc>
          <w:tcPr>
            <w:tcW w:w="4220" w:type="dxa"/>
            <w:vAlign w:val="bottom"/>
          </w:tcPr>
          <w:p>
            <w:pPr>
              <w:jc w:val="center"/>
              <w:ind w:left="33"/>
              <w:spacing w:after="0"/>
              <w:rPr>
                <w:sz w:val="20"/>
                <w:szCs w:val="20"/>
                <w:color w:val="auto"/>
              </w:rPr>
            </w:pPr>
            <w:r>
              <w:rPr>
                <w:rFonts w:ascii="Arial" w:cs="Arial" w:eastAsia="Arial" w:hAnsi="Arial"/>
                <w:sz w:val="13"/>
                <w:szCs w:val="13"/>
                <w:color w:val="auto"/>
                <w:w w:val="95"/>
              </w:rPr>
              <w:t>Senior Vice President and Chief Financial Officer (Principal</w:t>
            </w:r>
          </w:p>
        </w:tc>
        <w:tc>
          <w:tcPr>
            <w:tcW w:w="2460" w:type="dxa"/>
            <w:vAlign w:val="bottom"/>
          </w:tcPr>
          <w:p>
            <w:pPr>
              <w:ind w:left="360"/>
              <w:spacing w:after="0"/>
              <w:rPr>
                <w:sz w:val="20"/>
                <w:szCs w:val="20"/>
                <w:color w:val="auto"/>
              </w:rPr>
            </w:pPr>
            <w:r>
              <w:rPr>
                <w:rFonts w:ascii="Arial" w:cs="Arial" w:eastAsia="Arial" w:hAnsi="Arial"/>
                <w:sz w:val="13"/>
                <w:szCs w:val="13"/>
                <w:color w:val="auto"/>
              </w:rPr>
              <w:t>September 3, 2009</w:t>
            </w:r>
          </w:p>
        </w:tc>
      </w:tr>
      <w:tr>
        <w:trPr>
          <w:trHeight w:val="162"/>
        </w:trPr>
        <w:tc>
          <w:tcPr>
            <w:tcW w:w="680" w:type="dxa"/>
            <w:vAlign w:val="bottom"/>
          </w:tcPr>
          <w:p>
            <w:pPr>
              <w:spacing w:after="0"/>
              <w:rPr>
                <w:sz w:val="14"/>
                <w:szCs w:val="14"/>
                <w:color w:val="auto"/>
              </w:rPr>
            </w:pPr>
          </w:p>
        </w:tc>
        <w:tc>
          <w:tcPr>
            <w:tcW w:w="4100" w:type="dxa"/>
            <w:vAlign w:val="bottom"/>
          </w:tcPr>
          <w:p>
            <w:pPr>
              <w:jc w:val="center"/>
              <w:spacing w:after="0"/>
              <w:rPr>
                <w:sz w:val="20"/>
                <w:szCs w:val="20"/>
                <w:color w:val="auto"/>
              </w:rPr>
            </w:pPr>
            <w:r>
              <w:rPr>
                <w:rFonts w:ascii="Arial" w:cs="Arial" w:eastAsia="Arial" w:hAnsi="Arial"/>
                <w:sz w:val="13"/>
                <w:szCs w:val="13"/>
                <w:color w:val="auto"/>
                <w:w w:val="95"/>
              </w:rPr>
              <w:t>Thomas L. Cronan, III</w:t>
            </w:r>
          </w:p>
        </w:tc>
        <w:tc>
          <w:tcPr>
            <w:tcW w:w="4220" w:type="dxa"/>
            <w:vAlign w:val="bottom"/>
          </w:tcPr>
          <w:p>
            <w:pPr>
              <w:jc w:val="center"/>
              <w:ind w:left="33"/>
              <w:spacing w:after="0"/>
              <w:rPr>
                <w:sz w:val="20"/>
                <w:szCs w:val="20"/>
                <w:color w:val="auto"/>
              </w:rPr>
            </w:pPr>
            <w:r>
              <w:rPr>
                <w:rFonts w:ascii="Arial" w:cs="Arial" w:eastAsia="Arial" w:hAnsi="Arial"/>
                <w:sz w:val="13"/>
                <w:szCs w:val="13"/>
                <w:color w:val="auto"/>
                <w:w w:val="97"/>
              </w:rPr>
              <w:t>Financial Officer)</w:t>
            </w:r>
          </w:p>
        </w:tc>
        <w:tc>
          <w:tcPr>
            <w:tcW w:w="2460" w:type="dxa"/>
            <w:vAlign w:val="bottom"/>
          </w:tcPr>
          <w:p>
            <w:pPr>
              <w:spacing w:after="0"/>
              <w:rPr>
                <w:sz w:val="14"/>
                <w:szCs w:val="14"/>
                <w:color w:val="auto"/>
              </w:rPr>
            </w:pPr>
          </w:p>
        </w:tc>
      </w:tr>
      <w:tr>
        <w:trPr>
          <w:trHeight w:val="312"/>
        </w:trPr>
        <w:tc>
          <w:tcPr>
            <w:tcW w:w="680" w:type="dxa"/>
            <w:vAlign w:val="bottom"/>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7"/>
              </w:rPr>
              <w:t>/s/ J. Russell Mincey</w:t>
            </w:r>
          </w:p>
        </w:tc>
        <w:tc>
          <w:tcPr>
            <w:tcW w:w="4220" w:type="dxa"/>
            <w:vAlign w:val="bottom"/>
          </w:tcPr>
          <w:p>
            <w:pPr>
              <w:jc w:val="center"/>
              <w:ind w:left="13"/>
              <w:spacing w:after="0"/>
              <w:rPr>
                <w:sz w:val="20"/>
                <w:szCs w:val="20"/>
                <w:color w:val="auto"/>
              </w:rPr>
            </w:pPr>
            <w:r>
              <w:rPr>
                <w:rFonts w:ascii="Arial" w:cs="Arial" w:eastAsia="Arial" w:hAnsi="Arial"/>
                <w:sz w:val="13"/>
                <w:szCs w:val="13"/>
                <w:color w:val="auto"/>
                <w:w w:val="95"/>
              </w:rPr>
              <w:t>Vice President, Corporate Controller and Principal Accounting</w:t>
            </w:r>
          </w:p>
        </w:tc>
        <w:tc>
          <w:tcPr>
            <w:tcW w:w="2460" w:type="dxa"/>
            <w:vAlign w:val="bottom"/>
          </w:tcPr>
          <w:p>
            <w:pPr>
              <w:ind w:left="360"/>
              <w:spacing w:after="0"/>
              <w:rPr>
                <w:sz w:val="20"/>
                <w:szCs w:val="20"/>
                <w:color w:val="auto"/>
              </w:rPr>
            </w:pPr>
            <w:r>
              <w:rPr>
                <w:rFonts w:ascii="Arial" w:cs="Arial" w:eastAsia="Arial" w:hAnsi="Arial"/>
                <w:sz w:val="13"/>
                <w:szCs w:val="13"/>
                <w:color w:val="auto"/>
              </w:rPr>
              <w:t>September 3, 2009</w:t>
            </w:r>
          </w:p>
        </w:tc>
      </w:tr>
      <w:tr>
        <w:trPr>
          <w:trHeight w:val="162"/>
        </w:trPr>
        <w:tc>
          <w:tcPr>
            <w:tcW w:w="680" w:type="dxa"/>
            <w:vAlign w:val="bottom"/>
          </w:tcPr>
          <w:p>
            <w:pPr>
              <w:spacing w:after="0"/>
              <w:rPr>
                <w:sz w:val="14"/>
                <w:szCs w:val="14"/>
                <w:color w:val="auto"/>
              </w:rPr>
            </w:pPr>
          </w:p>
        </w:tc>
        <w:tc>
          <w:tcPr>
            <w:tcW w:w="4100" w:type="dxa"/>
            <w:vAlign w:val="bottom"/>
          </w:tcPr>
          <w:p>
            <w:pPr>
              <w:jc w:val="center"/>
              <w:spacing w:after="0"/>
              <w:rPr>
                <w:sz w:val="20"/>
                <w:szCs w:val="20"/>
                <w:color w:val="auto"/>
              </w:rPr>
            </w:pPr>
            <w:r>
              <w:rPr>
                <w:rFonts w:ascii="Arial" w:cs="Arial" w:eastAsia="Arial" w:hAnsi="Arial"/>
                <w:sz w:val="13"/>
                <w:szCs w:val="13"/>
                <w:color w:val="auto"/>
                <w:w w:val="94"/>
              </w:rPr>
              <w:t>J. Russell Mincey</w:t>
            </w:r>
          </w:p>
        </w:tc>
        <w:tc>
          <w:tcPr>
            <w:tcW w:w="4220" w:type="dxa"/>
            <w:vAlign w:val="bottom"/>
          </w:tcPr>
          <w:p>
            <w:pPr>
              <w:jc w:val="center"/>
              <w:ind w:left="33"/>
              <w:spacing w:after="0"/>
              <w:rPr>
                <w:sz w:val="20"/>
                <w:szCs w:val="20"/>
                <w:color w:val="auto"/>
              </w:rPr>
            </w:pPr>
            <w:r>
              <w:rPr>
                <w:rFonts w:ascii="Arial" w:cs="Arial" w:eastAsia="Arial" w:hAnsi="Arial"/>
                <w:sz w:val="13"/>
                <w:szCs w:val="13"/>
                <w:color w:val="auto"/>
                <w:w w:val="98"/>
              </w:rPr>
              <w:t>Officer (Principal Accounting Officer)</w:t>
            </w:r>
          </w:p>
        </w:tc>
        <w:tc>
          <w:tcPr>
            <w:tcW w:w="2460" w:type="dxa"/>
            <w:vAlign w:val="bottom"/>
          </w:tcPr>
          <w:p>
            <w:pPr>
              <w:spacing w:after="0"/>
              <w:rPr>
                <w:sz w:val="14"/>
                <w:szCs w:val="14"/>
                <w:color w:val="auto"/>
              </w:rPr>
            </w:pPr>
          </w:p>
        </w:tc>
      </w:tr>
      <w:tr>
        <w:trPr>
          <w:trHeight w:val="312"/>
        </w:trPr>
        <w:tc>
          <w:tcPr>
            <w:tcW w:w="680" w:type="dxa"/>
            <w:vAlign w:val="bottom"/>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5"/>
              </w:rPr>
              <w:t>/s/ Charles D. Kissner</w:t>
            </w:r>
          </w:p>
        </w:tc>
        <w:tc>
          <w:tcPr>
            <w:tcW w:w="4220" w:type="dxa"/>
            <w:vAlign w:val="bottom"/>
          </w:tcPr>
          <w:p>
            <w:pPr>
              <w:jc w:val="center"/>
              <w:ind w:left="33"/>
              <w:spacing w:after="0"/>
              <w:rPr>
                <w:sz w:val="20"/>
                <w:szCs w:val="20"/>
                <w:color w:val="auto"/>
              </w:rPr>
            </w:pPr>
            <w:r>
              <w:rPr>
                <w:rFonts w:ascii="Arial" w:cs="Arial" w:eastAsia="Arial" w:hAnsi="Arial"/>
                <w:sz w:val="13"/>
                <w:szCs w:val="13"/>
                <w:color w:val="auto"/>
                <w:w w:val="94"/>
              </w:rPr>
              <w:t>Chairman of the Board</w:t>
            </w:r>
          </w:p>
        </w:tc>
        <w:tc>
          <w:tcPr>
            <w:tcW w:w="2460" w:type="dxa"/>
            <w:vAlign w:val="bottom"/>
          </w:tcPr>
          <w:p>
            <w:pPr>
              <w:ind w:left="360"/>
              <w:spacing w:after="0"/>
              <w:rPr>
                <w:sz w:val="20"/>
                <w:szCs w:val="20"/>
                <w:color w:val="auto"/>
              </w:rPr>
            </w:pPr>
            <w:r>
              <w:rPr>
                <w:rFonts w:ascii="Arial" w:cs="Arial" w:eastAsia="Arial" w:hAnsi="Arial"/>
                <w:sz w:val="13"/>
                <w:szCs w:val="13"/>
                <w:color w:val="auto"/>
              </w:rPr>
              <w:t>September 3, 2009</w:t>
            </w:r>
          </w:p>
        </w:tc>
      </w:tr>
      <w:tr>
        <w:trPr>
          <w:trHeight w:val="162"/>
        </w:trPr>
        <w:tc>
          <w:tcPr>
            <w:tcW w:w="680" w:type="dxa"/>
            <w:vAlign w:val="bottom"/>
          </w:tcPr>
          <w:p>
            <w:pPr>
              <w:spacing w:after="0"/>
              <w:rPr>
                <w:sz w:val="14"/>
                <w:szCs w:val="14"/>
                <w:color w:val="auto"/>
              </w:rPr>
            </w:pPr>
          </w:p>
        </w:tc>
        <w:tc>
          <w:tcPr>
            <w:tcW w:w="4100" w:type="dxa"/>
            <w:vAlign w:val="bottom"/>
          </w:tcPr>
          <w:p>
            <w:pPr>
              <w:jc w:val="center"/>
              <w:spacing w:after="0"/>
              <w:rPr>
                <w:sz w:val="20"/>
                <w:szCs w:val="20"/>
                <w:color w:val="auto"/>
              </w:rPr>
            </w:pPr>
            <w:r>
              <w:rPr>
                <w:rFonts w:ascii="Arial" w:cs="Arial" w:eastAsia="Arial" w:hAnsi="Arial"/>
                <w:sz w:val="13"/>
                <w:szCs w:val="13"/>
                <w:color w:val="auto"/>
                <w:w w:val="92"/>
              </w:rPr>
              <w:t>Charles D. Kissner</w:t>
            </w:r>
          </w:p>
        </w:tc>
        <w:tc>
          <w:tcPr>
            <w:tcW w:w="422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312"/>
        </w:trPr>
        <w:tc>
          <w:tcPr>
            <w:tcW w:w="680" w:type="dxa"/>
            <w:vAlign w:val="bottom"/>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5"/>
              </w:rPr>
              <w:t>/s/ Eric C. Evans</w:t>
            </w:r>
          </w:p>
        </w:tc>
        <w:tc>
          <w:tcPr>
            <w:tcW w:w="4220" w:type="dxa"/>
            <w:vAlign w:val="bottom"/>
          </w:tcPr>
          <w:p>
            <w:pPr>
              <w:jc w:val="center"/>
              <w:ind w:left="33"/>
              <w:spacing w:after="0"/>
              <w:rPr>
                <w:sz w:val="20"/>
                <w:szCs w:val="20"/>
                <w:color w:val="auto"/>
              </w:rPr>
            </w:pPr>
            <w:r>
              <w:rPr>
                <w:rFonts w:ascii="Arial" w:cs="Arial" w:eastAsia="Arial" w:hAnsi="Arial"/>
                <w:sz w:val="13"/>
                <w:szCs w:val="13"/>
                <w:color w:val="auto"/>
                <w:w w:val="96"/>
              </w:rPr>
              <w:t>Director</w:t>
            </w:r>
          </w:p>
        </w:tc>
        <w:tc>
          <w:tcPr>
            <w:tcW w:w="2460" w:type="dxa"/>
            <w:vAlign w:val="bottom"/>
          </w:tcPr>
          <w:p>
            <w:pPr>
              <w:ind w:left="360"/>
              <w:spacing w:after="0"/>
              <w:rPr>
                <w:sz w:val="20"/>
                <w:szCs w:val="20"/>
                <w:color w:val="auto"/>
              </w:rPr>
            </w:pPr>
            <w:r>
              <w:rPr>
                <w:rFonts w:ascii="Arial" w:cs="Arial" w:eastAsia="Arial" w:hAnsi="Arial"/>
                <w:sz w:val="13"/>
                <w:szCs w:val="13"/>
                <w:color w:val="auto"/>
              </w:rPr>
              <w:t>September 3, 2009</w:t>
            </w:r>
          </w:p>
        </w:tc>
      </w:tr>
      <w:tr>
        <w:trPr>
          <w:trHeight w:val="162"/>
        </w:trPr>
        <w:tc>
          <w:tcPr>
            <w:tcW w:w="680" w:type="dxa"/>
            <w:vAlign w:val="bottom"/>
          </w:tcPr>
          <w:p>
            <w:pPr>
              <w:spacing w:after="0"/>
              <w:rPr>
                <w:sz w:val="14"/>
                <w:szCs w:val="14"/>
                <w:color w:val="auto"/>
              </w:rPr>
            </w:pPr>
          </w:p>
        </w:tc>
        <w:tc>
          <w:tcPr>
            <w:tcW w:w="4100" w:type="dxa"/>
            <w:vAlign w:val="bottom"/>
          </w:tcPr>
          <w:p>
            <w:pPr>
              <w:jc w:val="center"/>
              <w:spacing w:after="0"/>
              <w:rPr>
                <w:sz w:val="20"/>
                <w:szCs w:val="20"/>
                <w:color w:val="auto"/>
              </w:rPr>
            </w:pPr>
            <w:r>
              <w:rPr>
                <w:rFonts w:ascii="Arial" w:cs="Arial" w:eastAsia="Arial" w:hAnsi="Arial"/>
                <w:sz w:val="13"/>
                <w:szCs w:val="13"/>
                <w:color w:val="auto"/>
                <w:w w:val="96"/>
              </w:rPr>
              <w:t>Eric C. Evans</w:t>
            </w:r>
          </w:p>
        </w:tc>
        <w:tc>
          <w:tcPr>
            <w:tcW w:w="422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312"/>
        </w:trPr>
        <w:tc>
          <w:tcPr>
            <w:tcW w:w="680" w:type="dxa"/>
            <w:vAlign w:val="bottom"/>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9"/>
              </w:rPr>
              <w:t>/s/ William A. Hasler</w:t>
            </w:r>
          </w:p>
        </w:tc>
        <w:tc>
          <w:tcPr>
            <w:tcW w:w="4220" w:type="dxa"/>
            <w:vAlign w:val="bottom"/>
          </w:tcPr>
          <w:p>
            <w:pPr>
              <w:jc w:val="center"/>
              <w:ind w:left="33"/>
              <w:spacing w:after="0"/>
              <w:rPr>
                <w:sz w:val="20"/>
                <w:szCs w:val="20"/>
                <w:color w:val="auto"/>
              </w:rPr>
            </w:pPr>
            <w:r>
              <w:rPr>
                <w:rFonts w:ascii="Arial" w:cs="Arial" w:eastAsia="Arial" w:hAnsi="Arial"/>
                <w:sz w:val="13"/>
                <w:szCs w:val="13"/>
                <w:color w:val="auto"/>
                <w:w w:val="96"/>
              </w:rPr>
              <w:t>Director</w:t>
            </w:r>
          </w:p>
        </w:tc>
        <w:tc>
          <w:tcPr>
            <w:tcW w:w="2460" w:type="dxa"/>
            <w:vAlign w:val="bottom"/>
          </w:tcPr>
          <w:p>
            <w:pPr>
              <w:ind w:left="360"/>
              <w:spacing w:after="0"/>
              <w:rPr>
                <w:sz w:val="20"/>
                <w:szCs w:val="20"/>
                <w:color w:val="auto"/>
              </w:rPr>
            </w:pPr>
            <w:r>
              <w:rPr>
                <w:rFonts w:ascii="Arial" w:cs="Arial" w:eastAsia="Arial" w:hAnsi="Arial"/>
                <w:sz w:val="13"/>
                <w:szCs w:val="13"/>
                <w:color w:val="auto"/>
              </w:rPr>
              <w:t>September 3, 2009</w:t>
            </w:r>
          </w:p>
        </w:tc>
      </w:tr>
      <w:tr>
        <w:trPr>
          <w:trHeight w:val="162"/>
        </w:trPr>
        <w:tc>
          <w:tcPr>
            <w:tcW w:w="680" w:type="dxa"/>
            <w:vAlign w:val="bottom"/>
          </w:tcPr>
          <w:p>
            <w:pPr>
              <w:spacing w:after="0"/>
              <w:rPr>
                <w:sz w:val="14"/>
                <w:szCs w:val="14"/>
                <w:color w:val="auto"/>
              </w:rPr>
            </w:pPr>
          </w:p>
        </w:tc>
        <w:tc>
          <w:tcPr>
            <w:tcW w:w="4100" w:type="dxa"/>
            <w:vAlign w:val="bottom"/>
          </w:tcPr>
          <w:p>
            <w:pPr>
              <w:jc w:val="center"/>
              <w:spacing w:after="0"/>
              <w:rPr>
                <w:sz w:val="20"/>
                <w:szCs w:val="20"/>
                <w:color w:val="auto"/>
              </w:rPr>
            </w:pPr>
            <w:r>
              <w:rPr>
                <w:rFonts w:ascii="Arial" w:cs="Arial" w:eastAsia="Arial" w:hAnsi="Arial"/>
                <w:sz w:val="13"/>
                <w:szCs w:val="13"/>
                <w:color w:val="auto"/>
              </w:rPr>
              <w:t>William A. Hasler</w:t>
            </w:r>
          </w:p>
        </w:tc>
        <w:tc>
          <w:tcPr>
            <w:tcW w:w="422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312"/>
        </w:trPr>
        <w:tc>
          <w:tcPr>
            <w:tcW w:w="680" w:type="dxa"/>
            <w:vAlign w:val="bottom"/>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9"/>
              </w:rPr>
              <w:t>/s/ Clifford H. Higgerson</w:t>
            </w:r>
          </w:p>
        </w:tc>
        <w:tc>
          <w:tcPr>
            <w:tcW w:w="4220" w:type="dxa"/>
            <w:vAlign w:val="bottom"/>
          </w:tcPr>
          <w:p>
            <w:pPr>
              <w:jc w:val="center"/>
              <w:ind w:left="33"/>
              <w:spacing w:after="0"/>
              <w:rPr>
                <w:sz w:val="20"/>
                <w:szCs w:val="20"/>
                <w:color w:val="auto"/>
              </w:rPr>
            </w:pPr>
            <w:r>
              <w:rPr>
                <w:rFonts w:ascii="Arial" w:cs="Arial" w:eastAsia="Arial" w:hAnsi="Arial"/>
                <w:sz w:val="13"/>
                <w:szCs w:val="13"/>
                <w:color w:val="auto"/>
                <w:w w:val="96"/>
              </w:rPr>
              <w:t>Director</w:t>
            </w:r>
          </w:p>
        </w:tc>
        <w:tc>
          <w:tcPr>
            <w:tcW w:w="2460" w:type="dxa"/>
            <w:vAlign w:val="bottom"/>
          </w:tcPr>
          <w:p>
            <w:pPr>
              <w:ind w:left="360"/>
              <w:spacing w:after="0"/>
              <w:rPr>
                <w:sz w:val="20"/>
                <w:szCs w:val="20"/>
                <w:color w:val="auto"/>
              </w:rPr>
            </w:pPr>
            <w:r>
              <w:rPr>
                <w:rFonts w:ascii="Arial" w:cs="Arial" w:eastAsia="Arial" w:hAnsi="Arial"/>
                <w:sz w:val="13"/>
                <w:szCs w:val="13"/>
                <w:color w:val="auto"/>
              </w:rPr>
              <w:t>September 3, 2009</w:t>
            </w:r>
          </w:p>
        </w:tc>
      </w:tr>
      <w:tr>
        <w:trPr>
          <w:trHeight w:val="162"/>
        </w:trPr>
        <w:tc>
          <w:tcPr>
            <w:tcW w:w="680" w:type="dxa"/>
            <w:vAlign w:val="bottom"/>
          </w:tcPr>
          <w:p>
            <w:pPr>
              <w:spacing w:after="0"/>
              <w:rPr>
                <w:sz w:val="14"/>
                <w:szCs w:val="14"/>
                <w:color w:val="auto"/>
              </w:rPr>
            </w:pPr>
          </w:p>
        </w:tc>
        <w:tc>
          <w:tcPr>
            <w:tcW w:w="4100" w:type="dxa"/>
            <w:vAlign w:val="bottom"/>
          </w:tcPr>
          <w:p>
            <w:pPr>
              <w:jc w:val="center"/>
              <w:spacing w:after="0"/>
              <w:rPr>
                <w:sz w:val="20"/>
                <w:szCs w:val="20"/>
                <w:color w:val="auto"/>
              </w:rPr>
            </w:pPr>
            <w:r>
              <w:rPr>
                <w:rFonts w:ascii="Arial" w:cs="Arial" w:eastAsia="Arial" w:hAnsi="Arial"/>
                <w:sz w:val="13"/>
                <w:szCs w:val="13"/>
                <w:color w:val="auto"/>
                <w:w w:val="99"/>
              </w:rPr>
              <w:t>Clifford H. Higgerson</w:t>
            </w:r>
          </w:p>
        </w:tc>
        <w:tc>
          <w:tcPr>
            <w:tcW w:w="422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312"/>
        </w:trPr>
        <w:tc>
          <w:tcPr>
            <w:tcW w:w="680" w:type="dxa"/>
            <w:vAlign w:val="bottom"/>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8"/>
              </w:rPr>
              <w:t>/s/ Dr. Mohsen Sohi</w:t>
            </w:r>
          </w:p>
        </w:tc>
        <w:tc>
          <w:tcPr>
            <w:tcW w:w="4220" w:type="dxa"/>
            <w:vAlign w:val="bottom"/>
          </w:tcPr>
          <w:p>
            <w:pPr>
              <w:jc w:val="center"/>
              <w:ind w:left="33"/>
              <w:spacing w:after="0"/>
              <w:rPr>
                <w:sz w:val="20"/>
                <w:szCs w:val="20"/>
                <w:color w:val="auto"/>
              </w:rPr>
            </w:pPr>
            <w:r>
              <w:rPr>
                <w:rFonts w:ascii="Arial" w:cs="Arial" w:eastAsia="Arial" w:hAnsi="Arial"/>
                <w:sz w:val="13"/>
                <w:szCs w:val="13"/>
                <w:color w:val="auto"/>
                <w:w w:val="96"/>
              </w:rPr>
              <w:t>Director</w:t>
            </w:r>
          </w:p>
        </w:tc>
        <w:tc>
          <w:tcPr>
            <w:tcW w:w="2460" w:type="dxa"/>
            <w:vAlign w:val="bottom"/>
          </w:tcPr>
          <w:p>
            <w:pPr>
              <w:ind w:left="360"/>
              <w:spacing w:after="0"/>
              <w:rPr>
                <w:sz w:val="20"/>
                <w:szCs w:val="20"/>
                <w:color w:val="auto"/>
              </w:rPr>
            </w:pPr>
            <w:r>
              <w:rPr>
                <w:rFonts w:ascii="Arial" w:cs="Arial" w:eastAsia="Arial" w:hAnsi="Arial"/>
                <w:sz w:val="13"/>
                <w:szCs w:val="13"/>
                <w:color w:val="auto"/>
              </w:rPr>
              <w:t>September 3, 2009</w:t>
            </w:r>
          </w:p>
        </w:tc>
      </w:tr>
      <w:tr>
        <w:trPr>
          <w:trHeight w:val="162"/>
        </w:trPr>
        <w:tc>
          <w:tcPr>
            <w:tcW w:w="680" w:type="dxa"/>
            <w:vAlign w:val="bottom"/>
          </w:tcPr>
          <w:p>
            <w:pPr>
              <w:spacing w:after="0"/>
              <w:rPr>
                <w:sz w:val="14"/>
                <w:szCs w:val="14"/>
                <w:color w:val="auto"/>
              </w:rPr>
            </w:pPr>
          </w:p>
        </w:tc>
        <w:tc>
          <w:tcPr>
            <w:tcW w:w="4100" w:type="dxa"/>
            <w:vAlign w:val="bottom"/>
          </w:tcPr>
          <w:p>
            <w:pPr>
              <w:jc w:val="center"/>
              <w:spacing w:after="0"/>
              <w:rPr>
                <w:sz w:val="20"/>
                <w:szCs w:val="20"/>
                <w:color w:val="auto"/>
              </w:rPr>
            </w:pPr>
            <w:r>
              <w:rPr>
                <w:rFonts w:ascii="Arial" w:cs="Arial" w:eastAsia="Arial" w:hAnsi="Arial"/>
                <w:sz w:val="13"/>
                <w:szCs w:val="13"/>
                <w:color w:val="auto"/>
                <w:w w:val="94"/>
              </w:rPr>
              <w:t>Dr. Mohsen Sohi</w:t>
            </w:r>
          </w:p>
        </w:tc>
        <w:tc>
          <w:tcPr>
            <w:tcW w:w="422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312"/>
        </w:trPr>
        <w:tc>
          <w:tcPr>
            <w:tcW w:w="680" w:type="dxa"/>
            <w:vAlign w:val="bottom"/>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5"/>
              </w:rPr>
              <w:t>/s/ James C. Stoffel</w:t>
            </w:r>
          </w:p>
        </w:tc>
        <w:tc>
          <w:tcPr>
            <w:tcW w:w="4220" w:type="dxa"/>
            <w:vAlign w:val="bottom"/>
          </w:tcPr>
          <w:p>
            <w:pPr>
              <w:jc w:val="center"/>
              <w:ind w:left="33"/>
              <w:spacing w:after="0"/>
              <w:rPr>
                <w:sz w:val="20"/>
                <w:szCs w:val="20"/>
                <w:color w:val="auto"/>
              </w:rPr>
            </w:pPr>
            <w:r>
              <w:rPr>
                <w:rFonts w:ascii="Arial" w:cs="Arial" w:eastAsia="Arial" w:hAnsi="Arial"/>
                <w:sz w:val="13"/>
                <w:szCs w:val="13"/>
                <w:color w:val="auto"/>
                <w:w w:val="96"/>
              </w:rPr>
              <w:t>Director</w:t>
            </w:r>
          </w:p>
        </w:tc>
        <w:tc>
          <w:tcPr>
            <w:tcW w:w="2460" w:type="dxa"/>
            <w:vAlign w:val="bottom"/>
          </w:tcPr>
          <w:p>
            <w:pPr>
              <w:ind w:left="360"/>
              <w:spacing w:after="0"/>
              <w:rPr>
                <w:sz w:val="20"/>
                <w:szCs w:val="20"/>
                <w:color w:val="auto"/>
              </w:rPr>
            </w:pPr>
            <w:r>
              <w:rPr>
                <w:rFonts w:ascii="Arial" w:cs="Arial" w:eastAsia="Arial" w:hAnsi="Arial"/>
                <w:sz w:val="13"/>
                <w:szCs w:val="13"/>
                <w:color w:val="auto"/>
              </w:rPr>
              <w:t>September 3, 2009</w:t>
            </w:r>
          </w:p>
        </w:tc>
      </w:tr>
      <w:tr>
        <w:trPr>
          <w:trHeight w:val="162"/>
        </w:trPr>
        <w:tc>
          <w:tcPr>
            <w:tcW w:w="680" w:type="dxa"/>
            <w:vAlign w:val="bottom"/>
          </w:tcPr>
          <w:p>
            <w:pPr>
              <w:spacing w:after="0"/>
              <w:rPr>
                <w:sz w:val="14"/>
                <w:szCs w:val="14"/>
                <w:color w:val="auto"/>
              </w:rPr>
            </w:pPr>
          </w:p>
        </w:tc>
        <w:tc>
          <w:tcPr>
            <w:tcW w:w="4100" w:type="dxa"/>
            <w:vAlign w:val="bottom"/>
          </w:tcPr>
          <w:p>
            <w:pPr>
              <w:jc w:val="center"/>
              <w:spacing w:after="0"/>
              <w:rPr>
                <w:sz w:val="20"/>
                <w:szCs w:val="20"/>
                <w:color w:val="auto"/>
              </w:rPr>
            </w:pPr>
            <w:r>
              <w:rPr>
                <w:rFonts w:ascii="Arial" w:cs="Arial" w:eastAsia="Arial" w:hAnsi="Arial"/>
                <w:sz w:val="13"/>
                <w:szCs w:val="13"/>
                <w:color w:val="auto"/>
                <w:w w:val="92"/>
              </w:rPr>
              <w:t>James C. Stoffel</w:t>
            </w:r>
          </w:p>
        </w:tc>
        <w:tc>
          <w:tcPr>
            <w:tcW w:w="422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312"/>
        </w:trPr>
        <w:tc>
          <w:tcPr>
            <w:tcW w:w="680" w:type="dxa"/>
            <w:vAlign w:val="bottom"/>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/s/ Edward F. Thompson</w:t>
            </w:r>
          </w:p>
        </w:tc>
        <w:tc>
          <w:tcPr>
            <w:tcW w:w="4220" w:type="dxa"/>
            <w:vAlign w:val="bottom"/>
          </w:tcPr>
          <w:p>
            <w:pPr>
              <w:jc w:val="center"/>
              <w:ind w:left="33"/>
              <w:spacing w:after="0"/>
              <w:rPr>
                <w:sz w:val="20"/>
                <w:szCs w:val="20"/>
                <w:color w:val="auto"/>
              </w:rPr>
            </w:pPr>
            <w:r>
              <w:rPr>
                <w:rFonts w:ascii="Arial" w:cs="Arial" w:eastAsia="Arial" w:hAnsi="Arial"/>
                <w:sz w:val="13"/>
                <w:szCs w:val="13"/>
                <w:color w:val="auto"/>
                <w:w w:val="96"/>
              </w:rPr>
              <w:t>Director</w:t>
            </w:r>
          </w:p>
        </w:tc>
        <w:tc>
          <w:tcPr>
            <w:tcW w:w="2460" w:type="dxa"/>
            <w:vAlign w:val="bottom"/>
          </w:tcPr>
          <w:p>
            <w:pPr>
              <w:ind w:left="360"/>
              <w:spacing w:after="0"/>
              <w:rPr>
                <w:sz w:val="20"/>
                <w:szCs w:val="20"/>
                <w:color w:val="auto"/>
              </w:rPr>
            </w:pPr>
            <w:r>
              <w:rPr>
                <w:rFonts w:ascii="Arial" w:cs="Arial" w:eastAsia="Arial" w:hAnsi="Arial"/>
                <w:sz w:val="13"/>
                <w:szCs w:val="13"/>
                <w:color w:val="auto"/>
              </w:rPr>
              <w:t>September 3, 2009</w:t>
            </w:r>
          </w:p>
        </w:tc>
      </w:tr>
      <w:tr>
        <w:trPr>
          <w:trHeight w:val="162"/>
        </w:trPr>
        <w:tc>
          <w:tcPr>
            <w:tcW w:w="680" w:type="dxa"/>
            <w:vAlign w:val="bottom"/>
          </w:tcPr>
          <w:p>
            <w:pPr>
              <w:spacing w:after="0"/>
              <w:rPr>
                <w:sz w:val="14"/>
                <w:szCs w:val="14"/>
                <w:color w:val="auto"/>
              </w:rPr>
            </w:pPr>
          </w:p>
        </w:tc>
        <w:tc>
          <w:tcPr>
            <w:tcW w:w="4100" w:type="dxa"/>
            <w:vAlign w:val="bottom"/>
          </w:tcPr>
          <w:p>
            <w:pPr>
              <w:jc w:val="center"/>
              <w:spacing w:after="0"/>
              <w:rPr>
                <w:sz w:val="20"/>
                <w:szCs w:val="20"/>
                <w:color w:val="auto"/>
              </w:rPr>
            </w:pPr>
            <w:r>
              <w:rPr>
                <w:rFonts w:ascii="Arial" w:cs="Arial" w:eastAsia="Arial" w:hAnsi="Arial"/>
                <w:sz w:val="13"/>
                <w:szCs w:val="13"/>
                <w:color w:val="auto"/>
                <w:w w:val="93"/>
              </w:rPr>
              <w:t>Edward F. Thompson</w:t>
            </w:r>
          </w:p>
        </w:tc>
        <w:tc>
          <w:tcPr>
            <w:tcW w:w="422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443"/>
        </w:trPr>
        <w:tc>
          <w:tcPr>
            <w:tcW w:w="6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4220" w:type="dxa"/>
            <w:vAlign w:val="bottom"/>
          </w:tcPr>
          <w:p>
            <w:pPr>
              <w:jc w:val="right"/>
              <w:ind w:right="3153"/>
              <w:spacing w:after="0"/>
              <w:rPr>
                <w:sz w:val="20"/>
                <w:szCs w:val="20"/>
                <w:color w:val="auto"/>
              </w:rPr>
            </w:pPr>
            <w:r>
              <w:rPr>
                <w:rFonts w:ascii="Arial" w:cs="Arial" w:eastAsia="Arial" w:hAnsi="Arial"/>
                <w:sz w:val="13"/>
                <w:szCs w:val="13"/>
                <w:color w:val="auto"/>
              </w:rPr>
              <w:t>120</w:t>
            </w:r>
          </w:p>
        </w:tc>
        <w:tc>
          <w:tcPr>
            <w:tcW w:w="2460" w:type="dxa"/>
            <w:vAlign w:val="bottom"/>
          </w:tcPr>
          <w:p>
            <w:pPr>
              <w:spacing w:after="0"/>
              <w:rPr>
                <w:sz w:val="24"/>
                <w:szCs w:val="24"/>
                <w:color w:val="auto"/>
              </w:rPr>
            </w:pPr>
          </w:p>
        </w:tc>
      </w:tr>
      <w:tr>
        <w:trPr>
          <w:trHeight w:val="167"/>
        </w:trPr>
        <w:tc>
          <w:tcPr>
            <w:tcW w:w="680" w:type="dxa"/>
            <w:vAlign w:val="bottom"/>
            <w:tcBorders>
              <w:bottom w:val="single" w:sz="8" w:color="808080"/>
            </w:tcBorders>
          </w:tcPr>
          <w:p>
            <w:pPr>
              <w:spacing w:after="0"/>
              <w:rPr>
                <w:sz w:val="14"/>
                <w:szCs w:val="14"/>
                <w:color w:val="auto"/>
              </w:rPr>
            </w:pPr>
          </w:p>
        </w:tc>
        <w:tc>
          <w:tcPr>
            <w:tcW w:w="4100" w:type="dxa"/>
            <w:vAlign w:val="bottom"/>
            <w:tcBorders>
              <w:bottom w:val="single" w:sz="8" w:color="808080"/>
            </w:tcBorders>
          </w:tcPr>
          <w:p>
            <w:pPr>
              <w:spacing w:after="0"/>
              <w:rPr>
                <w:sz w:val="14"/>
                <w:szCs w:val="14"/>
                <w:color w:val="auto"/>
              </w:rPr>
            </w:pPr>
          </w:p>
        </w:tc>
        <w:tc>
          <w:tcPr>
            <w:tcW w:w="4220" w:type="dxa"/>
            <w:vAlign w:val="bottom"/>
            <w:tcBorders>
              <w:bottom w:val="single" w:sz="8" w:color="808080"/>
            </w:tcBorders>
          </w:tcPr>
          <w:p>
            <w:pPr>
              <w:spacing w:after="0"/>
              <w:rPr>
                <w:sz w:val="14"/>
                <w:szCs w:val="14"/>
                <w:color w:val="auto"/>
              </w:rPr>
            </w:pPr>
          </w:p>
        </w:tc>
        <w:tc>
          <w:tcPr>
            <w:tcW w:w="246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12700" cy="63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9" w:right="219" w:bottom="1440" w:gutter="0" w:footer="0" w:header="0"/>
        </w:sectPr>
      </w:pPr>
    </w:p>
    <w:bookmarkStart w:id="121" w:name="page122"/>
    <w:bookmarkEnd w:id="12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6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SCHEDULE II — VALUATION AND QUALIFYING ACCOUNTS AND RESERVES</w:t>
      </w:r>
    </w:p>
    <w:p>
      <w:pPr>
        <w:spacing w:after="0" w:line="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HARRIS STRATEX NETWORKS, INC. AND SUBSIDIARIES</w:t>
      </w:r>
    </w:p>
    <w:p>
      <w:pPr>
        <w:spacing w:after="0" w:line="160" w:lineRule="exact"/>
        <w:rPr>
          <w:sz w:val="20"/>
          <w:szCs w:val="20"/>
          <w:color w:val="auto"/>
        </w:rPr>
      </w:pPr>
    </w:p>
    <w:p>
      <w:pPr>
        <w:ind w:left="4000"/>
        <w:spacing w:after="0"/>
        <w:rPr>
          <w:sz w:val="20"/>
          <w:szCs w:val="20"/>
          <w:color w:val="auto"/>
        </w:rPr>
      </w:pPr>
      <w:r>
        <w:rPr>
          <w:rFonts w:ascii="Arial" w:cs="Arial" w:eastAsia="Arial" w:hAnsi="Arial"/>
          <w:sz w:val="13"/>
          <w:szCs w:val="13"/>
          <w:b w:val="1"/>
          <w:bCs w:val="1"/>
          <w:color w:val="auto"/>
        </w:rPr>
        <w:t>Years Ended July 3, 2009, June 27, 2008 and June 29, 2007</w:t>
      </w:r>
    </w:p>
    <w:p>
      <w:pPr>
        <w:spacing w:after="0" w:line="108" w:lineRule="exact"/>
        <w:rPr>
          <w:sz w:val="20"/>
          <w:szCs w:val="20"/>
          <w:color w:val="auto"/>
        </w:rPr>
      </w:pPr>
    </w:p>
    <w:tbl>
      <w:tblPr>
        <w:tblLayout w:type="fixed"/>
        <w:tblInd w:w="680" w:type="dxa"/>
        <w:tblCellMar>
          <w:top w:w="0" w:type="dxa"/>
          <w:left w:w="0" w:type="dxa"/>
          <w:bottom w:w="0" w:type="dxa"/>
          <w:right w:w="0" w:type="dxa"/>
        </w:tblCellMar>
      </w:tblPr>
      <w:tr>
        <w:trPr>
          <w:trHeight w:val="128"/>
        </w:trPr>
        <w:tc>
          <w:tcPr>
            <w:tcW w:w="4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0" w:type="dxa"/>
            <w:vAlign w:val="bottom"/>
            <w:gridSpan w:val="3"/>
          </w:tcPr>
          <w:p>
            <w:pPr>
              <w:jc w:val="right"/>
              <w:ind w:right="1280"/>
              <w:spacing w:after="0"/>
              <w:rPr>
                <w:sz w:val="20"/>
                <w:szCs w:val="20"/>
                <w:color w:val="auto"/>
              </w:rPr>
            </w:pPr>
            <w:r>
              <w:rPr>
                <w:rFonts w:ascii="Arial" w:cs="Arial" w:eastAsia="Arial" w:hAnsi="Arial"/>
                <w:sz w:val="11"/>
                <w:szCs w:val="11"/>
                <w:b w:val="1"/>
                <w:bCs w:val="1"/>
                <w:color w:val="auto"/>
                <w:w w:val="98"/>
              </w:rPr>
              <w:t>Additions</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4600" w:type="dxa"/>
            <w:vAlign w:val="bottom"/>
          </w:tcPr>
          <w:p>
            <w:pPr>
              <w:spacing w:after="0"/>
              <w:rPr>
                <w:sz w:val="7"/>
                <w:szCs w:val="7"/>
                <w:color w:val="auto"/>
              </w:rPr>
            </w:pPr>
          </w:p>
        </w:tc>
        <w:tc>
          <w:tcPr>
            <w:tcW w:w="960" w:type="dxa"/>
            <w:vAlign w:val="bottom"/>
            <w:gridSpan w:val="2"/>
            <w:vMerge w:val="restart"/>
          </w:tcPr>
          <w:p>
            <w:pPr>
              <w:jc w:val="center"/>
              <w:ind w:right="400"/>
              <w:spacing w:after="0"/>
              <w:rPr>
                <w:sz w:val="20"/>
                <w:szCs w:val="20"/>
                <w:color w:val="auto"/>
              </w:rPr>
            </w:pPr>
            <w:r>
              <w:rPr>
                <w:rFonts w:ascii="Arial" w:cs="Arial" w:eastAsia="Arial" w:hAnsi="Arial"/>
                <w:sz w:val="11"/>
                <w:szCs w:val="11"/>
                <w:b w:val="1"/>
                <w:bCs w:val="1"/>
                <w:color w:val="auto"/>
                <w:w w:val="87"/>
              </w:rPr>
              <w:t>Balance at</w:t>
            </w:r>
          </w:p>
        </w:tc>
        <w:tc>
          <w:tcPr>
            <w:tcW w:w="680" w:type="dxa"/>
            <w:vAlign w:val="bottom"/>
            <w:tcBorders>
              <w:top w:val="single" w:sz="8" w:color="auto"/>
            </w:tcBorders>
          </w:tcPr>
          <w:p>
            <w:pPr>
              <w:jc w:val="center"/>
              <w:spacing w:after="0" w:line="84" w:lineRule="exact"/>
              <w:rPr>
                <w:sz w:val="20"/>
                <w:szCs w:val="20"/>
                <w:color w:val="auto"/>
              </w:rPr>
            </w:pPr>
            <w:r>
              <w:rPr>
                <w:rFonts w:ascii="Arial" w:cs="Arial" w:eastAsia="Arial" w:hAnsi="Arial"/>
                <w:sz w:val="9"/>
                <w:szCs w:val="9"/>
                <w:b w:val="1"/>
                <w:bCs w:val="1"/>
                <w:color w:val="auto"/>
              </w:rPr>
              <w:t>(1)</w:t>
            </w:r>
          </w:p>
        </w:tc>
        <w:tc>
          <w:tcPr>
            <w:tcW w:w="60" w:type="dxa"/>
            <w:vAlign w:val="bottom"/>
            <w:tcBorders>
              <w:top w:val="single" w:sz="8" w:color="auto"/>
            </w:tcBorders>
          </w:tcPr>
          <w:p>
            <w:pPr>
              <w:spacing w:after="0"/>
              <w:rPr>
                <w:sz w:val="7"/>
                <w:szCs w:val="7"/>
                <w:color w:val="auto"/>
              </w:rPr>
            </w:pPr>
          </w:p>
        </w:tc>
        <w:tc>
          <w:tcPr>
            <w:tcW w:w="1320" w:type="dxa"/>
            <w:vAlign w:val="bottom"/>
            <w:tcBorders>
              <w:top w:val="single" w:sz="8" w:color="auto"/>
            </w:tcBorders>
            <w:gridSpan w:val="2"/>
          </w:tcPr>
          <w:p>
            <w:pPr>
              <w:jc w:val="center"/>
              <w:ind w:left="270"/>
              <w:spacing w:after="0" w:line="84" w:lineRule="exact"/>
              <w:rPr>
                <w:sz w:val="20"/>
                <w:szCs w:val="20"/>
                <w:color w:val="auto"/>
              </w:rPr>
            </w:pPr>
            <w:r>
              <w:rPr>
                <w:rFonts w:ascii="Arial" w:cs="Arial" w:eastAsia="Arial" w:hAnsi="Arial"/>
                <w:sz w:val="9"/>
                <w:szCs w:val="9"/>
                <w:b w:val="1"/>
                <w:bCs w:val="1"/>
                <w:color w:val="auto"/>
              </w:rPr>
              <w:t>(2)</w:t>
            </w:r>
          </w:p>
        </w:tc>
        <w:tc>
          <w:tcPr>
            <w:tcW w:w="480" w:type="dxa"/>
            <w:vAlign w:val="bottom"/>
          </w:tcPr>
          <w:p>
            <w:pPr>
              <w:spacing w:after="0"/>
              <w:rPr>
                <w:sz w:val="7"/>
                <w:szCs w:val="7"/>
                <w:color w:val="auto"/>
              </w:rPr>
            </w:pPr>
          </w:p>
        </w:tc>
        <w:tc>
          <w:tcPr>
            <w:tcW w:w="1200" w:type="dxa"/>
            <w:vAlign w:val="bottom"/>
            <w:gridSpan w:val="2"/>
            <w:vMerge w:val="restart"/>
          </w:tcPr>
          <w:p>
            <w:pPr>
              <w:jc w:val="center"/>
              <w:ind w:right="520"/>
              <w:spacing w:after="0"/>
              <w:rPr>
                <w:sz w:val="20"/>
                <w:szCs w:val="20"/>
                <w:color w:val="auto"/>
              </w:rPr>
            </w:pPr>
            <w:r>
              <w:rPr>
                <w:rFonts w:ascii="Arial" w:cs="Arial" w:eastAsia="Arial" w:hAnsi="Arial"/>
                <w:sz w:val="11"/>
                <w:szCs w:val="11"/>
                <w:b w:val="1"/>
                <w:bCs w:val="1"/>
                <w:color w:val="auto"/>
                <w:w w:val="89"/>
              </w:rPr>
              <w:t>(Additions)</w:t>
            </w:r>
          </w:p>
        </w:tc>
        <w:tc>
          <w:tcPr>
            <w:tcW w:w="680" w:type="dxa"/>
            <w:vAlign w:val="bottom"/>
            <w:gridSpan w:val="2"/>
            <w:vMerge w:val="restart"/>
          </w:tcPr>
          <w:p>
            <w:pPr>
              <w:jc w:val="center"/>
              <w:ind w:right="80"/>
              <w:spacing w:after="0"/>
              <w:rPr>
                <w:sz w:val="20"/>
                <w:szCs w:val="20"/>
                <w:color w:val="auto"/>
              </w:rPr>
            </w:pPr>
            <w:r>
              <w:rPr>
                <w:rFonts w:ascii="Arial" w:cs="Arial" w:eastAsia="Arial" w:hAnsi="Arial"/>
                <w:sz w:val="11"/>
                <w:szCs w:val="11"/>
                <w:b w:val="1"/>
                <w:bCs w:val="1"/>
                <w:color w:val="auto"/>
                <w:w w:val="87"/>
              </w:rPr>
              <w:t>Balance at</w:t>
            </w:r>
          </w:p>
        </w:tc>
        <w:tc>
          <w:tcPr>
            <w:tcW w:w="0" w:type="dxa"/>
            <w:vAlign w:val="bottom"/>
          </w:tcPr>
          <w:p>
            <w:pPr>
              <w:spacing w:after="0"/>
              <w:rPr>
                <w:sz w:val="1"/>
                <w:szCs w:val="1"/>
                <w:color w:val="auto"/>
              </w:rPr>
            </w:pPr>
          </w:p>
        </w:tc>
      </w:tr>
      <w:tr>
        <w:trPr>
          <w:trHeight w:val="111"/>
        </w:trPr>
        <w:tc>
          <w:tcPr>
            <w:tcW w:w="460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740" w:type="dxa"/>
            <w:vAlign w:val="bottom"/>
            <w:gridSpan w:val="2"/>
          </w:tcPr>
          <w:p>
            <w:pPr>
              <w:jc w:val="center"/>
              <w:ind w:right="60"/>
              <w:spacing w:after="0" w:line="111" w:lineRule="exact"/>
              <w:rPr>
                <w:sz w:val="20"/>
                <w:szCs w:val="20"/>
                <w:color w:val="auto"/>
              </w:rPr>
            </w:pPr>
            <w:r>
              <w:rPr>
                <w:rFonts w:ascii="Arial" w:cs="Arial" w:eastAsia="Arial" w:hAnsi="Arial"/>
                <w:sz w:val="11"/>
                <w:szCs w:val="11"/>
                <w:b w:val="1"/>
                <w:bCs w:val="1"/>
                <w:color w:val="auto"/>
                <w:w w:val="89"/>
              </w:rPr>
              <w:t>Charged to</w:t>
            </w:r>
          </w:p>
        </w:tc>
        <w:tc>
          <w:tcPr>
            <w:tcW w:w="320" w:type="dxa"/>
            <w:vAlign w:val="bottom"/>
          </w:tcPr>
          <w:p>
            <w:pPr>
              <w:spacing w:after="0"/>
              <w:rPr>
                <w:sz w:val="9"/>
                <w:szCs w:val="9"/>
                <w:color w:val="auto"/>
              </w:rPr>
            </w:pPr>
          </w:p>
        </w:tc>
        <w:tc>
          <w:tcPr>
            <w:tcW w:w="1480" w:type="dxa"/>
            <w:vAlign w:val="bottom"/>
            <w:gridSpan w:val="2"/>
          </w:tcPr>
          <w:p>
            <w:pPr>
              <w:jc w:val="center"/>
              <w:ind w:right="480"/>
              <w:spacing w:after="0" w:line="111" w:lineRule="exact"/>
              <w:rPr>
                <w:sz w:val="20"/>
                <w:szCs w:val="20"/>
                <w:color w:val="auto"/>
              </w:rPr>
            </w:pPr>
            <w:r>
              <w:rPr>
                <w:rFonts w:ascii="Arial" w:cs="Arial" w:eastAsia="Arial" w:hAnsi="Arial"/>
                <w:sz w:val="11"/>
                <w:szCs w:val="11"/>
                <w:b w:val="1"/>
                <w:bCs w:val="1"/>
                <w:color w:val="auto"/>
                <w:w w:val="89"/>
              </w:rPr>
              <w:t>Charged to</w:t>
            </w:r>
          </w:p>
        </w:tc>
        <w:tc>
          <w:tcPr>
            <w:tcW w:w="1200" w:type="dxa"/>
            <w:vAlign w:val="bottom"/>
            <w:gridSpan w:val="2"/>
            <w:vMerge w:val="continue"/>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4600" w:type="dxa"/>
            <w:vAlign w:val="bottom"/>
          </w:tcPr>
          <w:p>
            <w:pPr>
              <w:spacing w:after="0"/>
              <w:rPr>
                <w:sz w:val="9"/>
                <w:szCs w:val="9"/>
                <w:color w:val="auto"/>
              </w:rPr>
            </w:pPr>
          </w:p>
        </w:tc>
        <w:tc>
          <w:tcPr>
            <w:tcW w:w="960" w:type="dxa"/>
            <w:vAlign w:val="bottom"/>
            <w:gridSpan w:val="2"/>
          </w:tcPr>
          <w:p>
            <w:pPr>
              <w:jc w:val="center"/>
              <w:ind w:right="380"/>
              <w:spacing w:after="0" w:line="111" w:lineRule="exact"/>
              <w:rPr>
                <w:sz w:val="20"/>
                <w:szCs w:val="20"/>
                <w:color w:val="auto"/>
              </w:rPr>
            </w:pPr>
            <w:r>
              <w:rPr>
                <w:rFonts w:ascii="Arial" w:cs="Arial" w:eastAsia="Arial" w:hAnsi="Arial"/>
                <w:sz w:val="11"/>
                <w:szCs w:val="11"/>
                <w:b w:val="1"/>
                <w:bCs w:val="1"/>
                <w:color w:val="auto"/>
                <w:w w:val="85"/>
              </w:rPr>
              <w:t>Beginning</w:t>
            </w:r>
          </w:p>
        </w:tc>
        <w:tc>
          <w:tcPr>
            <w:tcW w:w="740" w:type="dxa"/>
            <w:vAlign w:val="bottom"/>
            <w:gridSpan w:val="2"/>
          </w:tcPr>
          <w:p>
            <w:pPr>
              <w:jc w:val="center"/>
              <w:ind w:right="60"/>
              <w:spacing w:after="0" w:line="111" w:lineRule="exact"/>
              <w:rPr>
                <w:sz w:val="20"/>
                <w:szCs w:val="20"/>
                <w:color w:val="auto"/>
              </w:rPr>
            </w:pPr>
            <w:r>
              <w:rPr>
                <w:rFonts w:ascii="Arial" w:cs="Arial" w:eastAsia="Arial" w:hAnsi="Arial"/>
                <w:sz w:val="11"/>
                <w:szCs w:val="11"/>
                <w:b w:val="1"/>
                <w:bCs w:val="1"/>
                <w:color w:val="auto"/>
                <w:w w:val="82"/>
              </w:rPr>
              <w:t>Costs and</w:t>
            </w:r>
          </w:p>
        </w:tc>
        <w:tc>
          <w:tcPr>
            <w:tcW w:w="320" w:type="dxa"/>
            <w:vAlign w:val="bottom"/>
          </w:tcPr>
          <w:p>
            <w:pPr>
              <w:spacing w:after="0"/>
              <w:rPr>
                <w:sz w:val="9"/>
                <w:szCs w:val="9"/>
                <w:color w:val="auto"/>
              </w:rPr>
            </w:pPr>
          </w:p>
        </w:tc>
        <w:tc>
          <w:tcPr>
            <w:tcW w:w="1480" w:type="dxa"/>
            <w:vAlign w:val="bottom"/>
            <w:gridSpan w:val="2"/>
          </w:tcPr>
          <w:p>
            <w:pPr>
              <w:jc w:val="center"/>
              <w:ind w:right="480"/>
              <w:spacing w:after="0" w:line="111" w:lineRule="exact"/>
              <w:rPr>
                <w:sz w:val="20"/>
                <w:szCs w:val="20"/>
                <w:color w:val="auto"/>
              </w:rPr>
            </w:pPr>
            <w:r>
              <w:rPr>
                <w:rFonts w:ascii="Arial" w:cs="Arial" w:eastAsia="Arial" w:hAnsi="Arial"/>
                <w:sz w:val="11"/>
                <w:szCs w:val="11"/>
                <w:b w:val="1"/>
                <w:bCs w:val="1"/>
                <w:color w:val="auto"/>
                <w:w w:val="87"/>
              </w:rPr>
              <w:t>Other Accounts</w:t>
            </w:r>
          </w:p>
        </w:tc>
        <w:tc>
          <w:tcPr>
            <w:tcW w:w="1200" w:type="dxa"/>
            <w:vAlign w:val="bottom"/>
            <w:gridSpan w:val="2"/>
          </w:tcPr>
          <w:p>
            <w:pPr>
              <w:jc w:val="center"/>
              <w:ind w:right="520"/>
              <w:spacing w:after="0" w:line="111" w:lineRule="exact"/>
              <w:rPr>
                <w:sz w:val="20"/>
                <w:szCs w:val="20"/>
                <w:color w:val="auto"/>
              </w:rPr>
            </w:pPr>
            <w:r>
              <w:rPr>
                <w:rFonts w:ascii="Arial" w:cs="Arial" w:eastAsia="Arial" w:hAnsi="Arial"/>
                <w:sz w:val="11"/>
                <w:szCs w:val="11"/>
                <w:b w:val="1"/>
                <w:bCs w:val="1"/>
                <w:color w:val="auto"/>
                <w:w w:val="86"/>
              </w:rPr>
              <w:t>Deductions</w:t>
            </w:r>
          </w:p>
        </w:tc>
        <w:tc>
          <w:tcPr>
            <w:tcW w:w="680" w:type="dxa"/>
            <w:vAlign w:val="bottom"/>
            <w:gridSpan w:val="2"/>
          </w:tcPr>
          <w:p>
            <w:pPr>
              <w:jc w:val="center"/>
              <w:ind w:right="80"/>
              <w:spacing w:after="0" w:line="111" w:lineRule="exact"/>
              <w:rPr>
                <w:sz w:val="20"/>
                <w:szCs w:val="20"/>
                <w:color w:val="auto"/>
              </w:rPr>
            </w:pPr>
            <w:r>
              <w:rPr>
                <w:rFonts w:ascii="Arial" w:cs="Arial" w:eastAsia="Arial" w:hAnsi="Arial"/>
                <w:sz w:val="11"/>
                <w:szCs w:val="11"/>
                <w:b w:val="1"/>
                <w:bCs w:val="1"/>
                <w:color w:val="auto"/>
                <w:w w:val="93"/>
              </w:rPr>
              <w:t>End of</w:t>
            </w:r>
          </w:p>
        </w:tc>
        <w:tc>
          <w:tcPr>
            <w:tcW w:w="0" w:type="dxa"/>
            <w:vAlign w:val="bottom"/>
          </w:tcPr>
          <w:p>
            <w:pPr>
              <w:spacing w:after="0"/>
              <w:rPr>
                <w:sz w:val="1"/>
                <w:szCs w:val="1"/>
                <w:color w:val="auto"/>
              </w:rPr>
            </w:pPr>
          </w:p>
        </w:tc>
      </w:tr>
      <w:tr>
        <w:trPr>
          <w:trHeight w:val="111"/>
        </w:trPr>
        <w:tc>
          <w:tcPr>
            <w:tcW w:w="4600" w:type="dxa"/>
            <w:vAlign w:val="bottom"/>
          </w:tcPr>
          <w:p>
            <w:pPr>
              <w:spacing w:after="0"/>
              <w:rPr>
                <w:sz w:val="9"/>
                <w:szCs w:val="9"/>
                <w:color w:val="auto"/>
              </w:rPr>
            </w:pPr>
          </w:p>
        </w:tc>
        <w:tc>
          <w:tcPr>
            <w:tcW w:w="960" w:type="dxa"/>
            <w:vAlign w:val="bottom"/>
            <w:gridSpan w:val="2"/>
          </w:tcPr>
          <w:p>
            <w:pPr>
              <w:jc w:val="center"/>
              <w:ind w:right="380"/>
              <w:spacing w:after="0" w:line="111" w:lineRule="exact"/>
              <w:rPr>
                <w:sz w:val="20"/>
                <w:szCs w:val="20"/>
                <w:color w:val="auto"/>
              </w:rPr>
            </w:pPr>
            <w:r>
              <w:rPr>
                <w:rFonts w:ascii="Arial" w:cs="Arial" w:eastAsia="Arial" w:hAnsi="Arial"/>
                <w:sz w:val="11"/>
                <w:szCs w:val="11"/>
                <w:b w:val="1"/>
                <w:bCs w:val="1"/>
                <w:color w:val="auto"/>
                <w:w w:val="87"/>
              </w:rPr>
              <w:t>of Period</w:t>
            </w:r>
          </w:p>
        </w:tc>
        <w:tc>
          <w:tcPr>
            <w:tcW w:w="740" w:type="dxa"/>
            <w:vAlign w:val="bottom"/>
            <w:gridSpan w:val="2"/>
          </w:tcPr>
          <w:p>
            <w:pPr>
              <w:jc w:val="center"/>
              <w:ind w:right="40"/>
              <w:spacing w:after="0" w:line="111" w:lineRule="exact"/>
              <w:rPr>
                <w:sz w:val="20"/>
                <w:szCs w:val="20"/>
                <w:color w:val="auto"/>
              </w:rPr>
            </w:pPr>
            <w:r>
              <w:rPr>
                <w:rFonts w:ascii="Arial" w:cs="Arial" w:eastAsia="Arial" w:hAnsi="Arial"/>
                <w:sz w:val="11"/>
                <w:szCs w:val="11"/>
                <w:b w:val="1"/>
                <w:bCs w:val="1"/>
                <w:color w:val="auto"/>
                <w:w w:val="81"/>
              </w:rPr>
              <w:t>Expenses</w:t>
            </w:r>
          </w:p>
        </w:tc>
        <w:tc>
          <w:tcPr>
            <w:tcW w:w="320" w:type="dxa"/>
            <w:vAlign w:val="bottom"/>
          </w:tcPr>
          <w:p>
            <w:pPr>
              <w:spacing w:after="0"/>
              <w:rPr>
                <w:sz w:val="9"/>
                <w:szCs w:val="9"/>
                <w:color w:val="auto"/>
              </w:rPr>
            </w:pPr>
          </w:p>
        </w:tc>
        <w:tc>
          <w:tcPr>
            <w:tcW w:w="1480" w:type="dxa"/>
            <w:vAlign w:val="bottom"/>
            <w:gridSpan w:val="2"/>
          </w:tcPr>
          <w:p>
            <w:pPr>
              <w:jc w:val="center"/>
              <w:ind w:right="480"/>
              <w:spacing w:after="0" w:line="111" w:lineRule="exact"/>
              <w:rPr>
                <w:sz w:val="20"/>
                <w:szCs w:val="20"/>
                <w:color w:val="auto"/>
              </w:rPr>
            </w:pPr>
            <w:r>
              <w:rPr>
                <w:rFonts w:ascii="Arial" w:cs="Arial" w:eastAsia="Arial" w:hAnsi="Arial"/>
                <w:sz w:val="11"/>
                <w:szCs w:val="11"/>
                <w:b w:val="1"/>
                <w:bCs w:val="1"/>
                <w:color w:val="auto"/>
                <w:w w:val="85"/>
              </w:rPr>
              <w:t>Describe</w:t>
            </w:r>
          </w:p>
        </w:tc>
        <w:tc>
          <w:tcPr>
            <w:tcW w:w="1200" w:type="dxa"/>
            <w:vAlign w:val="bottom"/>
            <w:gridSpan w:val="2"/>
          </w:tcPr>
          <w:p>
            <w:pPr>
              <w:jc w:val="center"/>
              <w:ind w:right="520"/>
              <w:spacing w:after="0" w:line="111" w:lineRule="exact"/>
              <w:rPr>
                <w:sz w:val="20"/>
                <w:szCs w:val="20"/>
                <w:color w:val="auto"/>
              </w:rPr>
            </w:pPr>
            <w:r>
              <w:rPr>
                <w:rFonts w:ascii="Arial" w:cs="Arial" w:eastAsia="Arial" w:hAnsi="Arial"/>
                <w:sz w:val="11"/>
                <w:szCs w:val="11"/>
                <w:b w:val="1"/>
                <w:bCs w:val="1"/>
                <w:color w:val="auto"/>
                <w:w w:val="85"/>
              </w:rPr>
              <w:t>Describe</w:t>
            </w:r>
          </w:p>
        </w:tc>
        <w:tc>
          <w:tcPr>
            <w:tcW w:w="680" w:type="dxa"/>
            <w:vAlign w:val="bottom"/>
            <w:gridSpan w:val="2"/>
          </w:tcPr>
          <w:p>
            <w:pPr>
              <w:jc w:val="center"/>
              <w:ind w:right="80"/>
              <w:spacing w:after="0" w:line="111" w:lineRule="exact"/>
              <w:rPr>
                <w:sz w:val="20"/>
                <w:szCs w:val="20"/>
                <w:color w:val="auto"/>
              </w:rPr>
            </w:pPr>
            <w:r>
              <w:rPr>
                <w:rFonts w:ascii="Arial" w:cs="Arial" w:eastAsia="Arial" w:hAnsi="Arial"/>
                <w:sz w:val="11"/>
                <w:szCs w:val="11"/>
                <w:b w:val="1"/>
                <w:bCs w:val="1"/>
                <w:color w:val="auto"/>
                <w:w w:val="93"/>
              </w:rPr>
              <w:t>Period</w:t>
            </w:r>
          </w:p>
        </w:tc>
        <w:tc>
          <w:tcPr>
            <w:tcW w:w="0" w:type="dxa"/>
            <w:vAlign w:val="bottom"/>
          </w:tcPr>
          <w:p>
            <w:pPr>
              <w:spacing w:after="0"/>
              <w:rPr>
                <w:sz w:val="1"/>
                <w:szCs w:val="1"/>
                <w:color w:val="auto"/>
              </w:rPr>
            </w:pPr>
          </w:p>
        </w:tc>
      </w:tr>
      <w:tr>
        <w:trPr>
          <w:trHeight w:val="128"/>
        </w:trPr>
        <w:tc>
          <w:tcPr>
            <w:tcW w:w="4600" w:type="dxa"/>
            <w:vAlign w:val="bottom"/>
          </w:tcPr>
          <w:p>
            <w:pPr>
              <w:spacing w:after="0"/>
              <w:rPr>
                <w:sz w:val="11"/>
                <w:szCs w:val="11"/>
                <w:color w:val="auto"/>
              </w:rPr>
            </w:pPr>
          </w:p>
        </w:tc>
        <w:tc>
          <w:tcPr>
            <w:tcW w:w="580" w:type="dxa"/>
            <w:vAlign w:val="bottom"/>
          </w:tcPr>
          <w:p>
            <w:pPr>
              <w:jc w:val="center"/>
              <w:spacing w:after="0"/>
              <w:rPr>
                <w:sz w:val="20"/>
                <w:szCs w:val="20"/>
                <w:color w:val="auto"/>
              </w:rPr>
            </w:pPr>
            <w:r>
              <w:rPr>
                <w:rFonts w:ascii="Arial" w:cs="Arial" w:eastAsia="Arial" w:hAnsi="Arial"/>
                <w:sz w:val="11"/>
                <w:szCs w:val="11"/>
                <w:b w:val="1"/>
                <w:bCs w:val="1"/>
                <w:color w:val="auto"/>
                <w:w w:val="88"/>
              </w:rPr>
              <w:t>($)</w:t>
            </w:r>
          </w:p>
        </w:tc>
        <w:tc>
          <w:tcPr>
            <w:tcW w:w="380" w:type="dxa"/>
            <w:vAlign w:val="bottom"/>
          </w:tcPr>
          <w:p>
            <w:pPr>
              <w:spacing w:after="0"/>
              <w:rPr>
                <w:sz w:val="11"/>
                <w:szCs w:val="11"/>
                <w:color w:val="auto"/>
              </w:rPr>
            </w:pP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w w:val="88"/>
              </w:rPr>
              <w:t>($)</w:t>
            </w:r>
          </w:p>
        </w:tc>
        <w:tc>
          <w:tcPr>
            <w:tcW w:w="60" w:type="dxa"/>
            <w:vAlign w:val="bottom"/>
          </w:tcPr>
          <w:p>
            <w:pPr>
              <w:spacing w:after="0"/>
              <w:rPr>
                <w:sz w:val="11"/>
                <w:szCs w:val="11"/>
                <w:color w:val="auto"/>
              </w:rPr>
            </w:pPr>
          </w:p>
        </w:tc>
        <w:tc>
          <w:tcPr>
            <w:tcW w:w="1320" w:type="dxa"/>
            <w:vAlign w:val="bottom"/>
            <w:gridSpan w:val="2"/>
          </w:tcPr>
          <w:p>
            <w:pPr>
              <w:jc w:val="center"/>
              <w:ind w:left="270"/>
              <w:spacing w:after="0"/>
              <w:rPr>
                <w:sz w:val="20"/>
                <w:szCs w:val="20"/>
                <w:color w:val="auto"/>
              </w:rPr>
            </w:pPr>
            <w:r>
              <w:rPr>
                <w:rFonts w:ascii="Arial" w:cs="Arial" w:eastAsia="Arial" w:hAnsi="Arial"/>
                <w:sz w:val="11"/>
                <w:szCs w:val="11"/>
                <w:b w:val="1"/>
                <w:bCs w:val="1"/>
                <w:color w:val="auto"/>
                <w:w w:val="88"/>
              </w:rPr>
              <w:t>($)</w:t>
            </w:r>
          </w:p>
        </w:tc>
        <w:tc>
          <w:tcPr>
            <w:tcW w:w="480" w:type="dxa"/>
            <w:vAlign w:val="bottom"/>
          </w:tcPr>
          <w:p>
            <w:pPr>
              <w:spacing w:after="0"/>
              <w:rPr>
                <w:sz w:val="11"/>
                <w:szCs w:val="11"/>
                <w:color w:val="auto"/>
              </w:rPr>
            </w:pP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w w:val="88"/>
              </w:rPr>
              <w:t>($)</w:t>
            </w:r>
          </w:p>
        </w:tc>
        <w:tc>
          <w:tcPr>
            <w:tcW w:w="520" w:type="dxa"/>
            <w:vAlign w:val="bottom"/>
          </w:tcPr>
          <w:p>
            <w:pPr>
              <w:spacing w:after="0"/>
              <w:rPr>
                <w:sz w:val="11"/>
                <w:szCs w:val="11"/>
                <w:color w:val="auto"/>
              </w:rPr>
            </w:pPr>
          </w:p>
        </w:tc>
        <w:tc>
          <w:tcPr>
            <w:tcW w:w="600" w:type="dxa"/>
            <w:vAlign w:val="bottom"/>
          </w:tcPr>
          <w:p>
            <w:pPr>
              <w:jc w:val="center"/>
              <w:spacing w:after="0"/>
              <w:rPr>
                <w:sz w:val="20"/>
                <w:szCs w:val="20"/>
                <w:color w:val="auto"/>
              </w:rPr>
            </w:pPr>
            <w:r>
              <w:rPr>
                <w:rFonts w:ascii="Arial" w:cs="Arial" w:eastAsia="Arial" w:hAnsi="Arial"/>
                <w:sz w:val="11"/>
                <w:szCs w:val="11"/>
                <w:b w:val="1"/>
                <w:bCs w:val="1"/>
                <w:color w:val="auto"/>
                <w:w w:val="88"/>
              </w:rPr>
              <w:t>($)</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60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Borders>
              <w:top w:val="single" w:sz="8" w:color="auto"/>
            </w:tcBorders>
          </w:tcPr>
          <w:p>
            <w:pPr>
              <w:jc w:val="center"/>
              <w:spacing w:after="0"/>
              <w:rPr>
                <w:sz w:val="20"/>
                <w:szCs w:val="20"/>
                <w:color w:val="auto"/>
              </w:rPr>
            </w:pPr>
            <w:r>
              <w:rPr>
                <w:rFonts w:ascii="Arial" w:cs="Arial" w:eastAsia="Arial" w:hAnsi="Arial"/>
                <w:sz w:val="11"/>
                <w:szCs w:val="11"/>
                <w:b w:val="1"/>
                <w:bCs w:val="1"/>
                <w:color w:val="auto"/>
                <w:w w:val="90"/>
              </w:rPr>
              <w:t>(In millions)</w:t>
            </w:r>
          </w:p>
        </w:tc>
        <w:tc>
          <w:tcPr>
            <w:tcW w:w="48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600" w:type="dxa"/>
            <w:vAlign w:val="bottom"/>
            <w:shd w:val="clear" w:color="auto" w:fill="CCEEFF"/>
          </w:tcPr>
          <w:p>
            <w:pPr>
              <w:spacing w:after="0"/>
              <w:rPr>
                <w:sz w:val="20"/>
                <w:szCs w:val="20"/>
                <w:color w:val="auto"/>
              </w:rPr>
            </w:pPr>
            <w:r>
              <w:rPr>
                <w:rFonts w:ascii="Arial" w:cs="Arial" w:eastAsia="Arial" w:hAnsi="Arial"/>
                <w:sz w:val="13"/>
                <w:szCs w:val="13"/>
                <w:color w:val="auto"/>
              </w:rPr>
              <w:t>Allowances for collection losses:</w:t>
            </w:r>
          </w:p>
        </w:tc>
        <w:tc>
          <w:tcPr>
            <w:tcW w:w="5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600" w:type="dxa"/>
            <w:vAlign w:val="bottom"/>
          </w:tcPr>
          <w:p>
            <w:pPr>
              <w:spacing w:after="0"/>
              <w:rPr>
                <w:sz w:val="20"/>
                <w:szCs w:val="20"/>
                <w:color w:val="auto"/>
              </w:rPr>
            </w:pPr>
            <w:r>
              <w:rPr>
                <w:rFonts w:ascii="Arial" w:cs="Arial" w:eastAsia="Arial" w:hAnsi="Arial"/>
                <w:sz w:val="13"/>
                <w:szCs w:val="13"/>
                <w:color w:val="auto"/>
              </w:rPr>
              <w:t>Year ended July 3, 2009</w:t>
            </w:r>
          </w:p>
        </w:tc>
        <w:tc>
          <w:tcPr>
            <w:tcW w:w="960" w:type="dxa"/>
            <w:vAlign w:val="bottom"/>
            <w:gridSpan w:val="2"/>
          </w:tcPr>
          <w:p>
            <w:pPr>
              <w:jc w:val="right"/>
              <w:ind w:right="380"/>
              <w:spacing w:after="0"/>
              <w:rPr>
                <w:sz w:val="20"/>
                <w:szCs w:val="20"/>
                <w:color w:val="auto"/>
              </w:rPr>
            </w:pPr>
            <w:r>
              <w:rPr>
                <w:rFonts w:ascii="Arial" w:cs="Arial" w:eastAsia="Arial" w:hAnsi="Arial"/>
                <w:sz w:val="13"/>
                <w:szCs w:val="13"/>
                <w:color w:val="auto"/>
              </w:rPr>
              <w:t>12.6</w:t>
            </w:r>
          </w:p>
        </w:tc>
        <w:tc>
          <w:tcPr>
            <w:tcW w:w="740" w:type="dxa"/>
            <w:vAlign w:val="bottom"/>
            <w:gridSpan w:val="2"/>
          </w:tcPr>
          <w:p>
            <w:pPr>
              <w:jc w:val="right"/>
              <w:ind w:right="60"/>
              <w:spacing w:after="0"/>
              <w:rPr>
                <w:sz w:val="20"/>
                <w:szCs w:val="20"/>
                <w:color w:val="auto"/>
              </w:rPr>
            </w:pPr>
            <w:r>
              <w:rPr>
                <w:rFonts w:ascii="Arial" w:cs="Arial" w:eastAsia="Arial" w:hAnsi="Arial"/>
                <w:sz w:val="13"/>
                <w:szCs w:val="13"/>
                <w:color w:val="auto"/>
              </w:rPr>
              <w:t>9.9</w:t>
            </w:r>
          </w:p>
        </w:tc>
        <w:tc>
          <w:tcPr>
            <w:tcW w:w="320" w:type="dxa"/>
            <w:vAlign w:val="bottom"/>
          </w:tcPr>
          <w:p>
            <w:pPr>
              <w:spacing w:after="0"/>
              <w:rPr>
                <w:sz w:val="14"/>
                <w:szCs w:val="14"/>
                <w:color w:val="auto"/>
              </w:rPr>
            </w:pPr>
          </w:p>
        </w:tc>
        <w:tc>
          <w:tcPr>
            <w:tcW w:w="1480" w:type="dxa"/>
            <w:vAlign w:val="bottom"/>
            <w:gridSpan w:val="2"/>
          </w:tcPr>
          <w:p>
            <w:pPr>
              <w:jc w:val="right"/>
              <w:ind w:right="480"/>
              <w:spacing w:after="0"/>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280"/>
              <w:spacing w:after="0"/>
              <w:rPr>
                <w:sz w:val="20"/>
                <w:szCs w:val="20"/>
                <w:color w:val="auto"/>
              </w:rPr>
            </w:pPr>
            <w:r>
              <w:rPr>
                <w:rFonts w:ascii="Arial" w:cs="Arial" w:eastAsia="Arial" w:hAnsi="Arial"/>
                <w:sz w:val="13"/>
                <w:szCs w:val="13"/>
                <w:color w:val="auto"/>
              </w:rPr>
              <w:t>(4.5)(A)</w:t>
            </w: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27.0</w:t>
            </w:r>
          </w:p>
        </w:tc>
        <w:tc>
          <w:tcPr>
            <w:tcW w:w="0" w:type="dxa"/>
            <w:vAlign w:val="bottom"/>
          </w:tcPr>
          <w:p>
            <w:pPr>
              <w:spacing w:after="0"/>
              <w:rPr>
                <w:sz w:val="1"/>
                <w:szCs w:val="1"/>
                <w:color w:val="auto"/>
              </w:rPr>
            </w:pPr>
          </w:p>
        </w:tc>
      </w:tr>
      <w:tr>
        <w:trPr>
          <w:trHeight w:val="161"/>
        </w:trPr>
        <w:tc>
          <w:tcPr>
            <w:tcW w:w="4600" w:type="dxa"/>
            <w:vAlign w:val="bottom"/>
            <w:shd w:val="clear" w:color="auto" w:fill="CCEEFF"/>
          </w:tcPr>
          <w:p>
            <w:pPr>
              <w:spacing w:after="0"/>
              <w:rPr>
                <w:sz w:val="20"/>
                <w:szCs w:val="20"/>
                <w:color w:val="auto"/>
              </w:rPr>
            </w:pPr>
            <w:r>
              <w:rPr>
                <w:rFonts w:ascii="Arial" w:cs="Arial" w:eastAsia="Arial" w:hAnsi="Arial"/>
                <w:sz w:val="13"/>
                <w:szCs w:val="13"/>
                <w:color w:val="auto"/>
              </w:rPr>
              <w:t>Year ended June 27, 2008</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8.5</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3.7</w:t>
            </w:r>
          </w:p>
        </w:tc>
        <w:tc>
          <w:tcPr>
            <w:tcW w:w="32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(0.4)(B)</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12.6</w:t>
            </w:r>
          </w:p>
        </w:tc>
        <w:tc>
          <w:tcPr>
            <w:tcW w:w="0" w:type="dxa"/>
            <w:vAlign w:val="bottom"/>
          </w:tcPr>
          <w:p>
            <w:pPr>
              <w:spacing w:after="0"/>
              <w:rPr>
                <w:sz w:val="1"/>
                <w:szCs w:val="1"/>
                <w:color w:val="auto"/>
              </w:rPr>
            </w:pPr>
          </w:p>
        </w:tc>
      </w:tr>
      <w:tr>
        <w:trPr>
          <w:trHeight w:val="161"/>
        </w:trPr>
        <w:tc>
          <w:tcPr>
            <w:tcW w:w="4600" w:type="dxa"/>
            <w:vAlign w:val="bottom"/>
          </w:tcPr>
          <w:p>
            <w:pPr>
              <w:spacing w:after="0"/>
              <w:rPr>
                <w:sz w:val="20"/>
                <w:szCs w:val="20"/>
                <w:color w:val="auto"/>
              </w:rPr>
            </w:pPr>
            <w:r>
              <w:rPr>
                <w:rFonts w:ascii="Arial" w:cs="Arial" w:eastAsia="Arial" w:hAnsi="Arial"/>
                <w:sz w:val="13"/>
                <w:szCs w:val="13"/>
                <w:color w:val="auto"/>
              </w:rPr>
              <w:t>Year ended June 29, 2007</w:t>
            </w:r>
          </w:p>
        </w:tc>
        <w:tc>
          <w:tcPr>
            <w:tcW w:w="960" w:type="dxa"/>
            <w:vAlign w:val="bottom"/>
            <w:gridSpan w:val="2"/>
          </w:tcPr>
          <w:p>
            <w:pPr>
              <w:jc w:val="right"/>
              <w:ind w:right="380"/>
              <w:spacing w:after="0"/>
              <w:rPr>
                <w:sz w:val="20"/>
                <w:szCs w:val="20"/>
                <w:color w:val="auto"/>
              </w:rPr>
            </w:pPr>
            <w:r>
              <w:rPr>
                <w:rFonts w:ascii="Arial" w:cs="Arial" w:eastAsia="Arial" w:hAnsi="Arial"/>
                <w:sz w:val="13"/>
                <w:szCs w:val="13"/>
                <w:color w:val="auto"/>
              </w:rPr>
              <w:t>8.1</w:t>
            </w:r>
          </w:p>
        </w:tc>
        <w:tc>
          <w:tcPr>
            <w:tcW w:w="740" w:type="dxa"/>
            <w:vAlign w:val="bottom"/>
            <w:gridSpan w:val="2"/>
          </w:tcPr>
          <w:p>
            <w:pPr>
              <w:jc w:val="right"/>
              <w:ind w:right="60"/>
              <w:spacing w:after="0"/>
              <w:rPr>
                <w:sz w:val="20"/>
                <w:szCs w:val="20"/>
                <w:color w:val="auto"/>
              </w:rPr>
            </w:pPr>
            <w:r>
              <w:rPr>
                <w:rFonts w:ascii="Arial" w:cs="Arial" w:eastAsia="Arial" w:hAnsi="Arial"/>
                <w:sz w:val="13"/>
                <w:szCs w:val="13"/>
                <w:color w:val="auto"/>
              </w:rPr>
              <w:t>1.5</w:t>
            </w:r>
          </w:p>
        </w:tc>
        <w:tc>
          <w:tcPr>
            <w:tcW w:w="320" w:type="dxa"/>
            <w:vAlign w:val="bottom"/>
          </w:tcPr>
          <w:p>
            <w:pPr>
              <w:spacing w:after="0"/>
              <w:rPr>
                <w:sz w:val="14"/>
                <w:szCs w:val="14"/>
                <w:color w:val="auto"/>
              </w:rPr>
            </w:pPr>
          </w:p>
        </w:tc>
        <w:tc>
          <w:tcPr>
            <w:tcW w:w="1480" w:type="dxa"/>
            <w:vAlign w:val="bottom"/>
            <w:gridSpan w:val="2"/>
          </w:tcPr>
          <w:p>
            <w:pPr>
              <w:jc w:val="right"/>
              <w:ind w:right="480"/>
              <w:spacing w:after="0"/>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340"/>
              <w:spacing w:after="0"/>
              <w:rPr>
                <w:sz w:val="20"/>
                <w:szCs w:val="20"/>
                <w:color w:val="auto"/>
              </w:rPr>
            </w:pPr>
            <w:r>
              <w:rPr>
                <w:rFonts w:ascii="Arial" w:cs="Arial" w:eastAsia="Arial" w:hAnsi="Arial"/>
                <w:sz w:val="13"/>
                <w:szCs w:val="13"/>
                <w:color w:val="auto"/>
              </w:rPr>
              <w:t>1.1(C)</w:t>
            </w: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8.5</w:t>
            </w:r>
          </w:p>
        </w:tc>
        <w:tc>
          <w:tcPr>
            <w:tcW w:w="0" w:type="dxa"/>
            <w:vAlign w:val="bottom"/>
          </w:tcPr>
          <w:p>
            <w:pPr>
              <w:spacing w:after="0"/>
              <w:rPr>
                <w:sz w:val="1"/>
                <w:szCs w:val="1"/>
                <w:color w:val="auto"/>
              </w:rPr>
            </w:pPr>
          </w:p>
        </w:tc>
      </w:tr>
      <w:tr>
        <w:trPr>
          <w:trHeight w:val="161"/>
        </w:trPr>
        <w:tc>
          <w:tcPr>
            <w:tcW w:w="4600" w:type="dxa"/>
            <w:vAlign w:val="bottom"/>
            <w:shd w:val="clear" w:color="auto" w:fill="CCEEFF"/>
          </w:tcPr>
          <w:p>
            <w:pPr>
              <w:spacing w:after="0"/>
              <w:rPr>
                <w:sz w:val="20"/>
                <w:szCs w:val="20"/>
                <w:color w:val="auto"/>
              </w:rPr>
            </w:pPr>
            <w:r>
              <w:rPr>
                <w:rFonts w:ascii="Arial" w:cs="Arial" w:eastAsia="Arial" w:hAnsi="Arial"/>
                <w:sz w:val="13"/>
                <w:szCs w:val="13"/>
                <w:color w:val="auto"/>
              </w:rPr>
              <w:t>Inventory reserves:</w:t>
            </w:r>
          </w:p>
        </w:tc>
        <w:tc>
          <w:tcPr>
            <w:tcW w:w="5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600" w:type="dxa"/>
            <w:vAlign w:val="bottom"/>
          </w:tcPr>
          <w:p>
            <w:pPr>
              <w:spacing w:after="0"/>
              <w:rPr>
                <w:sz w:val="20"/>
                <w:szCs w:val="20"/>
                <w:color w:val="auto"/>
              </w:rPr>
            </w:pPr>
            <w:r>
              <w:rPr>
                <w:rFonts w:ascii="Arial" w:cs="Arial" w:eastAsia="Arial" w:hAnsi="Arial"/>
                <w:sz w:val="13"/>
                <w:szCs w:val="13"/>
                <w:color w:val="auto"/>
              </w:rPr>
              <w:t>Year ended July 3, 2009</w:t>
            </w:r>
          </w:p>
        </w:tc>
        <w:tc>
          <w:tcPr>
            <w:tcW w:w="960" w:type="dxa"/>
            <w:vAlign w:val="bottom"/>
            <w:gridSpan w:val="2"/>
          </w:tcPr>
          <w:p>
            <w:pPr>
              <w:jc w:val="right"/>
              <w:ind w:right="380"/>
              <w:spacing w:after="0"/>
              <w:rPr>
                <w:sz w:val="20"/>
                <w:szCs w:val="20"/>
                <w:color w:val="auto"/>
              </w:rPr>
            </w:pPr>
            <w:r>
              <w:rPr>
                <w:rFonts w:ascii="Arial" w:cs="Arial" w:eastAsia="Arial" w:hAnsi="Arial"/>
                <w:sz w:val="13"/>
                <w:szCs w:val="13"/>
                <w:color w:val="auto"/>
              </w:rPr>
              <w:t>35.6</w:t>
            </w:r>
          </w:p>
        </w:tc>
        <w:tc>
          <w:tcPr>
            <w:tcW w:w="740" w:type="dxa"/>
            <w:vAlign w:val="bottom"/>
            <w:gridSpan w:val="2"/>
          </w:tcPr>
          <w:p>
            <w:pPr>
              <w:jc w:val="right"/>
              <w:ind w:right="60"/>
              <w:spacing w:after="0"/>
              <w:rPr>
                <w:sz w:val="20"/>
                <w:szCs w:val="20"/>
                <w:color w:val="auto"/>
              </w:rPr>
            </w:pPr>
            <w:r>
              <w:rPr>
                <w:rFonts w:ascii="Arial" w:cs="Arial" w:eastAsia="Arial" w:hAnsi="Arial"/>
                <w:sz w:val="13"/>
                <w:szCs w:val="13"/>
                <w:color w:val="auto"/>
              </w:rPr>
              <w:t>23.1</w:t>
            </w:r>
          </w:p>
        </w:tc>
        <w:tc>
          <w:tcPr>
            <w:tcW w:w="320" w:type="dxa"/>
            <w:vAlign w:val="bottom"/>
          </w:tcPr>
          <w:p>
            <w:pPr>
              <w:spacing w:after="0"/>
              <w:rPr>
                <w:sz w:val="14"/>
                <w:szCs w:val="14"/>
                <w:color w:val="auto"/>
              </w:rPr>
            </w:pPr>
          </w:p>
        </w:tc>
        <w:tc>
          <w:tcPr>
            <w:tcW w:w="1480" w:type="dxa"/>
            <w:vAlign w:val="bottom"/>
            <w:gridSpan w:val="2"/>
          </w:tcPr>
          <w:p>
            <w:pPr>
              <w:jc w:val="right"/>
              <w:ind w:right="480"/>
              <w:spacing w:after="0"/>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320"/>
              <w:spacing w:after="0"/>
              <w:rPr>
                <w:sz w:val="20"/>
                <w:szCs w:val="20"/>
                <w:color w:val="auto"/>
              </w:rPr>
            </w:pPr>
            <w:r>
              <w:rPr>
                <w:rFonts w:ascii="Arial" w:cs="Arial" w:eastAsia="Arial" w:hAnsi="Arial"/>
                <w:sz w:val="13"/>
                <w:szCs w:val="13"/>
                <w:color w:val="auto"/>
              </w:rPr>
              <w:t>8.8(D)</w:t>
            </w: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49.9</w:t>
            </w:r>
          </w:p>
        </w:tc>
        <w:tc>
          <w:tcPr>
            <w:tcW w:w="0" w:type="dxa"/>
            <w:vAlign w:val="bottom"/>
          </w:tcPr>
          <w:p>
            <w:pPr>
              <w:spacing w:after="0"/>
              <w:rPr>
                <w:sz w:val="1"/>
                <w:szCs w:val="1"/>
                <w:color w:val="auto"/>
              </w:rPr>
            </w:pPr>
          </w:p>
        </w:tc>
      </w:tr>
      <w:tr>
        <w:trPr>
          <w:trHeight w:val="161"/>
        </w:trPr>
        <w:tc>
          <w:tcPr>
            <w:tcW w:w="4600" w:type="dxa"/>
            <w:vAlign w:val="bottom"/>
            <w:shd w:val="clear" w:color="auto" w:fill="CCEEFF"/>
          </w:tcPr>
          <w:p>
            <w:pPr>
              <w:spacing w:after="0"/>
              <w:rPr>
                <w:sz w:val="20"/>
                <w:szCs w:val="20"/>
                <w:color w:val="auto"/>
              </w:rPr>
            </w:pPr>
            <w:r>
              <w:rPr>
                <w:rFonts w:ascii="Arial" w:cs="Arial" w:eastAsia="Arial" w:hAnsi="Arial"/>
                <w:sz w:val="13"/>
                <w:szCs w:val="13"/>
                <w:color w:val="auto"/>
              </w:rPr>
              <w:t>Year ended June 27, 2008</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14.2</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24.6</w:t>
            </w:r>
          </w:p>
        </w:tc>
        <w:tc>
          <w:tcPr>
            <w:tcW w:w="32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3.2(E)</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35.6</w:t>
            </w:r>
          </w:p>
        </w:tc>
        <w:tc>
          <w:tcPr>
            <w:tcW w:w="0" w:type="dxa"/>
            <w:vAlign w:val="bottom"/>
          </w:tcPr>
          <w:p>
            <w:pPr>
              <w:spacing w:after="0"/>
              <w:rPr>
                <w:sz w:val="1"/>
                <w:szCs w:val="1"/>
                <w:color w:val="auto"/>
              </w:rPr>
            </w:pPr>
          </w:p>
        </w:tc>
      </w:tr>
      <w:tr>
        <w:trPr>
          <w:trHeight w:val="161"/>
        </w:trPr>
        <w:tc>
          <w:tcPr>
            <w:tcW w:w="4600" w:type="dxa"/>
            <w:vAlign w:val="bottom"/>
          </w:tcPr>
          <w:p>
            <w:pPr>
              <w:spacing w:after="0"/>
              <w:rPr>
                <w:sz w:val="20"/>
                <w:szCs w:val="20"/>
                <w:color w:val="auto"/>
              </w:rPr>
            </w:pPr>
            <w:r>
              <w:rPr>
                <w:rFonts w:ascii="Arial" w:cs="Arial" w:eastAsia="Arial" w:hAnsi="Arial"/>
                <w:sz w:val="13"/>
                <w:szCs w:val="13"/>
                <w:color w:val="auto"/>
              </w:rPr>
              <w:t>Year ended June 29, 2007</w:t>
            </w:r>
          </w:p>
        </w:tc>
        <w:tc>
          <w:tcPr>
            <w:tcW w:w="960" w:type="dxa"/>
            <w:vAlign w:val="bottom"/>
            <w:gridSpan w:val="2"/>
          </w:tcPr>
          <w:p>
            <w:pPr>
              <w:jc w:val="right"/>
              <w:ind w:right="380"/>
              <w:spacing w:after="0"/>
              <w:rPr>
                <w:sz w:val="20"/>
                <w:szCs w:val="20"/>
                <w:color w:val="auto"/>
              </w:rPr>
            </w:pPr>
            <w:r>
              <w:rPr>
                <w:rFonts w:ascii="Arial" w:cs="Arial" w:eastAsia="Arial" w:hAnsi="Arial"/>
                <w:sz w:val="13"/>
                <w:szCs w:val="13"/>
                <w:color w:val="auto"/>
              </w:rPr>
              <w:t>18.2</w:t>
            </w:r>
          </w:p>
        </w:tc>
        <w:tc>
          <w:tcPr>
            <w:tcW w:w="740" w:type="dxa"/>
            <w:vAlign w:val="bottom"/>
            <w:gridSpan w:val="2"/>
          </w:tcPr>
          <w:p>
            <w:pPr>
              <w:jc w:val="right"/>
              <w:ind w:right="60"/>
              <w:spacing w:after="0"/>
              <w:rPr>
                <w:sz w:val="20"/>
                <w:szCs w:val="20"/>
                <w:color w:val="auto"/>
              </w:rPr>
            </w:pPr>
            <w:r>
              <w:rPr>
                <w:rFonts w:ascii="Arial" w:cs="Arial" w:eastAsia="Arial" w:hAnsi="Arial"/>
                <w:sz w:val="13"/>
                <w:szCs w:val="13"/>
                <w:color w:val="auto"/>
              </w:rPr>
              <w:t>3.2</w:t>
            </w:r>
          </w:p>
        </w:tc>
        <w:tc>
          <w:tcPr>
            <w:tcW w:w="320" w:type="dxa"/>
            <w:vAlign w:val="bottom"/>
          </w:tcPr>
          <w:p>
            <w:pPr>
              <w:spacing w:after="0"/>
              <w:rPr>
                <w:sz w:val="14"/>
                <w:szCs w:val="14"/>
                <w:color w:val="auto"/>
              </w:rPr>
            </w:pPr>
          </w:p>
        </w:tc>
        <w:tc>
          <w:tcPr>
            <w:tcW w:w="1480" w:type="dxa"/>
            <w:vAlign w:val="bottom"/>
            <w:gridSpan w:val="2"/>
          </w:tcPr>
          <w:p>
            <w:pPr>
              <w:jc w:val="right"/>
              <w:ind w:right="480"/>
              <w:spacing w:after="0"/>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360"/>
              <w:spacing w:after="0"/>
              <w:rPr>
                <w:sz w:val="20"/>
                <w:szCs w:val="20"/>
                <w:color w:val="auto"/>
              </w:rPr>
            </w:pPr>
            <w:r>
              <w:rPr>
                <w:rFonts w:ascii="Arial" w:cs="Arial" w:eastAsia="Arial" w:hAnsi="Arial"/>
                <w:sz w:val="13"/>
                <w:szCs w:val="13"/>
                <w:color w:val="auto"/>
              </w:rPr>
              <w:t>7.2(F)</w:t>
            </w: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14.2</w:t>
            </w:r>
          </w:p>
        </w:tc>
        <w:tc>
          <w:tcPr>
            <w:tcW w:w="0" w:type="dxa"/>
            <w:vAlign w:val="bottom"/>
          </w:tcPr>
          <w:p>
            <w:pPr>
              <w:spacing w:after="0"/>
              <w:rPr>
                <w:sz w:val="1"/>
                <w:szCs w:val="1"/>
                <w:color w:val="auto"/>
              </w:rPr>
            </w:pPr>
          </w:p>
        </w:tc>
      </w:tr>
      <w:tr>
        <w:trPr>
          <w:trHeight w:val="161"/>
        </w:trPr>
        <w:tc>
          <w:tcPr>
            <w:tcW w:w="4600" w:type="dxa"/>
            <w:vAlign w:val="bottom"/>
            <w:shd w:val="clear" w:color="auto" w:fill="CCEEFF"/>
          </w:tcPr>
          <w:p>
            <w:pPr>
              <w:spacing w:after="0"/>
              <w:rPr>
                <w:sz w:val="20"/>
                <w:szCs w:val="20"/>
                <w:color w:val="auto"/>
              </w:rPr>
            </w:pPr>
            <w:r>
              <w:rPr>
                <w:rFonts w:ascii="Arial" w:cs="Arial" w:eastAsia="Arial" w:hAnsi="Arial"/>
                <w:sz w:val="13"/>
                <w:szCs w:val="13"/>
                <w:color w:val="auto"/>
              </w:rPr>
              <w:t>Deferred tax asset valuation allowance(H):</w:t>
            </w:r>
          </w:p>
        </w:tc>
        <w:tc>
          <w:tcPr>
            <w:tcW w:w="5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600" w:type="dxa"/>
            <w:vAlign w:val="bottom"/>
          </w:tcPr>
          <w:p>
            <w:pPr>
              <w:spacing w:after="0"/>
              <w:rPr>
                <w:sz w:val="20"/>
                <w:szCs w:val="20"/>
                <w:color w:val="auto"/>
              </w:rPr>
            </w:pPr>
            <w:r>
              <w:rPr>
                <w:rFonts w:ascii="Arial" w:cs="Arial" w:eastAsia="Arial" w:hAnsi="Arial"/>
                <w:sz w:val="13"/>
                <w:szCs w:val="13"/>
                <w:color w:val="auto"/>
              </w:rPr>
              <w:t>Year ended July 3, 2009</w:t>
            </w:r>
          </w:p>
        </w:tc>
        <w:tc>
          <w:tcPr>
            <w:tcW w:w="960" w:type="dxa"/>
            <w:vAlign w:val="bottom"/>
            <w:gridSpan w:val="2"/>
          </w:tcPr>
          <w:p>
            <w:pPr>
              <w:jc w:val="right"/>
              <w:ind w:right="380"/>
              <w:spacing w:after="0"/>
              <w:rPr>
                <w:sz w:val="20"/>
                <w:szCs w:val="20"/>
                <w:color w:val="auto"/>
              </w:rPr>
            </w:pPr>
            <w:r>
              <w:rPr>
                <w:rFonts w:ascii="Arial" w:cs="Arial" w:eastAsia="Arial" w:hAnsi="Arial"/>
                <w:sz w:val="13"/>
                <w:szCs w:val="13"/>
                <w:color w:val="auto"/>
              </w:rPr>
              <w:t>116.9</w:t>
            </w:r>
          </w:p>
        </w:tc>
        <w:tc>
          <w:tcPr>
            <w:tcW w:w="740" w:type="dxa"/>
            <w:vAlign w:val="bottom"/>
            <w:gridSpan w:val="2"/>
          </w:tcPr>
          <w:p>
            <w:pPr>
              <w:jc w:val="right"/>
              <w:ind w:right="60"/>
              <w:spacing w:after="0"/>
              <w:rPr>
                <w:sz w:val="20"/>
                <w:szCs w:val="20"/>
                <w:color w:val="auto"/>
              </w:rPr>
            </w:pPr>
            <w:r>
              <w:rPr>
                <w:rFonts w:ascii="Arial" w:cs="Arial" w:eastAsia="Arial" w:hAnsi="Arial"/>
                <w:sz w:val="13"/>
                <w:szCs w:val="13"/>
                <w:color w:val="auto"/>
              </w:rPr>
              <w:t>50.8</w:t>
            </w:r>
          </w:p>
        </w:tc>
        <w:tc>
          <w:tcPr>
            <w:tcW w:w="320" w:type="dxa"/>
            <w:vAlign w:val="bottom"/>
          </w:tcPr>
          <w:p>
            <w:pPr>
              <w:spacing w:after="0"/>
              <w:rPr>
                <w:sz w:val="14"/>
                <w:szCs w:val="14"/>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3"/>
                <w:szCs w:val="13"/>
                <w:color w:val="auto"/>
              </w:rPr>
              <w:t>1.2(G)</w:t>
            </w:r>
          </w:p>
        </w:tc>
        <w:tc>
          <w:tcPr>
            <w:tcW w:w="1200" w:type="dxa"/>
            <w:vAlign w:val="bottom"/>
            <w:gridSpan w:val="2"/>
          </w:tcPr>
          <w:p>
            <w:pPr>
              <w:jc w:val="right"/>
              <w:ind w:right="52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168.9</w:t>
            </w:r>
          </w:p>
        </w:tc>
        <w:tc>
          <w:tcPr>
            <w:tcW w:w="0" w:type="dxa"/>
            <w:vAlign w:val="bottom"/>
          </w:tcPr>
          <w:p>
            <w:pPr>
              <w:spacing w:after="0"/>
              <w:rPr>
                <w:sz w:val="1"/>
                <w:szCs w:val="1"/>
                <w:color w:val="auto"/>
              </w:rPr>
            </w:pPr>
          </w:p>
        </w:tc>
      </w:tr>
      <w:tr>
        <w:trPr>
          <w:trHeight w:val="161"/>
        </w:trPr>
        <w:tc>
          <w:tcPr>
            <w:tcW w:w="4600" w:type="dxa"/>
            <w:vAlign w:val="bottom"/>
            <w:shd w:val="clear" w:color="auto" w:fill="CCEEFF"/>
          </w:tcPr>
          <w:p>
            <w:pPr>
              <w:spacing w:after="0"/>
              <w:rPr>
                <w:sz w:val="20"/>
                <w:szCs w:val="20"/>
                <w:color w:val="auto"/>
              </w:rPr>
            </w:pPr>
            <w:r>
              <w:rPr>
                <w:rFonts w:ascii="Arial" w:cs="Arial" w:eastAsia="Arial" w:hAnsi="Arial"/>
                <w:sz w:val="13"/>
                <w:szCs w:val="13"/>
                <w:color w:val="auto"/>
              </w:rPr>
              <w:t>Year ended June 27, 2008</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96.9</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15.6</w:t>
            </w:r>
          </w:p>
        </w:tc>
        <w:tc>
          <w:tcPr>
            <w:tcW w:w="32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4.4(G)</w:t>
            </w: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116.9</w:t>
            </w:r>
          </w:p>
        </w:tc>
        <w:tc>
          <w:tcPr>
            <w:tcW w:w="0" w:type="dxa"/>
            <w:vAlign w:val="bottom"/>
          </w:tcPr>
          <w:p>
            <w:pPr>
              <w:spacing w:after="0"/>
              <w:rPr>
                <w:sz w:val="1"/>
                <w:szCs w:val="1"/>
                <w:color w:val="auto"/>
              </w:rPr>
            </w:pPr>
          </w:p>
        </w:tc>
      </w:tr>
      <w:tr>
        <w:trPr>
          <w:trHeight w:val="161"/>
        </w:trPr>
        <w:tc>
          <w:tcPr>
            <w:tcW w:w="4600" w:type="dxa"/>
            <w:vAlign w:val="bottom"/>
          </w:tcPr>
          <w:p>
            <w:pPr>
              <w:spacing w:after="0"/>
              <w:rPr>
                <w:sz w:val="20"/>
                <w:szCs w:val="20"/>
                <w:color w:val="auto"/>
              </w:rPr>
            </w:pPr>
            <w:r>
              <w:rPr>
                <w:rFonts w:ascii="Arial" w:cs="Arial" w:eastAsia="Arial" w:hAnsi="Arial"/>
                <w:sz w:val="13"/>
                <w:szCs w:val="13"/>
                <w:color w:val="auto"/>
              </w:rPr>
              <w:t>Year ended June 29, 2007</w:t>
            </w:r>
          </w:p>
        </w:tc>
        <w:tc>
          <w:tcPr>
            <w:tcW w:w="960" w:type="dxa"/>
            <w:vAlign w:val="bottom"/>
            <w:gridSpan w:val="2"/>
          </w:tcPr>
          <w:p>
            <w:pPr>
              <w:jc w:val="right"/>
              <w:ind w:right="380"/>
              <w:spacing w:after="0"/>
              <w:rPr>
                <w:sz w:val="20"/>
                <w:szCs w:val="20"/>
                <w:color w:val="auto"/>
              </w:rPr>
            </w:pPr>
            <w:r>
              <w:rPr>
                <w:rFonts w:ascii="Arial" w:cs="Arial" w:eastAsia="Arial" w:hAnsi="Arial"/>
                <w:sz w:val="13"/>
                <w:szCs w:val="13"/>
                <w:color w:val="auto"/>
              </w:rPr>
              <w:t>69.2</w:t>
            </w:r>
          </w:p>
        </w:tc>
        <w:tc>
          <w:tcPr>
            <w:tcW w:w="740" w:type="dxa"/>
            <w:vAlign w:val="bottom"/>
            <w:gridSpan w:val="2"/>
          </w:tcPr>
          <w:p>
            <w:pPr>
              <w:jc w:val="right"/>
              <w:ind w:right="60"/>
              <w:spacing w:after="0"/>
              <w:rPr>
                <w:sz w:val="20"/>
                <w:szCs w:val="20"/>
                <w:color w:val="auto"/>
              </w:rPr>
            </w:pPr>
            <w:r>
              <w:rPr>
                <w:rFonts w:ascii="Arial" w:cs="Arial" w:eastAsia="Arial" w:hAnsi="Arial"/>
                <w:sz w:val="13"/>
                <w:szCs w:val="13"/>
                <w:color w:val="auto"/>
              </w:rPr>
              <w:t>2.6</w:t>
            </w:r>
          </w:p>
        </w:tc>
        <w:tc>
          <w:tcPr>
            <w:tcW w:w="320" w:type="dxa"/>
            <w:vAlign w:val="bottom"/>
          </w:tcPr>
          <w:p>
            <w:pPr>
              <w:spacing w:after="0"/>
              <w:rPr>
                <w:sz w:val="14"/>
                <w:szCs w:val="14"/>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3"/>
                <w:szCs w:val="13"/>
                <w:color w:val="auto"/>
              </w:rPr>
              <w:t>25.1(G)</w:t>
            </w:r>
          </w:p>
        </w:tc>
        <w:tc>
          <w:tcPr>
            <w:tcW w:w="1200" w:type="dxa"/>
            <w:vAlign w:val="bottom"/>
            <w:gridSpan w:val="2"/>
          </w:tcPr>
          <w:p>
            <w:pPr>
              <w:jc w:val="right"/>
              <w:ind w:right="52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96.9</w:t>
            </w:r>
          </w:p>
        </w:tc>
        <w:tc>
          <w:tcPr>
            <w:tcW w:w="0" w:type="dxa"/>
            <w:vAlign w:val="bottom"/>
          </w:tcPr>
          <w:p>
            <w:pPr>
              <w:spacing w:after="0"/>
              <w:rPr>
                <w:sz w:val="1"/>
                <w:szCs w:val="1"/>
                <w:color w:val="auto"/>
              </w:rPr>
            </w:pPr>
          </w:p>
        </w:tc>
      </w:tr>
      <w:tr>
        <w:trPr>
          <w:trHeight w:val="161"/>
        </w:trPr>
        <w:tc>
          <w:tcPr>
            <w:tcW w:w="4600" w:type="dxa"/>
            <w:vAlign w:val="bottom"/>
            <w:shd w:val="clear" w:color="auto" w:fill="CCEEFF"/>
          </w:tcPr>
          <w:p>
            <w:pPr>
              <w:spacing w:after="0"/>
              <w:rPr>
                <w:sz w:val="20"/>
                <w:szCs w:val="20"/>
                <w:color w:val="auto"/>
              </w:rPr>
            </w:pPr>
            <w:r>
              <w:rPr>
                <w:rFonts w:ascii="Arial" w:cs="Arial" w:eastAsia="Arial" w:hAnsi="Arial"/>
                <w:sz w:val="13"/>
                <w:szCs w:val="13"/>
                <w:color w:val="auto"/>
              </w:rPr>
              <w:t>Warranty reserves:</w:t>
            </w:r>
          </w:p>
        </w:tc>
        <w:tc>
          <w:tcPr>
            <w:tcW w:w="5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600" w:type="dxa"/>
            <w:vAlign w:val="bottom"/>
          </w:tcPr>
          <w:p>
            <w:pPr>
              <w:spacing w:after="0"/>
              <w:rPr>
                <w:sz w:val="20"/>
                <w:szCs w:val="20"/>
                <w:color w:val="auto"/>
              </w:rPr>
            </w:pPr>
            <w:r>
              <w:rPr>
                <w:rFonts w:ascii="Arial" w:cs="Arial" w:eastAsia="Arial" w:hAnsi="Arial"/>
                <w:sz w:val="13"/>
                <w:szCs w:val="13"/>
                <w:color w:val="auto"/>
              </w:rPr>
              <w:t>Year ended July 3, 2009</w:t>
            </w:r>
          </w:p>
        </w:tc>
        <w:tc>
          <w:tcPr>
            <w:tcW w:w="960" w:type="dxa"/>
            <w:vAlign w:val="bottom"/>
            <w:gridSpan w:val="2"/>
          </w:tcPr>
          <w:p>
            <w:pPr>
              <w:jc w:val="right"/>
              <w:ind w:right="380"/>
              <w:spacing w:after="0"/>
              <w:rPr>
                <w:sz w:val="20"/>
                <w:szCs w:val="20"/>
                <w:color w:val="auto"/>
              </w:rPr>
            </w:pPr>
            <w:r>
              <w:rPr>
                <w:rFonts w:ascii="Arial" w:cs="Arial" w:eastAsia="Arial" w:hAnsi="Arial"/>
                <w:sz w:val="13"/>
                <w:szCs w:val="13"/>
                <w:color w:val="auto"/>
              </w:rPr>
              <w:t>6.9</w:t>
            </w:r>
          </w:p>
        </w:tc>
        <w:tc>
          <w:tcPr>
            <w:tcW w:w="740" w:type="dxa"/>
            <w:vAlign w:val="bottom"/>
            <w:gridSpan w:val="2"/>
          </w:tcPr>
          <w:p>
            <w:pPr>
              <w:jc w:val="right"/>
              <w:ind w:right="60"/>
              <w:spacing w:after="0"/>
              <w:rPr>
                <w:sz w:val="20"/>
                <w:szCs w:val="20"/>
                <w:color w:val="auto"/>
              </w:rPr>
            </w:pPr>
            <w:r>
              <w:rPr>
                <w:rFonts w:ascii="Arial" w:cs="Arial" w:eastAsia="Arial" w:hAnsi="Arial"/>
                <w:sz w:val="13"/>
                <w:szCs w:val="13"/>
                <w:color w:val="auto"/>
              </w:rPr>
              <w:t>4.0</w:t>
            </w:r>
          </w:p>
        </w:tc>
        <w:tc>
          <w:tcPr>
            <w:tcW w:w="320" w:type="dxa"/>
            <w:vAlign w:val="bottom"/>
          </w:tcPr>
          <w:p>
            <w:pPr>
              <w:spacing w:after="0"/>
              <w:rPr>
                <w:sz w:val="14"/>
                <w:szCs w:val="14"/>
                <w:color w:val="auto"/>
              </w:rPr>
            </w:pPr>
          </w:p>
        </w:tc>
        <w:tc>
          <w:tcPr>
            <w:tcW w:w="1480" w:type="dxa"/>
            <w:vAlign w:val="bottom"/>
            <w:gridSpan w:val="2"/>
          </w:tcPr>
          <w:p>
            <w:pPr>
              <w:jc w:val="right"/>
              <w:ind w:right="480"/>
              <w:spacing w:after="0"/>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380"/>
              <w:spacing w:after="0"/>
              <w:rPr>
                <w:sz w:val="20"/>
                <w:szCs w:val="20"/>
                <w:color w:val="auto"/>
              </w:rPr>
            </w:pPr>
            <w:r>
              <w:rPr>
                <w:rFonts w:ascii="Arial" w:cs="Arial" w:eastAsia="Arial" w:hAnsi="Arial"/>
                <w:sz w:val="13"/>
                <w:szCs w:val="13"/>
                <w:color w:val="auto"/>
              </w:rPr>
              <w:t>5.4(I)</w:t>
            </w: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5.5</w:t>
            </w:r>
          </w:p>
        </w:tc>
        <w:tc>
          <w:tcPr>
            <w:tcW w:w="0" w:type="dxa"/>
            <w:vAlign w:val="bottom"/>
          </w:tcPr>
          <w:p>
            <w:pPr>
              <w:spacing w:after="0"/>
              <w:rPr>
                <w:sz w:val="1"/>
                <w:szCs w:val="1"/>
                <w:color w:val="auto"/>
              </w:rPr>
            </w:pPr>
          </w:p>
        </w:tc>
      </w:tr>
      <w:tr>
        <w:trPr>
          <w:trHeight w:val="161"/>
        </w:trPr>
        <w:tc>
          <w:tcPr>
            <w:tcW w:w="4600" w:type="dxa"/>
            <w:vAlign w:val="bottom"/>
            <w:shd w:val="clear" w:color="auto" w:fill="CCEEFF"/>
          </w:tcPr>
          <w:p>
            <w:pPr>
              <w:spacing w:after="0"/>
              <w:rPr>
                <w:sz w:val="20"/>
                <w:szCs w:val="20"/>
                <w:color w:val="auto"/>
              </w:rPr>
            </w:pPr>
            <w:r>
              <w:rPr>
                <w:rFonts w:ascii="Arial" w:cs="Arial" w:eastAsia="Arial" w:hAnsi="Arial"/>
                <w:sz w:val="13"/>
                <w:szCs w:val="13"/>
                <w:color w:val="auto"/>
              </w:rPr>
              <w:t>Year ended June 27, 2008</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6.7</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8.5</w:t>
            </w:r>
          </w:p>
        </w:tc>
        <w:tc>
          <w:tcPr>
            <w:tcW w:w="32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8.3(J)</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6.9</w:t>
            </w:r>
          </w:p>
        </w:tc>
        <w:tc>
          <w:tcPr>
            <w:tcW w:w="0" w:type="dxa"/>
            <w:vAlign w:val="bottom"/>
          </w:tcPr>
          <w:p>
            <w:pPr>
              <w:spacing w:after="0"/>
              <w:rPr>
                <w:sz w:val="1"/>
                <w:szCs w:val="1"/>
                <w:color w:val="auto"/>
              </w:rPr>
            </w:pPr>
          </w:p>
        </w:tc>
      </w:tr>
      <w:tr>
        <w:trPr>
          <w:trHeight w:val="172"/>
        </w:trPr>
        <w:tc>
          <w:tcPr>
            <w:tcW w:w="4600" w:type="dxa"/>
            <w:vAlign w:val="bottom"/>
          </w:tcPr>
          <w:p>
            <w:pPr>
              <w:spacing w:after="0"/>
              <w:rPr>
                <w:sz w:val="20"/>
                <w:szCs w:val="20"/>
                <w:color w:val="auto"/>
              </w:rPr>
            </w:pPr>
            <w:r>
              <w:rPr>
                <w:rFonts w:ascii="Arial" w:cs="Arial" w:eastAsia="Arial" w:hAnsi="Arial"/>
                <w:sz w:val="13"/>
                <w:szCs w:val="13"/>
                <w:color w:val="auto"/>
              </w:rPr>
              <w:t>Year ended June 29, 2007</w:t>
            </w:r>
          </w:p>
        </w:tc>
        <w:tc>
          <w:tcPr>
            <w:tcW w:w="960" w:type="dxa"/>
            <w:vAlign w:val="bottom"/>
            <w:gridSpan w:val="2"/>
          </w:tcPr>
          <w:p>
            <w:pPr>
              <w:jc w:val="right"/>
              <w:ind w:right="380"/>
              <w:spacing w:after="0"/>
              <w:rPr>
                <w:sz w:val="20"/>
                <w:szCs w:val="20"/>
                <w:color w:val="auto"/>
              </w:rPr>
            </w:pPr>
            <w:r>
              <w:rPr>
                <w:rFonts w:ascii="Arial" w:cs="Arial" w:eastAsia="Arial" w:hAnsi="Arial"/>
                <w:sz w:val="13"/>
                <w:szCs w:val="13"/>
                <w:color w:val="auto"/>
              </w:rPr>
              <w:t>3.9</w:t>
            </w:r>
          </w:p>
        </w:tc>
        <w:tc>
          <w:tcPr>
            <w:tcW w:w="740" w:type="dxa"/>
            <w:vAlign w:val="bottom"/>
            <w:gridSpan w:val="2"/>
          </w:tcPr>
          <w:p>
            <w:pPr>
              <w:jc w:val="right"/>
              <w:ind w:right="60"/>
              <w:spacing w:after="0"/>
              <w:rPr>
                <w:sz w:val="20"/>
                <w:szCs w:val="20"/>
                <w:color w:val="auto"/>
              </w:rPr>
            </w:pPr>
            <w:r>
              <w:rPr>
                <w:rFonts w:ascii="Arial" w:cs="Arial" w:eastAsia="Arial" w:hAnsi="Arial"/>
                <w:sz w:val="13"/>
                <w:szCs w:val="13"/>
                <w:color w:val="auto"/>
              </w:rPr>
              <w:t>2.8</w:t>
            </w:r>
          </w:p>
        </w:tc>
        <w:tc>
          <w:tcPr>
            <w:tcW w:w="320" w:type="dxa"/>
            <w:vAlign w:val="bottom"/>
          </w:tcPr>
          <w:p>
            <w:pPr>
              <w:spacing w:after="0"/>
              <w:rPr>
                <w:sz w:val="14"/>
                <w:szCs w:val="14"/>
                <w:color w:val="auto"/>
              </w:rPr>
            </w:pPr>
          </w:p>
        </w:tc>
        <w:tc>
          <w:tcPr>
            <w:tcW w:w="1480" w:type="dxa"/>
            <w:vAlign w:val="bottom"/>
            <w:gridSpan w:val="2"/>
          </w:tcPr>
          <w:p>
            <w:pPr>
              <w:jc w:val="right"/>
              <w:ind w:right="480"/>
              <w:spacing w:after="0"/>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320"/>
              <w:spacing w:after="0"/>
              <w:rPr>
                <w:sz w:val="20"/>
                <w:szCs w:val="20"/>
                <w:color w:val="auto"/>
              </w:rPr>
            </w:pPr>
            <w:r>
              <w:rPr>
                <w:rFonts w:ascii="Arial" w:cs="Arial" w:eastAsia="Arial" w:hAnsi="Arial"/>
                <w:sz w:val="13"/>
                <w:szCs w:val="13"/>
                <w:color w:val="auto"/>
              </w:rPr>
              <w:t>—(K)</w:t>
            </w: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6.7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57150</wp:posOffset>
            </wp:positionV>
            <wp:extent cx="825500" cy="63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25500" cy="6350"/>
                    </a:xfrm>
                    <a:prstGeom prst="rect">
                      <a:avLst/>
                    </a:prstGeom>
                    <a:noFill/>
                  </pic:spPr>
                </pic:pic>
              </a:graphicData>
            </a:graphic>
          </wp:anchor>
        </w:drawing>
      </w:r>
    </w:p>
    <w:p>
      <w:pPr>
        <w:spacing w:after="0" w:line="120" w:lineRule="exact"/>
        <w:rPr>
          <w:sz w:val="20"/>
          <w:szCs w:val="20"/>
          <w:color w:val="auto"/>
        </w:rPr>
      </w:pPr>
    </w:p>
    <w:p>
      <w:pPr>
        <w:ind w:left="1880" w:right="320" w:hanging="644"/>
        <w:spacing w:after="0" w:line="291" w:lineRule="auto"/>
        <w:rPr>
          <w:sz w:val="20"/>
          <w:szCs w:val="20"/>
          <w:color w:val="auto"/>
        </w:rPr>
      </w:pPr>
      <w:r>
        <w:rPr>
          <w:rFonts w:ascii="Arial" w:cs="Arial" w:eastAsia="Arial" w:hAnsi="Arial"/>
          <w:sz w:val="13"/>
          <w:szCs w:val="13"/>
          <w:color w:val="auto"/>
        </w:rPr>
        <w:t>Note A — Consists of changes to allowance for collection losses of $0.1 million for foreign currency translation losses, $6.4 million in additions from the acquisition of Telsima and $1.8 million for uncollectible accounts charged off, net of recoveries on accounts previously charged off.</w:t>
      </w:r>
    </w:p>
    <w:p>
      <w:pPr>
        <w:ind w:left="1880" w:hanging="652"/>
        <w:spacing w:after="0" w:line="291" w:lineRule="auto"/>
        <w:rPr>
          <w:sz w:val="20"/>
          <w:szCs w:val="20"/>
          <w:color w:val="auto"/>
        </w:rPr>
      </w:pPr>
      <w:r>
        <w:rPr>
          <w:rFonts w:ascii="Arial" w:cs="Arial" w:eastAsia="Arial" w:hAnsi="Arial"/>
          <w:sz w:val="13"/>
          <w:szCs w:val="13"/>
          <w:color w:val="auto"/>
        </w:rPr>
        <w:t>Note B — Consists of changes to allowance for collection losses of $0.5 million for foreign currency translation gains and $0.1 million for uncollectible accounts charged off, net of recoveries on accounts previously charged off.</w:t>
      </w:r>
    </w:p>
    <w:p>
      <w:pPr>
        <w:ind w:left="1880" w:right="300" w:hanging="652"/>
        <w:spacing w:after="0" w:line="315" w:lineRule="auto"/>
        <w:rPr>
          <w:sz w:val="20"/>
          <w:szCs w:val="20"/>
          <w:color w:val="auto"/>
        </w:rPr>
      </w:pPr>
      <w:r>
        <w:rPr>
          <w:rFonts w:ascii="Arial" w:cs="Arial" w:eastAsia="Arial" w:hAnsi="Arial"/>
          <w:sz w:val="12"/>
          <w:szCs w:val="12"/>
          <w:color w:val="auto"/>
        </w:rPr>
        <w:t>Note C — Consists of additions to allowance for collection losses of $0.2 million for foreign currency translation gains, $0.8 million in additions from the acquisition of Stratex Networks and deductions of $2.1 million for uncollectible accounts charged off, net of recoveries on accounts previously charged off.</w:t>
      </w:r>
    </w:p>
    <w:p>
      <w:pPr>
        <w:spacing w:after="0" w:line="1" w:lineRule="exact"/>
        <w:rPr>
          <w:sz w:val="20"/>
          <w:szCs w:val="20"/>
          <w:color w:val="auto"/>
        </w:rPr>
      </w:pPr>
    </w:p>
    <w:p>
      <w:pPr>
        <w:ind w:left="1880" w:right="460" w:hanging="659"/>
        <w:spacing w:after="0" w:line="291" w:lineRule="auto"/>
        <w:rPr>
          <w:sz w:val="20"/>
          <w:szCs w:val="20"/>
          <w:color w:val="auto"/>
        </w:rPr>
      </w:pPr>
      <w:r>
        <w:rPr>
          <w:rFonts w:ascii="Arial" w:cs="Arial" w:eastAsia="Arial" w:hAnsi="Arial"/>
          <w:sz w:val="13"/>
          <w:szCs w:val="13"/>
          <w:color w:val="auto"/>
        </w:rPr>
        <w:t>Note D — Consists of additions to inventory reserves of $0.2 million for foreign currency translation losses, $8.6 million in deductions from obsolescence and excess inventory charged off.</w:t>
      </w:r>
    </w:p>
    <w:p>
      <w:pPr>
        <w:ind w:left="1880" w:right="500" w:hanging="644"/>
        <w:spacing w:after="0" w:line="291" w:lineRule="auto"/>
        <w:rPr>
          <w:sz w:val="20"/>
          <w:szCs w:val="20"/>
          <w:color w:val="auto"/>
        </w:rPr>
      </w:pPr>
      <w:r>
        <w:rPr>
          <w:rFonts w:ascii="Arial" w:cs="Arial" w:eastAsia="Arial" w:hAnsi="Arial"/>
          <w:sz w:val="13"/>
          <w:szCs w:val="13"/>
          <w:color w:val="auto"/>
        </w:rPr>
        <w:t>Note E — Consists of additions to inventory reserves of $0.3 million for foreign currency translation gains, $4.9 million in deductions from obsolescence and excess inventory charged off and $1.4 million in other inventory reserve adjustments.</w:t>
      </w:r>
    </w:p>
    <w:p>
      <w:pPr>
        <w:ind w:left="1240"/>
        <w:spacing w:after="0"/>
        <w:rPr>
          <w:sz w:val="20"/>
          <w:szCs w:val="20"/>
          <w:color w:val="auto"/>
        </w:rPr>
      </w:pPr>
      <w:r>
        <w:rPr>
          <w:rFonts w:ascii="Arial" w:cs="Arial" w:eastAsia="Arial" w:hAnsi="Arial"/>
          <w:sz w:val="13"/>
          <w:szCs w:val="13"/>
          <w:color w:val="auto"/>
        </w:rPr>
        <w:t>Note F —  Consists of additions to inventory reserves of $7.2 million in deductions from obsolescence and excess inventory charged off.</w:t>
      </w:r>
    </w:p>
    <w:p>
      <w:pPr>
        <w:spacing w:after="0" w:line="52" w:lineRule="exact"/>
        <w:rPr>
          <w:sz w:val="20"/>
          <w:szCs w:val="20"/>
          <w:color w:val="auto"/>
        </w:rPr>
      </w:pPr>
    </w:p>
    <w:p>
      <w:pPr>
        <w:ind w:left="1880" w:right="740" w:hanging="659"/>
        <w:spacing w:after="0" w:line="291" w:lineRule="auto"/>
        <w:rPr>
          <w:sz w:val="20"/>
          <w:szCs w:val="20"/>
          <w:color w:val="auto"/>
        </w:rPr>
      </w:pPr>
      <w:r>
        <w:rPr>
          <w:rFonts w:ascii="Arial" w:cs="Arial" w:eastAsia="Arial" w:hAnsi="Arial"/>
          <w:sz w:val="13"/>
          <w:szCs w:val="13"/>
          <w:color w:val="auto"/>
        </w:rPr>
        <w:t>Note G — Deferred tax asset recorded as an adjustment to goodwill and identified intangible assets under purchase accounting and reclass of Harris Corporation Intercompany deferred tax assets.</w:t>
      </w:r>
    </w:p>
    <w:p>
      <w:pPr>
        <w:ind w:left="1220"/>
        <w:spacing w:after="0"/>
        <w:rPr>
          <w:sz w:val="20"/>
          <w:szCs w:val="20"/>
          <w:color w:val="auto"/>
        </w:rPr>
      </w:pPr>
      <w:r>
        <w:rPr>
          <w:rFonts w:ascii="Arial" w:cs="Arial" w:eastAsia="Arial" w:hAnsi="Arial"/>
          <w:sz w:val="13"/>
          <w:szCs w:val="13"/>
          <w:color w:val="auto"/>
        </w:rPr>
        <w:t>Note H —  Additions to deferred tax valuation allowance are recorded as expense.</w:t>
      </w:r>
    </w:p>
    <w:p>
      <w:pPr>
        <w:spacing w:after="0" w:line="52"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Note I —  Consists of warranty settlements of $5.7 million, partially offset by $0.3 million from the Telsima acquisition.</w:t>
      </w:r>
    </w:p>
    <w:p>
      <w:pPr>
        <w:spacing w:after="0" w:line="52"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Note J —  Consists of warranty settlements of $8.4 million, partially offset by $0.1 million in foreign currency translation adjustments.</w:t>
      </w:r>
    </w:p>
    <w:p>
      <w:pPr>
        <w:spacing w:after="0" w:line="52" w:lineRule="exact"/>
        <w:rPr>
          <w:sz w:val="20"/>
          <w:szCs w:val="20"/>
          <w:color w:val="auto"/>
        </w:rPr>
      </w:pPr>
    </w:p>
    <w:p>
      <w:pPr>
        <w:ind w:left="1220"/>
        <w:spacing w:after="0"/>
        <w:rPr>
          <w:sz w:val="20"/>
          <w:szCs w:val="20"/>
          <w:color w:val="auto"/>
        </w:rPr>
      </w:pPr>
      <w:r>
        <w:rPr>
          <w:rFonts w:ascii="Arial" w:cs="Arial" w:eastAsia="Arial" w:hAnsi="Arial"/>
          <w:sz w:val="12"/>
          <w:szCs w:val="12"/>
          <w:color w:val="auto"/>
        </w:rPr>
        <w:t>Note K —  Consists of warranty settlements of $4.7 million, offset by $4.6 million from the Stratex acquisition and $0.1 million in foreign currency translation adjustments.</w:t>
      </w:r>
    </w:p>
    <w:p>
      <w:pPr>
        <w:spacing w:after="0" w:line="31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122" w:name="page123"/>
    <w:bookmarkEnd w:id="12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5160"/>
        <w:spacing w:after="0"/>
        <w:rPr>
          <w:sz w:val="20"/>
          <w:szCs w:val="20"/>
          <w:color w:val="auto"/>
        </w:rPr>
      </w:pPr>
      <w:r>
        <w:rPr>
          <w:rFonts w:ascii="Arial" w:cs="Arial" w:eastAsia="Arial" w:hAnsi="Arial"/>
          <w:sz w:val="13"/>
          <w:szCs w:val="13"/>
          <w:b w:val="1"/>
          <w:bCs w:val="1"/>
          <w:color w:val="auto"/>
        </w:rPr>
        <w:t>EXHIBIT INDEX</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exhibits are filed herewith or are incorporated herein by reference to exhibits previously filed with the SEC:</w:t>
      </w:r>
    </w:p>
    <w:p>
      <w:pPr>
        <w:spacing w:after="0" w:line="106" w:lineRule="exact"/>
        <w:rPr>
          <w:sz w:val="20"/>
          <w:szCs w:val="20"/>
          <w:color w:val="auto"/>
        </w:rPr>
      </w:pPr>
    </w:p>
    <w:p>
      <w:pPr>
        <w:ind w:left="980"/>
        <w:spacing w:after="0"/>
        <w:tabs>
          <w:tab w:leader="none" w:pos="6060" w:val="left"/>
        </w:tabs>
        <w:rPr>
          <w:sz w:val="20"/>
          <w:szCs w:val="20"/>
          <w:color w:val="auto"/>
        </w:rPr>
      </w:pPr>
      <w:r>
        <w:rPr>
          <w:rFonts w:ascii="Arial" w:cs="Arial" w:eastAsia="Arial" w:hAnsi="Arial"/>
          <w:sz w:val="11"/>
          <w:szCs w:val="11"/>
          <w:b w:val="1"/>
          <w:bCs w:val="1"/>
          <w:color w:val="auto"/>
        </w:rPr>
        <w:t>Ex. #</w:t>
      </w:r>
      <w:r>
        <w:rPr>
          <w:sz w:val="20"/>
          <w:szCs w:val="20"/>
          <w:color w:val="auto"/>
        </w:rPr>
        <w:tab/>
      </w:r>
      <w:r>
        <w:rPr>
          <w:rFonts w:ascii="Arial" w:cs="Arial" w:eastAsia="Arial" w:hAnsi="Arial"/>
          <w:sz w:val="9"/>
          <w:szCs w:val="9"/>
          <w:b w:val="1"/>
          <w:bCs w:val="1"/>
          <w:u w:val="single" w:color="auto"/>
          <w:color w:val="auto"/>
        </w:rPr>
        <w:t>D</w:t>
      </w:r>
      <w:r>
        <w:rPr>
          <w:rFonts w:ascii="Arial" w:cs="Arial" w:eastAsia="Arial" w:hAnsi="Arial"/>
          <w:sz w:val="9"/>
          <w:szCs w:val="9"/>
          <w:b w:val="1"/>
          <w:bCs w:val="1"/>
          <w:color w:val="auto"/>
        </w:rPr>
        <w:t>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6985</wp:posOffset>
            </wp:positionV>
            <wp:extent cx="6350" cy="63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31" w:lineRule="exact"/>
        <w:rPr>
          <w:sz w:val="20"/>
          <w:szCs w:val="20"/>
          <w:color w:val="auto"/>
        </w:rPr>
      </w:pPr>
    </w:p>
    <w:p>
      <w:pPr>
        <w:ind w:left="1600" w:right="240" w:hanging="469"/>
        <w:spacing w:after="0" w:line="286" w:lineRule="auto"/>
        <w:tabs>
          <w:tab w:leader="none" w:pos="1580" w:val="left"/>
        </w:tabs>
        <w:rPr>
          <w:sz w:val="20"/>
          <w:szCs w:val="20"/>
          <w:color w:val="auto"/>
        </w:rPr>
      </w:pPr>
      <w:r>
        <w:rPr>
          <w:rFonts w:ascii="Arial" w:cs="Arial" w:eastAsia="Arial" w:hAnsi="Arial"/>
          <w:sz w:val="13"/>
          <w:szCs w:val="13"/>
          <w:color w:val="auto"/>
        </w:rPr>
        <w:t>2.1</w:t>
      </w:r>
      <w:r>
        <w:rPr>
          <w:sz w:val="20"/>
          <w:szCs w:val="20"/>
          <w:color w:val="auto"/>
        </w:rPr>
        <w:tab/>
      </w:r>
      <w:r>
        <w:rPr>
          <w:rFonts w:ascii="Arial" w:cs="Arial" w:eastAsia="Arial" w:hAnsi="Arial"/>
          <w:sz w:val="12"/>
          <w:szCs w:val="12"/>
          <w:color w:val="auto"/>
        </w:rPr>
        <w:t>Amended and Restated Formation, Contribution and Merger Agreement, dated as of December 18, 2006, among Harris Corporation, Stratex Networks, Inc., Harris Stratex Networks, Inc. and Stratex Merger Corp. (incorporated by reference to Appendix A to the proxy statement/prospectus forming a part of the Registration Statement on Form S-4 of Harris Stratex Networks, Inc. filed with the Securities and Exchange Commission on January 3, 2007, File No. 333-137980)</w:t>
      </w:r>
    </w:p>
    <w:p>
      <w:pPr>
        <w:spacing w:after="0" w:line="1" w:lineRule="exact"/>
        <w:rPr>
          <w:sz w:val="20"/>
          <w:szCs w:val="20"/>
          <w:color w:val="auto"/>
        </w:rPr>
      </w:pPr>
    </w:p>
    <w:p>
      <w:pPr>
        <w:ind w:left="1600" w:right="160" w:hanging="469"/>
        <w:spacing w:after="0" w:line="280" w:lineRule="auto"/>
        <w:tabs>
          <w:tab w:leader="none" w:pos="1580" w:val="left"/>
        </w:tabs>
        <w:rPr>
          <w:sz w:val="20"/>
          <w:szCs w:val="20"/>
          <w:color w:val="auto"/>
        </w:rPr>
      </w:pPr>
      <w:r>
        <w:rPr>
          <w:rFonts w:ascii="Arial" w:cs="Arial" w:eastAsia="Arial" w:hAnsi="Arial"/>
          <w:sz w:val="13"/>
          <w:szCs w:val="13"/>
          <w:color w:val="auto"/>
        </w:rPr>
        <w:t>2.2</w:t>
      </w:r>
      <w:r>
        <w:rPr>
          <w:sz w:val="20"/>
          <w:szCs w:val="20"/>
          <w:color w:val="auto"/>
        </w:rPr>
        <w:tab/>
      </w:r>
      <w:r>
        <w:rPr>
          <w:rFonts w:ascii="Arial" w:cs="Arial" w:eastAsia="Arial" w:hAnsi="Arial"/>
          <w:sz w:val="12"/>
          <w:szCs w:val="12"/>
          <w:color w:val="auto"/>
        </w:rPr>
        <w:t>Letter Agreement, dated as of January 26, 2007, among Harris Corporation, Stratex Networks, Inc., Harris Stratex Networks, Inc. and Stratex Merger Corp. (incorporated by reference to Exhibit 2.1.1 to the Report on Form 8-K filed with the Securities and Exchange Commission on February 1, 2007, File No. 001-33278)</w:t>
      </w:r>
    </w:p>
    <w:p>
      <w:pPr>
        <w:jc w:val="both"/>
        <w:ind w:left="1600" w:right="340" w:hanging="469"/>
        <w:spacing w:after="0" w:line="258" w:lineRule="auto"/>
        <w:tabs>
          <w:tab w:leader="none" w:pos="1580" w:val="left"/>
        </w:tabs>
        <w:rPr>
          <w:sz w:val="20"/>
          <w:szCs w:val="20"/>
          <w:color w:val="auto"/>
        </w:rPr>
      </w:pPr>
      <w:r>
        <w:rPr>
          <w:rFonts w:ascii="Arial" w:cs="Arial" w:eastAsia="Arial" w:hAnsi="Arial"/>
          <w:sz w:val="13"/>
          <w:szCs w:val="13"/>
          <w:color w:val="auto"/>
        </w:rPr>
        <w:t>2.3</w:t>
      </w:r>
      <w:r>
        <w:rPr>
          <w:sz w:val="20"/>
          <w:szCs w:val="20"/>
          <w:color w:val="auto"/>
        </w:rPr>
        <w:tab/>
      </w:r>
      <w:r>
        <w:rPr>
          <w:rFonts w:ascii="Arial" w:cs="Arial" w:eastAsia="Arial" w:hAnsi="Arial"/>
          <w:sz w:val="13"/>
          <w:szCs w:val="13"/>
          <w:color w:val="auto"/>
        </w:rPr>
        <w:t>Agreement and Plan of Merger by and among Harris Stratex Networks Operating Corporation, Eagle Networks Merger Corporation, Telsima Corporation and the Holder Representative dated as of February 27, 2009 (incorporated by reference to Exhibit 2.1 to the Report on Form 8-K filed with the Securities and Exchange Commission on March 6, 2009, File No. 001-33278)</w:t>
      </w:r>
    </w:p>
    <w:p>
      <w:pPr>
        <w:spacing w:after="0" w:line="2" w:lineRule="exact"/>
        <w:rPr>
          <w:sz w:val="20"/>
          <w:szCs w:val="20"/>
          <w:color w:val="auto"/>
        </w:rPr>
      </w:pPr>
    </w:p>
    <w:p>
      <w:pPr>
        <w:ind w:left="1600" w:right="160" w:hanging="469"/>
        <w:spacing w:after="0" w:line="258" w:lineRule="auto"/>
        <w:tabs>
          <w:tab w:leader="none" w:pos="1580" w:val="left"/>
        </w:tabs>
        <w:rPr>
          <w:sz w:val="20"/>
          <w:szCs w:val="20"/>
          <w:color w:val="auto"/>
        </w:rPr>
      </w:pPr>
      <w:r>
        <w:rPr>
          <w:rFonts w:ascii="Arial" w:cs="Arial" w:eastAsia="Arial" w:hAnsi="Arial"/>
          <w:sz w:val="13"/>
          <w:szCs w:val="13"/>
          <w:color w:val="auto"/>
        </w:rPr>
        <w:t>3.1</w:t>
      </w:r>
      <w:r>
        <w:rPr>
          <w:sz w:val="20"/>
          <w:szCs w:val="20"/>
          <w:color w:val="auto"/>
        </w:rPr>
        <w:tab/>
      </w:r>
      <w:r>
        <w:rPr>
          <w:rFonts w:ascii="Arial" w:cs="Arial" w:eastAsia="Arial" w:hAnsi="Arial"/>
          <w:sz w:val="13"/>
          <w:szCs w:val="13"/>
          <w:color w:val="auto"/>
        </w:rPr>
        <w:t>Amended and Restated Certificate of Incorporation of Harris Stratex Networks, Inc. as filed with the Secretary of State of the State of Delaware on January 26, 2007 (incorporated by reference to Exhibit 3.1 to the Registration Statement on Form 8-A filed with the Securities and Exchange Commission on January 26, 2007, File No. 001-33278)</w:t>
      </w:r>
    </w:p>
    <w:p>
      <w:pPr>
        <w:spacing w:after="0" w:line="2" w:lineRule="exact"/>
        <w:rPr>
          <w:sz w:val="20"/>
          <w:szCs w:val="20"/>
          <w:color w:val="auto"/>
        </w:rPr>
      </w:pPr>
    </w:p>
    <w:p>
      <w:pPr>
        <w:ind w:left="1600" w:right="320" w:hanging="469"/>
        <w:spacing w:after="0" w:line="258" w:lineRule="auto"/>
        <w:tabs>
          <w:tab w:leader="none" w:pos="1580" w:val="left"/>
        </w:tabs>
        <w:rPr>
          <w:sz w:val="20"/>
          <w:szCs w:val="20"/>
          <w:color w:val="auto"/>
        </w:rPr>
      </w:pPr>
      <w:r>
        <w:rPr>
          <w:rFonts w:ascii="Arial" w:cs="Arial" w:eastAsia="Arial" w:hAnsi="Arial"/>
          <w:sz w:val="13"/>
          <w:szCs w:val="13"/>
          <w:color w:val="auto"/>
        </w:rPr>
        <w:t>3.2</w:t>
      </w:r>
      <w:r>
        <w:rPr>
          <w:sz w:val="20"/>
          <w:szCs w:val="20"/>
          <w:color w:val="auto"/>
        </w:rPr>
        <w:tab/>
      </w:r>
      <w:r>
        <w:rPr>
          <w:rFonts w:ascii="Arial" w:cs="Arial" w:eastAsia="Arial" w:hAnsi="Arial"/>
          <w:sz w:val="13"/>
          <w:szCs w:val="13"/>
          <w:color w:val="auto"/>
        </w:rPr>
        <w:t>Amended and Restated Bylaws of Harris Stratex Networks, Inc., (incorporated by reference to Exhibit 3.1 to the Report on Form 8-K filed with the Securities and Exchange Commission on September 3, 2008, File No. 001-33278)</w:t>
      </w:r>
    </w:p>
    <w:p>
      <w:pPr>
        <w:spacing w:after="0" w:line="1" w:lineRule="exact"/>
        <w:rPr>
          <w:sz w:val="20"/>
          <w:szCs w:val="20"/>
          <w:color w:val="auto"/>
        </w:rPr>
      </w:pPr>
    </w:p>
    <w:p>
      <w:pPr>
        <w:ind w:left="1120"/>
        <w:spacing w:after="0"/>
        <w:tabs>
          <w:tab w:leader="none" w:pos="1580" w:val="left"/>
        </w:tabs>
        <w:rPr>
          <w:sz w:val="20"/>
          <w:szCs w:val="20"/>
          <w:color w:val="auto"/>
        </w:rPr>
      </w:pPr>
      <w:r>
        <w:rPr>
          <w:rFonts w:ascii="Arial" w:cs="Arial" w:eastAsia="Arial" w:hAnsi="Arial"/>
          <w:sz w:val="13"/>
          <w:szCs w:val="13"/>
          <w:color w:val="auto"/>
        </w:rPr>
        <w:t>4.1</w:t>
      </w:r>
      <w:r>
        <w:rPr>
          <w:sz w:val="20"/>
          <w:szCs w:val="20"/>
          <w:color w:val="auto"/>
        </w:rPr>
        <w:tab/>
      </w:r>
      <w:r>
        <w:rPr>
          <w:rFonts w:ascii="Arial" w:cs="Arial" w:eastAsia="Arial" w:hAnsi="Arial"/>
          <w:sz w:val="12"/>
          <w:szCs w:val="12"/>
          <w:color w:val="auto"/>
        </w:rPr>
        <w:t>Specimen common stock certificates (incorporated herein by reference to Exhibit 4.1 to the Company’s Annual Report on Form 10-K for the fiscal year ended June 29,</w:t>
      </w:r>
    </w:p>
    <w:p>
      <w:pPr>
        <w:spacing w:after="0" w:line="12" w:lineRule="exact"/>
        <w:rPr>
          <w:sz w:val="20"/>
          <w:szCs w:val="20"/>
          <w:color w:val="auto"/>
        </w:rPr>
      </w:pPr>
    </w:p>
    <w:p>
      <w:pPr>
        <w:ind w:left="1600"/>
        <w:spacing w:after="0"/>
        <w:rPr>
          <w:sz w:val="20"/>
          <w:szCs w:val="20"/>
          <w:color w:val="auto"/>
        </w:rPr>
      </w:pPr>
      <w:r>
        <w:rPr>
          <w:rFonts w:ascii="Arial" w:cs="Arial" w:eastAsia="Arial" w:hAnsi="Arial"/>
          <w:sz w:val="13"/>
          <w:szCs w:val="13"/>
          <w:color w:val="auto"/>
        </w:rPr>
        <w:t>2007 filed with the Securities and Exchange Commission on August 27, 2007, File No. 001-33278)</w:t>
      </w:r>
    </w:p>
    <w:p>
      <w:pPr>
        <w:spacing w:after="0" w:line="12" w:lineRule="exact"/>
        <w:rPr>
          <w:sz w:val="20"/>
          <w:szCs w:val="20"/>
          <w:color w:val="auto"/>
        </w:rPr>
      </w:pPr>
    </w:p>
    <w:p>
      <w:pPr>
        <w:ind w:left="1600" w:right="80" w:hanging="469"/>
        <w:spacing w:after="0" w:line="258" w:lineRule="auto"/>
        <w:tabs>
          <w:tab w:leader="none" w:pos="1580" w:val="left"/>
        </w:tabs>
        <w:rPr>
          <w:sz w:val="20"/>
          <w:szCs w:val="20"/>
          <w:color w:val="auto"/>
        </w:rPr>
      </w:pPr>
      <w:r>
        <w:rPr>
          <w:rFonts w:ascii="Arial" w:cs="Arial" w:eastAsia="Arial" w:hAnsi="Arial"/>
          <w:sz w:val="13"/>
          <w:szCs w:val="13"/>
          <w:color w:val="auto"/>
        </w:rPr>
        <w:t>4.2</w:t>
      </w:r>
      <w:r>
        <w:rPr>
          <w:sz w:val="20"/>
          <w:szCs w:val="20"/>
          <w:color w:val="auto"/>
        </w:rPr>
        <w:tab/>
      </w:r>
      <w:r>
        <w:rPr>
          <w:rFonts w:ascii="Arial" w:cs="Arial" w:eastAsia="Arial" w:hAnsi="Arial"/>
          <w:sz w:val="13"/>
          <w:szCs w:val="13"/>
          <w:color w:val="auto"/>
        </w:rPr>
        <w:t>Registration Rights Agreement between Harris Stratex Networks, Inc. and Harris Corporation dated January 26, 2007 (incorporated by reference to Exhibit 10.3 to the Report on Form 8-K filed with the Securities and Exchange Commission on February 1, 2007, File No. 001-33278)</w:t>
      </w:r>
    </w:p>
    <w:p>
      <w:pPr>
        <w:spacing w:after="0" w:line="1" w:lineRule="exact"/>
        <w:rPr>
          <w:sz w:val="20"/>
          <w:szCs w:val="20"/>
          <w:color w:val="auto"/>
        </w:rPr>
      </w:pPr>
    </w:p>
    <w:p>
      <w:pPr>
        <w:ind w:left="1600" w:right="460" w:hanging="469"/>
        <w:spacing w:after="0" w:line="258" w:lineRule="auto"/>
        <w:tabs>
          <w:tab w:leader="none" w:pos="1580" w:val="left"/>
        </w:tabs>
        <w:rPr>
          <w:sz w:val="20"/>
          <w:szCs w:val="20"/>
          <w:color w:val="auto"/>
        </w:rPr>
      </w:pPr>
      <w:r>
        <w:rPr>
          <w:rFonts w:ascii="Arial" w:cs="Arial" w:eastAsia="Arial" w:hAnsi="Arial"/>
          <w:sz w:val="13"/>
          <w:szCs w:val="13"/>
          <w:color w:val="auto"/>
        </w:rPr>
        <w:t>4.3</w:t>
      </w:r>
      <w:r>
        <w:rPr>
          <w:sz w:val="20"/>
          <w:szCs w:val="20"/>
          <w:color w:val="auto"/>
        </w:rPr>
        <w:tab/>
      </w:r>
      <w:r>
        <w:rPr>
          <w:rFonts w:ascii="Arial" w:cs="Arial" w:eastAsia="Arial" w:hAnsi="Arial"/>
          <w:sz w:val="13"/>
          <w:szCs w:val="13"/>
          <w:color w:val="auto"/>
        </w:rPr>
        <w:t>Certificate of Designations of Series A Junior Participating Preferred Stock of Harris Stratex Networks, Inc., dated April 20, 2009 (incorporated by reference to Exhibit 4.1 to the Report on Form 8-K filed with the Securities and Exchange Commission on April 22, 2009, File No. 001-33278)</w:t>
      </w:r>
    </w:p>
    <w:p>
      <w:pPr>
        <w:spacing w:after="0" w:line="1" w:lineRule="exact"/>
        <w:rPr>
          <w:sz w:val="20"/>
          <w:szCs w:val="20"/>
          <w:color w:val="auto"/>
        </w:rPr>
      </w:pPr>
    </w:p>
    <w:p>
      <w:pPr>
        <w:ind w:left="1600" w:right="100" w:hanging="536"/>
        <w:spacing w:after="0" w:line="258" w:lineRule="auto"/>
        <w:tabs>
          <w:tab w:leader="none" w:pos="1580" w:val="left"/>
        </w:tabs>
        <w:rPr>
          <w:sz w:val="20"/>
          <w:szCs w:val="20"/>
          <w:color w:val="auto"/>
        </w:rPr>
      </w:pPr>
      <w:r>
        <w:rPr>
          <w:rFonts w:ascii="Arial" w:cs="Arial" w:eastAsia="Arial" w:hAnsi="Arial"/>
          <w:sz w:val="13"/>
          <w:szCs w:val="13"/>
          <w:color w:val="auto"/>
        </w:rPr>
        <w:t>10.1</w:t>
      </w:r>
      <w:r>
        <w:rPr>
          <w:sz w:val="20"/>
          <w:szCs w:val="20"/>
          <w:color w:val="auto"/>
        </w:rPr>
        <w:tab/>
      </w:r>
      <w:r>
        <w:rPr>
          <w:rFonts w:ascii="Arial" w:cs="Arial" w:eastAsia="Arial" w:hAnsi="Arial"/>
          <w:sz w:val="13"/>
          <w:szCs w:val="13"/>
          <w:color w:val="auto"/>
        </w:rPr>
        <w:t>Investor Agreement between Harris Stratex Networks, Inc. and Harris Corporation dated January 26, 2007 (incorporated by reference to Exhibit 10.1 to the Report on Form 8-K filed with the Securities and Exchange Commission on February 1, 2007, File No. 001-33278)</w:t>
      </w:r>
    </w:p>
    <w:p>
      <w:pPr>
        <w:spacing w:after="0" w:line="1" w:lineRule="exact"/>
        <w:rPr>
          <w:sz w:val="20"/>
          <w:szCs w:val="20"/>
          <w:color w:val="auto"/>
        </w:rPr>
      </w:pPr>
    </w:p>
    <w:p>
      <w:pPr>
        <w:ind w:left="1600" w:hanging="536"/>
        <w:spacing w:after="0" w:line="258" w:lineRule="auto"/>
        <w:tabs>
          <w:tab w:leader="none" w:pos="1580" w:val="left"/>
        </w:tabs>
        <w:rPr>
          <w:sz w:val="20"/>
          <w:szCs w:val="20"/>
          <w:color w:val="auto"/>
        </w:rPr>
      </w:pPr>
      <w:r>
        <w:rPr>
          <w:rFonts w:ascii="Arial" w:cs="Arial" w:eastAsia="Arial" w:hAnsi="Arial"/>
          <w:sz w:val="13"/>
          <w:szCs w:val="13"/>
          <w:color w:val="auto"/>
        </w:rPr>
        <w:t>10.2</w:t>
      </w:r>
      <w:r>
        <w:rPr>
          <w:sz w:val="20"/>
          <w:szCs w:val="20"/>
          <w:color w:val="auto"/>
        </w:rPr>
        <w:tab/>
      </w:r>
      <w:r>
        <w:rPr>
          <w:rFonts w:ascii="Arial" w:cs="Arial" w:eastAsia="Arial" w:hAnsi="Arial"/>
          <w:sz w:val="13"/>
          <w:szCs w:val="13"/>
          <w:color w:val="auto"/>
        </w:rPr>
        <w:t>Non-Competition Agreement among Harris Stratex Networks, Inc., Harris Corporation and Stratex Networks, Inc. dated January 26, 2007 (incorporated by reference to Exhibit 10.2 to the Report on Form 8-K filed with the Securities and Exchange Commission on February 1, 2007, File No. 001-33278)</w:t>
      </w:r>
    </w:p>
    <w:p>
      <w:pPr>
        <w:spacing w:after="0" w:line="1" w:lineRule="exact"/>
        <w:rPr>
          <w:sz w:val="20"/>
          <w:szCs w:val="20"/>
          <w:color w:val="auto"/>
        </w:rPr>
      </w:pPr>
    </w:p>
    <w:p>
      <w:pPr>
        <w:ind w:left="1600" w:right="20" w:hanging="536"/>
        <w:spacing w:after="0" w:line="258" w:lineRule="auto"/>
        <w:tabs>
          <w:tab w:leader="none" w:pos="1580" w:val="left"/>
        </w:tabs>
        <w:rPr>
          <w:sz w:val="20"/>
          <w:szCs w:val="20"/>
          <w:color w:val="auto"/>
        </w:rPr>
      </w:pPr>
      <w:r>
        <w:rPr>
          <w:rFonts w:ascii="Arial" w:cs="Arial" w:eastAsia="Arial" w:hAnsi="Arial"/>
          <w:sz w:val="13"/>
          <w:szCs w:val="13"/>
          <w:color w:val="auto"/>
        </w:rPr>
        <w:t>10.3</w:t>
      </w:r>
      <w:r>
        <w:rPr>
          <w:sz w:val="20"/>
          <w:szCs w:val="20"/>
          <w:color w:val="auto"/>
        </w:rPr>
        <w:tab/>
      </w:r>
      <w:r>
        <w:rPr>
          <w:rFonts w:ascii="Arial" w:cs="Arial" w:eastAsia="Arial" w:hAnsi="Arial"/>
          <w:sz w:val="13"/>
          <w:szCs w:val="13"/>
          <w:color w:val="auto"/>
        </w:rPr>
        <w:t>Intellectual Property Agreement between Harris Stratex Networks, Inc. and Harris Corporation dated January 26, 2007 (incorporated by reference to Exhibit 10.4 to the Report on Form 8-K filed with the Securities and Exchange Commission on February 1, 2007, File No. 001-33278)</w:t>
      </w:r>
    </w:p>
    <w:p>
      <w:pPr>
        <w:spacing w:after="0" w:line="1" w:lineRule="exact"/>
        <w:rPr>
          <w:sz w:val="20"/>
          <w:szCs w:val="20"/>
          <w:color w:val="auto"/>
        </w:rPr>
      </w:pPr>
    </w:p>
    <w:p>
      <w:pPr>
        <w:ind w:left="1600" w:right="180" w:hanging="536"/>
        <w:spacing w:after="0" w:line="258" w:lineRule="auto"/>
        <w:tabs>
          <w:tab w:leader="none" w:pos="1580" w:val="left"/>
        </w:tabs>
        <w:rPr>
          <w:sz w:val="20"/>
          <w:szCs w:val="20"/>
          <w:color w:val="auto"/>
        </w:rPr>
      </w:pPr>
      <w:r>
        <w:rPr>
          <w:rFonts w:ascii="Arial" w:cs="Arial" w:eastAsia="Arial" w:hAnsi="Arial"/>
          <w:sz w:val="13"/>
          <w:szCs w:val="13"/>
          <w:color w:val="auto"/>
        </w:rPr>
        <w:t>10.4</w:t>
      </w:r>
      <w:r>
        <w:rPr>
          <w:sz w:val="20"/>
          <w:szCs w:val="20"/>
          <w:color w:val="auto"/>
        </w:rPr>
        <w:tab/>
      </w:r>
      <w:r>
        <w:rPr>
          <w:rFonts w:ascii="Arial" w:cs="Arial" w:eastAsia="Arial" w:hAnsi="Arial"/>
          <w:sz w:val="13"/>
          <w:szCs w:val="13"/>
          <w:color w:val="auto"/>
        </w:rPr>
        <w:t>Trademark and Trade Name License Agreement between Harris Stratex Networks, Inc. and Harris Corporation dated January 26, 2007 (incorporated by reference to Exhibit 10.5 to the Report on Form 8-K filed with the Securities and Exchange Commission on February 1, 2007, File No. 001-33278)</w:t>
      </w:r>
    </w:p>
    <w:p>
      <w:pPr>
        <w:spacing w:after="0" w:line="1" w:lineRule="exact"/>
        <w:rPr>
          <w:sz w:val="20"/>
          <w:szCs w:val="20"/>
          <w:color w:val="auto"/>
        </w:rPr>
      </w:pPr>
    </w:p>
    <w:p>
      <w:pPr>
        <w:ind w:left="1600" w:right="240" w:hanging="536"/>
        <w:spacing w:after="0" w:line="258" w:lineRule="auto"/>
        <w:tabs>
          <w:tab w:leader="none" w:pos="1580" w:val="left"/>
        </w:tabs>
        <w:rPr>
          <w:sz w:val="20"/>
          <w:szCs w:val="20"/>
          <w:color w:val="auto"/>
        </w:rPr>
      </w:pPr>
      <w:r>
        <w:rPr>
          <w:rFonts w:ascii="Arial" w:cs="Arial" w:eastAsia="Arial" w:hAnsi="Arial"/>
          <w:sz w:val="13"/>
          <w:szCs w:val="13"/>
          <w:color w:val="auto"/>
        </w:rPr>
        <w:t>10.5</w:t>
      </w:r>
      <w:r>
        <w:rPr>
          <w:sz w:val="20"/>
          <w:szCs w:val="20"/>
          <w:color w:val="auto"/>
        </w:rPr>
        <w:tab/>
      </w:r>
      <w:r>
        <w:rPr>
          <w:rFonts w:ascii="Arial" w:cs="Arial" w:eastAsia="Arial" w:hAnsi="Arial"/>
          <w:sz w:val="13"/>
          <w:szCs w:val="13"/>
          <w:color w:val="auto"/>
        </w:rPr>
        <w:t>Lease Agreement between Harris Stratex Networks, Inc. and Harris Corporation dated January 26, 2007 (incorporated by reference to Exhibit 10.6 to the Report on Form 8-K filed with the Securities and Exchange Commission on February 1, 2007, File No. 001-33278)</w:t>
      </w:r>
    </w:p>
    <w:p>
      <w:pPr>
        <w:spacing w:after="0" w:line="1" w:lineRule="exact"/>
        <w:rPr>
          <w:sz w:val="20"/>
          <w:szCs w:val="20"/>
          <w:color w:val="auto"/>
        </w:rPr>
      </w:pPr>
    </w:p>
    <w:p>
      <w:pPr>
        <w:ind w:left="1600" w:right="80" w:hanging="536"/>
        <w:spacing w:after="0" w:line="277" w:lineRule="auto"/>
        <w:tabs>
          <w:tab w:leader="none" w:pos="1580" w:val="left"/>
        </w:tabs>
        <w:rPr>
          <w:sz w:val="20"/>
          <w:szCs w:val="20"/>
          <w:color w:val="auto"/>
        </w:rPr>
      </w:pPr>
      <w:r>
        <w:rPr>
          <w:rFonts w:ascii="Arial" w:cs="Arial" w:eastAsia="Arial" w:hAnsi="Arial"/>
          <w:sz w:val="13"/>
          <w:szCs w:val="13"/>
          <w:color w:val="auto"/>
        </w:rPr>
        <w:t>10.6</w:t>
      </w:r>
      <w:r>
        <w:rPr>
          <w:sz w:val="20"/>
          <w:szCs w:val="20"/>
          <w:color w:val="auto"/>
        </w:rPr>
        <w:tab/>
      </w:r>
      <w:r>
        <w:rPr>
          <w:rFonts w:ascii="Arial" w:cs="Arial" w:eastAsia="Arial" w:hAnsi="Arial"/>
          <w:sz w:val="13"/>
          <w:szCs w:val="13"/>
          <w:color w:val="auto"/>
        </w:rPr>
        <w:t>Transition Services Agreement between Harris Stratex Networks, Inc. and Harris Corporation dated January 26, 2007 (incorporated by reference to Exhibit 10.7 to the Report on Form 8-K filed with the Securities and Exchange Commission on February 1, 2007, File No. 001-33278)</w:t>
      </w:r>
    </w:p>
    <w:p>
      <w:pPr>
        <w:spacing w:after="0" w:line="269"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20"/>
          </w:cols>
          <w:pgMar w:left="220" w:top="349" w:right="1059" w:bottom="1440" w:gutter="0" w:footer="0" w:header="0"/>
        </w:sectPr>
      </w:pPr>
    </w:p>
    <w:bookmarkStart w:id="123" w:name="page124"/>
    <w:bookmarkEnd w:id="12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9" w:lineRule="exact"/>
        <w:rPr>
          <w:sz w:val="20"/>
          <w:szCs w:val="20"/>
          <w:color w:val="auto"/>
        </w:rPr>
      </w:pPr>
    </w:p>
    <w:p>
      <w:pPr>
        <w:ind w:left="980"/>
        <w:spacing w:after="0"/>
        <w:tabs>
          <w:tab w:leader="none" w:pos="6060" w:val="left"/>
        </w:tabs>
        <w:rPr>
          <w:sz w:val="20"/>
          <w:szCs w:val="20"/>
          <w:color w:val="auto"/>
        </w:rPr>
      </w:pPr>
      <w:r>
        <w:rPr>
          <w:rFonts w:ascii="Arial" w:cs="Arial" w:eastAsia="Arial" w:hAnsi="Arial"/>
          <w:sz w:val="11"/>
          <w:szCs w:val="11"/>
          <w:b w:val="1"/>
          <w:bCs w:val="1"/>
          <w:color w:val="auto"/>
        </w:rPr>
        <w:t>Ex. #</w:t>
      </w:r>
      <w:r>
        <w:rPr>
          <w:sz w:val="20"/>
          <w:szCs w:val="20"/>
          <w:color w:val="auto"/>
        </w:rPr>
        <w:tab/>
      </w:r>
      <w:r>
        <w:rPr>
          <w:rFonts w:ascii="Arial" w:cs="Arial" w:eastAsia="Arial" w:hAnsi="Arial"/>
          <w:sz w:val="9"/>
          <w:szCs w:val="9"/>
          <w:b w:val="1"/>
          <w:bCs w:val="1"/>
          <w:u w:val="single" w:color="auto"/>
          <w:color w:val="auto"/>
        </w:rPr>
        <w:t>D</w:t>
      </w:r>
      <w:r>
        <w:rPr>
          <w:rFonts w:ascii="Arial" w:cs="Arial" w:eastAsia="Arial" w:hAnsi="Arial"/>
          <w:sz w:val="9"/>
          <w:szCs w:val="9"/>
          <w:b w:val="1"/>
          <w:bCs w:val="1"/>
          <w:color w:val="auto"/>
        </w:rPr>
        <w:t>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6985</wp:posOffset>
            </wp:positionV>
            <wp:extent cx="6350" cy="63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31" w:lineRule="exact"/>
        <w:rPr>
          <w:sz w:val="20"/>
          <w:szCs w:val="20"/>
          <w:color w:val="auto"/>
        </w:rPr>
      </w:pPr>
    </w:p>
    <w:p>
      <w:pPr>
        <w:ind w:left="1600" w:right="180" w:hanging="637"/>
        <w:spacing w:after="0" w:line="264" w:lineRule="auto"/>
        <w:tabs>
          <w:tab w:leader="none" w:pos="1580" w:val="left"/>
        </w:tabs>
        <w:rPr>
          <w:sz w:val="20"/>
          <w:szCs w:val="20"/>
          <w:color w:val="auto"/>
        </w:rPr>
      </w:pPr>
      <w:r>
        <w:rPr>
          <w:rFonts w:ascii="Arial" w:cs="Arial" w:eastAsia="Arial" w:hAnsi="Arial"/>
          <w:sz w:val="13"/>
          <w:szCs w:val="13"/>
          <w:color w:val="auto"/>
        </w:rPr>
        <w:t>10.6.1</w:t>
      </w:r>
      <w:r>
        <w:rPr>
          <w:sz w:val="20"/>
          <w:szCs w:val="20"/>
          <w:color w:val="auto"/>
        </w:rPr>
        <w:tab/>
      </w:r>
      <w:r>
        <w:rPr>
          <w:rFonts w:ascii="Arial" w:cs="Arial" w:eastAsia="Arial" w:hAnsi="Arial"/>
          <w:sz w:val="13"/>
          <w:szCs w:val="13"/>
          <w:color w:val="auto"/>
        </w:rPr>
        <w:t>Amendment to Transition Services Agreement between Harris Stratex Networks, Inc. and Harris Corporation dated December 12, 2008 (incorporated by reference to Exhibit 10.1 to the Company’s Quarterly Report on Form 10-Q for the fiscal quarter ended January 2, 2009 filed with the Securities and Exchange Commission on February 10, 2009, File No. 001-33278)</w:t>
      </w:r>
    </w:p>
    <w:p>
      <w:pPr>
        <w:spacing w:after="0" w:line="1" w:lineRule="exact"/>
        <w:rPr>
          <w:sz w:val="20"/>
          <w:szCs w:val="20"/>
          <w:color w:val="auto"/>
        </w:rPr>
      </w:pPr>
    </w:p>
    <w:p>
      <w:pPr>
        <w:ind w:left="1600" w:right="60" w:hanging="536"/>
        <w:spacing w:after="0" w:line="258" w:lineRule="auto"/>
        <w:tabs>
          <w:tab w:leader="none" w:pos="1580" w:val="left"/>
        </w:tabs>
        <w:rPr>
          <w:sz w:val="20"/>
          <w:szCs w:val="20"/>
          <w:color w:val="auto"/>
        </w:rPr>
      </w:pPr>
      <w:r>
        <w:rPr>
          <w:rFonts w:ascii="Arial" w:cs="Arial" w:eastAsia="Arial" w:hAnsi="Arial"/>
          <w:sz w:val="13"/>
          <w:szCs w:val="13"/>
          <w:color w:val="auto"/>
        </w:rPr>
        <w:t>10.7</w:t>
      </w:r>
      <w:r>
        <w:rPr>
          <w:sz w:val="20"/>
          <w:szCs w:val="20"/>
          <w:color w:val="auto"/>
        </w:rPr>
        <w:tab/>
      </w:r>
      <w:r>
        <w:rPr>
          <w:rFonts w:ascii="Arial" w:cs="Arial" w:eastAsia="Arial" w:hAnsi="Arial"/>
          <w:sz w:val="13"/>
          <w:szCs w:val="13"/>
          <w:color w:val="auto"/>
        </w:rPr>
        <w:t>Warrant Assumption Agreement between Harris Stratex Networks, Inc. and Stratex Networks, Inc. dated January 26, 2007 (incorporated by reference to Exhibit 10.8 to the Report on Form 8-K filed with the Securities and Exchange Commission on February 1, 2007, File No. 001-33278)</w:t>
      </w:r>
    </w:p>
    <w:p>
      <w:pPr>
        <w:spacing w:after="0" w:line="1" w:lineRule="exact"/>
        <w:rPr>
          <w:sz w:val="20"/>
          <w:szCs w:val="20"/>
          <w:color w:val="auto"/>
        </w:rPr>
      </w:pPr>
    </w:p>
    <w:p>
      <w:pPr>
        <w:ind w:left="1600" w:right="260" w:hanging="536"/>
        <w:spacing w:after="0" w:line="258" w:lineRule="auto"/>
        <w:tabs>
          <w:tab w:leader="none" w:pos="1580" w:val="left"/>
        </w:tabs>
        <w:rPr>
          <w:sz w:val="20"/>
          <w:szCs w:val="20"/>
          <w:color w:val="auto"/>
        </w:rPr>
      </w:pPr>
      <w:r>
        <w:rPr>
          <w:rFonts w:ascii="Arial" w:cs="Arial" w:eastAsia="Arial" w:hAnsi="Arial"/>
          <w:sz w:val="13"/>
          <w:szCs w:val="13"/>
          <w:color w:val="auto"/>
        </w:rPr>
        <w:t>10.8</w:t>
      </w:r>
      <w:r>
        <w:rPr>
          <w:sz w:val="20"/>
          <w:szCs w:val="20"/>
          <w:color w:val="auto"/>
        </w:rPr>
        <w:tab/>
      </w:r>
      <w:r>
        <w:rPr>
          <w:rFonts w:ascii="Arial" w:cs="Arial" w:eastAsia="Arial" w:hAnsi="Arial"/>
          <w:sz w:val="13"/>
          <w:szCs w:val="13"/>
          <w:color w:val="auto"/>
        </w:rPr>
        <w:t>NetBoss Service Agreement between Harris Stratex Networks, Inc. and Harris Corporation dated January 26, 2007 (incorporated by reference to Exhibit 10.9 to the Report on Form 8-K filed with the Securities and Exchange Commission on February 1, 2007, File No. 001-33278)</w:t>
      </w:r>
    </w:p>
    <w:p>
      <w:pPr>
        <w:spacing w:after="0" w:line="1" w:lineRule="exact"/>
        <w:rPr>
          <w:sz w:val="20"/>
          <w:szCs w:val="20"/>
          <w:color w:val="auto"/>
        </w:rPr>
      </w:pPr>
    </w:p>
    <w:p>
      <w:pPr>
        <w:ind w:left="1600" w:right="280" w:hanging="536"/>
        <w:spacing w:after="0" w:line="258" w:lineRule="auto"/>
        <w:tabs>
          <w:tab w:leader="none" w:pos="1580" w:val="left"/>
        </w:tabs>
        <w:rPr>
          <w:sz w:val="20"/>
          <w:szCs w:val="20"/>
          <w:color w:val="auto"/>
        </w:rPr>
      </w:pPr>
      <w:r>
        <w:rPr>
          <w:rFonts w:ascii="Arial" w:cs="Arial" w:eastAsia="Arial" w:hAnsi="Arial"/>
          <w:sz w:val="13"/>
          <w:szCs w:val="13"/>
          <w:color w:val="auto"/>
        </w:rPr>
        <w:t>10.9</w:t>
      </w:r>
      <w:r>
        <w:rPr>
          <w:sz w:val="20"/>
          <w:szCs w:val="20"/>
          <w:color w:val="auto"/>
        </w:rPr>
        <w:tab/>
      </w:r>
      <w:r>
        <w:rPr>
          <w:rFonts w:ascii="Arial" w:cs="Arial" w:eastAsia="Arial" w:hAnsi="Arial"/>
          <w:sz w:val="13"/>
          <w:szCs w:val="13"/>
          <w:color w:val="auto"/>
        </w:rPr>
        <w:t>Lease Agreement between Harris Stratex Networks Canada ULC and Harris Canada, Inc. dated January 26, 2007 (incorporated by reference to Exhibit 10.10 to the Report on Form 8-K filed with the Securities and Exchange Commission on February 1, 2007, File No. 001-33278)</w:t>
      </w:r>
    </w:p>
    <w:p>
      <w:pPr>
        <w:spacing w:after="0" w:line="1" w:lineRule="exact"/>
        <w:rPr>
          <w:sz w:val="20"/>
          <w:szCs w:val="20"/>
          <w:color w:val="auto"/>
        </w:rPr>
      </w:pPr>
    </w:p>
    <w:p>
      <w:pPr>
        <w:ind w:left="1600" w:right="40" w:hanging="603"/>
        <w:spacing w:after="0" w:line="258" w:lineRule="auto"/>
        <w:tabs>
          <w:tab w:leader="none" w:pos="1580" w:val="left"/>
        </w:tabs>
        <w:rPr>
          <w:sz w:val="20"/>
          <w:szCs w:val="20"/>
          <w:color w:val="auto"/>
        </w:rPr>
      </w:pPr>
      <w:r>
        <w:rPr>
          <w:rFonts w:ascii="Arial" w:cs="Arial" w:eastAsia="Arial" w:hAnsi="Arial"/>
          <w:sz w:val="13"/>
          <w:szCs w:val="13"/>
          <w:color w:val="auto"/>
        </w:rPr>
        <w:t>10.10</w:t>
      </w:r>
      <w:r>
        <w:rPr>
          <w:sz w:val="20"/>
          <w:szCs w:val="20"/>
          <w:color w:val="auto"/>
        </w:rPr>
        <w:tab/>
      </w:r>
      <w:r>
        <w:rPr>
          <w:rFonts w:ascii="Arial" w:cs="Arial" w:eastAsia="Arial" w:hAnsi="Arial"/>
          <w:sz w:val="13"/>
          <w:szCs w:val="13"/>
          <w:color w:val="auto"/>
        </w:rPr>
        <w:t>Tax Sharing Agreement between Harris Stratex Networks, Inc. and Harris Corporation dated January 26, 2007 (incorporated by reference to Exhibit 10.11 to the Report on Form 8-K filed with the Securities and Exchange Commission on February 1, 2007, File No. 001-33278)</w:t>
      </w:r>
    </w:p>
    <w:p>
      <w:pPr>
        <w:spacing w:after="0" w:line="1" w:lineRule="exact"/>
        <w:rPr>
          <w:sz w:val="20"/>
          <w:szCs w:val="20"/>
          <w:color w:val="auto"/>
        </w:rPr>
      </w:pPr>
    </w:p>
    <w:p>
      <w:pPr>
        <w:ind w:left="1000"/>
        <w:spacing w:after="0"/>
        <w:tabs>
          <w:tab w:leader="none" w:pos="1580" w:val="left"/>
        </w:tabs>
        <w:rPr>
          <w:sz w:val="20"/>
          <w:szCs w:val="20"/>
          <w:color w:val="auto"/>
        </w:rPr>
      </w:pPr>
      <w:r>
        <w:rPr>
          <w:rFonts w:ascii="Arial" w:cs="Arial" w:eastAsia="Arial" w:hAnsi="Arial"/>
          <w:sz w:val="13"/>
          <w:szCs w:val="13"/>
          <w:color w:val="auto"/>
        </w:rPr>
        <w:t>10.11</w:t>
      </w:r>
      <w:r>
        <w:rPr>
          <w:sz w:val="20"/>
          <w:szCs w:val="20"/>
          <w:color w:val="auto"/>
        </w:rPr>
        <w:tab/>
      </w:r>
      <w:r>
        <w:rPr>
          <w:rFonts w:ascii="Arial" w:cs="Arial" w:eastAsia="Arial" w:hAnsi="Arial"/>
          <w:sz w:val="12"/>
          <w:szCs w:val="12"/>
          <w:color w:val="auto"/>
        </w:rPr>
        <w:t>Intentionally omitted.</w:t>
      </w:r>
    </w:p>
    <w:p>
      <w:pPr>
        <w:spacing w:after="0" w:line="12" w:lineRule="exact"/>
        <w:rPr>
          <w:sz w:val="20"/>
          <w:szCs w:val="20"/>
          <w:color w:val="auto"/>
        </w:rPr>
      </w:pPr>
    </w:p>
    <w:p>
      <w:pPr>
        <w:ind w:left="1600" w:right="140" w:hanging="603"/>
        <w:spacing w:after="0" w:line="258" w:lineRule="auto"/>
        <w:tabs>
          <w:tab w:leader="none" w:pos="1580" w:val="left"/>
        </w:tabs>
        <w:rPr>
          <w:sz w:val="20"/>
          <w:szCs w:val="20"/>
          <w:color w:val="auto"/>
        </w:rPr>
      </w:pPr>
      <w:r>
        <w:rPr>
          <w:rFonts w:ascii="Arial" w:cs="Arial" w:eastAsia="Arial" w:hAnsi="Arial"/>
          <w:sz w:val="13"/>
          <w:szCs w:val="13"/>
          <w:color w:val="auto"/>
        </w:rPr>
        <w:t>10.12*</w:t>
      </w:r>
      <w:r>
        <w:rPr>
          <w:sz w:val="20"/>
          <w:szCs w:val="20"/>
          <w:color w:val="auto"/>
        </w:rPr>
        <w:tab/>
      </w:r>
      <w:r>
        <w:rPr>
          <w:rFonts w:ascii="Arial" w:cs="Arial" w:eastAsia="Arial" w:hAnsi="Arial"/>
          <w:sz w:val="13"/>
          <w:szCs w:val="13"/>
          <w:color w:val="auto"/>
        </w:rPr>
        <w:t>Employment Agreement, effective as of April 8, 2008, between Harris Stratex Networks, Inc. and Harald J. Braun (incorporated by reference to Exhibit 10.15.1 to the Company’s Quarterly Report on Form 10-Q for the quarter ended March 28, 2008 filed with the Securities and Exchange Commission on May 6, 2008, File No. 001-33278)</w:t>
      </w:r>
    </w:p>
    <w:p>
      <w:pPr>
        <w:spacing w:after="0" w:line="2" w:lineRule="exact"/>
        <w:rPr>
          <w:sz w:val="20"/>
          <w:szCs w:val="20"/>
          <w:color w:val="auto"/>
        </w:rPr>
      </w:pPr>
    </w:p>
    <w:p>
      <w:pPr>
        <w:ind w:left="1600" w:right="80" w:hanging="603"/>
        <w:spacing w:after="0" w:line="258" w:lineRule="auto"/>
        <w:tabs>
          <w:tab w:leader="none" w:pos="1580" w:val="left"/>
        </w:tabs>
        <w:rPr>
          <w:sz w:val="20"/>
          <w:szCs w:val="20"/>
          <w:color w:val="auto"/>
        </w:rPr>
      </w:pPr>
      <w:r>
        <w:rPr>
          <w:rFonts w:ascii="Arial" w:cs="Arial" w:eastAsia="Arial" w:hAnsi="Arial"/>
          <w:sz w:val="13"/>
          <w:szCs w:val="13"/>
          <w:color w:val="auto"/>
        </w:rPr>
        <w:t>10.13*</w:t>
      </w:r>
      <w:r>
        <w:rPr>
          <w:sz w:val="20"/>
          <w:szCs w:val="20"/>
          <w:color w:val="auto"/>
        </w:rPr>
        <w:tab/>
      </w:r>
      <w:r>
        <w:rPr>
          <w:rFonts w:ascii="Arial" w:cs="Arial" w:eastAsia="Arial" w:hAnsi="Arial"/>
          <w:sz w:val="13"/>
          <w:szCs w:val="13"/>
          <w:color w:val="auto"/>
        </w:rPr>
        <w:t>Restated Employment Agreement, dated as of May 14, 2002, by and between Stratex Networks, Inc. and Charles D. Kissner (incorporated by reference to Exhibit 10.7 to the Annual Report on Form 10-K of Stratex Networks, Inc. for the Fiscal Year Ended March 31, 2003 filed with the Securities and Exchange Commission on May 19, 2003, File No. 000-15895)</w:t>
      </w:r>
    </w:p>
    <w:p>
      <w:pPr>
        <w:spacing w:after="0" w:line="2" w:lineRule="exact"/>
        <w:rPr>
          <w:sz w:val="20"/>
          <w:szCs w:val="20"/>
          <w:color w:val="auto"/>
        </w:rPr>
      </w:pPr>
    </w:p>
    <w:p>
      <w:pPr>
        <w:ind w:left="1600" w:right="80" w:hanging="704"/>
        <w:spacing w:after="0" w:line="258" w:lineRule="auto"/>
        <w:tabs>
          <w:tab w:leader="none" w:pos="1580" w:val="left"/>
        </w:tabs>
        <w:rPr>
          <w:sz w:val="20"/>
          <w:szCs w:val="20"/>
          <w:color w:val="auto"/>
        </w:rPr>
      </w:pPr>
      <w:r>
        <w:rPr>
          <w:rFonts w:ascii="Arial" w:cs="Arial" w:eastAsia="Arial" w:hAnsi="Arial"/>
          <w:sz w:val="13"/>
          <w:szCs w:val="13"/>
          <w:color w:val="auto"/>
        </w:rPr>
        <w:t>10.13.1*</w:t>
      </w:r>
      <w:r>
        <w:rPr>
          <w:sz w:val="20"/>
          <w:szCs w:val="20"/>
          <w:color w:val="auto"/>
        </w:rPr>
        <w:tab/>
      </w:r>
      <w:r>
        <w:rPr>
          <w:rFonts w:ascii="Arial" w:cs="Arial" w:eastAsia="Arial" w:hAnsi="Arial"/>
          <w:sz w:val="13"/>
          <w:szCs w:val="13"/>
          <w:color w:val="auto"/>
        </w:rPr>
        <w:t>Third Amendment to Employment Agreement, dated as of December 15, 2006, by and between Stratex Networks, Inc. and Charles D. Kissner (incorporated by reference to Exhibit 10.29 to Amendment No. 2 to the Registration Statement on Form S-4 filed with the Securities and Exchange Commission on December 19, 2006, File No. 333-137980)</w:t>
      </w:r>
    </w:p>
    <w:p>
      <w:pPr>
        <w:spacing w:after="0" w:line="2" w:lineRule="exact"/>
        <w:rPr>
          <w:sz w:val="20"/>
          <w:szCs w:val="20"/>
          <w:color w:val="auto"/>
        </w:rPr>
      </w:pPr>
    </w:p>
    <w:p>
      <w:pPr>
        <w:ind w:left="1600" w:right="180" w:hanging="603"/>
        <w:spacing w:after="0" w:line="258" w:lineRule="auto"/>
        <w:tabs>
          <w:tab w:leader="none" w:pos="1580" w:val="left"/>
        </w:tabs>
        <w:rPr>
          <w:sz w:val="20"/>
          <w:szCs w:val="20"/>
          <w:color w:val="auto"/>
        </w:rPr>
      </w:pPr>
      <w:r>
        <w:rPr>
          <w:rFonts w:ascii="Arial" w:cs="Arial" w:eastAsia="Arial" w:hAnsi="Arial"/>
          <w:sz w:val="13"/>
          <w:szCs w:val="13"/>
          <w:color w:val="auto"/>
        </w:rPr>
        <w:t>10.14*</w:t>
      </w:r>
      <w:r>
        <w:rPr>
          <w:sz w:val="20"/>
          <w:szCs w:val="20"/>
          <w:color w:val="auto"/>
        </w:rPr>
        <w:tab/>
      </w:r>
      <w:r>
        <w:rPr>
          <w:rFonts w:ascii="Arial" w:cs="Arial" w:eastAsia="Arial" w:hAnsi="Arial"/>
          <w:sz w:val="13"/>
          <w:szCs w:val="13"/>
          <w:color w:val="auto"/>
        </w:rPr>
        <w:t>Standard Form of Executive Employment Agreement between Harris Stratex Networks, Inc. and certain executives (incorporated by reference to Exhibit 10.16 to the Report on Form 8-K filed with the Securities and Exchange Commission on February 1, 2007, File No. 001-33278)</w:t>
      </w:r>
    </w:p>
    <w:p>
      <w:pPr>
        <w:spacing w:after="0" w:line="1" w:lineRule="exact"/>
        <w:rPr>
          <w:sz w:val="20"/>
          <w:szCs w:val="20"/>
          <w:color w:val="auto"/>
        </w:rPr>
      </w:pPr>
    </w:p>
    <w:p>
      <w:pPr>
        <w:ind w:left="1600" w:right="360" w:hanging="603"/>
        <w:spacing w:after="0" w:line="258" w:lineRule="auto"/>
        <w:tabs>
          <w:tab w:leader="none" w:pos="1580" w:val="left"/>
        </w:tabs>
        <w:rPr>
          <w:sz w:val="20"/>
          <w:szCs w:val="20"/>
          <w:color w:val="auto"/>
        </w:rPr>
      </w:pPr>
      <w:r>
        <w:rPr>
          <w:rFonts w:ascii="Arial" w:cs="Arial" w:eastAsia="Arial" w:hAnsi="Arial"/>
          <w:sz w:val="13"/>
          <w:szCs w:val="13"/>
          <w:color w:val="auto"/>
        </w:rPr>
        <w:t>10.15</w:t>
      </w:r>
      <w:r>
        <w:rPr>
          <w:sz w:val="20"/>
          <w:szCs w:val="20"/>
          <w:color w:val="auto"/>
        </w:rPr>
        <w:tab/>
      </w:r>
      <w:r>
        <w:rPr>
          <w:rFonts w:ascii="Arial" w:cs="Arial" w:eastAsia="Arial" w:hAnsi="Arial"/>
          <w:sz w:val="13"/>
          <w:szCs w:val="13"/>
          <w:color w:val="auto"/>
        </w:rPr>
        <w:t>Form of Indemnification Agreement between Harris Stratex Networks, Inc. and its directors and certain officers (incorporated by reference to Exhibit 10.16 to the Registration Statement on Form S-1 of Stratex Networks, Inc., File No. 33-13431)</w:t>
      </w:r>
    </w:p>
    <w:p>
      <w:pPr>
        <w:spacing w:after="0" w:line="1" w:lineRule="exact"/>
        <w:rPr>
          <w:sz w:val="20"/>
          <w:szCs w:val="20"/>
          <w:color w:val="auto"/>
        </w:rPr>
      </w:pPr>
    </w:p>
    <w:p>
      <w:pPr>
        <w:ind w:left="1600" w:right="120" w:hanging="603"/>
        <w:spacing w:after="0" w:line="258" w:lineRule="auto"/>
        <w:tabs>
          <w:tab w:leader="none" w:pos="1580" w:val="left"/>
        </w:tabs>
        <w:rPr>
          <w:sz w:val="20"/>
          <w:szCs w:val="20"/>
          <w:color w:val="auto"/>
        </w:rPr>
      </w:pPr>
      <w:r>
        <w:rPr>
          <w:rFonts w:ascii="Arial" w:cs="Arial" w:eastAsia="Arial" w:hAnsi="Arial"/>
          <w:sz w:val="13"/>
          <w:szCs w:val="13"/>
          <w:color w:val="auto"/>
        </w:rPr>
        <w:t>10.16</w:t>
      </w:r>
      <w:r>
        <w:rPr>
          <w:sz w:val="20"/>
          <w:szCs w:val="20"/>
          <w:color w:val="auto"/>
        </w:rPr>
        <w:tab/>
      </w:r>
      <w:r>
        <w:rPr>
          <w:rFonts w:ascii="Arial" w:cs="Arial" w:eastAsia="Arial" w:hAnsi="Arial"/>
          <w:sz w:val="13"/>
          <w:szCs w:val="13"/>
          <w:color w:val="auto"/>
        </w:rPr>
        <w:t>Sublicense Agreement, effective as of January 26, 2007, between Harris Stratex Networks, Inc. and Harris Stratex Networks Operating Corporation (incorporated by reference to Exhibit 10.22 to the Company’s Annual Report on Form 10-K for the fiscal year ended June 29, 2007 filed with the Securities and Exchange Commission on August 27, 2007. File No. 001-33278)</w:t>
      </w:r>
    </w:p>
    <w:p>
      <w:pPr>
        <w:spacing w:after="0" w:line="2" w:lineRule="exact"/>
        <w:rPr>
          <w:sz w:val="20"/>
          <w:szCs w:val="20"/>
          <w:color w:val="auto"/>
        </w:rPr>
      </w:pPr>
    </w:p>
    <w:p>
      <w:pPr>
        <w:ind w:left="1600" w:right="300" w:hanging="603"/>
        <w:spacing w:after="0" w:line="258" w:lineRule="auto"/>
        <w:tabs>
          <w:tab w:leader="none" w:pos="1580" w:val="left"/>
        </w:tabs>
        <w:rPr>
          <w:sz w:val="20"/>
          <w:szCs w:val="20"/>
          <w:color w:val="auto"/>
        </w:rPr>
      </w:pPr>
      <w:r>
        <w:rPr>
          <w:rFonts w:ascii="Arial" w:cs="Arial" w:eastAsia="Arial" w:hAnsi="Arial"/>
          <w:sz w:val="13"/>
          <w:szCs w:val="13"/>
          <w:color w:val="auto"/>
        </w:rPr>
        <w:t>10.17*</w:t>
      </w:r>
      <w:r>
        <w:rPr>
          <w:sz w:val="20"/>
          <w:szCs w:val="20"/>
          <w:color w:val="auto"/>
        </w:rPr>
        <w:tab/>
      </w:r>
      <w:r>
        <w:rPr>
          <w:rFonts w:ascii="Arial" w:cs="Arial" w:eastAsia="Arial" w:hAnsi="Arial"/>
          <w:sz w:val="13"/>
          <w:szCs w:val="13"/>
          <w:color w:val="auto"/>
        </w:rPr>
        <w:t>Harris Stratex Networks, Inc. Annual Incentive Plan (incorporated by reference to Exhibit 10.17 to the Company’s Annual Report on Form 10-K for the fiscal year ended June 27, 2008 filed with the Securities and Exchange Commission on September 25, 2008, File No. 001-33278)</w:t>
      </w:r>
    </w:p>
    <w:p>
      <w:pPr>
        <w:spacing w:after="0" w:line="1" w:lineRule="exact"/>
        <w:rPr>
          <w:sz w:val="20"/>
          <w:szCs w:val="20"/>
          <w:color w:val="auto"/>
        </w:rPr>
      </w:pPr>
    </w:p>
    <w:p>
      <w:pPr>
        <w:ind w:left="1600" w:right="100" w:hanging="603"/>
        <w:spacing w:after="0" w:line="258" w:lineRule="auto"/>
        <w:tabs>
          <w:tab w:leader="none" w:pos="1580" w:val="left"/>
        </w:tabs>
        <w:rPr>
          <w:sz w:val="20"/>
          <w:szCs w:val="20"/>
          <w:color w:val="auto"/>
        </w:rPr>
      </w:pPr>
      <w:r>
        <w:rPr>
          <w:rFonts w:ascii="Arial" w:cs="Arial" w:eastAsia="Arial" w:hAnsi="Arial"/>
          <w:sz w:val="13"/>
          <w:szCs w:val="13"/>
          <w:color w:val="auto"/>
        </w:rPr>
        <w:t>10.18*</w:t>
      </w:r>
      <w:r>
        <w:rPr>
          <w:sz w:val="20"/>
          <w:szCs w:val="20"/>
          <w:color w:val="auto"/>
        </w:rPr>
        <w:tab/>
      </w:r>
      <w:r>
        <w:rPr>
          <w:rFonts w:ascii="Arial" w:cs="Arial" w:eastAsia="Arial" w:hAnsi="Arial"/>
          <w:sz w:val="13"/>
          <w:szCs w:val="13"/>
          <w:color w:val="auto"/>
        </w:rPr>
        <w:t>Harris Stratex Networks, Inc. 2007 Stock Equity Plan (incorporated by reference to Exhibit 4.9 to the Registration Statement on Form S-8 filed with the Securities and Exchange Commission on February 5, 2007, File No. 333-140442)</w:t>
      </w:r>
    </w:p>
    <w:p>
      <w:pPr>
        <w:spacing w:after="0" w:line="1" w:lineRule="exact"/>
        <w:rPr>
          <w:sz w:val="20"/>
          <w:szCs w:val="20"/>
          <w:color w:val="auto"/>
        </w:rPr>
      </w:pPr>
    </w:p>
    <w:p>
      <w:pPr>
        <w:ind w:left="1600" w:hanging="603"/>
        <w:spacing w:after="0" w:line="265" w:lineRule="auto"/>
        <w:tabs>
          <w:tab w:leader="none" w:pos="1580" w:val="left"/>
        </w:tabs>
        <w:rPr>
          <w:sz w:val="20"/>
          <w:szCs w:val="20"/>
          <w:color w:val="auto"/>
        </w:rPr>
      </w:pPr>
      <w:r>
        <w:rPr>
          <w:rFonts w:ascii="Arial" w:cs="Arial" w:eastAsia="Arial" w:hAnsi="Arial"/>
          <w:sz w:val="13"/>
          <w:szCs w:val="13"/>
          <w:color w:val="auto"/>
        </w:rPr>
        <w:t>10.19</w:t>
      </w:r>
      <w:r>
        <w:rPr>
          <w:sz w:val="20"/>
          <w:szCs w:val="20"/>
          <w:color w:val="auto"/>
        </w:rPr>
        <w:tab/>
      </w:r>
      <w:r>
        <w:rPr>
          <w:rFonts w:ascii="Arial" w:cs="Arial" w:eastAsia="Arial" w:hAnsi="Arial"/>
          <w:sz w:val="13"/>
          <w:szCs w:val="13"/>
          <w:color w:val="auto"/>
        </w:rPr>
        <w:t>Credit Agreement between Harris Stratex Networks, Inc., Harris Stratex Networks Operating Corporation, Harris Stratex Networks(S) Pte. Ltd., Bank of America, N.A., Silicon Valley Bank, Banc of America Securities Asia Limited and Banc of America Securities LLC, dated June 30, 2008 (incorporated by reference to Exhibit 10.19 to the Company’s Annual Report on Form 10-K for the fiscal year ended June 27, 2008 filed with the Securities and Exchange Commission on September 25, 2008, File No. 001-33278)</w:t>
      </w:r>
    </w:p>
    <w:p>
      <w:pPr>
        <w:spacing w:after="0" w:line="11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124" w:name="page125"/>
    <w:bookmarkEnd w:id="12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9" w:lineRule="exact"/>
        <w:rPr>
          <w:sz w:val="20"/>
          <w:szCs w:val="20"/>
          <w:color w:val="auto"/>
        </w:rPr>
      </w:pPr>
    </w:p>
    <w:p>
      <w:pPr>
        <w:ind w:left="980"/>
        <w:spacing w:after="0"/>
        <w:tabs>
          <w:tab w:leader="none" w:pos="6060" w:val="left"/>
        </w:tabs>
        <w:rPr>
          <w:sz w:val="20"/>
          <w:szCs w:val="20"/>
          <w:color w:val="auto"/>
        </w:rPr>
      </w:pPr>
      <w:r>
        <w:rPr>
          <w:rFonts w:ascii="Arial" w:cs="Arial" w:eastAsia="Arial" w:hAnsi="Arial"/>
          <w:sz w:val="11"/>
          <w:szCs w:val="11"/>
          <w:b w:val="1"/>
          <w:bCs w:val="1"/>
          <w:color w:val="auto"/>
        </w:rPr>
        <w:t>Ex. #</w:t>
      </w:r>
      <w:r>
        <w:rPr>
          <w:sz w:val="20"/>
          <w:szCs w:val="20"/>
          <w:color w:val="auto"/>
        </w:rPr>
        <w:tab/>
      </w:r>
      <w:r>
        <w:rPr>
          <w:rFonts w:ascii="Arial" w:cs="Arial" w:eastAsia="Arial" w:hAnsi="Arial"/>
          <w:sz w:val="9"/>
          <w:szCs w:val="9"/>
          <w:b w:val="1"/>
          <w:bCs w:val="1"/>
          <w:u w:val="single" w:color="auto"/>
          <w:color w:val="auto"/>
        </w:rPr>
        <w:t>D</w:t>
      </w:r>
      <w:r>
        <w:rPr>
          <w:rFonts w:ascii="Arial" w:cs="Arial" w:eastAsia="Arial" w:hAnsi="Arial"/>
          <w:sz w:val="9"/>
          <w:szCs w:val="9"/>
          <w:b w:val="1"/>
          <w:bCs w:val="1"/>
          <w:color w:val="auto"/>
        </w:rPr>
        <w:t>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6985</wp:posOffset>
            </wp:positionV>
            <wp:extent cx="6350" cy="63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31" w:lineRule="exact"/>
        <w:rPr>
          <w:sz w:val="20"/>
          <w:szCs w:val="20"/>
          <w:color w:val="auto"/>
        </w:rPr>
      </w:pPr>
    </w:p>
    <w:p>
      <w:pPr>
        <w:ind w:left="1600" w:right="200" w:hanging="603"/>
        <w:spacing w:after="0" w:line="267" w:lineRule="auto"/>
        <w:tabs>
          <w:tab w:leader="none" w:pos="1580" w:val="left"/>
        </w:tabs>
        <w:rPr>
          <w:sz w:val="20"/>
          <w:szCs w:val="20"/>
          <w:color w:val="auto"/>
        </w:rPr>
      </w:pPr>
      <w:r>
        <w:rPr>
          <w:rFonts w:ascii="Arial" w:cs="Arial" w:eastAsia="Arial" w:hAnsi="Arial"/>
          <w:sz w:val="13"/>
          <w:szCs w:val="13"/>
          <w:color w:val="auto"/>
        </w:rPr>
        <w:t>10.20</w:t>
      </w:r>
      <w:r>
        <w:rPr>
          <w:sz w:val="20"/>
          <w:szCs w:val="20"/>
          <w:color w:val="auto"/>
        </w:rPr>
        <w:tab/>
      </w:r>
      <w:r>
        <w:rPr>
          <w:rFonts w:ascii="Arial" w:cs="Arial" w:eastAsia="Arial" w:hAnsi="Arial"/>
          <w:sz w:val="13"/>
          <w:szCs w:val="13"/>
          <w:color w:val="auto"/>
        </w:rPr>
        <w:t>Amended and Restated Loan and Security Agreement between Stratex Networks, Inc. and Silicon Valley Bank, dated January 21, 2004 (incorporated by reference to Exhibit 10.1 to the Report on Form 8-K of Stratex Networks, Inc. on January 22, 2004, File No. 000-15895)</w:t>
      </w:r>
    </w:p>
    <w:p>
      <w:pPr>
        <w:ind w:left="1600" w:right="280" w:hanging="704"/>
        <w:spacing w:after="0" w:line="258" w:lineRule="auto"/>
        <w:tabs>
          <w:tab w:leader="none" w:pos="1580" w:val="left"/>
        </w:tabs>
        <w:rPr>
          <w:sz w:val="20"/>
          <w:szCs w:val="20"/>
          <w:color w:val="auto"/>
        </w:rPr>
      </w:pPr>
      <w:r>
        <w:rPr>
          <w:rFonts w:ascii="Arial" w:cs="Arial" w:eastAsia="Arial" w:hAnsi="Arial"/>
          <w:sz w:val="13"/>
          <w:szCs w:val="13"/>
          <w:color w:val="auto"/>
        </w:rPr>
        <w:t>10.20.1</w:t>
      </w:r>
      <w:r>
        <w:rPr>
          <w:sz w:val="20"/>
          <w:szCs w:val="20"/>
          <w:color w:val="auto"/>
        </w:rPr>
        <w:tab/>
      </w:r>
      <w:r>
        <w:rPr>
          <w:rFonts w:ascii="Arial" w:cs="Arial" w:eastAsia="Arial" w:hAnsi="Arial"/>
          <w:sz w:val="13"/>
          <w:szCs w:val="13"/>
          <w:color w:val="auto"/>
        </w:rPr>
        <w:t>Amendment No. 5 to Amended and Restated Loan and Security Agreement between Harris Stratex Networks Operating Corporation, a wholly owned subsidiary of Harris Stratex Networks, Inc. and the successor to Stratex Networks, Inc. and Silicon Valley Bank, dated February 23, 2007 (incorporated herein by reference to Exhibit 10.28.5 to the Company’s Annual Report on Form 10-K for the fiscal year ended June 29, 2007 filed with the Securities and Exchange Commission on August 27, 2007. File No. 001-33278)</w:t>
      </w:r>
    </w:p>
    <w:p>
      <w:pPr>
        <w:spacing w:after="0" w:line="2" w:lineRule="exact"/>
        <w:rPr>
          <w:sz w:val="20"/>
          <w:szCs w:val="20"/>
          <w:color w:val="auto"/>
        </w:rPr>
      </w:pPr>
    </w:p>
    <w:p>
      <w:pPr>
        <w:ind w:left="1600" w:right="120" w:hanging="603"/>
        <w:spacing w:after="0" w:line="258" w:lineRule="auto"/>
        <w:tabs>
          <w:tab w:leader="none" w:pos="1580" w:val="left"/>
        </w:tabs>
        <w:rPr>
          <w:sz w:val="20"/>
          <w:szCs w:val="20"/>
          <w:color w:val="auto"/>
        </w:rPr>
      </w:pPr>
      <w:r>
        <w:rPr>
          <w:rFonts w:ascii="Arial" w:cs="Arial" w:eastAsia="Arial" w:hAnsi="Arial"/>
          <w:sz w:val="13"/>
          <w:szCs w:val="13"/>
          <w:color w:val="auto"/>
        </w:rPr>
        <w:t>10.21</w:t>
      </w:r>
      <w:r>
        <w:rPr>
          <w:sz w:val="20"/>
          <w:szCs w:val="20"/>
          <w:color w:val="auto"/>
        </w:rPr>
        <w:tab/>
      </w:r>
      <w:r>
        <w:rPr>
          <w:rFonts w:ascii="Arial" w:cs="Arial" w:eastAsia="Arial" w:hAnsi="Arial"/>
          <w:sz w:val="13"/>
          <w:szCs w:val="13"/>
          <w:color w:val="auto"/>
        </w:rPr>
        <w:t>Rights Agreement, dated as of April 20, 2009, between Harris Stratex Networks, Inc. and Mellon Investor Services LLC, as Rights Agent, which includes the Form of Certificate of Designations of Series A Junior Participating Preferred Stock (Exhibit A), the Form of Right Certificate (Exhibit B) and the Summary of Rights to Purchase Preferred Shares (Exhibit C) (incorporated by reference to Exhibit 4.2 to the Report on Form 8-K filed with the Securities and Exchange Commission on April 22, 2009, File No. 001-33278)</w:t>
      </w:r>
    </w:p>
    <w:p>
      <w:pPr>
        <w:spacing w:after="0" w:line="2" w:lineRule="exact"/>
        <w:rPr>
          <w:sz w:val="20"/>
          <w:szCs w:val="20"/>
          <w:color w:val="auto"/>
        </w:rPr>
      </w:pPr>
    </w:p>
    <w:p>
      <w:pPr>
        <w:ind w:left="1600" w:hanging="603"/>
        <w:spacing w:after="0" w:line="258" w:lineRule="auto"/>
        <w:tabs>
          <w:tab w:leader="none" w:pos="1580" w:val="left"/>
        </w:tabs>
        <w:rPr>
          <w:sz w:val="20"/>
          <w:szCs w:val="20"/>
          <w:color w:val="auto"/>
        </w:rPr>
      </w:pPr>
      <w:r>
        <w:rPr>
          <w:rFonts w:ascii="Arial" w:cs="Arial" w:eastAsia="Arial" w:hAnsi="Arial"/>
          <w:sz w:val="13"/>
          <w:szCs w:val="13"/>
          <w:color w:val="auto"/>
        </w:rPr>
        <w:t>10.22*</w:t>
      </w:r>
      <w:r>
        <w:rPr>
          <w:sz w:val="20"/>
          <w:szCs w:val="20"/>
          <w:color w:val="auto"/>
        </w:rPr>
        <w:tab/>
      </w:r>
      <w:r>
        <w:rPr>
          <w:rFonts w:ascii="Arial" w:cs="Arial" w:eastAsia="Arial" w:hAnsi="Arial"/>
          <w:sz w:val="13"/>
          <w:szCs w:val="13"/>
          <w:color w:val="auto"/>
        </w:rPr>
        <w:t>Employment Agreement, effective as of May 4, 2009, between Harris Stratex Networks, Inc. and Thomas L. Cronan III (incorporated by reference to Exhibit 10.1 to the Report on Form 8-K filed with the Securities and Exchange Commission on May 5, 2009, File No. 001-33278)</w:t>
      </w:r>
    </w:p>
    <w:p>
      <w:pPr>
        <w:spacing w:after="0" w:line="1" w:lineRule="exact"/>
        <w:rPr>
          <w:sz w:val="20"/>
          <w:szCs w:val="20"/>
          <w:color w:val="auto"/>
        </w:rPr>
      </w:pPr>
    </w:p>
    <w:p>
      <w:pPr>
        <w:jc w:val="both"/>
        <w:ind w:left="1600" w:right="340" w:hanging="603"/>
        <w:spacing w:after="0" w:line="258" w:lineRule="auto"/>
        <w:tabs>
          <w:tab w:leader="none" w:pos="1580" w:val="left"/>
        </w:tabs>
        <w:rPr>
          <w:sz w:val="20"/>
          <w:szCs w:val="20"/>
          <w:color w:val="auto"/>
        </w:rPr>
      </w:pPr>
      <w:r>
        <w:rPr>
          <w:rFonts w:ascii="Arial" w:cs="Arial" w:eastAsia="Arial" w:hAnsi="Arial"/>
          <w:sz w:val="13"/>
          <w:szCs w:val="13"/>
          <w:color w:val="auto"/>
        </w:rPr>
        <w:t>10.23*</w:t>
      </w:r>
      <w:r>
        <w:rPr>
          <w:sz w:val="20"/>
          <w:szCs w:val="20"/>
          <w:color w:val="auto"/>
        </w:rPr>
        <w:tab/>
      </w:r>
      <w:r>
        <w:rPr>
          <w:rFonts w:ascii="Arial" w:cs="Arial" w:eastAsia="Arial" w:hAnsi="Arial"/>
          <w:sz w:val="13"/>
          <w:szCs w:val="13"/>
          <w:color w:val="auto"/>
        </w:rPr>
        <w:t>Employment Agreement, dated as of April 1, 2006, between Harris Stratex Networks, Inc. and Heinz Stumpe (incorporation by reference to Exhibit 10.15.2 to the Company’s Quarterly Report on Form 10-Q for the fiscal quarter ended March 30, 2007 filed with the Securities and Exchange Commission on May 8, 2007, File No. 001-33278)</w:t>
      </w:r>
    </w:p>
    <w:p>
      <w:pPr>
        <w:spacing w:after="0" w:line="2" w:lineRule="exact"/>
        <w:rPr>
          <w:sz w:val="20"/>
          <w:szCs w:val="20"/>
          <w:color w:val="auto"/>
        </w:rPr>
      </w:pPr>
    </w:p>
    <w:p>
      <w:pPr>
        <w:ind w:left="1600" w:right="140" w:hanging="603"/>
        <w:spacing w:after="0" w:line="258" w:lineRule="auto"/>
        <w:tabs>
          <w:tab w:leader="none" w:pos="1580" w:val="left"/>
        </w:tabs>
        <w:rPr>
          <w:sz w:val="20"/>
          <w:szCs w:val="20"/>
          <w:color w:val="auto"/>
        </w:rPr>
      </w:pPr>
      <w:r>
        <w:rPr>
          <w:rFonts w:ascii="Arial" w:cs="Arial" w:eastAsia="Arial" w:hAnsi="Arial"/>
          <w:sz w:val="13"/>
          <w:szCs w:val="13"/>
          <w:color w:val="auto"/>
        </w:rPr>
        <w:t>10.24*</w:t>
      </w:r>
      <w:r>
        <w:rPr>
          <w:sz w:val="20"/>
          <w:szCs w:val="20"/>
          <w:color w:val="auto"/>
        </w:rPr>
        <w:tab/>
      </w:r>
      <w:r>
        <w:rPr>
          <w:rFonts w:ascii="Arial" w:cs="Arial" w:eastAsia="Arial" w:hAnsi="Arial"/>
          <w:sz w:val="13"/>
          <w:szCs w:val="13"/>
          <w:color w:val="auto"/>
        </w:rPr>
        <w:t>Employment Agreement, dated as of May 14, 2002, between Stratex Networks, Inc. and Paul Kennard (incorporated by reference to Exhibit 10.1 to the Stratex Networks, Inc. Quarterly Report on Form 10-Q for the fiscal quarter ended June 30, 2006 filed with the Securities and Exchange Commission on August 9, 2006, File No. 000-15895)</w:t>
      </w:r>
    </w:p>
    <w:p>
      <w:pPr>
        <w:spacing w:after="0" w:line="2" w:lineRule="exact"/>
        <w:rPr>
          <w:sz w:val="20"/>
          <w:szCs w:val="20"/>
          <w:color w:val="auto"/>
        </w:rPr>
      </w:pPr>
    </w:p>
    <w:p>
      <w:pPr>
        <w:ind w:left="1600" w:right="40" w:hanging="704"/>
        <w:spacing w:after="0" w:line="258" w:lineRule="auto"/>
        <w:tabs>
          <w:tab w:leader="none" w:pos="1580" w:val="left"/>
        </w:tabs>
        <w:rPr>
          <w:sz w:val="20"/>
          <w:szCs w:val="20"/>
          <w:color w:val="auto"/>
        </w:rPr>
      </w:pPr>
      <w:r>
        <w:rPr>
          <w:rFonts w:ascii="Arial" w:cs="Arial" w:eastAsia="Arial" w:hAnsi="Arial"/>
          <w:sz w:val="13"/>
          <w:szCs w:val="13"/>
          <w:color w:val="auto"/>
        </w:rPr>
        <w:t>10.24.1*</w:t>
      </w:r>
      <w:r>
        <w:rPr>
          <w:sz w:val="20"/>
          <w:szCs w:val="20"/>
          <w:color w:val="auto"/>
        </w:rPr>
        <w:tab/>
      </w:r>
      <w:r>
        <w:rPr>
          <w:rFonts w:ascii="Arial" w:cs="Arial" w:eastAsia="Arial" w:hAnsi="Arial"/>
          <w:sz w:val="13"/>
          <w:szCs w:val="13"/>
          <w:color w:val="auto"/>
        </w:rPr>
        <w:t>Amendment A, effective as of April 1, 2006, to Employment Agreement, dated May 14, 2002, between Stratex Networks, Inc. and Paul Kennard (incorporated by reference to Exhibit 10.2 to the Stratex Networks, Inc. Quarterly Report on Form 10-Q for the fiscal quarter ended June 30, 2006 filed with the Securities and Exchange Commission on August 9, 2006, File No. 000-15895)</w:t>
      </w:r>
    </w:p>
    <w:p>
      <w:pPr>
        <w:spacing w:after="0" w:line="2" w:lineRule="exact"/>
        <w:rPr>
          <w:sz w:val="20"/>
          <w:szCs w:val="20"/>
          <w:color w:val="auto"/>
        </w:rPr>
      </w:pPr>
    </w:p>
    <w:p>
      <w:pPr>
        <w:ind w:left="1600" w:right="40" w:hanging="704"/>
        <w:spacing w:after="0" w:line="258" w:lineRule="auto"/>
        <w:tabs>
          <w:tab w:leader="none" w:pos="1580" w:val="left"/>
        </w:tabs>
        <w:rPr>
          <w:sz w:val="20"/>
          <w:szCs w:val="20"/>
          <w:color w:val="auto"/>
        </w:rPr>
      </w:pPr>
      <w:r>
        <w:rPr>
          <w:rFonts w:ascii="Arial" w:cs="Arial" w:eastAsia="Arial" w:hAnsi="Arial"/>
          <w:sz w:val="13"/>
          <w:szCs w:val="13"/>
          <w:color w:val="auto"/>
        </w:rPr>
        <w:t>10.24.2*</w:t>
      </w:r>
      <w:r>
        <w:rPr>
          <w:sz w:val="20"/>
          <w:szCs w:val="20"/>
          <w:color w:val="auto"/>
        </w:rPr>
        <w:tab/>
      </w:r>
      <w:r>
        <w:rPr>
          <w:rFonts w:ascii="Arial" w:cs="Arial" w:eastAsia="Arial" w:hAnsi="Arial"/>
          <w:sz w:val="13"/>
          <w:szCs w:val="13"/>
          <w:color w:val="auto"/>
        </w:rPr>
        <w:t>Amendment B, effective as of April 1, 2006, to Employment Agreement, dated May 14, 2002, between Stratex Networks, Inc. and Paul Kennard (incorporated by reference to Exhibit 10.3 to the Stratex Networks, Inc. Quarterly Report on Form 10-Q for the fiscal quarter ended June 30, 2006 filed with the Securities and Exchange Commission on August 9, 2006, File No. 000-15895)</w:t>
      </w:r>
    </w:p>
    <w:p>
      <w:pPr>
        <w:spacing w:after="0" w:line="2" w:lineRule="exact"/>
        <w:rPr>
          <w:sz w:val="20"/>
          <w:szCs w:val="20"/>
          <w:color w:val="auto"/>
        </w:rPr>
      </w:pPr>
    </w:p>
    <w:p>
      <w:pPr>
        <w:ind w:left="1000"/>
        <w:spacing w:after="0"/>
        <w:tabs>
          <w:tab w:leader="none" w:pos="1580" w:val="left"/>
        </w:tabs>
        <w:rPr>
          <w:sz w:val="20"/>
          <w:szCs w:val="20"/>
          <w:color w:val="auto"/>
        </w:rPr>
      </w:pPr>
      <w:r>
        <w:rPr>
          <w:rFonts w:ascii="Arial" w:cs="Arial" w:eastAsia="Arial" w:hAnsi="Arial"/>
          <w:sz w:val="13"/>
          <w:szCs w:val="13"/>
          <w:color w:val="auto"/>
        </w:rPr>
        <w:t>10.25*</w:t>
      </w:r>
      <w:r>
        <w:rPr>
          <w:sz w:val="20"/>
          <w:szCs w:val="20"/>
          <w:color w:val="auto"/>
        </w:rPr>
        <w:tab/>
      </w:r>
      <w:r>
        <w:rPr>
          <w:rFonts w:ascii="Arial" w:cs="Arial" w:eastAsia="Arial" w:hAnsi="Arial"/>
          <w:sz w:val="12"/>
          <w:szCs w:val="12"/>
          <w:color w:val="auto"/>
        </w:rPr>
        <w:t>Employment Agreement, dated as of May 14, 2002, between Stratex Networks, Inc. and Shaun McFall</w:t>
      </w:r>
    </w:p>
    <w:p>
      <w:pPr>
        <w:spacing w:after="0" w:line="12" w:lineRule="exact"/>
        <w:rPr>
          <w:sz w:val="20"/>
          <w:szCs w:val="20"/>
          <w:color w:val="auto"/>
        </w:rPr>
      </w:pPr>
    </w:p>
    <w:p>
      <w:pPr>
        <w:ind w:left="900"/>
        <w:spacing w:after="0"/>
        <w:tabs>
          <w:tab w:leader="none" w:pos="1580" w:val="left"/>
        </w:tabs>
        <w:rPr>
          <w:sz w:val="20"/>
          <w:szCs w:val="20"/>
          <w:color w:val="auto"/>
        </w:rPr>
      </w:pPr>
      <w:r>
        <w:rPr>
          <w:rFonts w:ascii="Arial" w:cs="Arial" w:eastAsia="Arial" w:hAnsi="Arial"/>
          <w:sz w:val="13"/>
          <w:szCs w:val="13"/>
          <w:color w:val="auto"/>
        </w:rPr>
        <w:t>10.25.1*</w:t>
      </w:r>
      <w:r>
        <w:rPr>
          <w:sz w:val="20"/>
          <w:szCs w:val="20"/>
          <w:color w:val="auto"/>
        </w:rPr>
        <w:tab/>
      </w:r>
      <w:r>
        <w:rPr>
          <w:rFonts w:ascii="Arial" w:cs="Arial" w:eastAsia="Arial" w:hAnsi="Arial"/>
          <w:sz w:val="12"/>
          <w:szCs w:val="12"/>
          <w:color w:val="auto"/>
        </w:rPr>
        <w:t>Amendment, effective April 1, 2006, to Employment Agreement, dated May 14, 2002, between Stratex Networks, Inc. and Shaun McFall</w:t>
      </w:r>
    </w:p>
    <w:p>
      <w:pPr>
        <w:spacing w:after="0" w:line="12" w:lineRule="exact"/>
        <w:rPr>
          <w:sz w:val="20"/>
          <w:szCs w:val="20"/>
          <w:color w:val="auto"/>
        </w:rPr>
      </w:pPr>
    </w:p>
    <w:p>
      <w:pPr>
        <w:ind w:left="1160"/>
        <w:spacing w:after="0"/>
        <w:tabs>
          <w:tab w:leader="none" w:pos="1580" w:val="left"/>
        </w:tabs>
        <w:rPr>
          <w:sz w:val="20"/>
          <w:szCs w:val="20"/>
          <w:color w:val="auto"/>
        </w:rPr>
      </w:pPr>
      <w:r>
        <w:rPr>
          <w:rFonts w:ascii="Arial" w:cs="Arial" w:eastAsia="Arial" w:hAnsi="Arial"/>
          <w:sz w:val="13"/>
          <w:szCs w:val="13"/>
          <w:color w:val="auto"/>
        </w:rPr>
        <w:t>21</w:t>
      </w:r>
      <w:r>
        <w:rPr>
          <w:sz w:val="20"/>
          <w:szCs w:val="20"/>
          <w:color w:val="auto"/>
        </w:rPr>
        <w:tab/>
      </w:r>
      <w:r>
        <w:rPr>
          <w:rFonts w:ascii="Arial" w:cs="Arial" w:eastAsia="Arial" w:hAnsi="Arial"/>
          <w:sz w:val="13"/>
          <w:szCs w:val="13"/>
          <w:color w:val="auto"/>
        </w:rPr>
        <w:t>List of Subsidiaries of Harris Stratex Networks, Inc.</w:t>
      </w:r>
    </w:p>
    <w:p>
      <w:pPr>
        <w:spacing w:after="0" w:line="12" w:lineRule="exact"/>
        <w:rPr>
          <w:sz w:val="20"/>
          <w:szCs w:val="20"/>
          <w:color w:val="auto"/>
        </w:rPr>
      </w:pPr>
    </w:p>
    <w:p>
      <w:pPr>
        <w:ind w:left="1600" w:hanging="441"/>
        <w:spacing w:after="0"/>
        <w:tabs>
          <w:tab w:leader="none" w:pos="1600" w:val="left"/>
        </w:tabs>
        <w:numPr>
          <w:ilvl w:val="1"/>
          <w:numId w:val="40"/>
        </w:numPr>
        <w:rPr>
          <w:rFonts w:ascii="Arial" w:cs="Arial" w:eastAsia="Arial" w:hAnsi="Arial"/>
          <w:sz w:val="13"/>
          <w:szCs w:val="13"/>
          <w:color w:val="auto"/>
        </w:rPr>
      </w:pPr>
      <w:r>
        <w:rPr>
          <w:rFonts w:ascii="Arial" w:cs="Arial" w:eastAsia="Arial" w:hAnsi="Arial"/>
          <w:sz w:val="13"/>
          <w:szCs w:val="13"/>
          <w:color w:val="auto"/>
        </w:rPr>
        <w:t>Consent of Ernst &amp; Young LLP, Independent Registered Public Accounting Firm</w:t>
      </w:r>
    </w:p>
    <w:p>
      <w:pPr>
        <w:spacing w:after="0" w:line="11" w:lineRule="exact"/>
        <w:rPr>
          <w:rFonts w:ascii="Arial" w:cs="Arial" w:eastAsia="Arial" w:hAnsi="Arial"/>
          <w:sz w:val="13"/>
          <w:szCs w:val="13"/>
          <w:color w:val="auto"/>
        </w:rPr>
      </w:pPr>
    </w:p>
    <w:p>
      <w:pPr>
        <w:ind w:left="1060"/>
        <w:spacing w:after="0"/>
        <w:rPr>
          <w:rFonts w:ascii="Arial" w:cs="Arial" w:eastAsia="Arial" w:hAnsi="Arial"/>
          <w:sz w:val="13"/>
          <w:szCs w:val="13"/>
          <w:color w:val="auto"/>
        </w:rPr>
      </w:pPr>
      <w:r>
        <w:rPr>
          <w:rFonts w:ascii="Arial" w:cs="Arial" w:eastAsia="Arial" w:hAnsi="Arial"/>
          <w:sz w:val="13"/>
          <w:szCs w:val="13"/>
          <w:color w:val="auto"/>
        </w:rPr>
        <w:t>31.1</w:t>
      </w:r>
      <w:r>
        <w:rPr>
          <w:rFonts w:ascii="Arial" w:cs="Arial" w:eastAsia="Arial" w:hAnsi="Arial"/>
          <w:sz w:val="12"/>
          <w:szCs w:val="12"/>
          <w:color w:val="auto"/>
        </w:rPr>
        <w:t>Rule 13a-14(a)/15d-14(a) Certification of Chief Executive Officer.</w:t>
      </w:r>
    </w:p>
    <w:p>
      <w:pPr>
        <w:spacing w:after="0" w:line="11" w:lineRule="exact"/>
        <w:rPr>
          <w:rFonts w:ascii="Arial" w:cs="Arial" w:eastAsia="Arial" w:hAnsi="Arial"/>
          <w:sz w:val="13"/>
          <w:szCs w:val="13"/>
          <w:color w:val="auto"/>
        </w:rPr>
      </w:pPr>
    </w:p>
    <w:p>
      <w:pPr>
        <w:ind w:left="1060"/>
        <w:spacing w:after="0"/>
        <w:rPr>
          <w:rFonts w:ascii="Arial" w:cs="Arial" w:eastAsia="Arial" w:hAnsi="Arial"/>
          <w:sz w:val="13"/>
          <w:szCs w:val="13"/>
          <w:color w:val="auto"/>
        </w:rPr>
      </w:pPr>
      <w:r>
        <w:rPr>
          <w:rFonts w:ascii="Arial" w:cs="Arial" w:eastAsia="Arial" w:hAnsi="Arial"/>
          <w:sz w:val="13"/>
          <w:szCs w:val="13"/>
          <w:color w:val="auto"/>
        </w:rPr>
        <w:t>31.2</w:t>
      </w:r>
      <w:r>
        <w:rPr>
          <w:rFonts w:ascii="Arial" w:cs="Arial" w:eastAsia="Arial" w:hAnsi="Arial"/>
          <w:sz w:val="12"/>
          <w:szCs w:val="12"/>
          <w:color w:val="auto"/>
        </w:rPr>
        <w:t>Rule 13a-14(a)/15d-14(a) Certification of Chief Financial Officer.</w:t>
      </w:r>
    </w:p>
    <w:p>
      <w:pPr>
        <w:spacing w:after="0" w:line="11" w:lineRule="exact"/>
        <w:rPr>
          <w:rFonts w:ascii="Arial" w:cs="Arial" w:eastAsia="Arial" w:hAnsi="Arial"/>
          <w:sz w:val="13"/>
          <w:szCs w:val="13"/>
          <w:color w:val="auto"/>
        </w:rPr>
      </w:pPr>
    </w:p>
    <w:p>
      <w:pPr>
        <w:ind w:left="1060"/>
        <w:spacing w:after="0"/>
        <w:rPr>
          <w:rFonts w:ascii="Arial" w:cs="Arial" w:eastAsia="Arial" w:hAnsi="Arial"/>
          <w:sz w:val="13"/>
          <w:szCs w:val="13"/>
          <w:color w:val="auto"/>
        </w:rPr>
      </w:pPr>
      <w:r>
        <w:rPr>
          <w:rFonts w:ascii="Arial" w:cs="Arial" w:eastAsia="Arial" w:hAnsi="Arial"/>
          <w:sz w:val="13"/>
          <w:szCs w:val="13"/>
          <w:color w:val="auto"/>
        </w:rPr>
        <w:t>32.1</w:t>
      </w:r>
      <w:r>
        <w:rPr>
          <w:rFonts w:ascii="Arial" w:cs="Arial" w:eastAsia="Arial" w:hAnsi="Arial"/>
          <w:sz w:val="12"/>
          <w:szCs w:val="12"/>
          <w:color w:val="auto"/>
        </w:rPr>
        <w:t>Section 1350 Certification of Chief Executive Officer.</w:t>
      </w:r>
    </w:p>
    <w:p>
      <w:pPr>
        <w:spacing w:after="0" w:line="11" w:lineRule="exact"/>
        <w:rPr>
          <w:rFonts w:ascii="Arial" w:cs="Arial" w:eastAsia="Arial" w:hAnsi="Arial"/>
          <w:sz w:val="13"/>
          <w:szCs w:val="13"/>
          <w:color w:val="auto"/>
        </w:rPr>
      </w:pPr>
    </w:p>
    <w:p>
      <w:pPr>
        <w:ind w:left="1060"/>
        <w:spacing w:after="0"/>
        <w:rPr>
          <w:rFonts w:ascii="Arial" w:cs="Arial" w:eastAsia="Arial" w:hAnsi="Arial"/>
          <w:sz w:val="13"/>
          <w:szCs w:val="13"/>
          <w:color w:val="auto"/>
        </w:rPr>
      </w:pPr>
      <w:r>
        <w:rPr>
          <w:rFonts w:ascii="Arial" w:cs="Arial" w:eastAsia="Arial" w:hAnsi="Arial"/>
          <w:sz w:val="13"/>
          <w:szCs w:val="13"/>
          <w:color w:val="auto"/>
        </w:rPr>
        <w:t>32.2</w:t>
      </w:r>
      <w:r>
        <w:rPr>
          <w:rFonts w:ascii="Arial" w:cs="Arial" w:eastAsia="Arial" w:hAnsi="Arial"/>
          <w:sz w:val="12"/>
          <w:szCs w:val="12"/>
          <w:color w:val="auto"/>
        </w:rPr>
        <w:t>Section 1350 Certification of Chief Financial Officer.</w:t>
      </w:r>
    </w:p>
    <w:p>
      <w:pPr>
        <w:spacing w:after="0" w:line="162" w:lineRule="exact"/>
        <w:rPr>
          <w:rFonts w:ascii="Arial" w:cs="Arial" w:eastAsia="Arial" w:hAnsi="Arial"/>
          <w:sz w:val="13"/>
          <w:szCs w:val="13"/>
          <w:color w:val="auto"/>
        </w:rPr>
      </w:pPr>
    </w:p>
    <w:p>
      <w:pPr>
        <w:ind w:left="5580" w:right="2900" w:hanging="4887"/>
        <w:spacing w:after="0" w:line="504" w:lineRule="auto"/>
        <w:rPr>
          <w:rFonts w:ascii="Arial" w:cs="Arial" w:eastAsia="Arial" w:hAnsi="Arial"/>
          <w:sz w:val="13"/>
          <w:szCs w:val="13"/>
          <w:color w:val="auto"/>
        </w:rPr>
      </w:pPr>
      <w:r>
        <w:rPr>
          <w:rFonts w:ascii="Arial" w:cs="Arial" w:eastAsia="Arial" w:hAnsi="Arial"/>
          <w:sz w:val="13"/>
          <w:szCs w:val="13"/>
          <w:color w:val="auto"/>
        </w:rPr>
        <w:t>* Management compensatory contract, arrangement or plan required to be filed as an exhibit pursuant to Item 15(b) of this report. 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-429895</wp:posOffset>
            </wp:positionV>
            <wp:extent cx="825500" cy="63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25500" cy="63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125" w:name="page126"/>
    <w:bookmarkEnd w:id="125"/>
    <w:p>
      <w:pPr>
        <w:jc w:val="right"/>
        <w:spacing w:after="0"/>
        <w:rPr>
          <w:sz w:val="20"/>
          <w:szCs w:val="20"/>
          <w:color w:val="auto"/>
        </w:rPr>
      </w:pPr>
      <w:r>
        <w:rPr>
          <w:rFonts w:ascii="Arial" w:cs="Arial" w:eastAsia="Arial" w:hAnsi="Arial"/>
          <w:sz w:val="13"/>
          <w:szCs w:val="13"/>
          <w:b w:val="1"/>
          <w:bCs w:val="1"/>
          <w:color w:val="auto"/>
        </w:rPr>
        <w:t>Exhibit 10.25</w:t>
      </w:r>
    </w:p>
    <w:p>
      <w:pPr>
        <w:spacing w:after="0" w:line="9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DMC</w:t>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stratex</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NETWORKS</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color w:val="auto"/>
        </w:rPr>
        <w:t>Shaun McFall</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170 Rose Orchard Way</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San Jose, CA 95134</w:t>
      </w:r>
    </w:p>
    <w:p>
      <w:pPr>
        <w:spacing w:after="0" w:line="160" w:lineRule="exact"/>
        <w:rPr>
          <w:sz w:val="20"/>
          <w:szCs w:val="20"/>
          <w:color w:val="auto"/>
        </w:rPr>
      </w:pPr>
    </w:p>
    <w:p>
      <w:pPr>
        <w:ind w:left="160"/>
        <w:spacing w:after="0"/>
        <w:tabs>
          <w:tab w:leader="none" w:pos="460" w:val="left"/>
        </w:tabs>
        <w:rPr>
          <w:sz w:val="20"/>
          <w:szCs w:val="20"/>
          <w:color w:val="auto"/>
        </w:rPr>
      </w:pPr>
      <w:r>
        <w:rPr>
          <w:rFonts w:ascii="Arial" w:cs="Arial" w:eastAsia="Arial" w:hAnsi="Arial"/>
          <w:sz w:val="13"/>
          <w:szCs w:val="13"/>
          <w:b w:val="1"/>
          <w:bCs w:val="1"/>
          <w:color w:val="auto"/>
        </w:rPr>
        <w:t>Re:</w:t>
      </w:r>
      <w:r>
        <w:rPr>
          <w:sz w:val="20"/>
          <w:szCs w:val="20"/>
          <w:color w:val="auto"/>
        </w:rPr>
        <w:tab/>
      </w:r>
      <w:r>
        <w:rPr>
          <w:rFonts w:ascii="Arial" w:cs="Arial" w:eastAsia="Arial" w:hAnsi="Arial"/>
          <w:sz w:val="12"/>
          <w:szCs w:val="12"/>
          <w:b w:val="1"/>
          <w:bCs w:val="1"/>
          <w:color w:val="auto"/>
        </w:rPr>
        <w:t>Employment Agreement</w:t>
      </w:r>
    </w:p>
    <w:p>
      <w:pPr>
        <w:spacing w:after="0" w:line="94" w:lineRule="exact"/>
        <w:rPr>
          <w:sz w:val="20"/>
          <w:szCs w:val="20"/>
          <w:color w:val="auto"/>
        </w:rPr>
      </w:pPr>
    </w:p>
    <w:p>
      <w:pPr>
        <w:spacing w:after="0"/>
        <w:rPr>
          <w:sz w:val="20"/>
          <w:szCs w:val="20"/>
          <w:color w:val="auto"/>
        </w:rPr>
      </w:pPr>
      <w:r>
        <w:rPr>
          <w:rFonts w:ascii="Arial" w:cs="Arial" w:eastAsia="Arial" w:hAnsi="Arial"/>
          <w:sz w:val="13"/>
          <w:szCs w:val="13"/>
          <w:color w:val="auto"/>
        </w:rPr>
        <w:t>Dear Shaun:</w:t>
      </w:r>
    </w:p>
    <w:p>
      <w:pPr>
        <w:spacing w:after="0" w:line="92" w:lineRule="exact"/>
        <w:rPr>
          <w:sz w:val="20"/>
          <w:szCs w:val="20"/>
          <w:color w:val="auto"/>
        </w:rPr>
      </w:pPr>
    </w:p>
    <w:p>
      <w:pPr>
        <w:ind w:left="160"/>
        <w:spacing w:after="0"/>
        <w:rPr>
          <w:sz w:val="20"/>
          <w:szCs w:val="20"/>
          <w:color w:val="auto"/>
        </w:rPr>
      </w:pPr>
      <w:r>
        <w:rPr>
          <w:rFonts w:ascii="Arial" w:cs="Arial" w:eastAsia="Arial" w:hAnsi="Arial"/>
          <w:sz w:val="12"/>
          <w:szCs w:val="12"/>
          <w:color w:val="auto"/>
        </w:rPr>
        <w:t>This letter sets forth the terms of your continued employment with DMC Stratex Networks, Inc. (the “Company”) as well as our understanding with respect to any termination of that employment relationship.</w:t>
      </w:r>
    </w:p>
    <w:p>
      <w:pPr>
        <w:spacing w:after="0" w:line="34" w:lineRule="exact"/>
        <w:rPr>
          <w:sz w:val="20"/>
          <w:szCs w:val="20"/>
          <w:color w:val="auto"/>
        </w:rPr>
      </w:pPr>
    </w:p>
    <w:p>
      <w:pPr>
        <w:spacing w:after="0"/>
        <w:rPr>
          <w:sz w:val="20"/>
          <w:szCs w:val="20"/>
          <w:color w:val="auto"/>
        </w:rPr>
      </w:pPr>
      <w:r>
        <w:rPr>
          <w:rFonts w:ascii="Arial" w:cs="Arial" w:eastAsia="Arial" w:hAnsi="Arial"/>
          <w:sz w:val="13"/>
          <w:szCs w:val="13"/>
          <w:color w:val="auto"/>
        </w:rPr>
        <w:t>This Agreement is effective as of May 14, 2002.</w:t>
      </w:r>
    </w:p>
    <w:p>
      <w:pPr>
        <w:spacing w:after="0" w:line="82" w:lineRule="exact"/>
        <w:rPr>
          <w:sz w:val="20"/>
          <w:szCs w:val="20"/>
          <w:color w:val="auto"/>
        </w:rPr>
      </w:pPr>
    </w:p>
    <w:p>
      <w:pPr>
        <w:ind w:right="500" w:firstLine="168"/>
        <w:spacing w:after="0" w:line="294" w:lineRule="auto"/>
        <w:tabs>
          <w:tab w:leader="none" w:pos="302" w:val="left"/>
        </w:tabs>
        <w:numPr>
          <w:ilvl w:val="0"/>
          <w:numId w:val="41"/>
        </w:numPr>
        <w:rPr>
          <w:rFonts w:ascii="Arial" w:cs="Arial" w:eastAsia="Arial" w:hAnsi="Arial"/>
          <w:sz w:val="13"/>
          <w:szCs w:val="13"/>
          <w:color w:val="auto"/>
        </w:rPr>
      </w:pPr>
      <w:r>
        <w:rPr>
          <w:rFonts w:ascii="Arial" w:cs="Arial" w:eastAsia="Arial" w:hAnsi="Arial"/>
          <w:sz w:val="13"/>
          <w:szCs w:val="13"/>
          <w:u w:val="single" w:color="auto"/>
          <w:color w:val="auto"/>
        </w:rPr>
        <w:t>Position and Duties</w:t>
      </w:r>
      <w:r>
        <w:rPr>
          <w:rFonts w:ascii="Arial" w:cs="Arial" w:eastAsia="Arial" w:hAnsi="Arial"/>
          <w:sz w:val="13"/>
          <w:szCs w:val="13"/>
          <w:color w:val="auto"/>
        </w:rPr>
        <w:t>. You are employed by the Company as its Vice President, Product Marketing reporting to Ryan Panos, Vice President of Global Sales. You accept continued employment with the Company on the terms and conditions set forth in this Agreement, and you agree to devote your full business time, energy and skill to your duties at the Company.</w:t>
      </w:r>
    </w:p>
    <w:p>
      <w:pPr>
        <w:spacing w:after="0" w:line="36" w:lineRule="exact"/>
        <w:rPr>
          <w:rFonts w:ascii="Arial" w:cs="Arial" w:eastAsia="Arial" w:hAnsi="Arial"/>
          <w:sz w:val="13"/>
          <w:szCs w:val="13"/>
          <w:color w:val="auto"/>
        </w:rPr>
      </w:pPr>
    </w:p>
    <w:p>
      <w:pPr>
        <w:ind w:right="60" w:firstLine="168"/>
        <w:spacing w:after="0" w:line="294" w:lineRule="auto"/>
        <w:tabs>
          <w:tab w:leader="none" w:pos="302" w:val="left"/>
        </w:tabs>
        <w:numPr>
          <w:ilvl w:val="0"/>
          <w:numId w:val="41"/>
        </w:numPr>
        <w:rPr>
          <w:rFonts w:ascii="Arial" w:cs="Arial" w:eastAsia="Arial" w:hAnsi="Arial"/>
          <w:sz w:val="13"/>
          <w:szCs w:val="13"/>
          <w:color w:val="auto"/>
        </w:rPr>
      </w:pPr>
      <w:r>
        <w:rPr>
          <w:rFonts w:ascii="Arial" w:cs="Arial" w:eastAsia="Arial" w:hAnsi="Arial"/>
          <w:sz w:val="13"/>
          <w:szCs w:val="13"/>
          <w:u w:val="single" w:color="auto"/>
          <w:color w:val="auto"/>
        </w:rPr>
        <w:t>Term of Employment</w:t>
      </w:r>
      <w:r>
        <w:rPr>
          <w:rFonts w:ascii="Arial" w:cs="Arial" w:eastAsia="Arial" w:hAnsi="Arial"/>
          <w:sz w:val="13"/>
          <w:szCs w:val="13"/>
          <w:color w:val="auto"/>
        </w:rPr>
        <w:t>. Your employment with the Company is for no specified term, and may be terminated by you or the Company at any time, with or without cause, subject to the provisions of Paragraphs 4 and 5 below.</w:t>
      </w:r>
    </w:p>
    <w:p>
      <w:pPr>
        <w:spacing w:after="0" w:line="36" w:lineRule="exact"/>
        <w:rPr>
          <w:rFonts w:ascii="Arial" w:cs="Arial" w:eastAsia="Arial" w:hAnsi="Arial"/>
          <w:sz w:val="13"/>
          <w:szCs w:val="13"/>
          <w:color w:val="auto"/>
        </w:rPr>
      </w:pPr>
    </w:p>
    <w:p>
      <w:pPr>
        <w:ind w:left="300" w:hanging="132"/>
        <w:spacing w:after="0"/>
        <w:tabs>
          <w:tab w:leader="none" w:pos="300" w:val="left"/>
        </w:tabs>
        <w:numPr>
          <w:ilvl w:val="0"/>
          <w:numId w:val="41"/>
        </w:numPr>
        <w:rPr>
          <w:rFonts w:ascii="Arial" w:cs="Arial" w:eastAsia="Arial" w:hAnsi="Arial"/>
          <w:sz w:val="13"/>
          <w:szCs w:val="13"/>
          <w:color w:val="auto"/>
        </w:rPr>
      </w:pPr>
      <w:r>
        <w:rPr>
          <w:rFonts w:ascii="Arial" w:cs="Arial" w:eastAsia="Arial" w:hAnsi="Arial"/>
          <w:sz w:val="13"/>
          <w:szCs w:val="13"/>
          <w:u w:val="single" w:color="auto"/>
          <w:color w:val="auto"/>
        </w:rPr>
        <w:t>Compensation</w:t>
      </w:r>
      <w:r>
        <w:rPr>
          <w:rFonts w:ascii="Arial" w:cs="Arial" w:eastAsia="Arial" w:hAnsi="Arial"/>
          <w:sz w:val="13"/>
          <w:szCs w:val="13"/>
          <w:color w:val="auto"/>
        </w:rPr>
        <w:t>. You will be compensated by the Company for your services as follows:</w:t>
      </w:r>
    </w:p>
    <w:p>
      <w:pPr>
        <w:spacing w:after="0" w:line="92" w:lineRule="exact"/>
        <w:rPr>
          <w:rFonts w:ascii="Arial" w:cs="Arial" w:eastAsia="Arial" w:hAnsi="Arial"/>
          <w:sz w:val="13"/>
          <w:szCs w:val="13"/>
          <w:color w:val="auto"/>
        </w:rPr>
      </w:pPr>
    </w:p>
    <w:p>
      <w:pPr>
        <w:ind w:right="220" w:firstLine="336"/>
        <w:spacing w:after="0" w:line="270" w:lineRule="auto"/>
        <w:tabs>
          <w:tab w:leader="none" w:pos="518" w:val="left"/>
        </w:tabs>
        <w:numPr>
          <w:ilvl w:val="1"/>
          <w:numId w:val="41"/>
        </w:numPr>
        <w:rPr>
          <w:rFonts w:ascii="Arial" w:cs="Arial" w:eastAsia="Arial" w:hAnsi="Arial"/>
          <w:sz w:val="13"/>
          <w:szCs w:val="13"/>
          <w:color w:val="auto"/>
        </w:rPr>
      </w:pPr>
      <w:r>
        <w:rPr>
          <w:rFonts w:ascii="Arial" w:cs="Arial" w:eastAsia="Arial" w:hAnsi="Arial"/>
          <w:sz w:val="13"/>
          <w:szCs w:val="13"/>
          <w:u w:val="single" w:color="auto"/>
          <w:color w:val="auto"/>
        </w:rPr>
        <w:t>Salary</w:t>
      </w:r>
      <w:r>
        <w:rPr>
          <w:rFonts w:ascii="Arial" w:cs="Arial" w:eastAsia="Arial" w:hAnsi="Arial"/>
          <w:sz w:val="13"/>
          <w:szCs w:val="13"/>
          <w:color w:val="auto"/>
        </w:rPr>
        <w:t>: Effective July 1, 2002, you will be paid a monthly base salary of $17,333.34, less applicable withholding, in accordance with the Company’s normal payroll procedures. Your salary may be reviewed from time to time, and may be subject to adjustment based upon various factors including, but not limited to, your performance and the Company’s profitability. Any adjustment to your salary shall be made at the sole discretion of the Company. Your base salary will not be reduced except as part of a salary reduction program that similarly affects all members of the executive staff reporting to the Chief Executive Officer of the Company.</w:t>
      </w:r>
    </w:p>
    <w:p>
      <w:pPr>
        <w:spacing w:after="0" w:line="52" w:lineRule="exact"/>
        <w:rPr>
          <w:rFonts w:ascii="Arial" w:cs="Arial" w:eastAsia="Arial" w:hAnsi="Arial"/>
          <w:sz w:val="13"/>
          <w:szCs w:val="13"/>
          <w:color w:val="auto"/>
        </w:rPr>
      </w:pPr>
    </w:p>
    <w:p>
      <w:pPr>
        <w:ind w:left="520" w:hanging="184"/>
        <w:spacing w:after="0"/>
        <w:tabs>
          <w:tab w:leader="none" w:pos="520" w:val="left"/>
        </w:tabs>
        <w:numPr>
          <w:ilvl w:val="1"/>
          <w:numId w:val="41"/>
        </w:numPr>
        <w:rPr>
          <w:rFonts w:ascii="Arial" w:cs="Arial" w:eastAsia="Arial" w:hAnsi="Arial"/>
          <w:sz w:val="13"/>
          <w:szCs w:val="13"/>
          <w:color w:val="auto"/>
        </w:rPr>
      </w:pPr>
      <w:r>
        <w:rPr>
          <w:rFonts w:ascii="Arial" w:cs="Arial" w:eastAsia="Arial" w:hAnsi="Arial"/>
          <w:sz w:val="13"/>
          <w:szCs w:val="13"/>
          <w:u w:val="single" w:color="auto"/>
          <w:color w:val="auto"/>
        </w:rPr>
        <w:t>Bonus</w:t>
      </w:r>
      <w:r>
        <w:rPr>
          <w:rFonts w:ascii="Arial" w:cs="Arial" w:eastAsia="Arial" w:hAnsi="Arial"/>
          <w:sz w:val="13"/>
          <w:szCs w:val="13"/>
          <w:color w:val="auto"/>
        </w:rPr>
        <w:t>: To the extent that the Company has one, you will be eligible to participate in any Company executive incentive bonus plan.</w:t>
      </w:r>
    </w:p>
    <w:p>
      <w:pPr>
        <w:spacing w:after="0" w:line="92" w:lineRule="exact"/>
        <w:rPr>
          <w:rFonts w:ascii="Arial" w:cs="Arial" w:eastAsia="Arial" w:hAnsi="Arial"/>
          <w:sz w:val="13"/>
          <w:szCs w:val="13"/>
          <w:color w:val="auto"/>
        </w:rPr>
      </w:pPr>
    </w:p>
    <w:p>
      <w:pPr>
        <w:ind w:right="80" w:firstLine="336"/>
        <w:spacing w:after="0" w:line="294" w:lineRule="auto"/>
        <w:tabs>
          <w:tab w:leader="none" w:pos="518" w:val="left"/>
        </w:tabs>
        <w:numPr>
          <w:ilvl w:val="1"/>
          <w:numId w:val="41"/>
        </w:numPr>
        <w:rPr>
          <w:rFonts w:ascii="Arial" w:cs="Arial" w:eastAsia="Arial" w:hAnsi="Arial"/>
          <w:sz w:val="13"/>
          <w:szCs w:val="13"/>
          <w:color w:val="auto"/>
        </w:rPr>
      </w:pPr>
      <w:r>
        <w:rPr>
          <w:rFonts w:ascii="Arial" w:cs="Arial" w:eastAsia="Arial" w:hAnsi="Arial"/>
          <w:sz w:val="13"/>
          <w:szCs w:val="13"/>
          <w:u w:val="single" w:color="auto"/>
          <w:color w:val="auto"/>
        </w:rPr>
        <w:t>Benefits</w:t>
      </w:r>
      <w:r>
        <w:rPr>
          <w:rFonts w:ascii="Arial" w:cs="Arial" w:eastAsia="Arial" w:hAnsi="Arial"/>
          <w:sz w:val="13"/>
          <w:szCs w:val="13"/>
          <w:color w:val="auto"/>
        </w:rPr>
        <w:t>: You will have the right, on the same basis as other employees of the Company, to participate in and to receive benefits under any Company medical, disability or other group insurance plans, as well as under the Company’s business expense reimbursement and other policies. You will accrue paid vacation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263525</wp:posOffset>
            </wp:positionV>
            <wp:extent cx="7287895" cy="190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1460"/>
          </w:cols>
          <w:pgMar w:left="220" w:top="127" w:right="219" w:bottom="1440" w:gutter="0" w:footer="0" w:header="0"/>
        </w:sectPr>
      </w:pPr>
    </w:p>
    <w:bookmarkStart w:id="126" w:name="page127"/>
    <w:bookmarkEnd w:id="126"/>
    <w:p>
      <w:pPr>
        <w:spacing w:after="0"/>
        <w:rPr>
          <w:sz w:val="20"/>
          <w:szCs w:val="20"/>
          <w:color w:val="auto"/>
        </w:rPr>
      </w:pPr>
      <w:r>
        <w:rPr>
          <w:rFonts w:ascii="Arial" w:cs="Arial" w:eastAsia="Arial" w:hAnsi="Arial"/>
          <w:sz w:val="13"/>
          <w:szCs w:val="13"/>
          <w:color w:val="auto"/>
        </w:rPr>
        <w:t>McFall Employment Agreement</w:t>
      </w:r>
    </w:p>
    <w:p>
      <w:pPr>
        <w:spacing w:after="0" w:line="92" w:lineRule="exact"/>
        <w:rPr>
          <w:sz w:val="20"/>
          <w:szCs w:val="20"/>
          <w:color w:val="auto"/>
        </w:rPr>
      </w:pPr>
    </w:p>
    <w:p>
      <w:pPr>
        <w:spacing w:after="0"/>
        <w:rPr>
          <w:sz w:val="20"/>
          <w:szCs w:val="20"/>
          <w:color w:val="auto"/>
        </w:rPr>
      </w:pPr>
      <w:r>
        <w:rPr>
          <w:rFonts w:ascii="Arial" w:cs="Arial" w:eastAsia="Arial" w:hAnsi="Arial"/>
          <w:sz w:val="13"/>
          <w:szCs w:val="13"/>
          <w:color w:val="auto"/>
        </w:rPr>
        <w:t>accordance with the Company’s vacation policy or other arrangements made by the Company.</w:t>
      </w:r>
    </w:p>
    <w:p>
      <w:pPr>
        <w:spacing w:after="0" w:line="92" w:lineRule="exact"/>
        <w:rPr>
          <w:sz w:val="20"/>
          <w:szCs w:val="20"/>
          <w:color w:val="auto"/>
        </w:rPr>
      </w:pPr>
    </w:p>
    <w:p>
      <w:pPr>
        <w:ind w:right="60" w:firstLine="168"/>
        <w:spacing w:after="0" w:line="299" w:lineRule="auto"/>
        <w:tabs>
          <w:tab w:leader="none" w:pos="302" w:val="left"/>
        </w:tabs>
        <w:numPr>
          <w:ilvl w:val="0"/>
          <w:numId w:val="42"/>
        </w:numPr>
        <w:rPr>
          <w:rFonts w:ascii="Arial" w:cs="Arial" w:eastAsia="Arial" w:hAnsi="Arial"/>
          <w:sz w:val="12"/>
          <w:szCs w:val="12"/>
          <w:color w:val="auto"/>
        </w:rPr>
      </w:pPr>
      <w:r>
        <w:rPr>
          <w:rFonts w:ascii="Arial" w:cs="Arial" w:eastAsia="Arial" w:hAnsi="Arial"/>
          <w:sz w:val="12"/>
          <w:szCs w:val="12"/>
          <w:u w:val="single" w:color="auto"/>
          <w:color w:val="auto"/>
        </w:rPr>
        <w:t>Voluntary Termination</w:t>
      </w:r>
      <w:r>
        <w:rPr>
          <w:rFonts w:ascii="Arial" w:cs="Arial" w:eastAsia="Arial" w:hAnsi="Arial"/>
          <w:sz w:val="12"/>
          <w:szCs w:val="12"/>
          <w:color w:val="auto"/>
        </w:rPr>
        <w:t>. In the event that you voluntarily resign from your employment with the Company, or in the event that your employment terminates as a result of your death, you will be entitled to no compensation or benefits from the Company other than those earned under Paragraph 3 through the date of your termination. You agree that if you voluntarily terminate your employment with the Company for any reason, you will provide the Company with at least 10 days written notice of your resignation. The Company shall have the option, in its sole discretion, to make your resignation effective at any time prior to the end of such notice period, provided the Company pays you an amount equal to the base salary you would have earned through the end of the notice period.</w:t>
      </w:r>
    </w:p>
    <w:p>
      <w:pPr>
        <w:spacing w:after="0" w:line="37" w:lineRule="exact"/>
        <w:rPr>
          <w:rFonts w:ascii="Arial" w:cs="Arial" w:eastAsia="Arial" w:hAnsi="Arial"/>
          <w:sz w:val="12"/>
          <w:szCs w:val="12"/>
          <w:color w:val="auto"/>
        </w:rPr>
      </w:pPr>
    </w:p>
    <w:p>
      <w:pPr>
        <w:ind w:left="300" w:hanging="132"/>
        <w:spacing w:after="0"/>
        <w:tabs>
          <w:tab w:leader="none" w:pos="300" w:val="left"/>
        </w:tabs>
        <w:numPr>
          <w:ilvl w:val="0"/>
          <w:numId w:val="42"/>
        </w:numPr>
        <w:rPr>
          <w:rFonts w:ascii="Arial" w:cs="Arial" w:eastAsia="Arial" w:hAnsi="Arial"/>
          <w:sz w:val="13"/>
          <w:szCs w:val="13"/>
          <w:color w:val="auto"/>
        </w:rPr>
      </w:pPr>
      <w:r>
        <w:rPr>
          <w:rFonts w:ascii="Arial" w:cs="Arial" w:eastAsia="Arial" w:hAnsi="Arial"/>
          <w:sz w:val="13"/>
          <w:szCs w:val="13"/>
          <w:u w:val="single" w:color="auto"/>
          <w:color w:val="auto"/>
        </w:rPr>
        <w:t>Other Termination</w:t>
      </w:r>
      <w:r>
        <w:rPr>
          <w:rFonts w:ascii="Arial" w:cs="Arial" w:eastAsia="Arial" w:hAnsi="Arial"/>
          <w:sz w:val="13"/>
          <w:szCs w:val="13"/>
          <w:color w:val="auto"/>
        </w:rPr>
        <w:t>. Your employment may be terminated under the circumstances set forth below.</w:t>
      </w:r>
    </w:p>
    <w:p>
      <w:pPr>
        <w:spacing w:after="0" w:line="92" w:lineRule="exact"/>
        <w:rPr>
          <w:rFonts w:ascii="Arial" w:cs="Arial" w:eastAsia="Arial" w:hAnsi="Arial"/>
          <w:sz w:val="13"/>
          <w:szCs w:val="13"/>
          <w:color w:val="auto"/>
        </w:rPr>
      </w:pPr>
    </w:p>
    <w:p>
      <w:pPr>
        <w:ind w:right="140" w:firstLine="336"/>
        <w:spacing w:after="0" w:line="267" w:lineRule="auto"/>
        <w:tabs>
          <w:tab w:leader="none" w:pos="518" w:val="left"/>
        </w:tabs>
        <w:numPr>
          <w:ilvl w:val="1"/>
          <w:numId w:val="42"/>
        </w:numPr>
        <w:rPr>
          <w:rFonts w:ascii="Arial" w:cs="Arial" w:eastAsia="Arial" w:hAnsi="Arial"/>
          <w:sz w:val="13"/>
          <w:szCs w:val="13"/>
          <w:color w:val="auto"/>
        </w:rPr>
      </w:pPr>
      <w:r>
        <w:rPr>
          <w:rFonts w:ascii="Arial" w:cs="Arial" w:eastAsia="Arial" w:hAnsi="Arial"/>
          <w:sz w:val="13"/>
          <w:szCs w:val="13"/>
          <w:u w:val="single" w:color="auto"/>
          <w:color w:val="auto"/>
        </w:rPr>
        <w:t>Termination by Disability</w:t>
      </w:r>
      <w:r>
        <w:rPr>
          <w:rFonts w:ascii="Arial" w:cs="Arial" w:eastAsia="Arial" w:hAnsi="Arial"/>
          <w:sz w:val="13"/>
          <w:szCs w:val="13"/>
          <w:color w:val="auto"/>
        </w:rPr>
        <w:t>: If, by reason of any physical or mental incapacity, you have been or will be prevented from performing your then-current duties under this Agreement for more than three consecutive months, then, to the extent permitted by law, the Company may terminate your employment without any advance notice. Upon such termination, if you sign a general release of known and unknown claims in a form satisfactory to the Company, the Company will provide you with the severance payments and benefits described in Paragraph 5(c). Nothing in this paragraph shall affect your rights under any applicable Company disability plan; provided, however, that your severance payments will be offset by any disability income payments received by you so that the total monthly severance and disability income payments during your severance period shall not exceed your then-current base salary.</w:t>
      </w:r>
    </w:p>
    <w:p>
      <w:pPr>
        <w:spacing w:after="0" w:line="55" w:lineRule="exact"/>
        <w:rPr>
          <w:rFonts w:ascii="Arial" w:cs="Arial" w:eastAsia="Arial" w:hAnsi="Arial"/>
          <w:sz w:val="13"/>
          <w:szCs w:val="13"/>
          <w:color w:val="auto"/>
        </w:rPr>
      </w:pPr>
    </w:p>
    <w:p>
      <w:pPr>
        <w:ind w:right="20" w:firstLine="336"/>
        <w:spacing w:after="0" w:line="270" w:lineRule="auto"/>
        <w:tabs>
          <w:tab w:leader="none" w:pos="526" w:val="left"/>
        </w:tabs>
        <w:numPr>
          <w:ilvl w:val="1"/>
          <w:numId w:val="42"/>
        </w:numPr>
        <w:rPr>
          <w:rFonts w:ascii="Arial" w:cs="Arial" w:eastAsia="Arial" w:hAnsi="Arial"/>
          <w:sz w:val="13"/>
          <w:szCs w:val="13"/>
          <w:color w:val="auto"/>
        </w:rPr>
      </w:pPr>
      <w:r>
        <w:rPr>
          <w:rFonts w:ascii="Arial" w:cs="Arial" w:eastAsia="Arial" w:hAnsi="Arial"/>
          <w:sz w:val="13"/>
          <w:szCs w:val="13"/>
          <w:u w:val="single" w:color="auto"/>
          <w:color w:val="auto"/>
        </w:rPr>
        <w:t>Termination for Cause or Death</w:t>
      </w:r>
      <w:r>
        <w:rPr>
          <w:rFonts w:ascii="Arial" w:cs="Arial" w:eastAsia="Arial" w:hAnsi="Arial"/>
          <w:sz w:val="13"/>
          <w:szCs w:val="13"/>
          <w:color w:val="auto"/>
        </w:rPr>
        <w:t>: The Company may terminate your employment at any time for cause (as described below). If your employment is terminated by the Company for cause, or if your employment terminates as a result of your death, you shall be entitled to no compensation or benefits from the Company other than those earned under Paragraph 3 through the date of your termination for cause. Provided, however, that if your employment terminates as a result of your death, the Company will also pay your estate the prorated portion of any incentive bonus that you would have earned during the incentive bonus period in which your employment terminates; such prorated bonus will be paid at the time that incentive bonus is paid to other Company employees.</w:t>
      </w:r>
    </w:p>
    <w:p>
      <w:pPr>
        <w:spacing w:after="0" w:line="53" w:lineRule="exact"/>
        <w:rPr>
          <w:sz w:val="20"/>
          <w:szCs w:val="20"/>
          <w:color w:val="auto"/>
        </w:rPr>
      </w:pPr>
    </w:p>
    <w:p>
      <w:pPr>
        <w:ind w:left="160"/>
        <w:spacing w:after="0"/>
        <w:rPr>
          <w:sz w:val="20"/>
          <w:szCs w:val="20"/>
          <w:color w:val="auto"/>
        </w:rPr>
      </w:pPr>
      <w:r>
        <w:rPr>
          <w:rFonts w:ascii="Arial" w:cs="Arial" w:eastAsia="Arial" w:hAnsi="Arial"/>
          <w:sz w:val="12"/>
          <w:szCs w:val="12"/>
          <w:color w:val="auto"/>
        </w:rPr>
        <w:t>For purposes of this Agreement a termination “for cause” occurs if you are terminated for any of the following reasons: (i) theft, dishonesty, misconduct or falsification of any employment or Company records;</w:t>
      </w:r>
    </w:p>
    <w:p>
      <w:pPr>
        <w:spacing w:after="0" w:line="34" w:lineRule="exact"/>
        <w:rPr>
          <w:sz w:val="20"/>
          <w:szCs w:val="20"/>
          <w:color w:val="auto"/>
        </w:rPr>
      </w:pPr>
    </w:p>
    <w:p>
      <w:pPr>
        <w:ind w:right="340" w:firstLine="1"/>
        <w:spacing w:after="0" w:line="277" w:lineRule="auto"/>
        <w:tabs>
          <w:tab w:leader="none" w:pos="198" w:val="left"/>
        </w:tabs>
        <w:numPr>
          <w:ilvl w:val="0"/>
          <w:numId w:val="43"/>
        </w:numPr>
        <w:rPr>
          <w:rFonts w:ascii="Arial" w:cs="Arial" w:eastAsia="Arial" w:hAnsi="Arial"/>
          <w:sz w:val="13"/>
          <w:szCs w:val="13"/>
          <w:color w:val="auto"/>
        </w:rPr>
      </w:pPr>
      <w:r>
        <w:rPr>
          <w:rFonts w:ascii="Arial" w:cs="Arial" w:eastAsia="Arial" w:hAnsi="Arial"/>
          <w:sz w:val="13"/>
          <w:szCs w:val="13"/>
          <w:color w:val="auto"/>
        </w:rPr>
        <w:t>improper disclosure of the Company’s confidential or proprietary information; (iii) any action by you which has a material detrimental effect on the Company’s reputation or business; (iv) your refusal or inability to perform any assigned duties (other than as a result of a disability) 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276860</wp:posOffset>
            </wp:positionV>
            <wp:extent cx="7287895" cy="190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1420"/>
          </w:cols>
          <w:pgMar w:left="220" w:top="733" w:right="259" w:bottom="1440" w:gutter="0" w:footer="0" w:header="0"/>
        </w:sectPr>
      </w:pPr>
    </w:p>
    <w:bookmarkStart w:id="127" w:name="page128"/>
    <w:bookmarkEnd w:id="127"/>
    <w:p>
      <w:pPr>
        <w:spacing w:after="0"/>
        <w:rPr>
          <w:sz w:val="20"/>
          <w:szCs w:val="20"/>
          <w:color w:val="auto"/>
        </w:rPr>
      </w:pPr>
      <w:r>
        <w:rPr>
          <w:rFonts w:ascii="Arial" w:cs="Arial" w:eastAsia="Arial" w:hAnsi="Arial"/>
          <w:sz w:val="13"/>
          <w:szCs w:val="13"/>
          <w:color w:val="auto"/>
        </w:rPr>
        <w:t>McFall Employment Agreement</w:t>
      </w:r>
    </w:p>
    <w:p>
      <w:pPr>
        <w:spacing w:after="0" w:line="92" w:lineRule="exact"/>
        <w:rPr>
          <w:sz w:val="20"/>
          <w:szCs w:val="20"/>
          <w:color w:val="auto"/>
        </w:rPr>
      </w:pPr>
    </w:p>
    <w:p>
      <w:pPr>
        <w:ind w:right="160"/>
        <w:spacing w:after="0" w:line="294" w:lineRule="auto"/>
        <w:rPr>
          <w:sz w:val="20"/>
          <w:szCs w:val="20"/>
          <w:color w:val="auto"/>
        </w:rPr>
      </w:pPr>
      <w:r>
        <w:rPr>
          <w:rFonts w:ascii="Arial" w:cs="Arial" w:eastAsia="Arial" w:hAnsi="Arial"/>
          <w:sz w:val="13"/>
          <w:szCs w:val="13"/>
          <w:color w:val="auto"/>
        </w:rPr>
        <w:t>written notice from the Company to you of, and a reasonable opportunity to cure, such failure or inability; or (v) your conviction (including any plea of guilty or no contest) for any criminal act that impairs your ability to perform your duties under this Agreement.</w:t>
      </w:r>
    </w:p>
    <w:p>
      <w:pPr>
        <w:spacing w:after="0" w:line="37" w:lineRule="exact"/>
        <w:rPr>
          <w:sz w:val="20"/>
          <w:szCs w:val="20"/>
          <w:color w:val="auto"/>
        </w:rPr>
      </w:pPr>
    </w:p>
    <w:p>
      <w:pPr>
        <w:ind w:firstLine="336"/>
        <w:spacing w:after="0" w:line="294" w:lineRule="auto"/>
        <w:tabs>
          <w:tab w:leader="none" w:pos="518" w:val="left"/>
        </w:tabs>
        <w:numPr>
          <w:ilvl w:val="0"/>
          <w:numId w:val="44"/>
        </w:numPr>
        <w:rPr>
          <w:rFonts w:ascii="Arial" w:cs="Arial" w:eastAsia="Arial" w:hAnsi="Arial"/>
          <w:sz w:val="13"/>
          <w:szCs w:val="13"/>
          <w:color w:val="auto"/>
        </w:rPr>
      </w:pPr>
      <w:r>
        <w:rPr>
          <w:rFonts w:ascii="Arial" w:cs="Arial" w:eastAsia="Arial" w:hAnsi="Arial"/>
          <w:sz w:val="13"/>
          <w:szCs w:val="13"/>
          <w:u w:val="single" w:color="auto"/>
          <w:color w:val="auto"/>
        </w:rPr>
        <w:t>Termination Without Cause</w:t>
      </w:r>
      <w:r>
        <w:rPr>
          <w:rFonts w:ascii="Arial" w:cs="Arial" w:eastAsia="Arial" w:hAnsi="Arial"/>
          <w:sz w:val="13"/>
          <w:szCs w:val="13"/>
          <w:color w:val="auto"/>
        </w:rPr>
        <w:t>: The Company may terminate your employment without cause at any time. If your employment is terminated by the Company without cause, and you sign a general release of known and unknown claims in a form satisfactory to the Company, you will receive the following severance benefits:</w:t>
      </w:r>
    </w:p>
    <w:p>
      <w:pPr>
        <w:spacing w:after="0" w:line="36" w:lineRule="exact"/>
        <w:rPr>
          <w:rFonts w:ascii="Arial" w:cs="Arial" w:eastAsia="Arial" w:hAnsi="Arial"/>
          <w:sz w:val="13"/>
          <w:szCs w:val="13"/>
          <w:color w:val="auto"/>
        </w:rPr>
      </w:pPr>
    </w:p>
    <w:p>
      <w:pPr>
        <w:ind w:left="660" w:hanging="156"/>
        <w:spacing w:after="0"/>
        <w:tabs>
          <w:tab w:leader="none" w:pos="660" w:val="left"/>
        </w:tabs>
        <w:numPr>
          <w:ilvl w:val="1"/>
          <w:numId w:val="44"/>
        </w:numPr>
        <w:rPr>
          <w:rFonts w:ascii="Arial" w:cs="Arial" w:eastAsia="Arial" w:hAnsi="Arial"/>
          <w:sz w:val="12"/>
          <w:szCs w:val="12"/>
          <w:color w:val="auto"/>
        </w:rPr>
      </w:pPr>
      <w:r>
        <w:rPr>
          <w:rFonts w:ascii="Arial" w:cs="Arial" w:eastAsia="Arial" w:hAnsi="Arial"/>
          <w:sz w:val="12"/>
          <w:szCs w:val="12"/>
          <w:color w:val="auto"/>
        </w:rPr>
        <w:t>severance payments at your final base salary rate for a period of twelve (12) months following your termination; such payments will be made in accordance with the Company’s normal payroll</w:t>
      </w:r>
    </w:p>
    <w:p>
      <w:pPr>
        <w:spacing w:after="0" w:line="33"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3"/>
          <w:szCs w:val="13"/>
          <w:color w:val="auto"/>
        </w:rPr>
        <w:t>practices;</w:t>
      </w:r>
    </w:p>
    <w:p>
      <w:pPr>
        <w:spacing w:after="0" w:line="81" w:lineRule="exact"/>
        <w:rPr>
          <w:rFonts w:ascii="Arial" w:cs="Arial" w:eastAsia="Arial" w:hAnsi="Arial"/>
          <w:sz w:val="12"/>
          <w:szCs w:val="12"/>
          <w:color w:val="auto"/>
        </w:rPr>
      </w:pPr>
    </w:p>
    <w:p>
      <w:pPr>
        <w:ind w:right="80" w:firstLine="504"/>
        <w:spacing w:after="0" w:line="338" w:lineRule="auto"/>
        <w:tabs>
          <w:tab w:leader="none" w:pos="701" w:val="left"/>
        </w:tabs>
        <w:numPr>
          <w:ilvl w:val="1"/>
          <w:numId w:val="44"/>
        </w:numPr>
        <w:rPr>
          <w:rFonts w:ascii="Arial" w:cs="Arial" w:eastAsia="Arial" w:hAnsi="Arial"/>
          <w:sz w:val="12"/>
          <w:szCs w:val="12"/>
          <w:color w:val="auto"/>
        </w:rPr>
      </w:pPr>
      <w:r>
        <w:rPr>
          <w:rFonts w:ascii="Arial" w:cs="Arial" w:eastAsia="Arial" w:hAnsi="Arial"/>
          <w:sz w:val="12"/>
          <w:szCs w:val="12"/>
          <w:color w:val="auto"/>
        </w:rPr>
        <w:t>payment of the premiums necessary to continue your group health insurance under COBRA (or to purchase other comparable health insurance coverage on an individual basis if you are no longer eligible for COBRA coverage) until the earlier of (x) twelve (12) months following your termination date; or (y) the date you first became eligible to participate in another employer’s group health insurance plan;</w:t>
      </w:r>
    </w:p>
    <w:p>
      <w:pPr>
        <w:spacing w:after="0" w:line="14" w:lineRule="exact"/>
        <w:rPr>
          <w:rFonts w:ascii="Arial" w:cs="Arial" w:eastAsia="Arial" w:hAnsi="Arial"/>
          <w:sz w:val="12"/>
          <w:szCs w:val="12"/>
          <w:color w:val="auto"/>
        </w:rPr>
      </w:pPr>
    </w:p>
    <w:p>
      <w:pPr>
        <w:ind w:right="100" w:firstLine="504"/>
        <w:spacing w:after="0" w:line="294" w:lineRule="auto"/>
        <w:tabs>
          <w:tab w:leader="none" w:pos="739" w:val="left"/>
        </w:tabs>
        <w:numPr>
          <w:ilvl w:val="1"/>
          <w:numId w:val="44"/>
        </w:numPr>
        <w:rPr>
          <w:rFonts w:ascii="Arial" w:cs="Arial" w:eastAsia="Arial" w:hAnsi="Arial"/>
          <w:sz w:val="13"/>
          <w:szCs w:val="13"/>
          <w:color w:val="auto"/>
        </w:rPr>
      </w:pPr>
      <w:r>
        <w:rPr>
          <w:rFonts w:ascii="Arial" w:cs="Arial" w:eastAsia="Arial" w:hAnsi="Arial"/>
          <w:sz w:val="13"/>
          <w:szCs w:val="13"/>
          <w:color w:val="auto"/>
        </w:rPr>
        <w:t>the Company will pay you the prorated portion of any incentive bonus that you would have earned during the incentive bonus period in which your employment terminates, such prorated bonus will be paid to you at the time that incentive bonus is paid to other Company employees;</w:t>
      </w:r>
    </w:p>
    <w:p>
      <w:pPr>
        <w:spacing w:after="0" w:line="36" w:lineRule="exact"/>
        <w:rPr>
          <w:rFonts w:ascii="Arial" w:cs="Arial" w:eastAsia="Arial" w:hAnsi="Arial"/>
          <w:sz w:val="13"/>
          <w:szCs w:val="13"/>
          <w:color w:val="auto"/>
        </w:rPr>
      </w:pPr>
    </w:p>
    <w:p>
      <w:pPr>
        <w:ind w:right="20" w:firstLine="504"/>
        <w:spacing w:after="0" w:line="276" w:lineRule="auto"/>
        <w:tabs>
          <w:tab w:leader="none" w:pos="731" w:val="left"/>
        </w:tabs>
        <w:numPr>
          <w:ilvl w:val="1"/>
          <w:numId w:val="44"/>
        </w:numPr>
        <w:rPr>
          <w:rFonts w:ascii="Arial" w:cs="Arial" w:eastAsia="Arial" w:hAnsi="Arial"/>
          <w:sz w:val="13"/>
          <w:szCs w:val="13"/>
          <w:color w:val="auto"/>
        </w:rPr>
      </w:pPr>
      <w:r>
        <w:rPr>
          <w:rFonts w:ascii="Arial" w:cs="Arial" w:eastAsia="Arial" w:hAnsi="Arial"/>
          <w:sz w:val="13"/>
          <w:szCs w:val="13"/>
          <w:color w:val="auto"/>
        </w:rPr>
        <w:t>with respect to any stock options granted to you by the Company, you will cease vesting upon your termination date; however, you will be entitled to purchase any vested shares o:f stock that are subject to those options ,until the earlier of (x) twelve (12) months following your termination date, or (y) the date on which the applicable option(s) expires; except as set forth in this subparagraph, your Company stock options will continue to be subject to and governed by the applicable stock option agreements between you and the Company;</w:t>
      </w:r>
    </w:p>
    <w:p>
      <w:pPr>
        <w:spacing w:after="0" w:line="48" w:lineRule="exact"/>
        <w:rPr>
          <w:rFonts w:ascii="Arial" w:cs="Arial" w:eastAsia="Arial" w:hAnsi="Arial"/>
          <w:sz w:val="13"/>
          <w:szCs w:val="13"/>
          <w:color w:val="auto"/>
        </w:rPr>
      </w:pPr>
    </w:p>
    <w:p>
      <w:pPr>
        <w:ind w:left="700" w:hanging="196"/>
        <w:spacing w:after="0"/>
        <w:tabs>
          <w:tab w:leader="none" w:pos="700" w:val="left"/>
        </w:tabs>
        <w:numPr>
          <w:ilvl w:val="1"/>
          <w:numId w:val="44"/>
        </w:numPr>
        <w:rPr>
          <w:rFonts w:ascii="Arial" w:cs="Arial" w:eastAsia="Arial" w:hAnsi="Arial"/>
          <w:sz w:val="13"/>
          <w:szCs w:val="13"/>
          <w:color w:val="auto"/>
        </w:rPr>
      </w:pPr>
      <w:r>
        <w:rPr>
          <w:rFonts w:ascii="Arial" w:cs="Arial" w:eastAsia="Arial" w:hAnsi="Arial"/>
          <w:sz w:val="13"/>
          <w:szCs w:val="13"/>
          <w:color w:val="auto"/>
        </w:rPr>
        <w:t>payment of your then-provided Company car allowance for the period described in subparagraph 5(c)(i); and</w:t>
      </w:r>
    </w:p>
    <w:p>
      <w:pPr>
        <w:spacing w:after="0" w:line="92" w:lineRule="exact"/>
        <w:rPr>
          <w:rFonts w:ascii="Arial" w:cs="Arial" w:eastAsia="Arial" w:hAnsi="Arial"/>
          <w:sz w:val="13"/>
          <w:szCs w:val="13"/>
          <w:color w:val="auto"/>
        </w:rPr>
      </w:pPr>
    </w:p>
    <w:p>
      <w:pPr>
        <w:ind w:left="740" w:hanging="236"/>
        <w:spacing w:after="0"/>
        <w:tabs>
          <w:tab w:leader="none" w:pos="740" w:val="left"/>
        </w:tabs>
        <w:numPr>
          <w:ilvl w:val="1"/>
          <w:numId w:val="44"/>
        </w:numPr>
        <w:rPr>
          <w:rFonts w:ascii="Arial" w:cs="Arial" w:eastAsia="Arial" w:hAnsi="Arial"/>
          <w:sz w:val="13"/>
          <w:szCs w:val="13"/>
          <w:color w:val="auto"/>
        </w:rPr>
      </w:pPr>
      <w:r>
        <w:rPr>
          <w:rFonts w:ascii="Arial" w:cs="Arial" w:eastAsia="Arial" w:hAnsi="Arial"/>
          <w:sz w:val="13"/>
          <w:szCs w:val="13"/>
          <w:color w:val="auto"/>
        </w:rPr>
        <w:t>outplacement assistance selected and paid for by the Company.</w:t>
      </w:r>
    </w:p>
    <w:p>
      <w:pPr>
        <w:spacing w:after="0" w:line="92" w:lineRule="exact"/>
        <w:rPr>
          <w:rFonts w:ascii="Arial" w:cs="Arial" w:eastAsia="Arial" w:hAnsi="Arial"/>
          <w:sz w:val="13"/>
          <w:szCs w:val="13"/>
          <w:color w:val="auto"/>
        </w:rPr>
      </w:pPr>
    </w:p>
    <w:p>
      <w:pPr>
        <w:ind w:right="100" w:firstLine="336"/>
        <w:spacing w:after="0" w:line="338" w:lineRule="auto"/>
        <w:tabs>
          <w:tab w:leader="none" w:pos="526" w:val="left"/>
        </w:tabs>
        <w:numPr>
          <w:ilvl w:val="0"/>
          <w:numId w:val="44"/>
        </w:numPr>
        <w:rPr>
          <w:rFonts w:ascii="Arial" w:cs="Arial" w:eastAsia="Arial" w:hAnsi="Arial"/>
          <w:sz w:val="12"/>
          <w:szCs w:val="12"/>
          <w:color w:val="auto"/>
        </w:rPr>
      </w:pPr>
      <w:r>
        <w:rPr>
          <w:rFonts w:ascii="Arial" w:cs="Arial" w:eastAsia="Arial" w:hAnsi="Arial"/>
          <w:sz w:val="12"/>
          <w:szCs w:val="12"/>
          <w:u w:val="single" w:color="auto"/>
          <w:color w:val="auto"/>
        </w:rPr>
        <w:t>Resignation for Good Reason</w:t>
      </w:r>
      <w:r>
        <w:rPr>
          <w:rFonts w:ascii="Arial" w:cs="Arial" w:eastAsia="Arial" w:hAnsi="Arial"/>
          <w:sz w:val="12"/>
          <w:szCs w:val="12"/>
          <w:color w:val="auto"/>
        </w:rPr>
        <w:t>: If you resign from your employment with the Company for Good Reason (as defined in this paragraph), and such resignation does not qualify as a Resignation for Good Reason Following a Change of Control as set forth in subparagraph (e) below, and you sign a general release of known and unknown claims in a form satisfactory to the Company, you shall receive the severance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255905</wp:posOffset>
            </wp:positionV>
            <wp:extent cx="7287895" cy="190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1440"/>
          </w:cols>
          <w:pgMar w:left="220" w:top="733" w:right="239" w:bottom="1440" w:gutter="0" w:footer="0" w:header="0"/>
        </w:sectPr>
      </w:pPr>
    </w:p>
    <w:bookmarkStart w:id="128" w:name="page129"/>
    <w:bookmarkEnd w:id="128"/>
    <w:p>
      <w:pPr>
        <w:spacing w:after="0"/>
        <w:rPr>
          <w:sz w:val="20"/>
          <w:szCs w:val="20"/>
          <w:color w:val="auto"/>
        </w:rPr>
      </w:pPr>
      <w:r>
        <w:rPr>
          <w:rFonts w:ascii="Arial" w:cs="Arial" w:eastAsia="Arial" w:hAnsi="Arial"/>
          <w:sz w:val="13"/>
          <w:szCs w:val="13"/>
          <w:color w:val="auto"/>
        </w:rPr>
        <w:t>McFall Employment Agreement</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benefits described in Paragraph 5(c). For purposes of this paragraph, “Good Reason” means any of the following conditions, which condition(s) remain in effect 60 days after written notice from you to the</w:t>
      </w:r>
    </w:p>
    <w:p>
      <w:pPr>
        <w:spacing w:after="0" w:line="34" w:lineRule="exact"/>
        <w:rPr>
          <w:sz w:val="20"/>
          <w:szCs w:val="20"/>
          <w:color w:val="auto"/>
        </w:rPr>
      </w:pPr>
    </w:p>
    <w:p>
      <w:pPr>
        <w:spacing w:after="0"/>
        <w:rPr>
          <w:sz w:val="20"/>
          <w:szCs w:val="20"/>
          <w:color w:val="auto"/>
        </w:rPr>
      </w:pPr>
      <w:r>
        <w:rPr>
          <w:rFonts w:ascii="Arial" w:cs="Arial" w:eastAsia="Arial" w:hAnsi="Arial"/>
          <w:sz w:val="13"/>
          <w:szCs w:val="13"/>
          <w:color w:val="auto"/>
        </w:rPr>
        <w:t>Company’s Chief Executive Officer of said condition(s):</w:t>
      </w:r>
    </w:p>
    <w:p>
      <w:pPr>
        <w:spacing w:after="0" w:line="82" w:lineRule="exact"/>
        <w:rPr>
          <w:sz w:val="20"/>
          <w:szCs w:val="20"/>
          <w:color w:val="auto"/>
        </w:rPr>
      </w:pPr>
    </w:p>
    <w:p>
      <w:pPr>
        <w:ind w:left="660" w:hanging="156"/>
        <w:spacing w:after="0"/>
        <w:tabs>
          <w:tab w:leader="none" w:pos="660" w:val="left"/>
        </w:tabs>
        <w:numPr>
          <w:ilvl w:val="0"/>
          <w:numId w:val="45"/>
        </w:numPr>
        <w:rPr>
          <w:rFonts w:ascii="Arial" w:cs="Arial" w:eastAsia="Arial" w:hAnsi="Arial"/>
          <w:sz w:val="12"/>
          <w:szCs w:val="12"/>
          <w:color w:val="auto"/>
        </w:rPr>
      </w:pPr>
      <w:r>
        <w:rPr>
          <w:rFonts w:ascii="Arial" w:cs="Arial" w:eastAsia="Arial" w:hAnsi="Arial"/>
          <w:sz w:val="12"/>
          <w:szCs w:val="12"/>
          <w:color w:val="auto"/>
        </w:rPr>
        <w:t>a reduction in your base salary of 20% or more, other than a reduction that is similarly applicable to all members of the executive staff reporting to the Chief Executive Officer of the Company; or</w:t>
      </w:r>
    </w:p>
    <w:p>
      <w:pPr>
        <w:spacing w:after="0" w:line="103" w:lineRule="exact"/>
        <w:rPr>
          <w:rFonts w:ascii="Arial" w:cs="Arial" w:eastAsia="Arial" w:hAnsi="Arial"/>
          <w:sz w:val="12"/>
          <w:szCs w:val="12"/>
          <w:color w:val="auto"/>
        </w:rPr>
      </w:pPr>
    </w:p>
    <w:p>
      <w:pPr>
        <w:ind w:left="700" w:hanging="196"/>
        <w:spacing w:after="0"/>
        <w:tabs>
          <w:tab w:leader="none" w:pos="700" w:val="left"/>
        </w:tabs>
        <w:numPr>
          <w:ilvl w:val="0"/>
          <w:numId w:val="45"/>
        </w:numPr>
        <w:rPr>
          <w:rFonts w:ascii="Arial" w:cs="Arial" w:eastAsia="Arial" w:hAnsi="Arial"/>
          <w:sz w:val="12"/>
          <w:szCs w:val="12"/>
          <w:color w:val="auto"/>
        </w:rPr>
      </w:pPr>
      <w:r>
        <w:rPr>
          <w:rFonts w:ascii="Arial" w:cs="Arial" w:eastAsia="Arial" w:hAnsi="Arial"/>
          <w:sz w:val="12"/>
          <w:szCs w:val="12"/>
          <w:color w:val="auto"/>
        </w:rPr>
        <w:t>a material reduction in your employee benefits, other than a reduction that is similarly applicable to all members of the executive staff reporting to the Chief Executive Officer of the Company; or</w:t>
      </w:r>
    </w:p>
    <w:p>
      <w:pPr>
        <w:spacing w:after="0" w:line="103" w:lineRule="exact"/>
        <w:rPr>
          <w:rFonts w:ascii="Arial" w:cs="Arial" w:eastAsia="Arial" w:hAnsi="Arial"/>
          <w:sz w:val="12"/>
          <w:szCs w:val="12"/>
          <w:color w:val="auto"/>
        </w:rPr>
      </w:pPr>
    </w:p>
    <w:p>
      <w:pPr>
        <w:ind w:left="740" w:hanging="236"/>
        <w:spacing w:after="0"/>
        <w:tabs>
          <w:tab w:leader="none" w:pos="740" w:val="left"/>
        </w:tabs>
        <w:numPr>
          <w:ilvl w:val="0"/>
          <w:numId w:val="45"/>
        </w:numPr>
        <w:rPr>
          <w:rFonts w:ascii="Arial" w:cs="Arial" w:eastAsia="Arial" w:hAnsi="Arial"/>
          <w:sz w:val="13"/>
          <w:szCs w:val="13"/>
          <w:color w:val="auto"/>
        </w:rPr>
      </w:pPr>
      <w:r>
        <w:rPr>
          <w:rFonts w:ascii="Arial" w:cs="Arial" w:eastAsia="Arial" w:hAnsi="Arial"/>
          <w:sz w:val="13"/>
          <w:szCs w:val="13"/>
          <w:color w:val="auto"/>
        </w:rPr>
        <w:t>the relocation of the Company’s workplace at which you are offered to a location that is more than 75 miles from the Company’s workplace prior to such relocation.</w:t>
      </w:r>
    </w:p>
    <w:p>
      <w:pPr>
        <w:spacing w:after="0" w:line="92" w:lineRule="exact"/>
        <w:rPr>
          <w:sz w:val="20"/>
          <w:szCs w:val="20"/>
          <w:color w:val="auto"/>
        </w:rPr>
      </w:pPr>
    </w:p>
    <w:p>
      <w:pPr>
        <w:ind w:left="160"/>
        <w:spacing w:after="0"/>
        <w:rPr>
          <w:sz w:val="20"/>
          <w:szCs w:val="20"/>
          <w:color w:val="auto"/>
        </w:rPr>
      </w:pPr>
      <w:r>
        <w:rPr>
          <w:rFonts w:ascii="Arial" w:cs="Arial" w:eastAsia="Arial" w:hAnsi="Arial"/>
          <w:sz w:val="12"/>
          <w:szCs w:val="12"/>
          <w:color w:val="auto"/>
        </w:rPr>
        <w:t>The foregoing condition(s) shall not constitute “Good Reason” if you do not provide the Chief Executive Officer with the notice described above within 45 days after you first become aware of the condition(s).</w:t>
      </w:r>
    </w:p>
    <w:p>
      <w:pPr>
        <w:spacing w:after="0" w:line="104" w:lineRule="exact"/>
        <w:rPr>
          <w:sz w:val="20"/>
          <w:szCs w:val="20"/>
          <w:color w:val="auto"/>
        </w:rPr>
      </w:pPr>
    </w:p>
    <w:p>
      <w:pPr>
        <w:ind w:left="360" w:hanging="192"/>
        <w:spacing w:after="0"/>
        <w:tabs>
          <w:tab w:leader="none" w:pos="360" w:val="left"/>
        </w:tabs>
        <w:numPr>
          <w:ilvl w:val="0"/>
          <w:numId w:val="46"/>
        </w:numPr>
        <w:rPr>
          <w:rFonts w:ascii="Arial" w:cs="Arial" w:eastAsia="Arial" w:hAnsi="Arial"/>
          <w:sz w:val="13"/>
          <w:szCs w:val="13"/>
          <w:color w:val="auto"/>
        </w:rPr>
      </w:pPr>
      <w:r>
        <w:rPr>
          <w:rFonts w:ascii="Arial" w:cs="Arial" w:eastAsia="Arial" w:hAnsi="Arial"/>
          <w:sz w:val="13"/>
          <w:szCs w:val="13"/>
          <w:u w:val="single" w:color="auto"/>
          <w:color w:val="auto"/>
        </w:rPr>
        <w:t>Termination or Resignation For Good Reason Following a Change of Control</w:t>
      </w:r>
      <w:r>
        <w:rPr>
          <w:rFonts w:ascii="Arial" w:cs="Arial" w:eastAsia="Arial" w:hAnsi="Arial"/>
          <w:sz w:val="13"/>
          <w:szCs w:val="13"/>
          <w:color w:val="auto"/>
        </w:rPr>
        <w:t>:</w:t>
      </w:r>
    </w:p>
    <w:p>
      <w:pPr>
        <w:spacing w:after="0" w:line="92" w:lineRule="exact"/>
        <w:rPr>
          <w:sz w:val="20"/>
          <w:szCs w:val="20"/>
          <w:color w:val="auto"/>
        </w:rPr>
      </w:pPr>
    </w:p>
    <w:p>
      <w:pPr>
        <w:spacing w:after="0" w:line="265" w:lineRule="auto"/>
        <w:rPr>
          <w:sz w:val="20"/>
          <w:szCs w:val="20"/>
          <w:color w:val="auto"/>
        </w:rPr>
      </w:pPr>
      <w:r>
        <w:rPr>
          <w:rFonts w:ascii="Arial" w:cs="Arial" w:eastAsia="Arial" w:hAnsi="Arial"/>
          <w:sz w:val="13"/>
          <w:szCs w:val="13"/>
          <w:color w:val="auto"/>
        </w:rPr>
        <w:t>If, within 18 months following any Change of Control (as defined below), your employment is terminated by the Company without cause, or if you resign from your employment with the Company for Good Reason Following a Change of Control (as defined below), and you sign a general release of known and unknown claims in a form satisfactory to the Company, you shall receive the severance benefits described in Paragraph 5(c); provided that the time period set forth in subparagraph 5(c)(i), (ii), (iv), (x), and (v) shall be increased by an additional twelve (12) months. In addition, you shall receive a payment equal to the greater of (i) the average of the annual incentive bonus payments received by you, if any, for the previous three years, or (ii) your target incentive bonus for the year in which your employment terminates. Such payment will be made to you within 15 days following your execution of the general release of claims described above. The Company will also accelerate the vesting of all unvested stock options granted to you by the Company such that all of your Company stock options will be fully vested as of the date of your termination/resignation.</w:t>
      </w:r>
    </w:p>
    <w:p>
      <w:pPr>
        <w:spacing w:after="0" w:line="58" w:lineRule="exact"/>
        <w:rPr>
          <w:sz w:val="20"/>
          <w:szCs w:val="20"/>
          <w:color w:val="auto"/>
        </w:rPr>
      </w:pPr>
    </w:p>
    <w:p>
      <w:pPr>
        <w:ind w:left="300" w:hanging="132"/>
        <w:spacing w:after="0"/>
        <w:tabs>
          <w:tab w:leader="none" w:pos="300" w:val="left"/>
        </w:tabs>
        <w:numPr>
          <w:ilvl w:val="0"/>
          <w:numId w:val="47"/>
        </w:numPr>
        <w:rPr>
          <w:rFonts w:ascii="Arial" w:cs="Arial" w:eastAsia="Arial" w:hAnsi="Arial"/>
          <w:sz w:val="13"/>
          <w:szCs w:val="13"/>
          <w:color w:val="auto"/>
        </w:rPr>
      </w:pPr>
      <w:r>
        <w:rPr>
          <w:rFonts w:ascii="Arial" w:cs="Arial" w:eastAsia="Arial" w:hAnsi="Arial"/>
          <w:sz w:val="13"/>
          <w:szCs w:val="13"/>
          <w:u w:val="single" w:color="auto"/>
          <w:color w:val="auto"/>
        </w:rPr>
        <w:t>Change of Control/Good Reason</w:t>
      </w:r>
      <w:r>
        <w:rPr>
          <w:rFonts w:ascii="Arial" w:cs="Arial" w:eastAsia="Arial" w:hAnsi="Arial"/>
          <w:sz w:val="13"/>
          <w:szCs w:val="13"/>
          <w:color w:val="auto"/>
        </w:rPr>
        <w:t>.</w:t>
      </w:r>
    </w:p>
    <w:p>
      <w:pPr>
        <w:spacing w:after="0" w:line="92" w:lineRule="exact"/>
        <w:rPr>
          <w:sz w:val="20"/>
          <w:szCs w:val="20"/>
          <w:color w:val="auto"/>
        </w:rPr>
      </w:pPr>
    </w:p>
    <w:p>
      <w:pPr>
        <w:ind w:left="360" w:hanging="192"/>
        <w:spacing w:after="0"/>
        <w:tabs>
          <w:tab w:leader="none" w:pos="360" w:val="left"/>
        </w:tabs>
        <w:numPr>
          <w:ilvl w:val="0"/>
          <w:numId w:val="48"/>
        </w:numPr>
        <w:rPr>
          <w:rFonts w:ascii="Arial" w:cs="Arial" w:eastAsia="Arial" w:hAnsi="Arial"/>
          <w:sz w:val="13"/>
          <w:szCs w:val="13"/>
          <w:color w:val="auto"/>
        </w:rPr>
      </w:pPr>
      <w:r>
        <w:rPr>
          <w:rFonts w:ascii="Arial" w:cs="Arial" w:eastAsia="Arial" w:hAnsi="Arial"/>
          <w:sz w:val="13"/>
          <w:szCs w:val="13"/>
          <w:color w:val="auto"/>
        </w:rPr>
        <w:t>For purposes of this Agreement, a “Change of Control’ of the Company shall mean:</w:t>
      </w:r>
    </w:p>
    <w:p>
      <w:pPr>
        <w:spacing w:after="0" w:line="92" w:lineRule="exact"/>
        <w:rPr>
          <w:rFonts w:ascii="Arial" w:cs="Arial" w:eastAsia="Arial" w:hAnsi="Arial"/>
          <w:sz w:val="13"/>
          <w:szCs w:val="13"/>
          <w:color w:val="auto"/>
        </w:rPr>
      </w:pPr>
    </w:p>
    <w:p>
      <w:pPr>
        <w:ind w:right="200" w:firstLine="504"/>
        <w:spacing w:after="0" w:line="294" w:lineRule="auto"/>
        <w:tabs>
          <w:tab w:leader="none" w:pos="662" w:val="left"/>
        </w:tabs>
        <w:numPr>
          <w:ilvl w:val="1"/>
          <w:numId w:val="48"/>
        </w:numPr>
        <w:rPr>
          <w:rFonts w:ascii="Arial" w:cs="Arial" w:eastAsia="Arial" w:hAnsi="Arial"/>
          <w:sz w:val="13"/>
          <w:szCs w:val="13"/>
          <w:color w:val="auto"/>
        </w:rPr>
      </w:pPr>
      <w:r>
        <w:rPr>
          <w:rFonts w:ascii="Arial" w:cs="Arial" w:eastAsia="Arial" w:hAnsi="Arial"/>
          <w:sz w:val="13"/>
          <w:szCs w:val="13"/>
          <w:color w:val="auto"/>
        </w:rPr>
        <w:t>The direct or indirect acquisition by any person or related group of persons (other than an acquisition from or by the Company or by a Company-sponsored employee benefit plan or by a person that directly or indirectly controls, is controlled by, or is under common control with the Company) of beneficial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269875</wp:posOffset>
            </wp:positionV>
            <wp:extent cx="7287895" cy="190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1460"/>
          </w:cols>
          <w:pgMar w:left="220" w:top="733" w:right="219" w:bottom="1440" w:gutter="0" w:footer="0" w:header="0"/>
        </w:sectPr>
      </w:pPr>
    </w:p>
    <w:bookmarkStart w:id="129" w:name="page130"/>
    <w:bookmarkEnd w:id="129"/>
    <w:p>
      <w:pPr>
        <w:spacing w:after="0"/>
        <w:rPr>
          <w:sz w:val="20"/>
          <w:szCs w:val="20"/>
          <w:color w:val="auto"/>
        </w:rPr>
      </w:pPr>
      <w:r>
        <w:rPr>
          <w:rFonts w:ascii="Arial" w:cs="Arial" w:eastAsia="Arial" w:hAnsi="Arial"/>
          <w:sz w:val="13"/>
          <w:szCs w:val="13"/>
          <w:color w:val="auto"/>
        </w:rPr>
        <w:t>McFall Employment Agreement</w:t>
      </w:r>
    </w:p>
    <w:p>
      <w:pPr>
        <w:spacing w:after="0" w:line="92" w:lineRule="exact"/>
        <w:rPr>
          <w:sz w:val="20"/>
          <w:szCs w:val="20"/>
          <w:color w:val="auto"/>
        </w:rPr>
      </w:pPr>
    </w:p>
    <w:p>
      <w:pPr>
        <w:ind w:right="80"/>
        <w:spacing w:after="0" w:line="338" w:lineRule="auto"/>
        <w:rPr>
          <w:sz w:val="20"/>
          <w:szCs w:val="20"/>
          <w:color w:val="auto"/>
        </w:rPr>
      </w:pPr>
      <w:r>
        <w:rPr>
          <w:rFonts w:ascii="Arial" w:cs="Arial" w:eastAsia="Arial" w:hAnsi="Arial"/>
          <w:sz w:val="12"/>
          <w:szCs w:val="12"/>
          <w:color w:val="auto"/>
        </w:rPr>
        <w:t>(within the meaning of Rule 13d-3 of the Exchange Act) of securities possessing more than fifty percent (50%) of the total combined voting power of the Company’s outstanding securities pursuant to a tender or exchange offer made directly to the Company’s stockholders which a majority of the Continuing Directors who are not Affiliates or Associates of the offeror do not recommend such stockholders accept;</w:t>
      </w:r>
    </w:p>
    <w:p>
      <w:pPr>
        <w:spacing w:after="0" w:line="14" w:lineRule="exact"/>
        <w:rPr>
          <w:sz w:val="20"/>
          <w:szCs w:val="20"/>
          <w:color w:val="auto"/>
        </w:rPr>
      </w:pPr>
    </w:p>
    <w:p>
      <w:pPr>
        <w:ind w:right="60" w:firstLine="504"/>
        <w:spacing w:after="0" w:line="294" w:lineRule="auto"/>
        <w:tabs>
          <w:tab w:leader="none" w:pos="701" w:val="left"/>
        </w:tabs>
        <w:numPr>
          <w:ilvl w:val="0"/>
          <w:numId w:val="49"/>
        </w:numPr>
        <w:rPr>
          <w:rFonts w:ascii="Arial" w:cs="Arial" w:eastAsia="Arial" w:hAnsi="Arial"/>
          <w:sz w:val="13"/>
          <w:szCs w:val="13"/>
          <w:color w:val="auto"/>
        </w:rPr>
      </w:pPr>
      <w:r>
        <w:rPr>
          <w:rFonts w:ascii="Arial" w:cs="Arial" w:eastAsia="Arial" w:hAnsi="Arial"/>
          <w:sz w:val="13"/>
          <w:szCs w:val="13"/>
          <w:color w:val="auto"/>
        </w:rPr>
        <w:t>a change in the composition of the Board over a period of thirty-six (36) months or less such that a majority of the Board members (rounded up to the next whole number) ceases, by reason of one or more contested elections for Board membership, to be comprised of individuals who are Continuing Directors;</w:t>
      </w:r>
    </w:p>
    <w:p>
      <w:pPr>
        <w:spacing w:after="0" w:line="36" w:lineRule="exact"/>
        <w:rPr>
          <w:rFonts w:ascii="Arial" w:cs="Arial" w:eastAsia="Arial" w:hAnsi="Arial"/>
          <w:sz w:val="13"/>
          <w:szCs w:val="13"/>
          <w:color w:val="auto"/>
        </w:rPr>
      </w:pPr>
    </w:p>
    <w:p>
      <w:pPr>
        <w:ind w:left="740" w:hanging="236"/>
        <w:spacing w:after="0"/>
        <w:tabs>
          <w:tab w:leader="none" w:pos="740" w:val="left"/>
        </w:tabs>
        <w:numPr>
          <w:ilvl w:val="0"/>
          <w:numId w:val="49"/>
        </w:numPr>
        <w:rPr>
          <w:rFonts w:ascii="Arial" w:cs="Arial" w:eastAsia="Arial" w:hAnsi="Arial"/>
          <w:sz w:val="12"/>
          <w:szCs w:val="12"/>
          <w:color w:val="auto"/>
        </w:rPr>
      </w:pPr>
      <w:r>
        <w:rPr>
          <w:rFonts w:ascii="Arial" w:cs="Arial" w:eastAsia="Arial" w:hAnsi="Arial"/>
          <w:sz w:val="12"/>
          <w:szCs w:val="12"/>
          <w:color w:val="auto"/>
        </w:rPr>
        <w:t>a merger or consolidation in which the Company is not the surviving entity, except for a transaction the principal purpose of which is to change the state in which the Company is incorporated;</w:t>
      </w:r>
    </w:p>
    <w:p>
      <w:pPr>
        <w:spacing w:after="0" w:line="103" w:lineRule="exact"/>
        <w:rPr>
          <w:rFonts w:ascii="Arial" w:cs="Arial" w:eastAsia="Arial" w:hAnsi="Arial"/>
          <w:sz w:val="12"/>
          <w:szCs w:val="12"/>
          <w:color w:val="auto"/>
        </w:rPr>
      </w:pPr>
    </w:p>
    <w:p>
      <w:pPr>
        <w:ind w:left="740" w:hanging="236"/>
        <w:spacing w:after="0"/>
        <w:tabs>
          <w:tab w:leader="none" w:pos="740" w:val="left"/>
        </w:tabs>
        <w:numPr>
          <w:ilvl w:val="0"/>
          <w:numId w:val="49"/>
        </w:numPr>
        <w:rPr>
          <w:rFonts w:ascii="Arial" w:cs="Arial" w:eastAsia="Arial" w:hAnsi="Arial"/>
          <w:sz w:val="13"/>
          <w:szCs w:val="13"/>
          <w:color w:val="auto"/>
        </w:rPr>
      </w:pPr>
      <w:r>
        <w:rPr>
          <w:rFonts w:ascii="Arial" w:cs="Arial" w:eastAsia="Arial" w:hAnsi="Arial"/>
          <w:sz w:val="13"/>
          <w:szCs w:val="13"/>
          <w:color w:val="auto"/>
        </w:rPr>
        <w:t>the sale, transfer or other disposition of all or substantially all of the assets of the Company (including the capital stock of the Company’s subsidiary corporations);</w:t>
      </w:r>
    </w:p>
    <w:p>
      <w:pPr>
        <w:spacing w:after="0" w:line="92" w:lineRule="exact"/>
        <w:rPr>
          <w:rFonts w:ascii="Arial" w:cs="Arial" w:eastAsia="Arial" w:hAnsi="Arial"/>
          <w:sz w:val="13"/>
          <w:szCs w:val="13"/>
          <w:color w:val="auto"/>
        </w:rPr>
      </w:pPr>
    </w:p>
    <w:p>
      <w:pPr>
        <w:ind w:left="700" w:hanging="196"/>
        <w:spacing w:after="0"/>
        <w:tabs>
          <w:tab w:leader="none" w:pos="700" w:val="left"/>
        </w:tabs>
        <w:numPr>
          <w:ilvl w:val="0"/>
          <w:numId w:val="49"/>
        </w:numPr>
        <w:rPr>
          <w:rFonts w:ascii="Arial" w:cs="Arial" w:eastAsia="Arial" w:hAnsi="Arial"/>
          <w:sz w:val="13"/>
          <w:szCs w:val="13"/>
          <w:color w:val="auto"/>
        </w:rPr>
      </w:pPr>
      <w:r>
        <w:rPr>
          <w:rFonts w:ascii="Arial" w:cs="Arial" w:eastAsia="Arial" w:hAnsi="Arial"/>
          <w:sz w:val="13"/>
          <w:szCs w:val="13"/>
          <w:color w:val="auto"/>
        </w:rPr>
        <w:t>the complete liquidation or dissolution of the Company;</w:t>
      </w:r>
    </w:p>
    <w:p>
      <w:pPr>
        <w:spacing w:after="0" w:line="92" w:lineRule="exact"/>
        <w:rPr>
          <w:rFonts w:ascii="Arial" w:cs="Arial" w:eastAsia="Arial" w:hAnsi="Arial"/>
          <w:sz w:val="13"/>
          <w:szCs w:val="13"/>
          <w:color w:val="auto"/>
        </w:rPr>
      </w:pPr>
    </w:p>
    <w:p>
      <w:pPr>
        <w:ind w:firstLine="504"/>
        <w:spacing w:after="0" w:line="294" w:lineRule="auto"/>
        <w:tabs>
          <w:tab w:leader="none" w:pos="731" w:val="left"/>
        </w:tabs>
        <w:numPr>
          <w:ilvl w:val="0"/>
          <w:numId w:val="49"/>
        </w:numPr>
        <w:rPr>
          <w:rFonts w:ascii="Arial" w:cs="Arial" w:eastAsia="Arial" w:hAnsi="Arial"/>
          <w:sz w:val="13"/>
          <w:szCs w:val="13"/>
          <w:color w:val="auto"/>
        </w:rPr>
      </w:pPr>
      <w:r>
        <w:rPr>
          <w:rFonts w:ascii="Arial" w:cs="Arial" w:eastAsia="Arial" w:hAnsi="Arial"/>
          <w:sz w:val="13"/>
          <w:szCs w:val="13"/>
          <w:color w:val="auto"/>
        </w:rPr>
        <w:t>any reverse merger in which the Company is the surviving entity but in which securities possessing more than [forty percent (40%)] of the total combined voting power of the Company’s outstanding securities are transferred to a person or persons different from those who held such securities immediately prior to such merger; or</w:t>
      </w:r>
    </w:p>
    <w:p>
      <w:pPr>
        <w:spacing w:after="0" w:line="36" w:lineRule="exact"/>
        <w:rPr>
          <w:rFonts w:ascii="Arial" w:cs="Arial" w:eastAsia="Arial" w:hAnsi="Arial"/>
          <w:sz w:val="13"/>
          <w:szCs w:val="13"/>
          <w:color w:val="auto"/>
        </w:rPr>
      </w:pPr>
    </w:p>
    <w:p>
      <w:pPr>
        <w:jc w:val="both"/>
        <w:ind w:right="380" w:firstLine="504"/>
        <w:spacing w:after="0" w:line="309" w:lineRule="auto"/>
        <w:tabs>
          <w:tab w:leader="none" w:pos="768" w:val="left"/>
        </w:tabs>
        <w:numPr>
          <w:ilvl w:val="0"/>
          <w:numId w:val="49"/>
        </w:numPr>
        <w:rPr>
          <w:rFonts w:ascii="Arial" w:cs="Arial" w:eastAsia="Arial" w:hAnsi="Arial"/>
          <w:sz w:val="12"/>
          <w:szCs w:val="12"/>
          <w:color w:val="auto"/>
        </w:rPr>
      </w:pPr>
      <w:r>
        <w:rPr>
          <w:rFonts w:ascii="Arial" w:cs="Arial" w:eastAsia="Arial" w:hAnsi="Arial"/>
          <w:sz w:val="12"/>
          <w:szCs w:val="12"/>
          <w:color w:val="auto"/>
        </w:rPr>
        <w:t>the acquisition in a single or series of related transactions by any person or related group of persons (other than the Company or by a Company-sponsored employee benefit plan) of beneficial ownership (within the meaning of Rule 13d-3 of the Exchange Act) of securities possessing more than [forty percent (40%)] of the total combined voting power of the Company’s outstanding securities but excluding any such transaction or series of related transactions that the Administrator of the Company Stock Option Plan determines shall not be a Corporate Transaction.</w:t>
      </w:r>
    </w:p>
    <w:p>
      <w:pPr>
        <w:spacing w:after="0" w:line="31" w:lineRule="exact"/>
        <w:rPr>
          <w:sz w:val="20"/>
          <w:szCs w:val="20"/>
          <w:color w:val="auto"/>
        </w:rPr>
      </w:pPr>
    </w:p>
    <w:p>
      <w:pPr>
        <w:spacing w:after="0"/>
        <w:rPr>
          <w:sz w:val="20"/>
          <w:szCs w:val="20"/>
          <w:color w:val="auto"/>
        </w:rPr>
      </w:pPr>
      <w:r>
        <w:rPr>
          <w:rFonts w:ascii="Arial" w:cs="Arial" w:eastAsia="Arial" w:hAnsi="Arial"/>
          <w:sz w:val="12"/>
          <w:szCs w:val="12"/>
          <w:color w:val="auto"/>
        </w:rPr>
        <w:t>For the purposes of this Agreement, the terms “Continuing Directors,” “Corporate Transaction”, “Affiliate” and “Associate” shall have the meanings ascribed to such terms in the Company’s Stock Option Plan.</w:t>
      </w:r>
    </w:p>
    <w:p>
      <w:pPr>
        <w:spacing w:after="0" w:line="104" w:lineRule="exact"/>
        <w:rPr>
          <w:sz w:val="20"/>
          <w:szCs w:val="20"/>
          <w:color w:val="auto"/>
        </w:rPr>
      </w:pPr>
    </w:p>
    <w:p>
      <w:pPr>
        <w:ind w:right="120" w:firstLine="336"/>
        <w:spacing w:after="0" w:line="294" w:lineRule="auto"/>
        <w:tabs>
          <w:tab w:leader="none" w:pos="526" w:val="left"/>
        </w:tabs>
        <w:numPr>
          <w:ilvl w:val="0"/>
          <w:numId w:val="50"/>
        </w:numPr>
        <w:rPr>
          <w:rFonts w:ascii="Arial" w:cs="Arial" w:eastAsia="Arial" w:hAnsi="Arial"/>
          <w:sz w:val="13"/>
          <w:szCs w:val="13"/>
          <w:color w:val="auto"/>
        </w:rPr>
      </w:pPr>
      <w:r>
        <w:rPr>
          <w:rFonts w:ascii="Arial" w:cs="Arial" w:eastAsia="Arial" w:hAnsi="Arial"/>
          <w:sz w:val="13"/>
          <w:szCs w:val="13"/>
          <w:color w:val="auto"/>
        </w:rPr>
        <w:t>For purposes of this Agreement, “Good Reason Following a Change of Control” means any of the following conditions, which condition(s) remain in effect 60 days after written notice from you to the Company’s Chief Executive Officer of said condition(s):</w:t>
      </w:r>
    </w:p>
    <w:p>
      <w:pPr>
        <w:spacing w:after="0" w:line="36" w:lineRule="exact"/>
        <w:rPr>
          <w:rFonts w:ascii="Arial" w:cs="Arial" w:eastAsia="Arial" w:hAnsi="Arial"/>
          <w:sz w:val="13"/>
          <w:szCs w:val="13"/>
          <w:color w:val="auto"/>
        </w:rPr>
      </w:pPr>
    </w:p>
    <w:p>
      <w:pPr>
        <w:ind w:left="660" w:hanging="156"/>
        <w:spacing w:after="0"/>
        <w:tabs>
          <w:tab w:leader="none" w:pos="660" w:val="left"/>
        </w:tabs>
        <w:numPr>
          <w:ilvl w:val="1"/>
          <w:numId w:val="50"/>
        </w:numPr>
        <w:rPr>
          <w:rFonts w:ascii="Arial" w:cs="Arial" w:eastAsia="Arial" w:hAnsi="Arial"/>
          <w:sz w:val="12"/>
          <w:szCs w:val="12"/>
          <w:color w:val="auto"/>
        </w:rPr>
      </w:pPr>
      <w:r>
        <w:rPr>
          <w:rFonts w:ascii="Arial" w:cs="Arial" w:eastAsia="Arial" w:hAnsi="Arial"/>
          <w:sz w:val="12"/>
          <w:szCs w:val="12"/>
          <w:color w:val="auto"/>
        </w:rPr>
        <w:t>a material and adverse change in your position, duties or responsibilities for the Company, as measured against your position, duties or responsibilities immediately prior to the Change of Control;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313055</wp:posOffset>
            </wp:positionV>
            <wp:extent cx="7287895" cy="190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1400"/>
          </w:cols>
          <w:pgMar w:left="220" w:top="733" w:right="279" w:bottom="1440" w:gutter="0" w:footer="0" w:header="0"/>
        </w:sectPr>
      </w:pPr>
    </w:p>
    <w:bookmarkStart w:id="130" w:name="page131"/>
    <w:bookmarkEnd w:id="130"/>
    <w:p>
      <w:pPr>
        <w:spacing w:after="0"/>
        <w:rPr>
          <w:sz w:val="20"/>
          <w:szCs w:val="20"/>
          <w:color w:val="auto"/>
        </w:rPr>
      </w:pPr>
      <w:r>
        <w:rPr>
          <w:rFonts w:ascii="Arial" w:cs="Arial" w:eastAsia="Arial" w:hAnsi="Arial"/>
          <w:sz w:val="13"/>
          <w:szCs w:val="13"/>
          <w:color w:val="auto"/>
        </w:rPr>
        <w:t>McFall Employment Agreement</w:t>
      </w:r>
    </w:p>
    <w:p>
      <w:pPr>
        <w:spacing w:after="0" w:line="92" w:lineRule="exact"/>
        <w:rPr>
          <w:sz w:val="20"/>
          <w:szCs w:val="20"/>
          <w:color w:val="auto"/>
        </w:rPr>
      </w:pPr>
    </w:p>
    <w:p>
      <w:pPr>
        <w:ind w:left="700" w:hanging="196"/>
        <w:spacing w:after="0"/>
        <w:tabs>
          <w:tab w:leader="none" w:pos="700" w:val="left"/>
        </w:tabs>
        <w:numPr>
          <w:ilvl w:val="0"/>
          <w:numId w:val="51"/>
        </w:numPr>
        <w:rPr>
          <w:rFonts w:ascii="Arial" w:cs="Arial" w:eastAsia="Arial" w:hAnsi="Arial"/>
          <w:sz w:val="13"/>
          <w:szCs w:val="13"/>
          <w:color w:val="auto"/>
        </w:rPr>
      </w:pPr>
      <w:r>
        <w:rPr>
          <w:rFonts w:ascii="Arial" w:cs="Arial" w:eastAsia="Arial" w:hAnsi="Arial"/>
          <w:sz w:val="13"/>
          <w:szCs w:val="13"/>
          <w:color w:val="auto"/>
        </w:rPr>
        <w:t>a reduction in your base salary as measured against your base salary immediately prior to the Change in Control; or</w:t>
      </w:r>
    </w:p>
    <w:p>
      <w:pPr>
        <w:spacing w:after="0" w:line="92" w:lineRule="exact"/>
        <w:rPr>
          <w:rFonts w:ascii="Arial" w:cs="Arial" w:eastAsia="Arial" w:hAnsi="Arial"/>
          <w:sz w:val="13"/>
          <w:szCs w:val="13"/>
          <w:color w:val="auto"/>
        </w:rPr>
      </w:pPr>
    </w:p>
    <w:p>
      <w:pPr>
        <w:ind w:left="740" w:hanging="236"/>
        <w:spacing w:after="0"/>
        <w:tabs>
          <w:tab w:leader="none" w:pos="740" w:val="left"/>
        </w:tabs>
        <w:numPr>
          <w:ilvl w:val="0"/>
          <w:numId w:val="51"/>
        </w:numPr>
        <w:rPr>
          <w:rFonts w:ascii="Arial" w:cs="Arial" w:eastAsia="Arial" w:hAnsi="Arial"/>
          <w:sz w:val="12"/>
          <w:szCs w:val="12"/>
          <w:color w:val="auto"/>
        </w:rPr>
      </w:pPr>
      <w:r>
        <w:rPr>
          <w:rFonts w:ascii="Arial" w:cs="Arial" w:eastAsia="Arial" w:hAnsi="Arial"/>
          <w:sz w:val="12"/>
          <w:szCs w:val="12"/>
          <w:color w:val="auto"/>
        </w:rPr>
        <w:t>a material reduction in your employee benefits, other than a reduction that is similarly applicable to all members of the executive staff reporting to the Chief Executive Officer of the Company; or</w:t>
      </w:r>
    </w:p>
    <w:p>
      <w:pPr>
        <w:spacing w:after="0" w:line="103" w:lineRule="exact"/>
        <w:rPr>
          <w:rFonts w:ascii="Arial" w:cs="Arial" w:eastAsia="Arial" w:hAnsi="Arial"/>
          <w:sz w:val="12"/>
          <w:szCs w:val="12"/>
          <w:color w:val="auto"/>
        </w:rPr>
      </w:pPr>
    </w:p>
    <w:p>
      <w:pPr>
        <w:ind w:left="740" w:hanging="236"/>
        <w:spacing w:after="0"/>
        <w:tabs>
          <w:tab w:leader="none" w:pos="740" w:val="left"/>
        </w:tabs>
        <w:numPr>
          <w:ilvl w:val="0"/>
          <w:numId w:val="51"/>
        </w:numPr>
        <w:rPr>
          <w:rFonts w:ascii="Arial" w:cs="Arial" w:eastAsia="Arial" w:hAnsi="Arial"/>
          <w:sz w:val="13"/>
          <w:szCs w:val="13"/>
          <w:color w:val="auto"/>
        </w:rPr>
      </w:pPr>
      <w:r>
        <w:rPr>
          <w:rFonts w:ascii="Arial" w:cs="Arial" w:eastAsia="Arial" w:hAnsi="Arial"/>
          <w:sz w:val="13"/>
          <w:szCs w:val="13"/>
          <w:color w:val="auto"/>
        </w:rPr>
        <w:t>the relocation of the Company’s workplace at which you are officed to a location that is more than 75 miles from the Company’s workplace prior to such relocation for the Company.</w:t>
      </w:r>
    </w:p>
    <w:p>
      <w:pPr>
        <w:spacing w:after="0" w:line="92" w:lineRule="exact"/>
        <w:rPr>
          <w:sz w:val="20"/>
          <w:szCs w:val="20"/>
          <w:color w:val="auto"/>
        </w:rPr>
      </w:pPr>
    </w:p>
    <w:p>
      <w:pPr>
        <w:ind w:right="280"/>
        <w:spacing w:after="0" w:line="294" w:lineRule="auto"/>
        <w:rPr>
          <w:sz w:val="20"/>
          <w:szCs w:val="20"/>
          <w:color w:val="auto"/>
        </w:rPr>
      </w:pPr>
      <w:r>
        <w:rPr>
          <w:rFonts w:ascii="Arial" w:cs="Arial" w:eastAsia="Arial" w:hAnsi="Arial"/>
          <w:sz w:val="13"/>
          <w:szCs w:val="13"/>
          <w:color w:val="auto"/>
        </w:rPr>
        <w:t>The foregoing condition(s) shall not constitute “Good Reason Following a Change of Control” if you do not provide the Chief Executive Officer with the notice described above within 45 days after you first become aware of the condition(s).</w:t>
      </w:r>
    </w:p>
    <w:p>
      <w:pPr>
        <w:spacing w:after="0" w:line="37" w:lineRule="exact"/>
        <w:rPr>
          <w:sz w:val="20"/>
          <w:szCs w:val="20"/>
          <w:color w:val="auto"/>
        </w:rPr>
      </w:pPr>
    </w:p>
    <w:p>
      <w:pPr>
        <w:ind w:right="60" w:firstLine="168"/>
        <w:spacing w:after="0" w:line="294" w:lineRule="auto"/>
        <w:tabs>
          <w:tab w:leader="none" w:pos="302" w:val="left"/>
        </w:tabs>
        <w:numPr>
          <w:ilvl w:val="0"/>
          <w:numId w:val="52"/>
        </w:numPr>
        <w:rPr>
          <w:rFonts w:ascii="Arial" w:cs="Arial" w:eastAsia="Arial" w:hAnsi="Arial"/>
          <w:sz w:val="13"/>
          <w:szCs w:val="13"/>
          <w:color w:val="auto"/>
        </w:rPr>
      </w:pPr>
      <w:r>
        <w:rPr>
          <w:rFonts w:ascii="Arial" w:cs="Arial" w:eastAsia="Arial" w:hAnsi="Arial"/>
          <w:sz w:val="13"/>
          <w:szCs w:val="13"/>
          <w:u w:val="single" w:color="auto"/>
          <w:color w:val="auto"/>
        </w:rPr>
        <w:t>Confidential and Emprietaor Information</w:t>
      </w:r>
      <w:r>
        <w:rPr>
          <w:rFonts w:ascii="Arial" w:cs="Arial" w:eastAsia="Arial" w:hAnsi="Arial"/>
          <w:sz w:val="13"/>
          <w:szCs w:val="13"/>
          <w:color w:val="auto"/>
        </w:rPr>
        <w:t>: As a condition of your continued employment, and to the extent that you have not done so already, you agree to sign and abide by the Company’s standard form of employee proprietary information/confidentiality/assignment of inventions agreement.</w:t>
      </w:r>
    </w:p>
    <w:p>
      <w:pPr>
        <w:spacing w:after="0" w:line="36" w:lineRule="exact"/>
        <w:rPr>
          <w:rFonts w:ascii="Arial" w:cs="Arial" w:eastAsia="Arial" w:hAnsi="Arial"/>
          <w:sz w:val="13"/>
          <w:szCs w:val="13"/>
          <w:color w:val="auto"/>
        </w:rPr>
      </w:pPr>
    </w:p>
    <w:p>
      <w:pPr>
        <w:ind w:left="300" w:hanging="132"/>
        <w:spacing w:after="0"/>
        <w:tabs>
          <w:tab w:leader="none" w:pos="300" w:val="left"/>
        </w:tabs>
        <w:numPr>
          <w:ilvl w:val="0"/>
          <w:numId w:val="52"/>
        </w:numPr>
        <w:rPr>
          <w:rFonts w:ascii="Arial" w:cs="Arial" w:eastAsia="Arial" w:hAnsi="Arial"/>
          <w:sz w:val="13"/>
          <w:szCs w:val="13"/>
          <w:color w:val="auto"/>
        </w:rPr>
      </w:pPr>
      <w:r>
        <w:rPr>
          <w:rFonts w:ascii="Arial" w:cs="Arial" w:eastAsia="Arial" w:hAnsi="Arial"/>
          <w:sz w:val="13"/>
          <w:szCs w:val="13"/>
          <w:u w:val="single" w:color="auto"/>
          <w:color w:val="auto"/>
        </w:rPr>
        <w:t>Termination Obligations</w:t>
      </w:r>
      <w:r>
        <w:rPr>
          <w:rFonts w:ascii="Arial" w:cs="Arial" w:eastAsia="Arial" w:hAnsi="Arial"/>
          <w:sz w:val="13"/>
          <w:szCs w:val="13"/>
          <w:color w:val="auto"/>
        </w:rPr>
        <w:t>.</w:t>
      </w:r>
    </w:p>
    <w:p>
      <w:pPr>
        <w:spacing w:after="0" w:line="92" w:lineRule="exact"/>
        <w:rPr>
          <w:rFonts w:ascii="Arial" w:cs="Arial" w:eastAsia="Arial" w:hAnsi="Arial"/>
          <w:sz w:val="13"/>
          <w:szCs w:val="13"/>
          <w:color w:val="auto"/>
        </w:rPr>
      </w:pPr>
    </w:p>
    <w:p>
      <w:pPr>
        <w:ind w:firstLine="336"/>
        <w:spacing w:after="0" w:line="276" w:lineRule="auto"/>
        <w:tabs>
          <w:tab w:leader="none" w:pos="513" w:val="left"/>
        </w:tabs>
        <w:numPr>
          <w:ilvl w:val="1"/>
          <w:numId w:val="52"/>
        </w:numPr>
        <w:rPr>
          <w:rFonts w:ascii="Arial" w:cs="Arial" w:eastAsia="Arial" w:hAnsi="Arial"/>
          <w:sz w:val="13"/>
          <w:szCs w:val="13"/>
          <w:color w:val="auto"/>
        </w:rPr>
      </w:pPr>
      <w:r>
        <w:rPr>
          <w:rFonts w:ascii="Arial" w:cs="Arial" w:eastAsia="Arial" w:hAnsi="Arial"/>
          <w:sz w:val="13"/>
          <w:szCs w:val="13"/>
          <w:color w:val="auto"/>
        </w:rPr>
        <w:t>You agree that all property, including, without limitation, all equipment, proprietary information, documents, books, records, reports, notes, contracts, lists, computer disks (and other computer-generated files and data), and copies thereof, created on any medium and furnished to, obtained by, or prepared by you in the course of or incident to your employment, belongs to the Company and shall be returned to the Company promptly upon any termination of your employment.</w:t>
      </w:r>
    </w:p>
    <w:p>
      <w:pPr>
        <w:spacing w:after="0" w:line="48" w:lineRule="exact"/>
        <w:rPr>
          <w:rFonts w:ascii="Arial" w:cs="Arial" w:eastAsia="Arial" w:hAnsi="Arial"/>
          <w:sz w:val="13"/>
          <w:szCs w:val="13"/>
          <w:color w:val="auto"/>
        </w:rPr>
      </w:pPr>
    </w:p>
    <w:p>
      <w:pPr>
        <w:ind w:right="220" w:firstLine="336"/>
        <w:spacing w:after="0" w:line="294" w:lineRule="auto"/>
        <w:tabs>
          <w:tab w:leader="none" w:pos="526" w:val="left"/>
        </w:tabs>
        <w:numPr>
          <w:ilvl w:val="1"/>
          <w:numId w:val="52"/>
        </w:numPr>
        <w:rPr>
          <w:rFonts w:ascii="Arial" w:cs="Arial" w:eastAsia="Arial" w:hAnsi="Arial"/>
          <w:sz w:val="13"/>
          <w:szCs w:val="13"/>
          <w:color w:val="auto"/>
        </w:rPr>
      </w:pPr>
      <w:r>
        <w:rPr>
          <w:rFonts w:ascii="Arial" w:cs="Arial" w:eastAsia="Arial" w:hAnsi="Arial"/>
          <w:sz w:val="13"/>
          <w:szCs w:val="13"/>
          <w:color w:val="auto"/>
        </w:rPr>
        <w:t>Upon your termination for any reason, and as a condition of your receipt of any severance benefits hereunder, you will promptly resign in writing from all offices and directorships then held with the Company or any affiliate of the Company.</w:t>
      </w:r>
    </w:p>
    <w:p>
      <w:pPr>
        <w:spacing w:after="0" w:line="36" w:lineRule="exact"/>
        <w:rPr>
          <w:rFonts w:ascii="Arial" w:cs="Arial" w:eastAsia="Arial" w:hAnsi="Arial"/>
          <w:sz w:val="13"/>
          <w:szCs w:val="13"/>
          <w:color w:val="auto"/>
        </w:rPr>
      </w:pPr>
    </w:p>
    <w:p>
      <w:pPr>
        <w:ind w:right="120" w:firstLine="336"/>
        <w:spacing w:after="0" w:line="294" w:lineRule="auto"/>
        <w:tabs>
          <w:tab w:leader="none" w:pos="518" w:val="left"/>
        </w:tabs>
        <w:numPr>
          <w:ilvl w:val="1"/>
          <w:numId w:val="52"/>
        </w:numPr>
        <w:rPr>
          <w:rFonts w:ascii="Arial" w:cs="Arial" w:eastAsia="Arial" w:hAnsi="Arial"/>
          <w:sz w:val="13"/>
          <w:szCs w:val="13"/>
          <w:color w:val="auto"/>
        </w:rPr>
      </w:pPr>
      <w:r>
        <w:rPr>
          <w:rFonts w:ascii="Arial" w:cs="Arial" w:eastAsia="Arial" w:hAnsi="Arial"/>
          <w:sz w:val="13"/>
          <w:szCs w:val="13"/>
          <w:color w:val="auto"/>
        </w:rPr>
        <w:t>Following the termination of your employment with the Company for any reason, you shall fully cooperate with the Company in all matters relating to the winding up of pending work on behalf of the Company and the orderly transfer of work to other employees of the Company. You shall also cooperate in the defense of any action brought by any third party against the Company.</w:t>
      </w:r>
    </w:p>
    <w:p>
      <w:pPr>
        <w:spacing w:after="0" w:line="36" w:lineRule="exact"/>
        <w:rPr>
          <w:rFonts w:ascii="Arial" w:cs="Arial" w:eastAsia="Arial" w:hAnsi="Arial"/>
          <w:sz w:val="13"/>
          <w:szCs w:val="13"/>
          <w:color w:val="auto"/>
        </w:rPr>
      </w:pPr>
    </w:p>
    <w:p>
      <w:pPr>
        <w:ind w:left="300" w:hanging="132"/>
        <w:spacing w:after="0"/>
        <w:tabs>
          <w:tab w:leader="none" w:pos="300" w:val="left"/>
        </w:tabs>
        <w:numPr>
          <w:ilvl w:val="0"/>
          <w:numId w:val="52"/>
        </w:numPr>
        <w:rPr>
          <w:rFonts w:ascii="Arial" w:cs="Arial" w:eastAsia="Arial" w:hAnsi="Arial"/>
          <w:sz w:val="13"/>
          <w:szCs w:val="13"/>
          <w:color w:val="auto"/>
        </w:rPr>
      </w:pPr>
      <w:r>
        <w:rPr>
          <w:rFonts w:ascii="Arial" w:cs="Arial" w:eastAsia="Arial" w:hAnsi="Arial"/>
          <w:sz w:val="13"/>
          <w:szCs w:val="13"/>
          <w:u w:val="single" w:color="auto"/>
          <w:color w:val="auto"/>
        </w:rPr>
        <w:t>Limitation of Payments and Benefits</w:t>
      </w:r>
      <w:r>
        <w:rPr>
          <w:rFonts w:ascii="Arial" w:cs="Arial" w:eastAsia="Arial" w:hAnsi="Arial"/>
          <w:sz w:val="13"/>
          <w:szCs w:val="13"/>
          <w:color w:val="auto"/>
        </w:rPr>
        <w:t>.</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2"/>
          <w:szCs w:val="12"/>
          <w:color w:val="auto"/>
        </w:rPr>
        <w:t>To the extent that any of the payments and benefits provided for in this Agreement or otherwise payable to you (the “Payments”) constitute “parachute payments” within the meaning of Section 280G of the</w:t>
      </w:r>
    </w:p>
    <w:p>
      <w:pPr>
        <w:spacing w:after="0" w:line="34" w:lineRule="exact"/>
        <w:rPr>
          <w:sz w:val="20"/>
          <w:szCs w:val="20"/>
          <w:color w:val="auto"/>
        </w:rPr>
      </w:pPr>
    </w:p>
    <w:p>
      <w:pPr>
        <w:spacing w:after="0"/>
        <w:rPr>
          <w:sz w:val="20"/>
          <w:szCs w:val="20"/>
          <w:color w:val="auto"/>
        </w:rPr>
      </w:pPr>
      <w:r>
        <w:rPr>
          <w:rFonts w:ascii="Arial" w:cs="Arial" w:eastAsia="Arial" w:hAnsi="Arial"/>
          <w:sz w:val="13"/>
          <w:szCs w:val="13"/>
          <w:color w:val="auto"/>
        </w:rPr>
        <w:t>Internal Revenue Code of 1986, as amended (the “Code”), the amount of such Payments shall be either: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299085</wp:posOffset>
            </wp:positionV>
            <wp:extent cx="7287895" cy="190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1380"/>
          </w:cols>
          <w:pgMar w:left="220" w:top="733" w:right="299" w:bottom="1440" w:gutter="0" w:footer="0" w:header="0"/>
        </w:sectPr>
      </w:pPr>
    </w:p>
    <w:bookmarkStart w:id="131" w:name="page132"/>
    <w:bookmarkEnd w:id="131"/>
    <w:p>
      <w:pPr>
        <w:spacing w:after="0"/>
        <w:rPr>
          <w:sz w:val="20"/>
          <w:szCs w:val="20"/>
          <w:color w:val="auto"/>
        </w:rPr>
      </w:pPr>
      <w:r>
        <w:rPr>
          <w:rFonts w:ascii="Arial" w:cs="Arial" w:eastAsia="Arial" w:hAnsi="Arial"/>
          <w:sz w:val="13"/>
          <w:szCs w:val="13"/>
          <w:color w:val="auto"/>
        </w:rPr>
        <w:t>McFall Employment Agreement</w:t>
      </w:r>
    </w:p>
    <w:p>
      <w:pPr>
        <w:spacing w:after="0" w:line="9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full amount of the Payments, or</w:t>
      </w:r>
    </w:p>
    <w:p>
      <w:pPr>
        <w:spacing w:after="0" w:line="9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 reduced amount which would result in no portion of the Payments being subject to the excise tax imposed pursuant to Section 4999 of the Code (the “Excise Tax”),</w:t>
      </w:r>
    </w:p>
    <w:p>
      <w:pPr>
        <w:spacing w:after="0" w:line="92" w:lineRule="exact"/>
        <w:rPr>
          <w:sz w:val="20"/>
          <w:szCs w:val="20"/>
          <w:color w:val="auto"/>
        </w:rPr>
      </w:pPr>
    </w:p>
    <w:p>
      <w:pPr>
        <w:jc w:val="both"/>
        <w:ind w:right="40"/>
        <w:spacing w:after="0" w:line="276" w:lineRule="auto"/>
        <w:rPr>
          <w:sz w:val="20"/>
          <w:szCs w:val="20"/>
          <w:color w:val="auto"/>
        </w:rPr>
      </w:pPr>
      <w:r>
        <w:rPr>
          <w:rFonts w:ascii="Arial" w:cs="Arial" w:eastAsia="Arial" w:hAnsi="Arial"/>
          <w:sz w:val="13"/>
          <w:szCs w:val="13"/>
          <w:color w:val="auto"/>
        </w:rPr>
        <w:t>whichever of the foregoing amounts, taking into account the applicable federal, state and local income taxes and the Excise Tax, results in the receipt by you, on an after-tax basis, of the greatest amount of benefit. In the event that any Excise Tax is imposed on the Payments, you will be fully responsible for the payment of any and all Excise Tax, and the Company will not be obligated to pay all or any portion of any Excise Tax.</w:t>
      </w:r>
    </w:p>
    <w:p>
      <w:pPr>
        <w:spacing w:after="0" w:line="49" w:lineRule="exact"/>
        <w:rPr>
          <w:sz w:val="20"/>
          <w:szCs w:val="20"/>
          <w:color w:val="auto"/>
        </w:rPr>
      </w:pPr>
    </w:p>
    <w:p>
      <w:pPr>
        <w:ind w:right="60" w:firstLine="168"/>
        <w:spacing w:after="0" w:line="292" w:lineRule="auto"/>
        <w:tabs>
          <w:tab w:leader="none" w:pos="369" w:val="left"/>
        </w:tabs>
        <w:numPr>
          <w:ilvl w:val="0"/>
          <w:numId w:val="53"/>
        </w:numPr>
        <w:rPr>
          <w:rFonts w:ascii="Arial" w:cs="Arial" w:eastAsia="Arial" w:hAnsi="Arial"/>
          <w:sz w:val="12"/>
          <w:szCs w:val="12"/>
          <w:color w:val="auto"/>
        </w:rPr>
      </w:pPr>
      <w:r>
        <w:rPr>
          <w:rFonts w:ascii="Arial" w:cs="Arial" w:eastAsia="Arial" w:hAnsi="Arial"/>
          <w:sz w:val="12"/>
          <w:szCs w:val="12"/>
          <w:u w:val="single" w:color="auto"/>
          <w:color w:val="auto"/>
        </w:rPr>
        <w:t>Other Activities</w:t>
      </w:r>
      <w:r>
        <w:rPr>
          <w:rFonts w:ascii="Arial" w:cs="Arial" w:eastAsia="Arial" w:hAnsi="Arial"/>
          <w:sz w:val="12"/>
          <w:szCs w:val="12"/>
          <w:color w:val="auto"/>
        </w:rPr>
        <w:t>. In order to protect the Company’s valuable proprietary information, you agree that during your employment and for a period of [one] year[s] following the termination of your employment with the Company for any reason, you will not, as a compensated or uncompensated officer, director, consultant, advisor, partner, joint venturer, investor, independent contractor, employee or otherwise, provide any labor, services, advice or assistance to any entity or its successor, which is a direct competitor of the Company (and specifically identified as such in the Company’s Form 10K), unless specifically permitted to do so in writing by the Company or its successor. You acknowledge and agree that the restrictions contained in the preceding sentence are reasonable and necessary, as there is a significant risk that your provision of labor, services, advice or assistance to any of those competitors could result in the inevitable disclosure of the Company’s proprietary information. You further acknowledge and agree that the restrictions contained in this paragraph will not preclude you from engaging in any trade, business or profession that you are qualified to engage in.</w:t>
      </w:r>
    </w:p>
    <w:p>
      <w:pPr>
        <w:spacing w:after="0" w:line="40" w:lineRule="exact"/>
        <w:rPr>
          <w:rFonts w:ascii="Arial" w:cs="Arial" w:eastAsia="Arial" w:hAnsi="Arial"/>
          <w:sz w:val="12"/>
          <w:szCs w:val="12"/>
          <w:color w:val="auto"/>
        </w:rPr>
      </w:pPr>
    </w:p>
    <w:p>
      <w:pPr>
        <w:ind w:firstLine="168"/>
        <w:spacing w:after="0" w:line="267" w:lineRule="auto"/>
        <w:tabs>
          <w:tab w:leader="none" w:pos="364" w:val="left"/>
        </w:tabs>
        <w:numPr>
          <w:ilvl w:val="0"/>
          <w:numId w:val="53"/>
        </w:numPr>
        <w:rPr>
          <w:rFonts w:ascii="Arial" w:cs="Arial" w:eastAsia="Arial" w:hAnsi="Arial"/>
          <w:sz w:val="13"/>
          <w:szCs w:val="13"/>
          <w:color w:val="auto"/>
        </w:rPr>
      </w:pPr>
      <w:r>
        <w:rPr>
          <w:rFonts w:ascii="Arial" w:cs="Arial" w:eastAsia="Arial" w:hAnsi="Arial"/>
          <w:sz w:val="13"/>
          <w:szCs w:val="13"/>
          <w:u w:val="single" w:color="auto"/>
          <w:color w:val="auto"/>
        </w:rPr>
        <w:t>Dispute Resolution</w:t>
      </w:r>
      <w:r>
        <w:rPr>
          <w:rFonts w:ascii="Arial" w:cs="Arial" w:eastAsia="Arial" w:hAnsi="Arial"/>
          <w:sz w:val="13"/>
          <w:szCs w:val="13"/>
          <w:color w:val="auto"/>
        </w:rPr>
        <w:t>. In the event of any dispute or claim relating to or arising out of your employment relationship with the Company, this Agreement, or the termination of your employment with the Company for any reason (including, but not limited to, any claims of breach of contract, wrongful termination or age, sex, race, sexual orientation, disability or other discrimination or harassment), you and the Company agree that all such disputes shall be fully, finally and exclusively resolved by binding arbitration conducted by the American Arbitration Association in Santa Clara County, California. You and the Company hereby knowingly and willingly waive your respective rights to have any such disputes or claims tried to a judge or jury. Provided, however, that this arbitration provision shall not apply to any claims for injunctive relief by you or the Company.</w:t>
      </w:r>
    </w:p>
    <w:p>
      <w:pPr>
        <w:spacing w:after="0" w:line="55" w:lineRule="exact"/>
        <w:rPr>
          <w:rFonts w:ascii="Arial" w:cs="Arial" w:eastAsia="Arial" w:hAnsi="Arial"/>
          <w:sz w:val="13"/>
          <w:szCs w:val="13"/>
          <w:color w:val="auto"/>
        </w:rPr>
      </w:pPr>
    </w:p>
    <w:p>
      <w:pPr>
        <w:ind w:right="400" w:firstLine="168"/>
        <w:spacing w:after="0" w:line="294" w:lineRule="auto"/>
        <w:tabs>
          <w:tab w:leader="none" w:pos="369" w:val="left"/>
        </w:tabs>
        <w:numPr>
          <w:ilvl w:val="0"/>
          <w:numId w:val="53"/>
        </w:numPr>
        <w:rPr>
          <w:rFonts w:ascii="Arial" w:cs="Arial" w:eastAsia="Arial" w:hAnsi="Arial"/>
          <w:sz w:val="13"/>
          <w:szCs w:val="13"/>
          <w:color w:val="auto"/>
        </w:rPr>
      </w:pPr>
      <w:r>
        <w:rPr>
          <w:rFonts w:ascii="Arial" w:cs="Arial" w:eastAsia="Arial" w:hAnsi="Arial"/>
          <w:sz w:val="13"/>
          <w:szCs w:val="13"/>
          <w:u w:val="single" w:color="auto"/>
          <w:color w:val="auto"/>
        </w:rPr>
        <w:t>Severability</w:t>
      </w:r>
      <w:r>
        <w:rPr>
          <w:rFonts w:ascii="Arial" w:cs="Arial" w:eastAsia="Arial" w:hAnsi="Arial"/>
          <w:sz w:val="13"/>
          <w:szCs w:val="13"/>
          <w:color w:val="auto"/>
        </w:rPr>
        <w:t>. If any provision of this Agreement is deemed invalid, illegal or unenforceable, such provision shall be modified so as to make it valid, legal and enforceable, and the validity, legality and enforceability of the remaining provisions of this Agreement shall not in any way be affected.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269875</wp:posOffset>
            </wp:positionV>
            <wp:extent cx="7287895" cy="190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1460"/>
          </w:cols>
          <w:pgMar w:left="220" w:top="733" w:right="219" w:bottom="1440" w:gutter="0" w:footer="0" w:header="0"/>
        </w:sectPr>
      </w:pPr>
    </w:p>
    <w:bookmarkStart w:id="132" w:name="page133"/>
    <w:bookmarkEnd w:id="132"/>
    <w:p>
      <w:pPr>
        <w:spacing w:after="0"/>
        <w:rPr>
          <w:sz w:val="20"/>
          <w:szCs w:val="20"/>
          <w:color w:val="auto"/>
        </w:rPr>
      </w:pPr>
      <w:r>
        <w:rPr>
          <w:rFonts w:ascii="Arial" w:cs="Arial" w:eastAsia="Arial" w:hAnsi="Arial"/>
          <w:sz w:val="13"/>
          <w:szCs w:val="13"/>
          <w:color w:val="auto"/>
        </w:rPr>
        <w:t>McFall Employment Agreement</w:t>
      </w:r>
    </w:p>
    <w:p>
      <w:pPr>
        <w:spacing w:after="0" w:line="92" w:lineRule="exact"/>
        <w:rPr>
          <w:sz w:val="20"/>
          <w:szCs w:val="20"/>
          <w:color w:val="auto"/>
        </w:rPr>
      </w:pPr>
    </w:p>
    <w:p>
      <w:pPr>
        <w:ind w:left="360" w:hanging="192"/>
        <w:spacing w:after="0"/>
        <w:tabs>
          <w:tab w:leader="none" w:pos="360" w:val="left"/>
        </w:tabs>
        <w:numPr>
          <w:ilvl w:val="0"/>
          <w:numId w:val="54"/>
        </w:numPr>
        <w:rPr>
          <w:rFonts w:ascii="Arial" w:cs="Arial" w:eastAsia="Arial" w:hAnsi="Arial"/>
          <w:sz w:val="13"/>
          <w:szCs w:val="13"/>
          <w:color w:val="auto"/>
        </w:rPr>
      </w:pPr>
      <w:r>
        <w:rPr>
          <w:rFonts w:ascii="Arial" w:cs="Arial" w:eastAsia="Arial" w:hAnsi="Arial"/>
          <w:sz w:val="13"/>
          <w:szCs w:val="13"/>
          <w:u w:val="single" w:color="auto"/>
          <w:color w:val="auto"/>
        </w:rPr>
        <w:t>Applicable Withholding</w:t>
      </w:r>
      <w:r>
        <w:rPr>
          <w:rFonts w:ascii="Arial" w:cs="Arial" w:eastAsia="Arial" w:hAnsi="Arial"/>
          <w:sz w:val="13"/>
          <w:szCs w:val="13"/>
          <w:color w:val="auto"/>
        </w:rPr>
        <w:t>. All salary, bonus, severance and other payments identified in this Agreement are subject to applicable withholding by the Company.</w:t>
      </w:r>
    </w:p>
    <w:p>
      <w:pPr>
        <w:spacing w:after="0" w:line="92" w:lineRule="exact"/>
        <w:rPr>
          <w:rFonts w:ascii="Arial" w:cs="Arial" w:eastAsia="Arial" w:hAnsi="Arial"/>
          <w:sz w:val="13"/>
          <w:szCs w:val="13"/>
          <w:color w:val="auto"/>
        </w:rPr>
      </w:pPr>
    </w:p>
    <w:p>
      <w:pPr>
        <w:ind w:left="360" w:hanging="192"/>
        <w:spacing w:after="0"/>
        <w:tabs>
          <w:tab w:leader="none" w:pos="360" w:val="left"/>
        </w:tabs>
        <w:numPr>
          <w:ilvl w:val="0"/>
          <w:numId w:val="54"/>
        </w:numPr>
        <w:rPr>
          <w:rFonts w:ascii="Arial" w:cs="Arial" w:eastAsia="Arial" w:hAnsi="Arial"/>
          <w:sz w:val="13"/>
          <w:szCs w:val="13"/>
          <w:color w:val="auto"/>
        </w:rPr>
      </w:pPr>
      <w:r>
        <w:rPr>
          <w:rFonts w:ascii="Arial" w:cs="Arial" w:eastAsia="Arial" w:hAnsi="Arial"/>
          <w:sz w:val="13"/>
          <w:szCs w:val="13"/>
          <w:u w:val="single" w:color="auto"/>
          <w:color w:val="auto"/>
        </w:rPr>
        <w:t>Assignment</w:t>
      </w:r>
      <w:r>
        <w:rPr>
          <w:rFonts w:ascii="Arial" w:cs="Arial" w:eastAsia="Arial" w:hAnsi="Arial"/>
          <w:sz w:val="13"/>
          <w:szCs w:val="13"/>
          <w:color w:val="auto"/>
        </w:rPr>
        <w:t>. In view of the personal nature of the services to be performed under this Agreement by you, you cannot assign or transfer any of your obligations under this Agreement.</w:t>
      </w:r>
    </w:p>
    <w:p>
      <w:pPr>
        <w:spacing w:after="0" w:line="92" w:lineRule="exact"/>
        <w:rPr>
          <w:rFonts w:ascii="Arial" w:cs="Arial" w:eastAsia="Arial" w:hAnsi="Arial"/>
          <w:sz w:val="13"/>
          <w:szCs w:val="13"/>
          <w:color w:val="auto"/>
        </w:rPr>
      </w:pPr>
    </w:p>
    <w:p>
      <w:pPr>
        <w:ind w:firstLine="168"/>
        <w:spacing w:after="0" w:line="270" w:lineRule="auto"/>
        <w:tabs>
          <w:tab w:leader="none" w:pos="369" w:val="left"/>
        </w:tabs>
        <w:numPr>
          <w:ilvl w:val="0"/>
          <w:numId w:val="54"/>
        </w:numPr>
        <w:rPr>
          <w:rFonts w:ascii="Arial" w:cs="Arial" w:eastAsia="Arial" w:hAnsi="Arial"/>
          <w:sz w:val="13"/>
          <w:szCs w:val="13"/>
          <w:color w:val="auto"/>
        </w:rPr>
      </w:pPr>
      <w:r>
        <w:rPr>
          <w:rFonts w:ascii="Arial" w:cs="Arial" w:eastAsia="Arial" w:hAnsi="Arial"/>
          <w:sz w:val="13"/>
          <w:szCs w:val="13"/>
          <w:u w:val="single" w:color="auto"/>
          <w:color w:val="auto"/>
        </w:rPr>
        <w:t>Entire Agreement</w:t>
      </w:r>
      <w:r>
        <w:rPr>
          <w:rFonts w:ascii="Arial" w:cs="Arial" w:eastAsia="Arial" w:hAnsi="Arial"/>
          <w:sz w:val="13"/>
          <w:szCs w:val="13"/>
          <w:color w:val="auto"/>
        </w:rPr>
        <w:t>. This Agreement and the agreements referred to above constitute the entire agreement between you and the Company regarding the terms and conditions of your employment, and they supersede all prior negotiations, representations or agreements between you and the Company regarding your employment, whether written or oral, including your Employment Agreement dated May 1, 1996, with the Company. This Agreement sets forth our entire agreement regarding the Company’s obligation to provide you with severance benefits upon any termination of your employment, and you shall not be entitled to receive any other severance benefits from the Company pursuant to any Company severance plan, policy or practice.</w:t>
      </w:r>
    </w:p>
    <w:p>
      <w:pPr>
        <w:spacing w:after="0" w:line="52" w:lineRule="exact"/>
        <w:rPr>
          <w:rFonts w:ascii="Arial" w:cs="Arial" w:eastAsia="Arial" w:hAnsi="Arial"/>
          <w:sz w:val="13"/>
          <w:szCs w:val="13"/>
          <w:color w:val="auto"/>
        </w:rPr>
      </w:pPr>
    </w:p>
    <w:p>
      <w:pPr>
        <w:ind w:left="360" w:hanging="192"/>
        <w:spacing w:after="0"/>
        <w:tabs>
          <w:tab w:leader="none" w:pos="360" w:val="left"/>
        </w:tabs>
        <w:numPr>
          <w:ilvl w:val="0"/>
          <w:numId w:val="54"/>
        </w:numPr>
        <w:rPr>
          <w:rFonts w:ascii="Arial" w:cs="Arial" w:eastAsia="Arial" w:hAnsi="Arial"/>
          <w:sz w:val="13"/>
          <w:szCs w:val="13"/>
          <w:color w:val="auto"/>
        </w:rPr>
      </w:pPr>
      <w:r>
        <w:rPr>
          <w:rFonts w:ascii="Arial" w:cs="Arial" w:eastAsia="Arial" w:hAnsi="Arial"/>
          <w:sz w:val="13"/>
          <w:szCs w:val="13"/>
          <w:u w:val="single" w:color="auto"/>
          <w:color w:val="auto"/>
        </w:rPr>
        <w:t>Governing Law</w:t>
      </w:r>
      <w:r>
        <w:rPr>
          <w:rFonts w:ascii="Arial" w:cs="Arial" w:eastAsia="Arial" w:hAnsi="Arial"/>
          <w:sz w:val="13"/>
          <w:szCs w:val="13"/>
          <w:color w:val="auto"/>
        </w:rPr>
        <w:t>. This Agreement shall be governed by and construed in accordance with the law of the State of California.</w:t>
      </w:r>
    </w:p>
    <w:p>
      <w:pPr>
        <w:spacing w:after="0" w:line="92" w:lineRule="exact"/>
        <w:rPr>
          <w:rFonts w:ascii="Arial" w:cs="Arial" w:eastAsia="Arial" w:hAnsi="Arial"/>
          <w:sz w:val="13"/>
          <w:szCs w:val="13"/>
          <w:color w:val="auto"/>
        </w:rPr>
      </w:pPr>
    </w:p>
    <w:p>
      <w:pPr>
        <w:ind w:left="360" w:hanging="192"/>
        <w:spacing w:after="0"/>
        <w:tabs>
          <w:tab w:leader="none" w:pos="360" w:val="left"/>
        </w:tabs>
        <w:numPr>
          <w:ilvl w:val="0"/>
          <w:numId w:val="54"/>
        </w:numPr>
        <w:rPr>
          <w:rFonts w:ascii="Arial" w:cs="Arial" w:eastAsia="Arial" w:hAnsi="Arial"/>
          <w:sz w:val="13"/>
          <w:szCs w:val="13"/>
          <w:color w:val="auto"/>
        </w:rPr>
      </w:pPr>
      <w:r>
        <w:rPr>
          <w:rFonts w:ascii="Arial" w:cs="Arial" w:eastAsia="Arial" w:hAnsi="Arial"/>
          <w:sz w:val="13"/>
          <w:szCs w:val="13"/>
          <w:u w:val="single" w:color="auto"/>
          <w:color w:val="auto"/>
        </w:rPr>
        <w:t>Modification</w:t>
      </w:r>
      <w:r>
        <w:rPr>
          <w:rFonts w:ascii="Arial" w:cs="Arial" w:eastAsia="Arial" w:hAnsi="Arial"/>
          <w:sz w:val="13"/>
          <w:szCs w:val="13"/>
          <w:color w:val="auto"/>
        </w:rPr>
        <w:t>. This Agreement may only be modified or amended by a supplemental written agreement signed by you and an authorized representative of the Company.</w:t>
      </w:r>
    </w:p>
    <w:p>
      <w:pPr>
        <w:spacing w:after="0" w:line="92" w:lineRule="exact"/>
        <w:rPr>
          <w:sz w:val="20"/>
          <w:szCs w:val="20"/>
          <w:color w:val="auto"/>
        </w:rPr>
      </w:pPr>
    </w:p>
    <w:p>
      <w:pPr>
        <w:ind w:right="460" w:firstLine="168"/>
        <w:spacing w:after="0" w:line="294" w:lineRule="auto"/>
        <w:rPr>
          <w:sz w:val="20"/>
          <w:szCs w:val="20"/>
          <w:color w:val="auto"/>
        </w:rPr>
      </w:pPr>
      <w:r>
        <w:rPr>
          <w:rFonts w:ascii="Arial" w:cs="Arial" w:eastAsia="Arial" w:hAnsi="Arial"/>
          <w:sz w:val="13"/>
          <w:szCs w:val="13"/>
          <w:color w:val="auto"/>
        </w:rPr>
        <w:t>Shaun, we look forward to continuing to work with you at DMC Stratex Networks, Inc. Please sign and date this letter on the spaces provided below to acknowledge your acceptance of the terms of this Agreement.</w:t>
      </w:r>
    </w:p>
    <w:p>
      <w:pPr>
        <w:spacing w:after="0" w:line="117" w:lineRule="exact"/>
        <w:rPr>
          <w:sz w:val="20"/>
          <w:szCs w:val="20"/>
          <w:color w:val="auto"/>
        </w:rPr>
      </w:pPr>
    </w:p>
    <w:p>
      <w:pPr>
        <w:spacing w:after="0"/>
        <w:rPr>
          <w:sz w:val="20"/>
          <w:szCs w:val="20"/>
          <w:color w:val="auto"/>
        </w:rPr>
      </w:pPr>
      <w:r>
        <w:rPr>
          <w:rFonts w:ascii="Arial" w:cs="Arial" w:eastAsia="Arial" w:hAnsi="Arial"/>
          <w:sz w:val="13"/>
          <w:szCs w:val="13"/>
          <w:color w:val="auto"/>
        </w:rPr>
        <w:t>Sincerely,</w:t>
      </w:r>
    </w:p>
    <w:p>
      <w:pPr>
        <w:spacing w:after="0" w:line="92" w:lineRule="exact"/>
        <w:rPr>
          <w:sz w:val="20"/>
          <w:szCs w:val="20"/>
          <w:color w:val="auto"/>
        </w:rPr>
      </w:pPr>
    </w:p>
    <w:p>
      <w:pPr>
        <w:spacing w:after="0"/>
        <w:rPr>
          <w:sz w:val="20"/>
          <w:szCs w:val="20"/>
          <w:color w:val="auto"/>
        </w:rPr>
      </w:pPr>
      <w:r>
        <w:rPr>
          <w:rFonts w:ascii="Arial" w:cs="Arial" w:eastAsia="Arial" w:hAnsi="Arial"/>
          <w:sz w:val="13"/>
          <w:szCs w:val="13"/>
          <w:color w:val="auto"/>
        </w:rPr>
        <w:t>DMC Stratex Networks, Inc.</w:t>
      </w:r>
    </w:p>
    <w:p>
      <w:pPr>
        <w:spacing w:after="0" w:line="173" w:lineRule="exact"/>
        <w:rPr>
          <w:sz w:val="20"/>
          <w:szCs w:val="20"/>
          <w:color w:val="auto"/>
        </w:rPr>
      </w:pPr>
    </w:p>
    <w:p>
      <w:pPr>
        <w:spacing w:after="0"/>
        <w:tabs>
          <w:tab w:leader="none" w:pos="28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2"/>
          <w:szCs w:val="12"/>
          <w:color w:val="auto"/>
        </w:rPr>
        <w:t>/s/ Charles D. Kissner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192405</wp:posOffset>
            </wp:positionH>
            <wp:positionV relativeFrom="paragraph">
              <wp:posOffset>13970</wp:posOffset>
            </wp:positionV>
            <wp:extent cx="2386330" cy="63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386330" cy="6350"/>
                    </a:xfrm>
                    <a:prstGeom prst="rect">
                      <a:avLst/>
                    </a:prstGeom>
                    <a:noFill/>
                  </pic:spPr>
                </pic:pic>
              </a:graphicData>
            </a:graphic>
          </wp:anchor>
        </w:drawing>
      </w:r>
    </w:p>
    <w:p>
      <w:pPr>
        <w:spacing w:after="0" w:line="12" w:lineRule="exact"/>
        <w:rPr>
          <w:sz w:val="20"/>
          <w:szCs w:val="20"/>
          <w:color w:val="auto"/>
        </w:rPr>
      </w:pPr>
    </w:p>
    <w:p>
      <w:pPr>
        <w:ind w:left="300"/>
        <w:spacing w:after="0"/>
        <w:rPr>
          <w:sz w:val="20"/>
          <w:szCs w:val="20"/>
          <w:color w:val="auto"/>
        </w:rPr>
      </w:pPr>
      <w:r>
        <w:rPr>
          <w:rFonts w:ascii="Arial" w:cs="Arial" w:eastAsia="Arial" w:hAnsi="Arial"/>
          <w:sz w:val="13"/>
          <w:szCs w:val="13"/>
          <w:color w:val="auto"/>
        </w:rPr>
        <w:t>Charles D. Kissner</w:t>
      </w:r>
    </w:p>
    <w:p>
      <w:pPr>
        <w:spacing w:after="0" w:line="22" w:lineRule="exact"/>
        <w:rPr>
          <w:sz w:val="20"/>
          <w:szCs w:val="20"/>
          <w:color w:val="auto"/>
        </w:rPr>
      </w:pPr>
    </w:p>
    <w:p>
      <w:pPr>
        <w:ind w:left="300"/>
        <w:spacing w:after="0"/>
        <w:rPr>
          <w:sz w:val="20"/>
          <w:szCs w:val="20"/>
          <w:color w:val="auto"/>
        </w:rPr>
      </w:pPr>
      <w:r>
        <w:rPr>
          <w:rFonts w:ascii="Arial" w:cs="Arial" w:eastAsia="Arial" w:hAnsi="Arial"/>
          <w:sz w:val="13"/>
          <w:szCs w:val="13"/>
          <w:color w:val="auto"/>
        </w:rPr>
        <w:t>Chairman and Chief Executive Officer</w:t>
      </w:r>
    </w:p>
    <w:p>
      <w:pPr>
        <w:spacing w:after="0" w:line="82" w:lineRule="exact"/>
        <w:rPr>
          <w:sz w:val="20"/>
          <w:szCs w:val="20"/>
          <w:color w:val="auto"/>
        </w:rPr>
      </w:pPr>
    </w:p>
    <w:p>
      <w:pPr>
        <w:ind w:left="160"/>
        <w:spacing w:after="0"/>
        <w:rPr>
          <w:sz w:val="20"/>
          <w:szCs w:val="20"/>
          <w:color w:val="auto"/>
        </w:rPr>
      </w:pPr>
      <w:r>
        <w:rPr>
          <w:rFonts w:ascii="Arial" w:cs="Arial" w:eastAsia="Arial" w:hAnsi="Arial"/>
          <w:sz w:val="13"/>
          <w:szCs w:val="13"/>
          <w:color w:val="auto"/>
        </w:rPr>
        <w:t>I agree to and accept continued employment with DMC Stratex Networks., Inc. on the terms and conditions set forth in this Agreement.</w:t>
      </w:r>
    </w:p>
    <w:p>
      <w:pPr>
        <w:spacing w:after="0" w:line="173" w:lineRule="exact"/>
        <w:rPr>
          <w:sz w:val="20"/>
          <w:szCs w:val="20"/>
          <w:color w:val="auto"/>
        </w:rPr>
      </w:pPr>
    </w:p>
    <w:p>
      <w:pPr>
        <w:spacing w:after="0"/>
        <w:tabs>
          <w:tab w:leader="none" w:pos="5760" w:val="left"/>
        </w:tabs>
        <w:rPr>
          <w:sz w:val="20"/>
          <w:szCs w:val="20"/>
          <w:color w:val="auto"/>
        </w:rPr>
      </w:pPr>
      <w:r>
        <w:rPr>
          <w:rFonts w:ascii="Arial" w:cs="Arial" w:eastAsia="Arial" w:hAnsi="Arial"/>
          <w:sz w:val="13"/>
          <w:szCs w:val="13"/>
          <w:color w:val="auto"/>
        </w:rPr>
        <w:t>Date: 28 June, 2002</w:t>
      </w:r>
      <w:r>
        <w:rPr>
          <w:sz w:val="20"/>
          <w:szCs w:val="20"/>
          <w:color w:val="auto"/>
        </w:rPr>
        <w:tab/>
      </w:r>
      <w:r>
        <w:rPr>
          <w:rFonts w:ascii="Arial" w:cs="Arial" w:eastAsia="Arial" w:hAnsi="Arial"/>
          <w:sz w:val="12"/>
          <w:szCs w:val="12"/>
          <w:color w:val="auto"/>
        </w:rPr>
        <w:t>/s/ Shaun McFall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3666490</wp:posOffset>
            </wp:positionH>
            <wp:positionV relativeFrom="paragraph">
              <wp:posOffset>13970</wp:posOffset>
            </wp:positionV>
            <wp:extent cx="2751455" cy="63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751455" cy="6350"/>
                    </a:xfrm>
                    <a:prstGeom prst="rect">
                      <a:avLst/>
                    </a:prstGeom>
                    <a:noFill/>
                  </pic:spPr>
                </pic:pic>
              </a:graphicData>
            </a:graphic>
          </wp:anchor>
        </w:drawing>
      </w:r>
    </w:p>
    <w:p>
      <w:pPr>
        <w:spacing w:after="0" w:line="12" w:lineRule="exact"/>
        <w:rPr>
          <w:sz w:val="20"/>
          <w:szCs w:val="20"/>
          <w:color w:val="auto"/>
        </w:rPr>
      </w:pPr>
    </w:p>
    <w:p>
      <w:pPr>
        <w:ind w:left="5780"/>
        <w:spacing w:after="0"/>
        <w:rPr>
          <w:sz w:val="20"/>
          <w:szCs w:val="20"/>
          <w:color w:val="auto"/>
        </w:rPr>
      </w:pPr>
      <w:r>
        <w:rPr>
          <w:rFonts w:ascii="Arial" w:cs="Arial" w:eastAsia="Arial" w:hAnsi="Arial"/>
          <w:sz w:val="13"/>
          <w:szCs w:val="13"/>
          <w:color w:val="auto"/>
        </w:rPr>
        <w:t>Shaun McFall</w:t>
      </w:r>
    </w:p>
    <w:p>
      <w:pPr>
        <w:sectPr>
          <w:pgSz w:w="11900" w:h="16838" w:orient="portrait"/>
          <w:cols w:equalWidth="0" w:num="1">
            <w:col w:w="11440"/>
          </w:cols>
          <w:pgMar w:left="220" w:top="733" w:right="2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3"/>
          <w:szCs w:val="13"/>
          <w:b w:val="1"/>
          <w:bCs w:val="1"/>
          <w:color w:val="auto"/>
        </w:rPr>
        <w:t>Exhibit 10.25.1</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AMENDMENT TO EMPLOYMENT AGREEMENT</w:t>
      </w:r>
    </w:p>
    <w:p>
      <w:pPr>
        <w:spacing w:after="0" w:line="92" w:lineRule="exact"/>
        <w:rPr>
          <w:sz w:val="20"/>
          <w:szCs w:val="20"/>
          <w:color w:val="auto"/>
        </w:rPr>
      </w:pPr>
    </w:p>
    <w:p>
      <w:pPr>
        <w:ind w:right="120" w:firstLine="168"/>
        <w:spacing w:after="0" w:line="294" w:lineRule="auto"/>
        <w:rPr>
          <w:sz w:val="20"/>
          <w:szCs w:val="20"/>
          <w:color w:val="auto"/>
        </w:rPr>
      </w:pPr>
      <w:r>
        <w:rPr>
          <w:rFonts w:ascii="Arial" w:cs="Arial" w:eastAsia="Arial" w:hAnsi="Arial"/>
          <w:sz w:val="13"/>
          <w:szCs w:val="13"/>
          <w:color w:val="auto"/>
        </w:rPr>
        <w:t>Shaun McFall (“Executive”) and Stratex Networks, Inc., formerly DMC Stratex Networks, Inc. (the “Company”), are parties to an Employment Agreement of May 14, 2002 (the “Agreement”). Executive and the Company now wish to amend the Agreement, and thus they agree as set forth below. This Amendment shall be deemed effective as of April 1, 2006.</w:t>
      </w:r>
    </w:p>
    <w:p>
      <w:pPr>
        <w:spacing w:after="0" w:line="37" w:lineRule="exact"/>
        <w:rPr>
          <w:sz w:val="20"/>
          <w:szCs w:val="20"/>
          <w:color w:val="auto"/>
        </w:rPr>
      </w:pPr>
    </w:p>
    <w:p>
      <w:pPr>
        <w:ind w:left="300" w:hanging="132"/>
        <w:spacing w:after="0"/>
        <w:tabs>
          <w:tab w:leader="none" w:pos="300" w:val="left"/>
        </w:tabs>
        <w:numPr>
          <w:ilvl w:val="0"/>
          <w:numId w:val="55"/>
        </w:numPr>
        <w:rPr>
          <w:rFonts w:ascii="Arial" w:cs="Arial" w:eastAsia="Arial" w:hAnsi="Arial"/>
          <w:sz w:val="13"/>
          <w:szCs w:val="13"/>
          <w:color w:val="auto"/>
        </w:rPr>
      </w:pPr>
      <w:r>
        <w:rPr>
          <w:rFonts w:ascii="Arial" w:cs="Arial" w:eastAsia="Arial" w:hAnsi="Arial"/>
          <w:sz w:val="13"/>
          <w:szCs w:val="13"/>
          <w:color w:val="auto"/>
        </w:rPr>
        <w:t>Wherever the phrase “DMC Stratex Networks, Inc.” appears in the Agreement, it is hereby deleted and replaced with “Stratex Networks, Inc.”</w:t>
      </w:r>
    </w:p>
    <w:p>
      <w:pPr>
        <w:spacing w:after="0" w:line="92" w:lineRule="exact"/>
        <w:rPr>
          <w:rFonts w:ascii="Arial" w:cs="Arial" w:eastAsia="Arial" w:hAnsi="Arial"/>
          <w:sz w:val="13"/>
          <w:szCs w:val="13"/>
          <w:color w:val="auto"/>
        </w:rPr>
      </w:pPr>
    </w:p>
    <w:p>
      <w:pPr>
        <w:ind w:left="300" w:hanging="132"/>
        <w:spacing w:after="0"/>
        <w:tabs>
          <w:tab w:leader="none" w:pos="300" w:val="left"/>
        </w:tabs>
        <w:numPr>
          <w:ilvl w:val="0"/>
          <w:numId w:val="55"/>
        </w:numPr>
        <w:rPr>
          <w:rFonts w:ascii="Arial" w:cs="Arial" w:eastAsia="Arial" w:hAnsi="Arial"/>
          <w:sz w:val="13"/>
          <w:szCs w:val="13"/>
          <w:color w:val="auto"/>
        </w:rPr>
      </w:pPr>
      <w:r>
        <w:rPr>
          <w:rFonts w:ascii="Arial" w:cs="Arial" w:eastAsia="Arial" w:hAnsi="Arial"/>
          <w:sz w:val="13"/>
          <w:szCs w:val="13"/>
          <w:color w:val="auto"/>
        </w:rPr>
        <w:t>In Paragraph 1 of the Agreement, Executive’s title (Vice President, Product Marketing”) is hereby deleted and replaced with the title “Corporate Vice President, Marketing.”</w:t>
      </w:r>
    </w:p>
    <w:p>
      <w:pPr>
        <w:spacing w:after="0" w:line="92" w:lineRule="exact"/>
        <w:rPr>
          <w:rFonts w:ascii="Arial" w:cs="Arial" w:eastAsia="Arial" w:hAnsi="Arial"/>
          <w:sz w:val="13"/>
          <w:szCs w:val="13"/>
          <w:color w:val="auto"/>
        </w:rPr>
      </w:pPr>
    </w:p>
    <w:p>
      <w:pPr>
        <w:ind w:firstLine="168"/>
        <w:spacing w:after="0" w:line="309" w:lineRule="auto"/>
        <w:tabs>
          <w:tab w:leader="none" w:pos="300" w:val="left"/>
        </w:tabs>
        <w:numPr>
          <w:ilvl w:val="0"/>
          <w:numId w:val="55"/>
        </w:numPr>
        <w:rPr>
          <w:rFonts w:ascii="Arial" w:cs="Arial" w:eastAsia="Arial" w:hAnsi="Arial"/>
          <w:sz w:val="12"/>
          <w:szCs w:val="12"/>
          <w:color w:val="auto"/>
        </w:rPr>
      </w:pPr>
      <w:r>
        <w:rPr>
          <w:rFonts w:ascii="Arial" w:cs="Arial" w:eastAsia="Arial" w:hAnsi="Arial"/>
          <w:sz w:val="12"/>
          <w:szCs w:val="12"/>
          <w:color w:val="auto"/>
        </w:rPr>
        <w:t>The following is added to Paragraph 5(c)(ii) of the Agreement: “provided, however that if you are 60 years of age or older on the date of your termination without cause, and if you have been employed by the Company for not less than three years as of the date of your termination without cause, the Company will pay the premiums necessary to continue your Company group health insurance coverage under COBRA (or to provide you with comparable health insurance coverage) until you reach the age of 65 or until you are eligible to participate in another employer’s group health insurance plan, whichever comes first;”.</w:t>
      </w:r>
    </w:p>
    <w:p>
      <w:pPr>
        <w:spacing w:after="0" w:line="31" w:lineRule="exact"/>
        <w:rPr>
          <w:rFonts w:ascii="Arial" w:cs="Arial" w:eastAsia="Arial" w:hAnsi="Arial"/>
          <w:sz w:val="12"/>
          <w:szCs w:val="12"/>
          <w:color w:val="auto"/>
        </w:rPr>
      </w:pPr>
    </w:p>
    <w:p>
      <w:pPr>
        <w:ind w:right="60" w:firstLine="168"/>
        <w:spacing w:after="0" w:line="338" w:lineRule="auto"/>
        <w:tabs>
          <w:tab w:leader="none" w:pos="302" w:val="left"/>
        </w:tabs>
        <w:numPr>
          <w:ilvl w:val="0"/>
          <w:numId w:val="55"/>
        </w:numPr>
        <w:rPr>
          <w:rFonts w:ascii="Arial" w:cs="Arial" w:eastAsia="Arial" w:hAnsi="Arial"/>
          <w:sz w:val="12"/>
          <w:szCs w:val="12"/>
          <w:color w:val="auto"/>
        </w:rPr>
      </w:pPr>
      <w:r>
        <w:rPr>
          <w:rFonts w:ascii="Arial" w:cs="Arial" w:eastAsia="Arial" w:hAnsi="Arial"/>
          <w:sz w:val="12"/>
          <w:szCs w:val="12"/>
          <w:color w:val="auto"/>
        </w:rPr>
        <w:t>In Paragraph 5(e) of the Agreement, the phrase “(ii to a maximum of 18 months)” is modified to read as follows: “(ii to a maximum of 18 months, unless you are 60 years of age or older on the date of your termination/resignation and you have been employed by the Company for not less than three years as of the date of your termination/resignation, in which case the last clause of subparagraph 5(c)(ii) shall apply)”.</w:t>
      </w:r>
    </w:p>
    <w:p>
      <w:pPr>
        <w:spacing w:after="0" w:line="14" w:lineRule="exact"/>
        <w:rPr>
          <w:rFonts w:ascii="Arial" w:cs="Arial" w:eastAsia="Arial" w:hAnsi="Arial"/>
          <w:sz w:val="12"/>
          <w:szCs w:val="12"/>
          <w:color w:val="auto"/>
        </w:rPr>
      </w:pPr>
    </w:p>
    <w:p>
      <w:pPr>
        <w:ind w:right="100" w:firstLine="168"/>
        <w:spacing w:after="0" w:line="294" w:lineRule="auto"/>
        <w:tabs>
          <w:tab w:leader="none" w:pos="302" w:val="left"/>
        </w:tabs>
        <w:numPr>
          <w:ilvl w:val="0"/>
          <w:numId w:val="55"/>
        </w:numPr>
        <w:rPr>
          <w:rFonts w:ascii="Arial" w:cs="Arial" w:eastAsia="Arial" w:hAnsi="Arial"/>
          <w:sz w:val="13"/>
          <w:szCs w:val="13"/>
          <w:color w:val="auto"/>
        </w:rPr>
      </w:pPr>
      <w:r>
        <w:rPr>
          <w:rFonts w:ascii="Arial" w:cs="Arial" w:eastAsia="Arial" w:hAnsi="Arial"/>
          <w:sz w:val="13"/>
          <w:szCs w:val="13"/>
          <w:color w:val="auto"/>
        </w:rPr>
        <w:t xml:space="preserve">In Paragraph 11 of the Agreement, the last sentence (”Provided, however ...”) is hereby deleted and replaced with the following sentence: “Any arbitration conducted under this Paragraph will be pursuant to the American Arbitration Association’s (“AAA”) National Rules for the Resolution of Employment Disputes, a copy of which can be found on the AAA website at </w:t>
      </w:r>
      <w:r>
        <w:rPr>
          <w:rFonts w:ascii="Arial" w:cs="Arial" w:eastAsia="Arial" w:hAnsi="Arial"/>
          <w:sz w:val="13"/>
          <w:szCs w:val="13"/>
          <w:u w:val="single" w:color="auto"/>
          <w:color w:val="auto"/>
        </w:rPr>
        <w:t>www.adr.org</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263525</wp:posOffset>
            </wp:positionV>
            <wp:extent cx="7287895" cy="190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1460"/>
          </w:cols>
          <w:pgMar w:left="220" w:top="127" w:right="219" w:bottom="1440" w:gutter="0" w:footer="0" w:header="0"/>
        </w:sectPr>
      </w:pPr>
    </w:p>
    <w:bookmarkStart w:id="134" w:name="page135"/>
    <w:bookmarkEnd w:id="134"/>
    <w:tbl>
      <w:tblPr>
        <w:tblLayout w:type="fixed"/>
        <w:tblInd w:w="0" w:type="dxa"/>
        <w:tblCellMar>
          <w:top w:w="0" w:type="dxa"/>
          <w:left w:w="0" w:type="dxa"/>
          <w:bottom w:w="0" w:type="dxa"/>
          <w:right w:w="0" w:type="dxa"/>
        </w:tblCellMar>
      </w:tblPr>
      <w:tr>
        <w:trPr>
          <w:trHeight w:val="172"/>
        </w:trPr>
        <w:tc>
          <w:tcPr>
            <w:tcW w:w="5460" w:type="dxa"/>
            <w:vAlign w:val="bottom"/>
            <w:gridSpan w:val="4"/>
          </w:tcPr>
          <w:p>
            <w:pPr>
              <w:ind w:left="160"/>
              <w:spacing w:after="0"/>
              <w:rPr>
                <w:sz w:val="20"/>
                <w:szCs w:val="20"/>
                <w:color w:val="auto"/>
              </w:rPr>
            </w:pPr>
            <w:r>
              <w:rPr>
                <w:rFonts w:ascii="Arial" w:cs="Arial" w:eastAsia="Arial" w:hAnsi="Arial"/>
                <w:sz w:val="13"/>
                <w:szCs w:val="13"/>
                <w:color w:val="auto"/>
              </w:rPr>
              <w:t>Except as modified by this Amendment, the Agreement will remain in full force and effect.</w:t>
            </w:r>
          </w:p>
        </w:tc>
        <w:tc>
          <w:tcPr>
            <w:tcW w:w="64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293"/>
        </w:trPr>
        <w:tc>
          <w:tcPr>
            <w:tcW w:w="1020" w:type="dxa"/>
            <w:vAlign w:val="bottom"/>
            <w:gridSpan w:val="2"/>
          </w:tcPr>
          <w:p>
            <w:pPr>
              <w:spacing w:after="0"/>
              <w:rPr>
                <w:sz w:val="20"/>
                <w:szCs w:val="20"/>
                <w:color w:val="auto"/>
              </w:rPr>
            </w:pPr>
            <w:r>
              <w:rPr>
                <w:rFonts w:ascii="Arial" w:cs="Arial" w:eastAsia="Arial" w:hAnsi="Arial"/>
                <w:sz w:val="13"/>
                <w:szCs w:val="13"/>
                <w:color w:val="auto"/>
              </w:rPr>
              <w:t>Dated: April</w:t>
            </w:r>
          </w:p>
        </w:tc>
        <w:tc>
          <w:tcPr>
            <w:tcW w:w="4440" w:type="dxa"/>
            <w:vAlign w:val="bottom"/>
            <w:gridSpan w:val="2"/>
          </w:tcPr>
          <w:p>
            <w:pPr>
              <w:jc w:val="right"/>
              <w:ind w:right="3780"/>
              <w:spacing w:after="0"/>
              <w:rPr>
                <w:sz w:val="20"/>
                <w:szCs w:val="20"/>
                <w:color w:val="auto"/>
              </w:rPr>
            </w:pPr>
            <w:r>
              <w:rPr>
                <w:rFonts w:ascii="Arial" w:cs="Arial" w:eastAsia="Arial" w:hAnsi="Arial"/>
                <w:sz w:val="13"/>
                <w:szCs w:val="13"/>
                <w:color w:val="auto"/>
              </w:rPr>
              <w:t>, 2006</w:t>
            </w:r>
          </w:p>
        </w:tc>
        <w:tc>
          <w:tcPr>
            <w:tcW w:w="4580" w:type="dxa"/>
            <w:vAlign w:val="bottom"/>
            <w:gridSpan w:val="2"/>
          </w:tcPr>
          <w:p>
            <w:pPr>
              <w:spacing w:after="0"/>
              <w:rPr>
                <w:sz w:val="20"/>
                <w:szCs w:val="20"/>
                <w:color w:val="auto"/>
              </w:rPr>
            </w:pPr>
            <w:r>
              <w:rPr>
                <w:rFonts w:ascii="Arial" w:cs="Arial" w:eastAsia="Arial" w:hAnsi="Arial"/>
                <w:sz w:val="13"/>
                <w:szCs w:val="13"/>
                <w:color w:val="auto"/>
              </w:rPr>
              <w:t>/s/ Shaun McFall</w:t>
            </w:r>
          </w:p>
        </w:tc>
        <w:tc>
          <w:tcPr>
            <w:tcW w:w="140" w:type="dxa"/>
            <w:vAlign w:val="bottom"/>
          </w:tcPr>
          <w:p>
            <w:pPr>
              <w:spacing w:after="0"/>
              <w:rPr>
                <w:sz w:val="24"/>
                <w:szCs w:val="24"/>
                <w:color w:val="auto"/>
              </w:rPr>
            </w:pPr>
          </w:p>
        </w:tc>
      </w:tr>
      <w:tr>
        <w:trPr>
          <w:trHeight w:val="20"/>
        </w:trPr>
        <w:tc>
          <w:tcPr>
            <w:tcW w:w="680" w:type="dxa"/>
            <w:vAlign w:val="bottom"/>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52"/>
        </w:trPr>
        <w:tc>
          <w:tcPr>
            <w:tcW w:w="6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4580" w:type="dxa"/>
            <w:vAlign w:val="bottom"/>
            <w:gridSpan w:val="2"/>
          </w:tcPr>
          <w:p>
            <w:pPr>
              <w:spacing w:after="0"/>
              <w:rPr>
                <w:sz w:val="20"/>
                <w:szCs w:val="20"/>
                <w:color w:val="auto"/>
              </w:rPr>
            </w:pPr>
            <w:r>
              <w:rPr>
                <w:rFonts w:ascii="Arial" w:cs="Arial" w:eastAsia="Arial" w:hAnsi="Arial"/>
                <w:sz w:val="13"/>
                <w:szCs w:val="13"/>
                <w:color w:val="auto"/>
              </w:rPr>
              <w:t>Shaun McFall</w:t>
            </w:r>
          </w:p>
        </w:tc>
        <w:tc>
          <w:tcPr>
            <w:tcW w:w="140" w:type="dxa"/>
            <w:vAlign w:val="bottom"/>
          </w:tcPr>
          <w:p>
            <w:pPr>
              <w:spacing w:after="0"/>
              <w:rPr>
                <w:sz w:val="13"/>
                <w:szCs w:val="13"/>
                <w:color w:val="auto"/>
              </w:rPr>
            </w:pPr>
          </w:p>
        </w:tc>
      </w:tr>
      <w:tr>
        <w:trPr>
          <w:trHeight w:val="292"/>
        </w:trPr>
        <w:tc>
          <w:tcPr>
            <w:tcW w:w="1020" w:type="dxa"/>
            <w:vAlign w:val="bottom"/>
            <w:gridSpan w:val="2"/>
          </w:tcPr>
          <w:p>
            <w:pPr>
              <w:spacing w:after="0"/>
              <w:rPr>
                <w:sz w:val="20"/>
                <w:szCs w:val="20"/>
                <w:color w:val="auto"/>
              </w:rPr>
            </w:pPr>
            <w:r>
              <w:rPr>
                <w:rFonts w:ascii="Arial" w:cs="Arial" w:eastAsia="Arial" w:hAnsi="Arial"/>
                <w:sz w:val="13"/>
                <w:szCs w:val="13"/>
                <w:color w:val="auto"/>
              </w:rPr>
              <w:t>Dated: April</w:t>
            </w:r>
          </w:p>
        </w:tc>
        <w:tc>
          <w:tcPr>
            <w:tcW w:w="4440" w:type="dxa"/>
            <w:vAlign w:val="bottom"/>
            <w:gridSpan w:val="2"/>
          </w:tcPr>
          <w:p>
            <w:pPr>
              <w:jc w:val="right"/>
              <w:ind w:right="3780"/>
              <w:spacing w:after="0"/>
              <w:rPr>
                <w:sz w:val="20"/>
                <w:szCs w:val="20"/>
                <w:color w:val="auto"/>
              </w:rPr>
            </w:pPr>
            <w:r>
              <w:rPr>
                <w:rFonts w:ascii="Arial" w:cs="Arial" w:eastAsia="Arial" w:hAnsi="Arial"/>
                <w:sz w:val="13"/>
                <w:szCs w:val="13"/>
                <w:color w:val="auto"/>
              </w:rPr>
              <w:t>, 2006</w:t>
            </w:r>
          </w:p>
        </w:tc>
        <w:tc>
          <w:tcPr>
            <w:tcW w:w="4580" w:type="dxa"/>
            <w:vAlign w:val="bottom"/>
            <w:gridSpan w:val="2"/>
          </w:tcPr>
          <w:p>
            <w:pPr>
              <w:spacing w:after="0"/>
              <w:rPr>
                <w:sz w:val="20"/>
                <w:szCs w:val="20"/>
                <w:color w:val="auto"/>
              </w:rPr>
            </w:pPr>
            <w:r>
              <w:rPr>
                <w:rFonts w:ascii="Arial" w:cs="Arial" w:eastAsia="Arial" w:hAnsi="Arial"/>
                <w:sz w:val="13"/>
                <w:szCs w:val="13"/>
                <w:color w:val="auto"/>
              </w:rPr>
              <w:t>Stratex Networks, Inc.</w:t>
            </w:r>
          </w:p>
        </w:tc>
        <w:tc>
          <w:tcPr>
            <w:tcW w:w="140" w:type="dxa"/>
            <w:vAlign w:val="bottom"/>
          </w:tcPr>
          <w:p>
            <w:pPr>
              <w:spacing w:after="0"/>
              <w:rPr>
                <w:sz w:val="24"/>
                <w:szCs w:val="24"/>
                <w:color w:val="auto"/>
              </w:rPr>
            </w:pPr>
          </w:p>
        </w:tc>
      </w:tr>
      <w:tr>
        <w:trPr>
          <w:trHeight w:val="332"/>
        </w:trPr>
        <w:tc>
          <w:tcPr>
            <w:tcW w:w="68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4120" w:type="dxa"/>
            <w:vAlign w:val="bottom"/>
          </w:tcPr>
          <w:p>
            <w:pPr>
              <w:spacing w:after="0"/>
              <w:rPr>
                <w:sz w:val="24"/>
                <w:szCs w:val="24"/>
                <w:color w:val="auto"/>
              </w:rPr>
            </w:pPr>
          </w:p>
        </w:tc>
        <w:tc>
          <w:tcPr>
            <w:tcW w:w="640" w:type="dxa"/>
            <w:vAlign w:val="bottom"/>
          </w:tcPr>
          <w:p>
            <w:pPr>
              <w:ind w:left="320"/>
              <w:spacing w:after="0"/>
              <w:rPr>
                <w:sz w:val="20"/>
                <w:szCs w:val="20"/>
                <w:color w:val="auto"/>
              </w:rPr>
            </w:pPr>
            <w:r>
              <w:rPr>
                <w:rFonts w:ascii="Arial" w:cs="Arial" w:eastAsia="Arial" w:hAnsi="Arial"/>
                <w:sz w:val="13"/>
                <w:szCs w:val="13"/>
                <w:color w:val="auto"/>
              </w:rPr>
              <w:t>By:</w:t>
            </w:r>
          </w:p>
        </w:tc>
        <w:tc>
          <w:tcPr>
            <w:tcW w:w="39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Charles D. Kissner</w:t>
            </w:r>
          </w:p>
        </w:tc>
        <w:tc>
          <w:tcPr>
            <w:tcW w:w="140" w:type="dxa"/>
            <w:vAlign w:val="bottom"/>
            <w:tcBorders>
              <w:bottom w:val="single" w:sz="8" w:color="auto"/>
            </w:tcBorders>
          </w:tcPr>
          <w:p>
            <w:pPr>
              <w:spacing w:after="0"/>
              <w:rPr>
                <w:sz w:val="24"/>
                <w:szCs w:val="24"/>
                <w:color w:val="auto"/>
              </w:rPr>
            </w:pPr>
          </w:p>
        </w:tc>
      </w:tr>
      <w:tr>
        <w:trPr>
          <w:trHeight w:val="162"/>
        </w:trPr>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640" w:type="dxa"/>
            <w:vAlign w:val="bottom"/>
          </w:tcPr>
          <w:p>
            <w:pPr>
              <w:ind w:left="320"/>
              <w:spacing w:after="0"/>
              <w:rPr>
                <w:sz w:val="20"/>
                <w:szCs w:val="20"/>
                <w:color w:val="auto"/>
              </w:rPr>
            </w:pPr>
            <w:r>
              <w:rPr>
                <w:rFonts w:ascii="Arial" w:cs="Arial" w:eastAsia="Arial" w:hAnsi="Arial"/>
                <w:sz w:val="13"/>
                <w:szCs w:val="13"/>
                <w:color w:val="auto"/>
              </w:rPr>
              <w:t>Its:</w:t>
            </w:r>
          </w:p>
        </w:tc>
        <w:tc>
          <w:tcPr>
            <w:tcW w:w="3940" w:type="dxa"/>
            <w:vAlign w:val="bottom"/>
          </w:tcPr>
          <w:p>
            <w:pPr>
              <w:spacing w:after="0"/>
              <w:rPr>
                <w:sz w:val="20"/>
                <w:szCs w:val="20"/>
                <w:color w:val="auto"/>
              </w:rPr>
            </w:pPr>
            <w:r>
              <w:rPr>
                <w:rFonts w:ascii="Arial" w:cs="Arial" w:eastAsia="Arial" w:hAnsi="Arial"/>
                <w:sz w:val="13"/>
                <w:szCs w:val="13"/>
                <w:color w:val="auto"/>
              </w:rPr>
              <w:t>Chairman and Chief Executive Officer</w:t>
            </w:r>
          </w:p>
        </w:tc>
        <w:tc>
          <w:tcPr>
            <w:tcW w:w="140" w:type="dxa"/>
            <w:vAlign w:val="bottom"/>
          </w:tcPr>
          <w:p>
            <w:pPr>
              <w:spacing w:after="0"/>
              <w:rPr>
                <w:sz w:val="14"/>
                <w:szCs w:val="14"/>
                <w:color w:val="auto"/>
              </w:rPr>
            </w:pPr>
          </w:p>
        </w:tc>
      </w:tr>
    </w:tbl>
    <w:p>
      <w:pPr>
        <w:sectPr>
          <w:pgSz w:w="11900" w:h="16838" w:orient="portrait"/>
          <w:cols w:equalWidth="0" w:num="1">
            <w:col w:w="10239"/>
          </w:cols>
          <w:pgMar w:left="220" w:top="733" w:right="1440" w:bottom="1440" w:gutter="0" w:footer="0" w:header="0"/>
        </w:sectPr>
      </w:pPr>
    </w:p>
    <w:bookmarkStart w:id="135" w:name="page136"/>
    <w:bookmarkEnd w:id="13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80" w:type="dxa"/>
            <w:vAlign w:val="bottom"/>
            <w:gridSpan w:val="2"/>
          </w:tcPr>
          <w:p>
            <w:pPr>
              <w:ind w:left="1480"/>
              <w:spacing w:after="0"/>
              <w:rPr>
                <w:sz w:val="20"/>
                <w:szCs w:val="20"/>
                <w:color w:val="auto"/>
              </w:rPr>
            </w:pPr>
            <w:r>
              <w:rPr>
                <w:rFonts w:ascii="Arial" w:cs="Arial" w:eastAsia="Arial" w:hAnsi="Arial"/>
                <w:sz w:val="13"/>
                <w:szCs w:val="13"/>
                <w:b w:val="1"/>
                <w:bCs w:val="1"/>
                <w:color w:val="auto"/>
                <w:w w:val="94"/>
              </w:rPr>
              <w:t>Exhibit 21</w:t>
            </w:r>
          </w:p>
        </w:tc>
      </w:tr>
      <w:tr>
        <w:trPr>
          <w:trHeight w:val="403"/>
        </w:trPr>
        <w:tc>
          <w:tcPr>
            <w:tcW w:w="20" w:type="dxa"/>
            <w:vAlign w:val="bottom"/>
          </w:tcPr>
          <w:p>
            <w:pPr>
              <w:spacing w:after="0"/>
              <w:rPr>
                <w:sz w:val="24"/>
                <w:szCs w:val="24"/>
                <w:color w:val="auto"/>
              </w:rPr>
            </w:pPr>
          </w:p>
        </w:tc>
        <w:tc>
          <w:tcPr>
            <w:tcW w:w="8800" w:type="dxa"/>
            <w:vAlign w:val="bottom"/>
          </w:tcPr>
          <w:p>
            <w:pPr>
              <w:jc w:val="center"/>
              <w:ind w:left="2553"/>
              <w:spacing w:after="0"/>
              <w:rPr>
                <w:sz w:val="20"/>
                <w:szCs w:val="20"/>
                <w:color w:val="auto"/>
              </w:rPr>
            </w:pPr>
            <w:r>
              <w:rPr>
                <w:rFonts w:ascii="Arial" w:cs="Arial" w:eastAsia="Arial" w:hAnsi="Arial"/>
                <w:sz w:val="13"/>
                <w:szCs w:val="13"/>
                <w:color w:val="auto"/>
                <w:w w:val="98"/>
              </w:rPr>
              <w:t>HARRIS STRATEX NETWORKS, INC.</w:t>
            </w:r>
          </w:p>
        </w:tc>
        <w:tc>
          <w:tcPr>
            <w:tcW w:w="5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1"/>
        </w:trPr>
        <w:tc>
          <w:tcPr>
            <w:tcW w:w="20" w:type="dxa"/>
            <w:vAlign w:val="bottom"/>
          </w:tcPr>
          <w:p>
            <w:pPr>
              <w:spacing w:after="0"/>
              <w:rPr>
                <w:sz w:val="20"/>
                <w:szCs w:val="20"/>
                <w:color w:val="auto"/>
              </w:rPr>
            </w:pPr>
          </w:p>
        </w:tc>
        <w:tc>
          <w:tcPr>
            <w:tcW w:w="8800" w:type="dxa"/>
            <w:vAlign w:val="bottom"/>
          </w:tcPr>
          <w:p>
            <w:pPr>
              <w:jc w:val="center"/>
              <w:ind w:left="2553"/>
              <w:spacing w:after="0"/>
              <w:rPr>
                <w:sz w:val="20"/>
                <w:szCs w:val="20"/>
                <w:color w:val="auto"/>
              </w:rPr>
            </w:pPr>
            <w:r>
              <w:rPr>
                <w:rFonts w:ascii="Arial" w:cs="Arial" w:eastAsia="Arial" w:hAnsi="Arial"/>
                <w:sz w:val="13"/>
                <w:szCs w:val="13"/>
                <w:color w:val="auto"/>
                <w:w w:val="97"/>
              </w:rPr>
              <w:t>SUBSIDIARIES AS OF JULY 16, 2009</w:t>
            </w:r>
          </w:p>
        </w:tc>
        <w:tc>
          <w:tcPr>
            <w:tcW w:w="5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72"/>
        </w:trPr>
        <w:tc>
          <w:tcPr>
            <w:tcW w:w="20" w:type="dxa"/>
            <w:vAlign w:val="bottom"/>
          </w:tcPr>
          <w:p>
            <w:pPr>
              <w:spacing w:after="0"/>
              <w:rPr>
                <w:sz w:val="14"/>
                <w:szCs w:val="14"/>
                <w:color w:val="auto"/>
              </w:rPr>
            </w:pPr>
          </w:p>
        </w:tc>
        <w:tc>
          <w:tcPr>
            <w:tcW w:w="8800" w:type="dxa"/>
            <w:vAlign w:val="bottom"/>
          </w:tcPr>
          <w:p>
            <w:pPr>
              <w:jc w:val="center"/>
              <w:ind w:left="2553"/>
              <w:spacing w:after="0"/>
              <w:rPr>
                <w:sz w:val="20"/>
                <w:szCs w:val="20"/>
                <w:color w:val="auto"/>
              </w:rPr>
            </w:pPr>
            <w:r>
              <w:rPr>
                <w:rFonts w:ascii="Arial" w:cs="Arial" w:eastAsia="Arial" w:hAnsi="Arial"/>
                <w:sz w:val="13"/>
                <w:szCs w:val="13"/>
                <w:color w:val="auto"/>
                <w:w w:val="95"/>
              </w:rPr>
              <w:t>(100% direct or indirect ownership by Harris Stratex Networks, Inc.)</w:t>
            </w:r>
          </w:p>
        </w:tc>
        <w:tc>
          <w:tcPr>
            <w:tcW w:w="5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72"/>
        </w:trPr>
        <w:tc>
          <w:tcPr>
            <w:tcW w:w="20" w:type="dxa"/>
            <w:vAlign w:val="bottom"/>
          </w:tcPr>
          <w:p>
            <w:pPr>
              <w:spacing w:after="0"/>
              <w:rPr>
                <w:sz w:val="23"/>
                <w:szCs w:val="23"/>
                <w:color w:val="auto"/>
              </w:rPr>
            </w:pPr>
          </w:p>
        </w:tc>
        <w:tc>
          <w:tcPr>
            <w:tcW w:w="8800" w:type="dxa"/>
            <w:vAlign w:val="bottom"/>
            <w:tcBorders>
              <w:bottom w:val="single" w:sz="8" w:color="auto"/>
            </w:tcBorders>
          </w:tcPr>
          <w:p>
            <w:pPr>
              <w:ind w:left="3960"/>
              <w:spacing w:after="0"/>
              <w:rPr>
                <w:sz w:val="20"/>
                <w:szCs w:val="20"/>
                <w:color w:val="auto"/>
              </w:rPr>
            </w:pPr>
            <w:r>
              <w:rPr>
                <w:rFonts w:ascii="Arial" w:cs="Arial" w:eastAsia="Arial" w:hAnsi="Arial"/>
                <w:sz w:val="11"/>
                <w:szCs w:val="11"/>
                <w:color w:val="auto"/>
              </w:rPr>
              <w:t>Name of Subsidiary</w:t>
            </w:r>
          </w:p>
        </w:tc>
        <w:tc>
          <w:tcPr>
            <w:tcW w:w="580" w:type="dxa"/>
            <w:vAlign w:val="bottom"/>
          </w:tcPr>
          <w:p>
            <w:pPr>
              <w:spacing w:after="0"/>
              <w:rPr>
                <w:sz w:val="23"/>
                <w:szCs w:val="23"/>
                <w:color w:val="auto"/>
              </w:rPr>
            </w:pPr>
          </w:p>
        </w:tc>
        <w:tc>
          <w:tcPr>
            <w:tcW w:w="2060" w:type="dxa"/>
            <w:vAlign w:val="bottom"/>
            <w:tcBorders>
              <w:bottom w:val="single" w:sz="8" w:color="auto"/>
            </w:tcBorders>
          </w:tcPr>
          <w:p>
            <w:pPr>
              <w:ind w:left="100"/>
              <w:spacing w:after="0"/>
              <w:rPr>
                <w:sz w:val="20"/>
                <w:szCs w:val="20"/>
                <w:color w:val="auto"/>
              </w:rPr>
            </w:pPr>
            <w:r>
              <w:rPr>
                <w:rFonts w:ascii="Arial" w:cs="Arial" w:eastAsia="Arial" w:hAnsi="Arial"/>
                <w:sz w:val="11"/>
                <w:szCs w:val="11"/>
                <w:color w:val="auto"/>
                <w:w w:val="93"/>
              </w:rPr>
              <w:t>State or Other Jurisdiction of Incorporation</w:t>
            </w:r>
          </w:p>
        </w:tc>
        <w:tc>
          <w:tcPr>
            <w:tcW w:w="20" w:type="dxa"/>
            <w:vAlign w:val="bottom"/>
          </w:tcPr>
          <w:p>
            <w:pPr>
              <w:spacing w:after="0"/>
              <w:rPr>
                <w:sz w:val="23"/>
                <w:szCs w:val="23"/>
                <w:color w:val="auto"/>
              </w:rPr>
            </w:pPr>
          </w:p>
        </w:tc>
      </w:tr>
      <w:tr>
        <w:trPr>
          <w:trHeight w:val="151"/>
        </w:trPr>
        <w:tc>
          <w:tcPr>
            <w:tcW w:w="20" w:type="dxa"/>
            <w:vAlign w:val="bottom"/>
          </w:tcPr>
          <w:p>
            <w:pPr>
              <w:spacing w:after="0"/>
              <w:rPr>
                <w:sz w:val="13"/>
                <w:szCs w:val="13"/>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3"/>
                <w:szCs w:val="13"/>
                <w:color w:val="auto"/>
              </w:rPr>
              <w:t>Harris Stratex Networks Algeria S.A.R.L.</w:t>
            </w:r>
          </w:p>
        </w:tc>
        <w:tc>
          <w:tcPr>
            <w:tcW w:w="264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Algeria</w:t>
            </w:r>
          </w:p>
        </w:tc>
        <w:tc>
          <w:tcPr>
            <w:tcW w:w="20" w:type="dxa"/>
            <w:vAlign w:val="bottom"/>
          </w:tcPr>
          <w:p>
            <w:pPr>
              <w:spacing w:after="0"/>
              <w:rPr>
                <w:sz w:val="13"/>
                <w:szCs w:val="13"/>
                <w:color w:val="auto"/>
              </w:rPr>
            </w:pPr>
          </w:p>
        </w:tc>
      </w:tr>
      <w:tr>
        <w:trPr>
          <w:trHeight w:val="161"/>
        </w:trPr>
        <w:tc>
          <w:tcPr>
            <w:tcW w:w="20" w:type="dxa"/>
            <w:vAlign w:val="bottom"/>
          </w:tcPr>
          <w:p>
            <w:pPr>
              <w:spacing w:after="0"/>
              <w:rPr>
                <w:sz w:val="14"/>
                <w:szCs w:val="14"/>
                <w:color w:val="auto"/>
              </w:rPr>
            </w:pPr>
          </w:p>
        </w:tc>
        <w:tc>
          <w:tcPr>
            <w:tcW w:w="8800" w:type="dxa"/>
            <w:vAlign w:val="bottom"/>
          </w:tcPr>
          <w:p>
            <w:pPr>
              <w:spacing w:after="0"/>
              <w:rPr>
                <w:sz w:val="20"/>
                <w:szCs w:val="20"/>
                <w:color w:val="auto"/>
              </w:rPr>
            </w:pPr>
            <w:r>
              <w:rPr>
                <w:rFonts w:ascii="Arial" w:cs="Arial" w:eastAsia="Arial" w:hAnsi="Arial"/>
                <w:sz w:val="13"/>
                <w:szCs w:val="13"/>
                <w:color w:val="auto"/>
              </w:rPr>
              <w:t>Harris Communication Argentina SA</w:t>
            </w:r>
          </w:p>
        </w:tc>
        <w:tc>
          <w:tcPr>
            <w:tcW w:w="2640" w:type="dxa"/>
            <w:vAlign w:val="bottom"/>
            <w:gridSpan w:val="2"/>
          </w:tcPr>
          <w:p>
            <w:pPr>
              <w:ind w:left="580"/>
              <w:spacing w:after="0"/>
              <w:rPr>
                <w:sz w:val="20"/>
                <w:szCs w:val="20"/>
                <w:color w:val="auto"/>
              </w:rPr>
            </w:pPr>
            <w:r>
              <w:rPr>
                <w:rFonts w:ascii="Arial" w:cs="Arial" w:eastAsia="Arial" w:hAnsi="Arial"/>
                <w:sz w:val="13"/>
                <w:szCs w:val="13"/>
                <w:color w:val="auto"/>
              </w:rPr>
              <w:t>Argentina</w:t>
            </w:r>
          </w:p>
        </w:tc>
        <w:tc>
          <w:tcPr>
            <w:tcW w:w="2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3"/>
                <w:szCs w:val="13"/>
                <w:color w:val="auto"/>
              </w:rPr>
              <w:t>Harris Stratex Networks (Australia) Pty. Ltd.</w:t>
            </w:r>
          </w:p>
        </w:tc>
        <w:tc>
          <w:tcPr>
            <w:tcW w:w="264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Australia</w:t>
            </w:r>
          </w:p>
        </w:tc>
        <w:tc>
          <w:tcPr>
            <w:tcW w:w="2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8800" w:type="dxa"/>
            <w:vAlign w:val="bottom"/>
          </w:tcPr>
          <w:p>
            <w:pPr>
              <w:spacing w:after="0"/>
              <w:rPr>
                <w:sz w:val="20"/>
                <w:szCs w:val="20"/>
                <w:color w:val="auto"/>
              </w:rPr>
            </w:pPr>
            <w:r>
              <w:rPr>
                <w:rFonts w:ascii="Arial" w:cs="Arial" w:eastAsia="Arial" w:hAnsi="Arial"/>
                <w:sz w:val="13"/>
                <w:szCs w:val="13"/>
                <w:color w:val="auto"/>
              </w:rPr>
              <w:t>Harris Stratex Networks (Bangladesh) Limited</w:t>
            </w:r>
          </w:p>
        </w:tc>
        <w:tc>
          <w:tcPr>
            <w:tcW w:w="2640" w:type="dxa"/>
            <w:vAlign w:val="bottom"/>
            <w:gridSpan w:val="2"/>
          </w:tcPr>
          <w:p>
            <w:pPr>
              <w:ind w:left="580"/>
              <w:spacing w:after="0"/>
              <w:rPr>
                <w:sz w:val="20"/>
                <w:szCs w:val="20"/>
                <w:color w:val="auto"/>
              </w:rPr>
            </w:pPr>
            <w:r>
              <w:rPr>
                <w:rFonts w:ascii="Arial" w:cs="Arial" w:eastAsia="Arial" w:hAnsi="Arial"/>
                <w:sz w:val="13"/>
                <w:szCs w:val="13"/>
                <w:color w:val="auto"/>
              </w:rPr>
              <w:t>Bangladesh</w:t>
            </w:r>
          </w:p>
        </w:tc>
        <w:tc>
          <w:tcPr>
            <w:tcW w:w="2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3"/>
                <w:szCs w:val="13"/>
                <w:color w:val="auto"/>
              </w:rPr>
              <w:t>Harris do Brasil Ltda.</w:t>
            </w:r>
          </w:p>
        </w:tc>
        <w:tc>
          <w:tcPr>
            <w:tcW w:w="264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Brazil</w:t>
            </w:r>
          </w:p>
        </w:tc>
        <w:tc>
          <w:tcPr>
            <w:tcW w:w="2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8800" w:type="dxa"/>
            <w:vAlign w:val="bottom"/>
          </w:tcPr>
          <w:p>
            <w:pPr>
              <w:spacing w:after="0"/>
              <w:rPr>
                <w:sz w:val="20"/>
                <w:szCs w:val="20"/>
                <w:color w:val="auto"/>
              </w:rPr>
            </w:pPr>
            <w:r>
              <w:rPr>
                <w:rFonts w:ascii="Arial" w:cs="Arial" w:eastAsia="Arial" w:hAnsi="Arial"/>
                <w:sz w:val="13"/>
                <w:szCs w:val="13"/>
                <w:color w:val="auto"/>
              </w:rPr>
              <w:t>Stratex Networks do Brasil Ltda.</w:t>
            </w:r>
          </w:p>
        </w:tc>
        <w:tc>
          <w:tcPr>
            <w:tcW w:w="2640" w:type="dxa"/>
            <w:vAlign w:val="bottom"/>
            <w:gridSpan w:val="2"/>
          </w:tcPr>
          <w:p>
            <w:pPr>
              <w:ind w:left="580"/>
              <w:spacing w:after="0"/>
              <w:rPr>
                <w:sz w:val="20"/>
                <w:szCs w:val="20"/>
                <w:color w:val="auto"/>
              </w:rPr>
            </w:pPr>
            <w:r>
              <w:rPr>
                <w:rFonts w:ascii="Arial" w:cs="Arial" w:eastAsia="Arial" w:hAnsi="Arial"/>
                <w:sz w:val="13"/>
                <w:szCs w:val="13"/>
                <w:color w:val="auto"/>
              </w:rPr>
              <w:t>Brazil</w:t>
            </w:r>
          </w:p>
        </w:tc>
        <w:tc>
          <w:tcPr>
            <w:tcW w:w="2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3"/>
                <w:szCs w:val="13"/>
                <w:color w:val="auto"/>
              </w:rPr>
              <w:t>Harris Stratex Networks Canada ULC</w:t>
            </w:r>
          </w:p>
        </w:tc>
        <w:tc>
          <w:tcPr>
            <w:tcW w:w="264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Canada</w:t>
            </w:r>
          </w:p>
        </w:tc>
        <w:tc>
          <w:tcPr>
            <w:tcW w:w="2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8800" w:type="dxa"/>
            <w:vAlign w:val="bottom"/>
          </w:tcPr>
          <w:p>
            <w:pPr>
              <w:spacing w:after="0"/>
              <w:rPr>
                <w:sz w:val="20"/>
                <w:szCs w:val="20"/>
                <w:color w:val="auto"/>
              </w:rPr>
            </w:pPr>
            <w:r>
              <w:rPr>
                <w:rFonts w:ascii="Arial" w:cs="Arial" w:eastAsia="Arial" w:hAnsi="Arial"/>
                <w:sz w:val="13"/>
                <w:szCs w:val="13"/>
                <w:color w:val="auto"/>
              </w:rPr>
              <w:t>Harris Communications (Shenzhen) Ltd.</w:t>
            </w:r>
          </w:p>
        </w:tc>
        <w:tc>
          <w:tcPr>
            <w:tcW w:w="2640" w:type="dxa"/>
            <w:vAlign w:val="bottom"/>
            <w:gridSpan w:val="2"/>
          </w:tcPr>
          <w:p>
            <w:pPr>
              <w:ind w:left="580"/>
              <w:spacing w:after="0"/>
              <w:rPr>
                <w:sz w:val="20"/>
                <w:szCs w:val="20"/>
                <w:color w:val="auto"/>
              </w:rPr>
            </w:pPr>
            <w:r>
              <w:rPr>
                <w:rFonts w:ascii="Arial" w:cs="Arial" w:eastAsia="Arial" w:hAnsi="Arial"/>
                <w:sz w:val="13"/>
                <w:szCs w:val="13"/>
                <w:color w:val="auto"/>
              </w:rPr>
              <w:t>The People’s Republic of China</w:t>
            </w:r>
          </w:p>
        </w:tc>
        <w:tc>
          <w:tcPr>
            <w:tcW w:w="2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3"/>
                <w:szCs w:val="13"/>
                <w:color w:val="auto"/>
              </w:rPr>
              <w:t>Harris Communication France S.A.S.</w:t>
            </w:r>
          </w:p>
        </w:tc>
        <w:tc>
          <w:tcPr>
            <w:tcW w:w="264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France</w:t>
            </w:r>
          </w:p>
        </w:tc>
        <w:tc>
          <w:tcPr>
            <w:tcW w:w="2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8800" w:type="dxa"/>
            <w:vAlign w:val="bottom"/>
          </w:tcPr>
          <w:p>
            <w:pPr>
              <w:spacing w:after="0"/>
              <w:rPr>
                <w:sz w:val="20"/>
                <w:szCs w:val="20"/>
                <w:color w:val="auto"/>
              </w:rPr>
            </w:pPr>
            <w:r>
              <w:rPr>
                <w:rFonts w:ascii="Arial" w:cs="Arial" w:eastAsia="Arial" w:hAnsi="Arial"/>
                <w:sz w:val="13"/>
                <w:szCs w:val="13"/>
                <w:color w:val="auto"/>
              </w:rPr>
              <w:t>Stratex Networks S.A.R.L.</w:t>
            </w:r>
          </w:p>
        </w:tc>
        <w:tc>
          <w:tcPr>
            <w:tcW w:w="2640" w:type="dxa"/>
            <w:vAlign w:val="bottom"/>
            <w:gridSpan w:val="2"/>
          </w:tcPr>
          <w:p>
            <w:pPr>
              <w:ind w:left="580"/>
              <w:spacing w:after="0"/>
              <w:rPr>
                <w:sz w:val="20"/>
                <w:szCs w:val="20"/>
                <w:color w:val="auto"/>
              </w:rPr>
            </w:pPr>
            <w:r>
              <w:rPr>
                <w:rFonts w:ascii="Arial" w:cs="Arial" w:eastAsia="Arial" w:hAnsi="Arial"/>
                <w:sz w:val="13"/>
                <w:szCs w:val="13"/>
                <w:color w:val="auto"/>
              </w:rPr>
              <w:t>France</w:t>
            </w:r>
          </w:p>
        </w:tc>
        <w:tc>
          <w:tcPr>
            <w:tcW w:w="2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3"/>
                <w:szCs w:val="13"/>
                <w:color w:val="auto"/>
              </w:rPr>
              <w:t>Harris Stratex Networks Ghana Limited</w:t>
            </w:r>
          </w:p>
        </w:tc>
        <w:tc>
          <w:tcPr>
            <w:tcW w:w="264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Ghana</w:t>
            </w:r>
          </w:p>
        </w:tc>
        <w:tc>
          <w:tcPr>
            <w:tcW w:w="2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8800" w:type="dxa"/>
            <w:vAlign w:val="bottom"/>
          </w:tcPr>
          <w:p>
            <w:pPr>
              <w:spacing w:after="0"/>
              <w:rPr>
                <w:sz w:val="20"/>
                <w:szCs w:val="20"/>
                <w:color w:val="auto"/>
              </w:rPr>
            </w:pPr>
            <w:r>
              <w:rPr>
                <w:rFonts w:ascii="Arial" w:cs="Arial" w:eastAsia="Arial" w:hAnsi="Arial"/>
                <w:sz w:val="13"/>
                <w:szCs w:val="13"/>
                <w:color w:val="auto"/>
              </w:rPr>
              <w:t>Harris Stratex Networks Holland B.V.</w:t>
            </w:r>
          </w:p>
        </w:tc>
        <w:tc>
          <w:tcPr>
            <w:tcW w:w="2640" w:type="dxa"/>
            <w:vAlign w:val="bottom"/>
            <w:gridSpan w:val="2"/>
          </w:tcPr>
          <w:p>
            <w:pPr>
              <w:ind w:left="580"/>
              <w:spacing w:after="0"/>
              <w:rPr>
                <w:sz w:val="20"/>
                <w:szCs w:val="20"/>
                <w:color w:val="auto"/>
              </w:rPr>
            </w:pPr>
            <w:r>
              <w:rPr>
                <w:rFonts w:ascii="Arial" w:cs="Arial" w:eastAsia="Arial" w:hAnsi="Arial"/>
                <w:sz w:val="13"/>
                <w:szCs w:val="13"/>
                <w:color w:val="auto"/>
              </w:rPr>
              <w:t>The Netherlands</w:t>
            </w:r>
          </w:p>
        </w:tc>
        <w:tc>
          <w:tcPr>
            <w:tcW w:w="2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3"/>
                <w:szCs w:val="13"/>
                <w:color w:val="auto"/>
              </w:rPr>
              <w:t>Harris Stratex Networks HK Limited</w:t>
            </w:r>
          </w:p>
        </w:tc>
        <w:tc>
          <w:tcPr>
            <w:tcW w:w="264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Hong Kong</w:t>
            </w:r>
          </w:p>
        </w:tc>
        <w:tc>
          <w:tcPr>
            <w:tcW w:w="2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8800" w:type="dxa"/>
            <w:vAlign w:val="bottom"/>
          </w:tcPr>
          <w:p>
            <w:pPr>
              <w:spacing w:after="0"/>
              <w:rPr>
                <w:sz w:val="20"/>
                <w:szCs w:val="20"/>
                <w:color w:val="auto"/>
              </w:rPr>
            </w:pPr>
            <w:r>
              <w:rPr>
                <w:rFonts w:ascii="Arial" w:cs="Arial" w:eastAsia="Arial" w:hAnsi="Arial"/>
                <w:sz w:val="13"/>
                <w:szCs w:val="13"/>
                <w:color w:val="auto"/>
              </w:rPr>
              <w:t>Harris Stratex Networks (India) Private Limited</w:t>
            </w:r>
          </w:p>
        </w:tc>
        <w:tc>
          <w:tcPr>
            <w:tcW w:w="2640" w:type="dxa"/>
            <w:vAlign w:val="bottom"/>
            <w:gridSpan w:val="2"/>
          </w:tcPr>
          <w:p>
            <w:pPr>
              <w:ind w:left="580"/>
              <w:spacing w:after="0"/>
              <w:rPr>
                <w:sz w:val="20"/>
                <w:szCs w:val="20"/>
                <w:color w:val="auto"/>
              </w:rPr>
            </w:pPr>
            <w:r>
              <w:rPr>
                <w:rFonts w:ascii="Arial" w:cs="Arial" w:eastAsia="Arial" w:hAnsi="Arial"/>
                <w:sz w:val="13"/>
                <w:szCs w:val="13"/>
                <w:color w:val="auto"/>
              </w:rPr>
              <w:t>India</w:t>
            </w:r>
          </w:p>
        </w:tc>
        <w:tc>
          <w:tcPr>
            <w:tcW w:w="2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3"/>
                <w:szCs w:val="13"/>
                <w:color w:val="auto"/>
              </w:rPr>
              <w:t>Telsima Communications Private Limited</w:t>
            </w:r>
          </w:p>
        </w:tc>
        <w:tc>
          <w:tcPr>
            <w:tcW w:w="264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India</w:t>
            </w:r>
          </w:p>
        </w:tc>
        <w:tc>
          <w:tcPr>
            <w:tcW w:w="2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8800" w:type="dxa"/>
            <w:vAlign w:val="bottom"/>
          </w:tcPr>
          <w:p>
            <w:pPr>
              <w:spacing w:after="0"/>
              <w:rPr>
                <w:sz w:val="20"/>
                <w:szCs w:val="20"/>
                <w:color w:val="auto"/>
              </w:rPr>
            </w:pPr>
            <w:r>
              <w:rPr>
                <w:rFonts w:ascii="Arial" w:cs="Arial" w:eastAsia="Arial" w:hAnsi="Arial"/>
                <w:sz w:val="13"/>
                <w:szCs w:val="13"/>
                <w:color w:val="auto"/>
              </w:rPr>
              <w:t>Pt. Harris Stratex Networks Indonesia</w:t>
            </w:r>
          </w:p>
        </w:tc>
        <w:tc>
          <w:tcPr>
            <w:tcW w:w="2640" w:type="dxa"/>
            <w:vAlign w:val="bottom"/>
            <w:gridSpan w:val="2"/>
          </w:tcPr>
          <w:p>
            <w:pPr>
              <w:ind w:left="580"/>
              <w:spacing w:after="0"/>
              <w:rPr>
                <w:sz w:val="20"/>
                <w:szCs w:val="20"/>
                <w:color w:val="auto"/>
              </w:rPr>
            </w:pPr>
            <w:r>
              <w:rPr>
                <w:rFonts w:ascii="Arial" w:cs="Arial" w:eastAsia="Arial" w:hAnsi="Arial"/>
                <w:sz w:val="13"/>
                <w:szCs w:val="13"/>
                <w:color w:val="auto"/>
              </w:rPr>
              <w:t>Indonesia</w:t>
            </w:r>
          </w:p>
        </w:tc>
        <w:tc>
          <w:tcPr>
            <w:tcW w:w="2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3"/>
                <w:szCs w:val="13"/>
                <w:color w:val="auto"/>
              </w:rPr>
              <w:t>Harris Communications International (Kenya) Limited</w:t>
            </w:r>
          </w:p>
        </w:tc>
        <w:tc>
          <w:tcPr>
            <w:tcW w:w="264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Kenya</w:t>
            </w:r>
          </w:p>
        </w:tc>
        <w:tc>
          <w:tcPr>
            <w:tcW w:w="2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8800" w:type="dxa"/>
            <w:vAlign w:val="bottom"/>
          </w:tcPr>
          <w:p>
            <w:pPr>
              <w:spacing w:after="0"/>
              <w:rPr>
                <w:sz w:val="20"/>
                <w:szCs w:val="20"/>
                <w:color w:val="auto"/>
              </w:rPr>
            </w:pPr>
            <w:r>
              <w:rPr>
                <w:rFonts w:ascii="Arial" w:cs="Arial" w:eastAsia="Arial" w:hAnsi="Arial"/>
                <w:sz w:val="13"/>
                <w:szCs w:val="13"/>
                <w:color w:val="auto"/>
              </w:rPr>
              <w:t>Harris Stratex Networks Malaysia Sdn. Bhd.</w:t>
            </w:r>
          </w:p>
        </w:tc>
        <w:tc>
          <w:tcPr>
            <w:tcW w:w="2640" w:type="dxa"/>
            <w:vAlign w:val="bottom"/>
            <w:gridSpan w:val="2"/>
          </w:tcPr>
          <w:p>
            <w:pPr>
              <w:ind w:left="580"/>
              <w:spacing w:after="0"/>
              <w:rPr>
                <w:sz w:val="20"/>
                <w:szCs w:val="20"/>
                <w:color w:val="auto"/>
              </w:rPr>
            </w:pPr>
            <w:r>
              <w:rPr>
                <w:rFonts w:ascii="Arial" w:cs="Arial" w:eastAsia="Arial" w:hAnsi="Arial"/>
                <w:sz w:val="13"/>
                <w:szCs w:val="13"/>
                <w:color w:val="auto"/>
              </w:rPr>
              <w:t>Malaysia</w:t>
            </w:r>
          </w:p>
        </w:tc>
        <w:tc>
          <w:tcPr>
            <w:tcW w:w="2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3"/>
                <w:szCs w:val="13"/>
                <w:color w:val="auto"/>
              </w:rPr>
              <w:t>Digital Microwave (Mauritius) Private Limited</w:t>
            </w:r>
          </w:p>
        </w:tc>
        <w:tc>
          <w:tcPr>
            <w:tcW w:w="264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Mauritius</w:t>
            </w:r>
          </w:p>
        </w:tc>
        <w:tc>
          <w:tcPr>
            <w:tcW w:w="2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8800" w:type="dxa"/>
            <w:vAlign w:val="bottom"/>
          </w:tcPr>
          <w:p>
            <w:pPr>
              <w:spacing w:after="0"/>
              <w:rPr>
                <w:sz w:val="20"/>
                <w:szCs w:val="20"/>
                <w:color w:val="auto"/>
              </w:rPr>
            </w:pPr>
            <w:r>
              <w:rPr>
                <w:rFonts w:ascii="Arial" w:cs="Arial" w:eastAsia="Arial" w:hAnsi="Arial"/>
                <w:sz w:val="13"/>
                <w:szCs w:val="13"/>
                <w:color w:val="auto"/>
              </w:rPr>
              <w:t>Telsima Holding Company</w:t>
            </w:r>
          </w:p>
        </w:tc>
        <w:tc>
          <w:tcPr>
            <w:tcW w:w="2640" w:type="dxa"/>
            <w:vAlign w:val="bottom"/>
            <w:gridSpan w:val="2"/>
          </w:tcPr>
          <w:p>
            <w:pPr>
              <w:ind w:left="580"/>
              <w:spacing w:after="0"/>
              <w:rPr>
                <w:sz w:val="20"/>
                <w:szCs w:val="20"/>
                <w:color w:val="auto"/>
              </w:rPr>
            </w:pPr>
            <w:r>
              <w:rPr>
                <w:rFonts w:ascii="Arial" w:cs="Arial" w:eastAsia="Arial" w:hAnsi="Arial"/>
                <w:sz w:val="13"/>
                <w:szCs w:val="13"/>
                <w:color w:val="auto"/>
              </w:rPr>
              <w:t>Mauritius</w:t>
            </w:r>
          </w:p>
        </w:tc>
        <w:tc>
          <w:tcPr>
            <w:tcW w:w="2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3"/>
                <w:szCs w:val="13"/>
                <w:color w:val="auto"/>
              </w:rPr>
              <w:t>Harris Stratex Networks México S.A. de C.V.</w:t>
            </w:r>
          </w:p>
        </w:tc>
        <w:tc>
          <w:tcPr>
            <w:tcW w:w="264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Mexico</w:t>
            </w:r>
          </w:p>
        </w:tc>
        <w:tc>
          <w:tcPr>
            <w:tcW w:w="2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8800" w:type="dxa"/>
            <w:vAlign w:val="bottom"/>
          </w:tcPr>
          <w:p>
            <w:pPr>
              <w:spacing w:after="0"/>
              <w:rPr>
                <w:sz w:val="20"/>
                <w:szCs w:val="20"/>
                <w:color w:val="auto"/>
              </w:rPr>
            </w:pPr>
            <w:r>
              <w:rPr>
                <w:rFonts w:ascii="Arial" w:cs="Arial" w:eastAsia="Arial" w:hAnsi="Arial"/>
                <w:sz w:val="13"/>
                <w:szCs w:val="13"/>
                <w:color w:val="auto"/>
              </w:rPr>
              <w:t>Harris Stratex Networks (NZ) Limited</w:t>
            </w:r>
          </w:p>
        </w:tc>
        <w:tc>
          <w:tcPr>
            <w:tcW w:w="2640" w:type="dxa"/>
            <w:vAlign w:val="bottom"/>
            <w:gridSpan w:val="2"/>
          </w:tcPr>
          <w:p>
            <w:pPr>
              <w:ind w:left="580"/>
              <w:spacing w:after="0"/>
              <w:rPr>
                <w:sz w:val="20"/>
                <w:szCs w:val="20"/>
                <w:color w:val="auto"/>
              </w:rPr>
            </w:pPr>
            <w:r>
              <w:rPr>
                <w:rFonts w:ascii="Arial" w:cs="Arial" w:eastAsia="Arial" w:hAnsi="Arial"/>
                <w:sz w:val="13"/>
                <w:szCs w:val="13"/>
                <w:color w:val="auto"/>
              </w:rPr>
              <w:t>New Zealand</w:t>
            </w:r>
          </w:p>
        </w:tc>
        <w:tc>
          <w:tcPr>
            <w:tcW w:w="2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3"/>
                <w:szCs w:val="13"/>
                <w:color w:val="auto"/>
              </w:rPr>
              <w:t>Harris Communications Systems Nigeria Limited</w:t>
            </w:r>
          </w:p>
        </w:tc>
        <w:tc>
          <w:tcPr>
            <w:tcW w:w="264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Nigeria</w:t>
            </w:r>
          </w:p>
        </w:tc>
        <w:tc>
          <w:tcPr>
            <w:tcW w:w="2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8800" w:type="dxa"/>
            <w:vAlign w:val="bottom"/>
          </w:tcPr>
          <w:p>
            <w:pPr>
              <w:spacing w:after="0"/>
              <w:rPr>
                <w:sz w:val="20"/>
                <w:szCs w:val="20"/>
                <w:color w:val="auto"/>
              </w:rPr>
            </w:pPr>
            <w:r>
              <w:rPr>
                <w:rFonts w:ascii="Arial" w:cs="Arial" w:eastAsia="Arial" w:hAnsi="Arial"/>
                <w:sz w:val="13"/>
                <w:szCs w:val="13"/>
                <w:color w:val="auto"/>
              </w:rPr>
              <w:t>Stratex Networks Nigeria Limited</w:t>
            </w:r>
          </w:p>
        </w:tc>
        <w:tc>
          <w:tcPr>
            <w:tcW w:w="2640" w:type="dxa"/>
            <w:vAlign w:val="bottom"/>
            <w:gridSpan w:val="2"/>
          </w:tcPr>
          <w:p>
            <w:pPr>
              <w:ind w:left="580"/>
              <w:spacing w:after="0"/>
              <w:rPr>
                <w:sz w:val="20"/>
                <w:szCs w:val="20"/>
                <w:color w:val="auto"/>
              </w:rPr>
            </w:pPr>
            <w:r>
              <w:rPr>
                <w:rFonts w:ascii="Arial" w:cs="Arial" w:eastAsia="Arial" w:hAnsi="Arial"/>
                <w:sz w:val="13"/>
                <w:szCs w:val="13"/>
                <w:color w:val="auto"/>
              </w:rPr>
              <w:t>Nigeria</w:t>
            </w:r>
          </w:p>
        </w:tc>
        <w:tc>
          <w:tcPr>
            <w:tcW w:w="2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3"/>
                <w:szCs w:val="13"/>
                <w:color w:val="auto"/>
              </w:rPr>
              <w:t>Harris Stratex Networks (Clark) Corporation</w:t>
            </w:r>
          </w:p>
        </w:tc>
        <w:tc>
          <w:tcPr>
            <w:tcW w:w="264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The Philippines</w:t>
            </w:r>
          </w:p>
        </w:tc>
        <w:tc>
          <w:tcPr>
            <w:tcW w:w="2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8800" w:type="dxa"/>
            <w:vAlign w:val="bottom"/>
          </w:tcPr>
          <w:p>
            <w:pPr>
              <w:spacing w:after="0"/>
              <w:rPr>
                <w:sz w:val="20"/>
                <w:szCs w:val="20"/>
                <w:color w:val="auto"/>
              </w:rPr>
            </w:pPr>
            <w:r>
              <w:rPr>
                <w:rFonts w:ascii="Arial" w:cs="Arial" w:eastAsia="Arial" w:hAnsi="Arial"/>
                <w:sz w:val="13"/>
                <w:szCs w:val="13"/>
                <w:color w:val="auto"/>
              </w:rPr>
              <w:t>Harris Stratex Networks Philippines, Inc.</w:t>
            </w:r>
          </w:p>
        </w:tc>
        <w:tc>
          <w:tcPr>
            <w:tcW w:w="2640" w:type="dxa"/>
            <w:vAlign w:val="bottom"/>
            <w:gridSpan w:val="2"/>
          </w:tcPr>
          <w:p>
            <w:pPr>
              <w:ind w:left="580"/>
              <w:spacing w:after="0"/>
              <w:rPr>
                <w:sz w:val="20"/>
                <w:szCs w:val="20"/>
                <w:color w:val="auto"/>
              </w:rPr>
            </w:pPr>
            <w:r>
              <w:rPr>
                <w:rFonts w:ascii="Arial" w:cs="Arial" w:eastAsia="Arial" w:hAnsi="Arial"/>
                <w:sz w:val="13"/>
                <w:szCs w:val="13"/>
                <w:color w:val="auto"/>
              </w:rPr>
              <w:t>The Philippines</w:t>
            </w:r>
          </w:p>
        </w:tc>
        <w:tc>
          <w:tcPr>
            <w:tcW w:w="2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3"/>
                <w:szCs w:val="13"/>
                <w:color w:val="auto"/>
              </w:rPr>
              <w:t>Harris Stratex Networks Polska Sp. z.o.o.</w:t>
            </w:r>
          </w:p>
        </w:tc>
        <w:tc>
          <w:tcPr>
            <w:tcW w:w="264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Poland</w:t>
            </w:r>
          </w:p>
        </w:tc>
        <w:tc>
          <w:tcPr>
            <w:tcW w:w="2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8800" w:type="dxa"/>
            <w:vAlign w:val="bottom"/>
          </w:tcPr>
          <w:p>
            <w:pPr>
              <w:spacing w:after="0"/>
              <w:rPr>
                <w:sz w:val="20"/>
                <w:szCs w:val="20"/>
                <w:color w:val="auto"/>
              </w:rPr>
            </w:pPr>
            <w:r>
              <w:rPr>
                <w:rFonts w:ascii="Arial" w:cs="Arial" w:eastAsia="Arial" w:hAnsi="Arial"/>
                <w:sz w:val="13"/>
                <w:szCs w:val="13"/>
                <w:color w:val="auto"/>
              </w:rPr>
              <w:t>Harris Stratex Networks (S) Pte. Ltd.</w:t>
            </w:r>
          </w:p>
        </w:tc>
        <w:tc>
          <w:tcPr>
            <w:tcW w:w="2640" w:type="dxa"/>
            <w:vAlign w:val="bottom"/>
            <w:gridSpan w:val="2"/>
          </w:tcPr>
          <w:p>
            <w:pPr>
              <w:ind w:left="580"/>
              <w:spacing w:after="0"/>
              <w:rPr>
                <w:sz w:val="20"/>
                <w:szCs w:val="20"/>
                <w:color w:val="auto"/>
              </w:rPr>
            </w:pPr>
            <w:r>
              <w:rPr>
                <w:rFonts w:ascii="Arial" w:cs="Arial" w:eastAsia="Arial" w:hAnsi="Arial"/>
                <w:sz w:val="13"/>
                <w:szCs w:val="13"/>
                <w:color w:val="auto"/>
              </w:rPr>
              <w:t>Republic of Singapore</w:t>
            </w:r>
          </w:p>
        </w:tc>
        <w:tc>
          <w:tcPr>
            <w:tcW w:w="2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3"/>
                <w:szCs w:val="13"/>
                <w:color w:val="auto"/>
              </w:rPr>
              <w:t>Telsima storitveno podjetje, d.o.o.</w:t>
            </w:r>
          </w:p>
        </w:tc>
        <w:tc>
          <w:tcPr>
            <w:tcW w:w="264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Slovenia</w:t>
            </w:r>
          </w:p>
        </w:tc>
        <w:tc>
          <w:tcPr>
            <w:tcW w:w="2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8800" w:type="dxa"/>
            <w:vAlign w:val="bottom"/>
          </w:tcPr>
          <w:p>
            <w:pPr>
              <w:spacing w:after="0"/>
              <w:rPr>
                <w:sz w:val="20"/>
                <w:szCs w:val="20"/>
                <w:color w:val="auto"/>
              </w:rPr>
            </w:pPr>
            <w:r>
              <w:rPr>
                <w:rFonts w:ascii="Arial" w:cs="Arial" w:eastAsia="Arial" w:hAnsi="Arial"/>
                <w:sz w:val="13"/>
                <w:szCs w:val="13"/>
                <w:color w:val="auto"/>
              </w:rPr>
              <w:t>Harris Stratex Networks (South Africa) (Proprietary) Limited</w:t>
            </w:r>
          </w:p>
        </w:tc>
        <w:tc>
          <w:tcPr>
            <w:tcW w:w="2640" w:type="dxa"/>
            <w:vAlign w:val="bottom"/>
            <w:gridSpan w:val="2"/>
          </w:tcPr>
          <w:p>
            <w:pPr>
              <w:ind w:left="580"/>
              <w:spacing w:after="0"/>
              <w:rPr>
                <w:sz w:val="20"/>
                <w:szCs w:val="20"/>
                <w:color w:val="auto"/>
              </w:rPr>
            </w:pPr>
            <w:r>
              <w:rPr>
                <w:rFonts w:ascii="Arial" w:cs="Arial" w:eastAsia="Arial" w:hAnsi="Arial"/>
                <w:sz w:val="13"/>
                <w:szCs w:val="13"/>
                <w:color w:val="auto"/>
              </w:rPr>
              <w:t>Republic of South Africa</w:t>
            </w:r>
          </w:p>
        </w:tc>
        <w:tc>
          <w:tcPr>
            <w:tcW w:w="2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3"/>
                <w:szCs w:val="13"/>
                <w:color w:val="auto"/>
              </w:rPr>
              <w:t>MAS Technology Holdings (Proprietary) Limited</w:t>
            </w:r>
          </w:p>
        </w:tc>
        <w:tc>
          <w:tcPr>
            <w:tcW w:w="264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Republic of South Africa</w:t>
            </w:r>
          </w:p>
        </w:tc>
        <w:tc>
          <w:tcPr>
            <w:tcW w:w="2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8800" w:type="dxa"/>
            <w:vAlign w:val="bottom"/>
          </w:tcPr>
          <w:p>
            <w:pPr>
              <w:spacing w:after="0"/>
              <w:rPr>
                <w:sz w:val="20"/>
                <w:szCs w:val="20"/>
                <w:color w:val="auto"/>
              </w:rPr>
            </w:pPr>
            <w:r>
              <w:rPr>
                <w:rFonts w:ascii="Arial" w:cs="Arial" w:eastAsia="Arial" w:hAnsi="Arial"/>
                <w:sz w:val="13"/>
                <w:szCs w:val="13"/>
                <w:color w:val="auto"/>
              </w:rPr>
              <w:t>DMC Stratex Networks (South Africa) (Proprietary) Limited</w:t>
            </w:r>
          </w:p>
        </w:tc>
        <w:tc>
          <w:tcPr>
            <w:tcW w:w="2640" w:type="dxa"/>
            <w:vAlign w:val="bottom"/>
            <w:gridSpan w:val="2"/>
          </w:tcPr>
          <w:p>
            <w:pPr>
              <w:ind w:left="580"/>
              <w:spacing w:after="0"/>
              <w:rPr>
                <w:sz w:val="20"/>
                <w:szCs w:val="20"/>
                <w:color w:val="auto"/>
              </w:rPr>
            </w:pPr>
            <w:r>
              <w:rPr>
                <w:rFonts w:ascii="Arial" w:cs="Arial" w:eastAsia="Arial" w:hAnsi="Arial"/>
                <w:sz w:val="13"/>
                <w:szCs w:val="13"/>
                <w:color w:val="auto"/>
              </w:rPr>
              <w:t>Republic of South Africa</w:t>
            </w:r>
          </w:p>
        </w:tc>
        <w:tc>
          <w:tcPr>
            <w:tcW w:w="2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3"/>
                <w:szCs w:val="13"/>
                <w:color w:val="auto"/>
              </w:rPr>
              <w:t>Harris Stratex Networks Tanzania Limited</w:t>
            </w:r>
          </w:p>
        </w:tc>
        <w:tc>
          <w:tcPr>
            <w:tcW w:w="264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Tanzania</w:t>
            </w:r>
          </w:p>
        </w:tc>
        <w:tc>
          <w:tcPr>
            <w:tcW w:w="2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8800" w:type="dxa"/>
            <w:vAlign w:val="bottom"/>
          </w:tcPr>
          <w:p>
            <w:pPr>
              <w:spacing w:after="0"/>
              <w:rPr>
                <w:sz w:val="20"/>
                <w:szCs w:val="20"/>
                <w:color w:val="auto"/>
              </w:rPr>
            </w:pPr>
            <w:r>
              <w:rPr>
                <w:rFonts w:ascii="Arial" w:cs="Arial" w:eastAsia="Arial" w:hAnsi="Arial"/>
                <w:sz w:val="13"/>
                <w:szCs w:val="13"/>
                <w:color w:val="auto"/>
              </w:rPr>
              <w:t>Harris Stratex Networks (Thailand) Ltd.</w:t>
            </w:r>
          </w:p>
        </w:tc>
        <w:tc>
          <w:tcPr>
            <w:tcW w:w="2640" w:type="dxa"/>
            <w:vAlign w:val="bottom"/>
            <w:gridSpan w:val="2"/>
          </w:tcPr>
          <w:p>
            <w:pPr>
              <w:ind w:left="580"/>
              <w:spacing w:after="0"/>
              <w:rPr>
                <w:sz w:val="20"/>
                <w:szCs w:val="20"/>
                <w:color w:val="auto"/>
              </w:rPr>
            </w:pPr>
            <w:r>
              <w:rPr>
                <w:rFonts w:ascii="Arial" w:cs="Arial" w:eastAsia="Arial" w:hAnsi="Arial"/>
                <w:sz w:val="13"/>
                <w:szCs w:val="13"/>
                <w:color w:val="auto"/>
              </w:rPr>
              <w:t>Thailand</w:t>
            </w:r>
          </w:p>
        </w:tc>
        <w:tc>
          <w:tcPr>
            <w:tcW w:w="2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3"/>
                <w:szCs w:val="13"/>
                <w:color w:val="auto"/>
              </w:rPr>
              <w:t>Harris Stratex Networks (UK) Limited</w:t>
            </w:r>
          </w:p>
        </w:tc>
        <w:tc>
          <w:tcPr>
            <w:tcW w:w="264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Delaware</w:t>
            </w:r>
          </w:p>
        </w:tc>
        <w:tc>
          <w:tcPr>
            <w:tcW w:w="2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8800" w:type="dxa"/>
            <w:vAlign w:val="bottom"/>
          </w:tcPr>
          <w:p>
            <w:pPr>
              <w:spacing w:after="0"/>
              <w:rPr>
                <w:sz w:val="20"/>
                <w:szCs w:val="20"/>
                <w:color w:val="auto"/>
              </w:rPr>
            </w:pPr>
            <w:r>
              <w:rPr>
                <w:rFonts w:ascii="Arial" w:cs="Arial" w:eastAsia="Arial" w:hAnsi="Arial"/>
                <w:sz w:val="13"/>
                <w:szCs w:val="13"/>
                <w:color w:val="auto"/>
              </w:rPr>
              <w:t>BWA Technology, Inc.</w:t>
            </w:r>
          </w:p>
        </w:tc>
        <w:tc>
          <w:tcPr>
            <w:tcW w:w="2640" w:type="dxa"/>
            <w:vAlign w:val="bottom"/>
            <w:gridSpan w:val="2"/>
          </w:tcPr>
          <w:p>
            <w:pPr>
              <w:ind w:left="580"/>
              <w:spacing w:after="0"/>
              <w:rPr>
                <w:sz w:val="20"/>
                <w:szCs w:val="20"/>
                <w:color w:val="auto"/>
              </w:rPr>
            </w:pPr>
            <w:r>
              <w:rPr>
                <w:rFonts w:ascii="Arial" w:cs="Arial" w:eastAsia="Arial" w:hAnsi="Arial"/>
                <w:sz w:val="13"/>
                <w:szCs w:val="13"/>
                <w:color w:val="auto"/>
              </w:rPr>
              <w:t>Delaware</w:t>
            </w:r>
          </w:p>
        </w:tc>
        <w:tc>
          <w:tcPr>
            <w:tcW w:w="2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3"/>
                <w:szCs w:val="13"/>
                <w:color w:val="auto"/>
              </w:rPr>
              <w:t>Harris Communications International, Inc.</w:t>
            </w:r>
          </w:p>
        </w:tc>
        <w:tc>
          <w:tcPr>
            <w:tcW w:w="264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Delaware</w:t>
            </w:r>
          </w:p>
        </w:tc>
        <w:tc>
          <w:tcPr>
            <w:tcW w:w="2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8800" w:type="dxa"/>
            <w:vAlign w:val="bottom"/>
          </w:tcPr>
          <w:p>
            <w:pPr>
              <w:spacing w:after="0"/>
              <w:rPr>
                <w:sz w:val="20"/>
                <w:szCs w:val="20"/>
                <w:color w:val="auto"/>
              </w:rPr>
            </w:pPr>
            <w:r>
              <w:rPr>
                <w:rFonts w:ascii="Arial" w:cs="Arial" w:eastAsia="Arial" w:hAnsi="Arial"/>
                <w:sz w:val="13"/>
                <w:szCs w:val="13"/>
                <w:color w:val="auto"/>
              </w:rPr>
              <w:t>Harris Stratex Networks Operating Corporation</w:t>
            </w:r>
          </w:p>
        </w:tc>
        <w:tc>
          <w:tcPr>
            <w:tcW w:w="2640" w:type="dxa"/>
            <w:vAlign w:val="bottom"/>
            <w:gridSpan w:val="2"/>
          </w:tcPr>
          <w:p>
            <w:pPr>
              <w:ind w:left="580"/>
              <w:spacing w:after="0"/>
              <w:rPr>
                <w:sz w:val="20"/>
                <w:szCs w:val="20"/>
                <w:color w:val="auto"/>
              </w:rPr>
            </w:pPr>
            <w:r>
              <w:rPr>
                <w:rFonts w:ascii="Arial" w:cs="Arial" w:eastAsia="Arial" w:hAnsi="Arial"/>
                <w:sz w:val="13"/>
                <w:szCs w:val="13"/>
                <w:color w:val="auto"/>
              </w:rPr>
              <w:t>Delaware</w:t>
            </w:r>
          </w:p>
        </w:tc>
        <w:tc>
          <w:tcPr>
            <w:tcW w:w="2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3"/>
                <w:szCs w:val="13"/>
                <w:color w:val="auto"/>
              </w:rPr>
              <w:t>Telsima Corporation</w:t>
            </w:r>
          </w:p>
        </w:tc>
        <w:tc>
          <w:tcPr>
            <w:tcW w:w="264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Delaware</w:t>
            </w:r>
          </w:p>
        </w:tc>
        <w:tc>
          <w:tcPr>
            <w:tcW w:w="20" w:type="dxa"/>
            <w:vAlign w:val="bottom"/>
          </w:tcPr>
          <w:p>
            <w:pPr>
              <w:spacing w:after="0"/>
              <w:rPr>
                <w:sz w:val="14"/>
                <w:szCs w:val="14"/>
                <w:color w:val="auto"/>
              </w:rPr>
            </w:pPr>
          </w:p>
        </w:tc>
      </w:tr>
    </w:tbl>
    <w:p>
      <w:pPr>
        <w:sectPr>
          <w:pgSz w:w="11900" w:h="16838" w:orient="portrait"/>
          <w:cols w:equalWidth="0" w:num="1">
            <w:col w:w="11460"/>
          </w:cols>
          <w:pgMar w:left="220" w:top="127" w:right="219" w:bottom="1440" w:gutter="0" w:footer="0" w:header="0"/>
        </w:sectPr>
      </w:pPr>
    </w:p>
    <w:bookmarkStart w:id="136" w:name="page137"/>
    <w:bookmarkEnd w:id="136"/>
    <w:p>
      <w:pPr>
        <w:jc w:val="right"/>
        <w:spacing w:after="0"/>
        <w:rPr>
          <w:sz w:val="20"/>
          <w:szCs w:val="20"/>
          <w:color w:val="auto"/>
        </w:rPr>
      </w:pPr>
      <w:r>
        <w:rPr>
          <w:rFonts w:ascii="Arial" w:cs="Arial" w:eastAsia="Arial" w:hAnsi="Arial"/>
          <w:sz w:val="13"/>
          <w:szCs w:val="13"/>
          <w:b w:val="1"/>
          <w:bCs w:val="1"/>
          <w:color w:val="auto"/>
        </w:rPr>
        <w:t>Exhibit 23</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Consent of Independent Registered Public Accounting Firm</w:t>
      </w:r>
    </w:p>
    <w:p>
      <w:pPr>
        <w:spacing w:after="0" w:line="94" w:lineRule="exact"/>
        <w:rPr>
          <w:sz w:val="20"/>
          <w:szCs w:val="20"/>
          <w:color w:val="auto"/>
        </w:rPr>
      </w:pPr>
    </w:p>
    <w:p>
      <w:pPr>
        <w:ind w:right="20"/>
        <w:spacing w:after="0" w:line="270" w:lineRule="auto"/>
        <w:rPr>
          <w:sz w:val="20"/>
          <w:szCs w:val="20"/>
          <w:color w:val="auto"/>
        </w:rPr>
      </w:pPr>
      <w:r>
        <w:rPr>
          <w:rFonts w:ascii="Arial" w:cs="Arial" w:eastAsia="Arial" w:hAnsi="Arial"/>
          <w:sz w:val="13"/>
          <w:szCs w:val="13"/>
          <w:color w:val="auto"/>
        </w:rPr>
        <w:t>We consent to the incorporation by reference in the Registration Statement Form S-8 (No. 333-140442) of Harris Stratex Networks, Inc. dated February 5, 2007 and Registration Statement (Form S-3 No. 333-140193) filed January 16, 2009 of Harris Stratex Networks, Inc. for the registration of 520,445 shares of its Class A Common Stock of our reports dated September 3, 2009, with respect to the consolidated financial statements and schedule of Harris Stratex Networks, Inc., and the effectiveness of internal control over financial reporting of Harris Stratex Networks, Inc., included in this Annual Report (Form 10-K) for the year ended July 3, 2009.</w:t>
      </w:r>
    </w:p>
    <w:p>
      <w:pPr>
        <w:spacing w:after="0" w:line="133" w:lineRule="exact"/>
        <w:rPr>
          <w:sz w:val="20"/>
          <w:szCs w:val="20"/>
          <w:color w:val="auto"/>
        </w:rPr>
      </w:pPr>
    </w:p>
    <w:p>
      <w:pPr>
        <w:jc w:val="right"/>
        <w:spacing w:after="0"/>
        <w:rPr>
          <w:sz w:val="20"/>
          <w:szCs w:val="20"/>
          <w:color w:val="auto"/>
        </w:rPr>
      </w:pPr>
      <w:r>
        <w:rPr>
          <w:rFonts w:ascii="Arial" w:cs="Arial" w:eastAsia="Arial" w:hAnsi="Arial"/>
          <w:sz w:val="13"/>
          <w:szCs w:val="13"/>
          <w:color w:val="auto"/>
        </w:rPr>
        <w:t>/s/ Ernst &amp; Young</w:t>
      </w:r>
    </w:p>
    <w:p>
      <w:pPr>
        <w:spacing w:after="0" w:line="173" w:lineRule="exact"/>
        <w:rPr>
          <w:sz w:val="20"/>
          <w:szCs w:val="20"/>
          <w:color w:val="auto"/>
        </w:rPr>
      </w:pPr>
    </w:p>
    <w:p>
      <w:pPr>
        <w:spacing w:after="0"/>
        <w:rPr>
          <w:sz w:val="20"/>
          <w:szCs w:val="20"/>
          <w:color w:val="auto"/>
        </w:rPr>
      </w:pPr>
      <w:r>
        <w:rPr>
          <w:rFonts w:ascii="Arial" w:cs="Arial" w:eastAsia="Arial" w:hAnsi="Arial"/>
          <w:sz w:val="13"/>
          <w:szCs w:val="13"/>
          <w:color w:val="auto"/>
        </w:rPr>
        <w:t>Raleigh, North Carolina</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September 3, 2009</w:t>
      </w:r>
    </w:p>
    <w:p>
      <w:pPr>
        <w:sectPr>
          <w:pgSz w:w="11900" w:h="16838" w:orient="portrait"/>
          <w:cols w:equalWidth="0" w:num="1">
            <w:col w:w="11460"/>
          </w:cols>
          <w:pgMar w:left="220" w:top="127" w:right="219" w:bottom="1440" w:gutter="0" w:footer="0" w:header="0"/>
        </w:sectPr>
      </w:pPr>
    </w:p>
    <w:bookmarkStart w:id="137" w:name="page138"/>
    <w:bookmarkEnd w:id="137"/>
    <w:p>
      <w:pPr>
        <w:jc w:val="right"/>
        <w:spacing w:after="0"/>
        <w:rPr>
          <w:sz w:val="20"/>
          <w:szCs w:val="20"/>
          <w:color w:val="auto"/>
        </w:rPr>
      </w:pPr>
      <w:r>
        <w:rPr>
          <w:rFonts w:ascii="Arial" w:cs="Arial" w:eastAsia="Arial" w:hAnsi="Arial"/>
          <w:sz w:val="13"/>
          <w:szCs w:val="13"/>
          <w:b w:val="1"/>
          <w:bCs w:val="1"/>
          <w:color w:val="auto"/>
        </w:rPr>
        <w:t>Exhibit 31.1</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w:t>
      </w:r>
    </w:p>
    <w:p>
      <w:pPr>
        <w:spacing w:after="0" w:line="94" w:lineRule="exact"/>
        <w:rPr>
          <w:sz w:val="20"/>
          <w:szCs w:val="20"/>
          <w:color w:val="auto"/>
        </w:rPr>
      </w:pPr>
    </w:p>
    <w:p>
      <w:pPr>
        <w:spacing w:after="0"/>
        <w:rPr>
          <w:sz w:val="20"/>
          <w:szCs w:val="20"/>
          <w:color w:val="auto"/>
        </w:rPr>
      </w:pPr>
      <w:r>
        <w:rPr>
          <w:rFonts w:ascii="Arial" w:cs="Arial" w:eastAsia="Arial" w:hAnsi="Arial"/>
          <w:sz w:val="13"/>
          <w:szCs w:val="13"/>
          <w:color w:val="auto"/>
        </w:rPr>
        <w:t>I, Harald J. Braun, certify that:</w:t>
      </w:r>
    </w:p>
    <w:p>
      <w:pPr>
        <w:spacing w:after="0" w:line="92" w:lineRule="exact"/>
        <w:rPr>
          <w:sz w:val="20"/>
          <w:szCs w:val="20"/>
          <w:color w:val="auto"/>
        </w:rPr>
      </w:pPr>
    </w:p>
    <w:p>
      <w:pPr>
        <w:ind w:left="460" w:hanging="459"/>
        <w:spacing w:after="0"/>
        <w:tabs>
          <w:tab w:leader="none" w:pos="460" w:val="left"/>
        </w:tabs>
        <w:numPr>
          <w:ilvl w:val="0"/>
          <w:numId w:val="56"/>
        </w:numPr>
        <w:rPr>
          <w:rFonts w:ascii="Arial" w:cs="Arial" w:eastAsia="Arial" w:hAnsi="Arial"/>
          <w:sz w:val="13"/>
          <w:szCs w:val="13"/>
          <w:color w:val="auto"/>
        </w:rPr>
      </w:pPr>
      <w:r>
        <w:rPr>
          <w:rFonts w:ascii="Arial" w:cs="Arial" w:eastAsia="Arial" w:hAnsi="Arial"/>
          <w:sz w:val="13"/>
          <w:szCs w:val="13"/>
          <w:color w:val="auto"/>
        </w:rPr>
        <w:t>I have reviewed this Annual Report on Form 10-K for the fiscal year ended July 3, 2009, of Harris Stratex Networks, Inc.;</w:t>
      </w:r>
    </w:p>
    <w:p>
      <w:pPr>
        <w:spacing w:after="0" w:line="102" w:lineRule="exact"/>
        <w:rPr>
          <w:rFonts w:ascii="Arial" w:cs="Arial" w:eastAsia="Arial" w:hAnsi="Arial"/>
          <w:sz w:val="13"/>
          <w:szCs w:val="13"/>
          <w:color w:val="auto"/>
        </w:rPr>
      </w:pPr>
    </w:p>
    <w:p>
      <w:pPr>
        <w:ind w:left="460" w:right="340" w:hanging="459"/>
        <w:spacing w:after="0" w:line="294" w:lineRule="auto"/>
        <w:tabs>
          <w:tab w:leader="none" w:pos="460" w:val="left"/>
        </w:tabs>
        <w:numPr>
          <w:ilvl w:val="0"/>
          <w:numId w:val="56"/>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3"/>
          <w:szCs w:val="13"/>
          <w:color w:val="auto"/>
        </w:rPr>
      </w:pPr>
    </w:p>
    <w:p>
      <w:pPr>
        <w:ind w:left="460" w:right="140" w:hanging="459"/>
        <w:spacing w:after="0" w:line="294" w:lineRule="auto"/>
        <w:tabs>
          <w:tab w:leader="none" w:pos="460" w:val="left"/>
        </w:tabs>
        <w:numPr>
          <w:ilvl w:val="0"/>
          <w:numId w:val="56"/>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6" w:lineRule="exact"/>
        <w:rPr>
          <w:rFonts w:ascii="Arial" w:cs="Arial" w:eastAsia="Arial" w:hAnsi="Arial"/>
          <w:sz w:val="13"/>
          <w:szCs w:val="13"/>
          <w:color w:val="auto"/>
        </w:rPr>
      </w:pPr>
    </w:p>
    <w:p>
      <w:pPr>
        <w:ind w:left="460" w:right="140" w:hanging="459"/>
        <w:spacing w:after="0" w:line="294" w:lineRule="auto"/>
        <w:tabs>
          <w:tab w:leader="none" w:pos="460" w:val="left"/>
        </w:tabs>
        <w:numPr>
          <w:ilvl w:val="0"/>
          <w:numId w:val="56"/>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6" w:lineRule="exact"/>
        <w:rPr>
          <w:rFonts w:ascii="Arial" w:cs="Arial" w:eastAsia="Arial" w:hAnsi="Arial"/>
          <w:sz w:val="13"/>
          <w:szCs w:val="13"/>
          <w:color w:val="auto"/>
        </w:rPr>
      </w:pPr>
    </w:p>
    <w:p>
      <w:pPr>
        <w:ind w:left="1140" w:right="160" w:hanging="454"/>
        <w:spacing w:after="0" w:line="338" w:lineRule="auto"/>
        <w:tabs>
          <w:tab w:leader="none" w:pos="1140" w:val="left"/>
        </w:tabs>
        <w:numPr>
          <w:ilvl w:val="1"/>
          <w:numId w:val="56"/>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4" w:lineRule="exact"/>
        <w:rPr>
          <w:rFonts w:ascii="Arial" w:cs="Arial" w:eastAsia="Arial" w:hAnsi="Arial"/>
          <w:sz w:val="12"/>
          <w:szCs w:val="12"/>
          <w:color w:val="auto"/>
        </w:rPr>
      </w:pPr>
    </w:p>
    <w:p>
      <w:pPr>
        <w:ind w:left="1140" w:right="20" w:hanging="454"/>
        <w:spacing w:after="0" w:line="338" w:lineRule="auto"/>
        <w:tabs>
          <w:tab w:leader="none" w:pos="1140" w:val="left"/>
        </w:tabs>
        <w:numPr>
          <w:ilvl w:val="1"/>
          <w:numId w:val="56"/>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4" w:lineRule="exact"/>
        <w:rPr>
          <w:rFonts w:ascii="Arial" w:cs="Arial" w:eastAsia="Arial" w:hAnsi="Arial"/>
          <w:sz w:val="12"/>
          <w:szCs w:val="12"/>
          <w:color w:val="auto"/>
        </w:rPr>
      </w:pPr>
    </w:p>
    <w:p>
      <w:pPr>
        <w:ind w:left="1140" w:right="80" w:hanging="454"/>
        <w:spacing w:after="0" w:line="294" w:lineRule="auto"/>
        <w:tabs>
          <w:tab w:leader="none" w:pos="1140" w:val="left"/>
        </w:tabs>
        <w:numPr>
          <w:ilvl w:val="1"/>
          <w:numId w:val="56"/>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6" w:lineRule="exact"/>
        <w:rPr>
          <w:rFonts w:ascii="Arial" w:cs="Arial" w:eastAsia="Arial" w:hAnsi="Arial"/>
          <w:sz w:val="13"/>
          <w:szCs w:val="13"/>
          <w:color w:val="auto"/>
        </w:rPr>
      </w:pPr>
    </w:p>
    <w:p>
      <w:pPr>
        <w:ind w:left="1140" w:right="400" w:hanging="454"/>
        <w:spacing w:after="0" w:line="338" w:lineRule="auto"/>
        <w:tabs>
          <w:tab w:leader="none" w:pos="1140" w:val="left"/>
        </w:tabs>
        <w:numPr>
          <w:ilvl w:val="1"/>
          <w:numId w:val="56"/>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 w:lineRule="exact"/>
        <w:rPr>
          <w:rFonts w:ascii="Arial" w:cs="Arial" w:eastAsia="Arial" w:hAnsi="Arial"/>
          <w:sz w:val="12"/>
          <w:szCs w:val="12"/>
          <w:color w:val="auto"/>
        </w:rPr>
      </w:pPr>
    </w:p>
    <w:p>
      <w:pPr>
        <w:ind w:left="460" w:right="340" w:hanging="459"/>
        <w:spacing w:after="0" w:line="294" w:lineRule="auto"/>
        <w:tabs>
          <w:tab w:leader="none" w:pos="460" w:val="left"/>
        </w:tabs>
        <w:numPr>
          <w:ilvl w:val="0"/>
          <w:numId w:val="56"/>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6" w:lineRule="exact"/>
        <w:rPr>
          <w:rFonts w:ascii="Arial" w:cs="Arial" w:eastAsia="Arial" w:hAnsi="Arial"/>
          <w:sz w:val="13"/>
          <w:szCs w:val="13"/>
          <w:color w:val="auto"/>
        </w:rPr>
      </w:pPr>
    </w:p>
    <w:p>
      <w:pPr>
        <w:ind w:left="1140" w:right="60" w:hanging="454"/>
        <w:spacing w:after="0" w:line="294" w:lineRule="auto"/>
        <w:tabs>
          <w:tab w:leader="none" w:pos="1140" w:val="left"/>
        </w:tabs>
        <w:numPr>
          <w:ilvl w:val="1"/>
          <w:numId w:val="56"/>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6" w:lineRule="exact"/>
        <w:rPr>
          <w:rFonts w:ascii="Arial" w:cs="Arial" w:eastAsia="Arial" w:hAnsi="Arial"/>
          <w:sz w:val="13"/>
          <w:szCs w:val="13"/>
          <w:color w:val="auto"/>
        </w:rPr>
      </w:pPr>
    </w:p>
    <w:p>
      <w:pPr>
        <w:ind w:left="1140" w:hanging="454"/>
        <w:spacing w:after="0"/>
        <w:tabs>
          <w:tab w:leader="none" w:pos="1140" w:val="left"/>
        </w:tabs>
        <w:numPr>
          <w:ilvl w:val="1"/>
          <w:numId w:val="56"/>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340" w:type="dxa"/>
            <w:vAlign w:val="bottom"/>
          </w:tcPr>
          <w:p>
            <w:pPr>
              <w:spacing w:after="0"/>
              <w:rPr>
                <w:sz w:val="20"/>
                <w:szCs w:val="20"/>
                <w:color w:val="auto"/>
              </w:rPr>
            </w:pPr>
            <w:r>
              <w:rPr>
                <w:rFonts w:ascii="Arial" w:cs="Arial" w:eastAsia="Arial" w:hAnsi="Arial"/>
                <w:sz w:val="13"/>
                <w:szCs w:val="13"/>
                <w:color w:val="auto"/>
              </w:rPr>
              <w:t>September 3, 2009</w:t>
            </w:r>
          </w:p>
        </w:tc>
        <w:tc>
          <w:tcPr>
            <w:tcW w:w="44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Harald J. Braun</w:t>
            </w:r>
          </w:p>
        </w:tc>
      </w:tr>
      <w:tr>
        <w:trPr>
          <w:trHeight w:val="141"/>
        </w:trPr>
        <w:tc>
          <w:tcPr>
            <w:tcW w:w="5340" w:type="dxa"/>
            <w:vAlign w:val="bottom"/>
          </w:tcPr>
          <w:p>
            <w:pPr>
              <w:spacing w:after="0"/>
              <w:rPr>
                <w:sz w:val="12"/>
                <w:szCs w:val="12"/>
                <w:color w:val="auto"/>
              </w:rPr>
            </w:pPr>
          </w:p>
        </w:tc>
        <w:tc>
          <w:tcPr>
            <w:tcW w:w="4460" w:type="dxa"/>
            <w:vAlign w:val="bottom"/>
          </w:tcPr>
          <w:p>
            <w:pPr>
              <w:spacing w:after="0" w:line="141" w:lineRule="exact"/>
              <w:rPr>
                <w:sz w:val="20"/>
                <w:szCs w:val="20"/>
                <w:color w:val="auto"/>
              </w:rPr>
            </w:pPr>
            <w:r>
              <w:rPr>
                <w:rFonts w:ascii="Arial" w:cs="Arial" w:eastAsia="Arial" w:hAnsi="Arial"/>
                <w:sz w:val="13"/>
                <w:szCs w:val="13"/>
                <w:color w:val="auto"/>
              </w:rPr>
              <w:t>Name: Harald J. Braun</w:t>
            </w:r>
          </w:p>
        </w:tc>
      </w:tr>
      <w:tr>
        <w:trPr>
          <w:trHeight w:val="172"/>
        </w:trPr>
        <w:tc>
          <w:tcPr>
            <w:tcW w:w="5340" w:type="dxa"/>
            <w:vAlign w:val="bottom"/>
          </w:tcPr>
          <w:p>
            <w:pPr>
              <w:spacing w:after="0"/>
              <w:rPr>
                <w:sz w:val="14"/>
                <w:szCs w:val="14"/>
                <w:color w:val="auto"/>
              </w:rPr>
            </w:pPr>
          </w:p>
        </w:tc>
        <w:tc>
          <w:tcPr>
            <w:tcW w:w="4460" w:type="dxa"/>
            <w:vAlign w:val="bottom"/>
          </w:tcPr>
          <w:p>
            <w:pPr>
              <w:spacing w:after="0"/>
              <w:rPr>
                <w:sz w:val="20"/>
                <w:szCs w:val="20"/>
                <w:color w:val="auto"/>
              </w:rPr>
            </w:pPr>
            <w:r>
              <w:rPr>
                <w:rFonts w:ascii="Arial" w:cs="Arial" w:eastAsia="Arial" w:hAnsi="Arial"/>
                <w:sz w:val="13"/>
                <w:szCs w:val="13"/>
                <w:color w:val="auto"/>
              </w:rPr>
              <w:t>Title:  President and Chief Executive Officer</w:t>
            </w:r>
          </w:p>
        </w:tc>
      </w:tr>
    </w:tbl>
    <w:p>
      <w:pPr>
        <w:sectPr>
          <w:pgSz w:w="11900" w:h="16838" w:orient="portrait"/>
          <w:cols w:equalWidth="0" w:num="1">
            <w:col w:w="11460"/>
          </w:cols>
          <w:pgMar w:left="220" w:top="127" w:right="219" w:bottom="1440" w:gutter="0" w:footer="0" w:header="0"/>
        </w:sectPr>
      </w:pPr>
    </w:p>
    <w:bookmarkStart w:id="138" w:name="page139"/>
    <w:bookmarkEnd w:id="138"/>
    <w:p>
      <w:pPr>
        <w:jc w:val="right"/>
        <w:spacing w:after="0"/>
        <w:rPr>
          <w:sz w:val="20"/>
          <w:szCs w:val="20"/>
          <w:color w:val="auto"/>
        </w:rPr>
      </w:pPr>
      <w:r>
        <w:rPr>
          <w:rFonts w:ascii="Arial" w:cs="Arial" w:eastAsia="Arial" w:hAnsi="Arial"/>
          <w:sz w:val="13"/>
          <w:szCs w:val="13"/>
          <w:b w:val="1"/>
          <w:bCs w:val="1"/>
          <w:color w:val="auto"/>
        </w:rPr>
        <w:t>Exhibit 31.2</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w:t>
      </w:r>
    </w:p>
    <w:p>
      <w:pPr>
        <w:spacing w:after="0" w:line="94" w:lineRule="exact"/>
        <w:rPr>
          <w:sz w:val="20"/>
          <w:szCs w:val="20"/>
          <w:color w:val="auto"/>
        </w:rPr>
      </w:pPr>
    </w:p>
    <w:p>
      <w:pPr>
        <w:spacing w:after="0"/>
        <w:rPr>
          <w:sz w:val="20"/>
          <w:szCs w:val="20"/>
          <w:color w:val="auto"/>
        </w:rPr>
      </w:pPr>
      <w:r>
        <w:rPr>
          <w:rFonts w:ascii="Arial" w:cs="Arial" w:eastAsia="Arial" w:hAnsi="Arial"/>
          <w:sz w:val="13"/>
          <w:szCs w:val="13"/>
          <w:color w:val="auto"/>
        </w:rPr>
        <w:t>I, Thomas L. Cronan, III, certify that:</w:t>
      </w:r>
    </w:p>
    <w:p>
      <w:pPr>
        <w:spacing w:after="0" w:line="92" w:lineRule="exact"/>
        <w:rPr>
          <w:sz w:val="20"/>
          <w:szCs w:val="20"/>
          <w:color w:val="auto"/>
        </w:rPr>
      </w:pPr>
    </w:p>
    <w:p>
      <w:pPr>
        <w:ind w:left="460" w:hanging="459"/>
        <w:spacing w:after="0"/>
        <w:tabs>
          <w:tab w:leader="none" w:pos="460" w:val="left"/>
        </w:tabs>
        <w:numPr>
          <w:ilvl w:val="0"/>
          <w:numId w:val="57"/>
        </w:numPr>
        <w:rPr>
          <w:rFonts w:ascii="Arial" w:cs="Arial" w:eastAsia="Arial" w:hAnsi="Arial"/>
          <w:sz w:val="13"/>
          <w:szCs w:val="13"/>
          <w:color w:val="auto"/>
        </w:rPr>
      </w:pPr>
      <w:r>
        <w:rPr>
          <w:rFonts w:ascii="Arial" w:cs="Arial" w:eastAsia="Arial" w:hAnsi="Arial"/>
          <w:sz w:val="13"/>
          <w:szCs w:val="13"/>
          <w:color w:val="auto"/>
        </w:rPr>
        <w:t>I have reviewed this Annual Report on Form 10-K for the fiscal year ended July 3, 2009, of Harris Stratex Networks, Inc.;</w:t>
      </w:r>
    </w:p>
    <w:p>
      <w:pPr>
        <w:spacing w:after="0" w:line="102" w:lineRule="exact"/>
        <w:rPr>
          <w:rFonts w:ascii="Arial" w:cs="Arial" w:eastAsia="Arial" w:hAnsi="Arial"/>
          <w:sz w:val="13"/>
          <w:szCs w:val="13"/>
          <w:color w:val="auto"/>
        </w:rPr>
      </w:pPr>
    </w:p>
    <w:p>
      <w:pPr>
        <w:ind w:left="460" w:right="340" w:hanging="459"/>
        <w:spacing w:after="0" w:line="294" w:lineRule="auto"/>
        <w:tabs>
          <w:tab w:leader="none" w:pos="460" w:val="left"/>
        </w:tabs>
        <w:numPr>
          <w:ilvl w:val="0"/>
          <w:numId w:val="57"/>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3"/>
          <w:szCs w:val="13"/>
          <w:color w:val="auto"/>
        </w:rPr>
      </w:pPr>
    </w:p>
    <w:p>
      <w:pPr>
        <w:ind w:left="460" w:right="140" w:hanging="459"/>
        <w:spacing w:after="0" w:line="294" w:lineRule="auto"/>
        <w:tabs>
          <w:tab w:leader="none" w:pos="460" w:val="left"/>
        </w:tabs>
        <w:numPr>
          <w:ilvl w:val="0"/>
          <w:numId w:val="57"/>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6" w:lineRule="exact"/>
        <w:rPr>
          <w:rFonts w:ascii="Arial" w:cs="Arial" w:eastAsia="Arial" w:hAnsi="Arial"/>
          <w:sz w:val="13"/>
          <w:szCs w:val="13"/>
          <w:color w:val="auto"/>
        </w:rPr>
      </w:pPr>
    </w:p>
    <w:p>
      <w:pPr>
        <w:ind w:left="460" w:right="140" w:hanging="459"/>
        <w:spacing w:after="0" w:line="294" w:lineRule="auto"/>
        <w:tabs>
          <w:tab w:leader="none" w:pos="460" w:val="left"/>
        </w:tabs>
        <w:numPr>
          <w:ilvl w:val="0"/>
          <w:numId w:val="57"/>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6" w:lineRule="exact"/>
        <w:rPr>
          <w:rFonts w:ascii="Arial" w:cs="Arial" w:eastAsia="Arial" w:hAnsi="Arial"/>
          <w:sz w:val="13"/>
          <w:szCs w:val="13"/>
          <w:color w:val="auto"/>
        </w:rPr>
      </w:pPr>
    </w:p>
    <w:p>
      <w:pPr>
        <w:ind w:left="1140" w:right="160" w:hanging="454"/>
        <w:spacing w:after="0" w:line="338" w:lineRule="auto"/>
        <w:tabs>
          <w:tab w:leader="none" w:pos="1140" w:val="left"/>
        </w:tabs>
        <w:numPr>
          <w:ilvl w:val="1"/>
          <w:numId w:val="57"/>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4" w:lineRule="exact"/>
        <w:rPr>
          <w:rFonts w:ascii="Arial" w:cs="Arial" w:eastAsia="Arial" w:hAnsi="Arial"/>
          <w:sz w:val="12"/>
          <w:szCs w:val="12"/>
          <w:color w:val="auto"/>
        </w:rPr>
      </w:pPr>
    </w:p>
    <w:p>
      <w:pPr>
        <w:ind w:left="1140" w:right="20" w:hanging="454"/>
        <w:spacing w:after="0" w:line="338" w:lineRule="auto"/>
        <w:tabs>
          <w:tab w:leader="none" w:pos="1140" w:val="left"/>
        </w:tabs>
        <w:numPr>
          <w:ilvl w:val="1"/>
          <w:numId w:val="57"/>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4" w:lineRule="exact"/>
        <w:rPr>
          <w:rFonts w:ascii="Arial" w:cs="Arial" w:eastAsia="Arial" w:hAnsi="Arial"/>
          <w:sz w:val="12"/>
          <w:szCs w:val="12"/>
          <w:color w:val="auto"/>
        </w:rPr>
      </w:pPr>
    </w:p>
    <w:p>
      <w:pPr>
        <w:ind w:left="1140" w:right="80" w:hanging="454"/>
        <w:spacing w:after="0" w:line="294" w:lineRule="auto"/>
        <w:tabs>
          <w:tab w:leader="none" w:pos="1140" w:val="left"/>
        </w:tabs>
        <w:numPr>
          <w:ilvl w:val="1"/>
          <w:numId w:val="57"/>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6" w:lineRule="exact"/>
        <w:rPr>
          <w:rFonts w:ascii="Arial" w:cs="Arial" w:eastAsia="Arial" w:hAnsi="Arial"/>
          <w:sz w:val="13"/>
          <w:szCs w:val="13"/>
          <w:color w:val="auto"/>
        </w:rPr>
      </w:pPr>
    </w:p>
    <w:p>
      <w:pPr>
        <w:ind w:left="1140" w:right="400" w:hanging="454"/>
        <w:spacing w:after="0" w:line="338" w:lineRule="auto"/>
        <w:tabs>
          <w:tab w:leader="none" w:pos="1140" w:val="left"/>
        </w:tabs>
        <w:numPr>
          <w:ilvl w:val="1"/>
          <w:numId w:val="57"/>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 w:lineRule="exact"/>
        <w:rPr>
          <w:rFonts w:ascii="Arial" w:cs="Arial" w:eastAsia="Arial" w:hAnsi="Arial"/>
          <w:sz w:val="12"/>
          <w:szCs w:val="12"/>
          <w:color w:val="auto"/>
        </w:rPr>
      </w:pPr>
    </w:p>
    <w:p>
      <w:pPr>
        <w:ind w:left="460" w:right="340" w:hanging="459"/>
        <w:spacing w:after="0" w:line="294" w:lineRule="auto"/>
        <w:tabs>
          <w:tab w:leader="none" w:pos="460" w:val="left"/>
        </w:tabs>
        <w:numPr>
          <w:ilvl w:val="0"/>
          <w:numId w:val="57"/>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6" w:lineRule="exact"/>
        <w:rPr>
          <w:rFonts w:ascii="Arial" w:cs="Arial" w:eastAsia="Arial" w:hAnsi="Arial"/>
          <w:sz w:val="13"/>
          <w:szCs w:val="13"/>
          <w:color w:val="auto"/>
        </w:rPr>
      </w:pPr>
    </w:p>
    <w:p>
      <w:pPr>
        <w:ind w:left="1140" w:right="60" w:hanging="454"/>
        <w:spacing w:after="0" w:line="294" w:lineRule="auto"/>
        <w:tabs>
          <w:tab w:leader="none" w:pos="1140" w:val="left"/>
        </w:tabs>
        <w:numPr>
          <w:ilvl w:val="1"/>
          <w:numId w:val="57"/>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6" w:lineRule="exact"/>
        <w:rPr>
          <w:rFonts w:ascii="Arial" w:cs="Arial" w:eastAsia="Arial" w:hAnsi="Arial"/>
          <w:sz w:val="13"/>
          <w:szCs w:val="13"/>
          <w:color w:val="auto"/>
        </w:rPr>
      </w:pPr>
    </w:p>
    <w:p>
      <w:pPr>
        <w:ind w:left="1140" w:hanging="454"/>
        <w:spacing w:after="0"/>
        <w:tabs>
          <w:tab w:leader="none" w:pos="1140" w:val="left"/>
        </w:tabs>
        <w:numPr>
          <w:ilvl w:val="1"/>
          <w:numId w:val="57"/>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740" w:type="dxa"/>
            <w:vAlign w:val="bottom"/>
          </w:tcPr>
          <w:p>
            <w:pPr>
              <w:spacing w:after="0"/>
              <w:rPr>
                <w:sz w:val="20"/>
                <w:szCs w:val="20"/>
                <w:color w:val="auto"/>
              </w:rPr>
            </w:pPr>
            <w:r>
              <w:rPr>
                <w:rFonts w:ascii="Arial" w:cs="Arial" w:eastAsia="Arial" w:hAnsi="Arial"/>
                <w:sz w:val="13"/>
                <w:szCs w:val="13"/>
                <w:color w:val="auto"/>
              </w:rPr>
              <w:t>September 3, 2009</w:t>
            </w:r>
          </w:p>
        </w:tc>
        <w:tc>
          <w:tcPr>
            <w:tcW w:w="45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Thomas L. Cronan, III</w:t>
            </w:r>
          </w:p>
        </w:tc>
      </w:tr>
      <w:tr>
        <w:trPr>
          <w:trHeight w:val="141"/>
        </w:trPr>
        <w:tc>
          <w:tcPr>
            <w:tcW w:w="5740" w:type="dxa"/>
            <w:vAlign w:val="bottom"/>
          </w:tcPr>
          <w:p>
            <w:pPr>
              <w:spacing w:after="0"/>
              <w:rPr>
                <w:sz w:val="12"/>
                <w:szCs w:val="12"/>
                <w:color w:val="auto"/>
              </w:rPr>
            </w:pPr>
          </w:p>
        </w:tc>
        <w:tc>
          <w:tcPr>
            <w:tcW w:w="4500" w:type="dxa"/>
            <w:vAlign w:val="bottom"/>
          </w:tcPr>
          <w:p>
            <w:pPr>
              <w:spacing w:after="0" w:line="141" w:lineRule="exact"/>
              <w:rPr>
                <w:sz w:val="20"/>
                <w:szCs w:val="20"/>
                <w:color w:val="auto"/>
              </w:rPr>
            </w:pPr>
            <w:r>
              <w:rPr>
                <w:rFonts w:ascii="Arial" w:cs="Arial" w:eastAsia="Arial" w:hAnsi="Arial"/>
                <w:sz w:val="13"/>
                <w:szCs w:val="13"/>
                <w:color w:val="auto"/>
              </w:rPr>
              <w:t>Name: Thomas L. Cronan, III</w:t>
            </w:r>
          </w:p>
        </w:tc>
      </w:tr>
      <w:tr>
        <w:trPr>
          <w:trHeight w:val="172"/>
        </w:trPr>
        <w:tc>
          <w:tcPr>
            <w:tcW w:w="5740" w:type="dxa"/>
            <w:vAlign w:val="bottom"/>
          </w:tcPr>
          <w:p>
            <w:pPr>
              <w:spacing w:after="0"/>
              <w:rPr>
                <w:sz w:val="14"/>
                <w:szCs w:val="14"/>
                <w:color w:val="auto"/>
              </w:rPr>
            </w:pPr>
          </w:p>
        </w:tc>
        <w:tc>
          <w:tcPr>
            <w:tcW w:w="4500" w:type="dxa"/>
            <w:vAlign w:val="bottom"/>
          </w:tcPr>
          <w:p>
            <w:pPr>
              <w:spacing w:after="0"/>
              <w:rPr>
                <w:sz w:val="20"/>
                <w:szCs w:val="20"/>
                <w:color w:val="auto"/>
              </w:rPr>
            </w:pPr>
            <w:r>
              <w:rPr>
                <w:rFonts w:ascii="Arial" w:cs="Arial" w:eastAsia="Arial" w:hAnsi="Arial"/>
                <w:sz w:val="13"/>
                <w:szCs w:val="13"/>
                <w:color w:val="auto"/>
              </w:rPr>
              <w:t>Title:  Senior Vice President and Chief Financial Officer</w:t>
            </w:r>
          </w:p>
        </w:tc>
      </w:tr>
    </w:tbl>
    <w:p>
      <w:pPr>
        <w:sectPr>
          <w:pgSz w:w="11900" w:h="16838" w:orient="portrait"/>
          <w:cols w:equalWidth="0" w:num="1">
            <w:col w:w="11460"/>
          </w:cols>
          <w:pgMar w:left="220" w:top="449" w:right="219" w:bottom="1440" w:gutter="0" w:footer="0" w:header="0"/>
        </w:sectPr>
      </w:pPr>
    </w:p>
    <w:bookmarkStart w:id="139" w:name="page140"/>
    <w:bookmarkEnd w:id="139"/>
    <w:p>
      <w:pPr>
        <w:jc w:val="right"/>
        <w:spacing w:after="0"/>
        <w:rPr>
          <w:sz w:val="20"/>
          <w:szCs w:val="20"/>
          <w:color w:val="auto"/>
        </w:rPr>
      </w:pPr>
      <w:r>
        <w:rPr>
          <w:rFonts w:ascii="Arial" w:cs="Arial" w:eastAsia="Arial" w:hAnsi="Arial"/>
          <w:sz w:val="13"/>
          <w:szCs w:val="13"/>
          <w:b w:val="1"/>
          <w:bCs w:val="1"/>
          <w:color w:val="auto"/>
        </w:rPr>
        <w:t>Exhibit 32.1</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Pursuant to Section 1350 of Chapter 63 of Title 18 of the</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United States Code as Adopted Pursuant to Section 906</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of the Sarbanes-Oxley Act of 2002</w:t>
      </w:r>
    </w:p>
    <w:p>
      <w:pPr>
        <w:spacing w:after="0" w:line="82" w:lineRule="exact"/>
        <w:rPr>
          <w:sz w:val="20"/>
          <w:szCs w:val="20"/>
          <w:color w:val="auto"/>
        </w:rPr>
      </w:pPr>
    </w:p>
    <w:p>
      <w:pPr>
        <w:ind w:right="20" w:firstLine="168"/>
        <w:spacing w:after="0" w:line="294" w:lineRule="auto"/>
        <w:rPr>
          <w:sz w:val="20"/>
          <w:szCs w:val="20"/>
          <w:color w:val="auto"/>
        </w:rPr>
      </w:pPr>
      <w:r>
        <w:rPr>
          <w:rFonts w:ascii="Arial" w:cs="Arial" w:eastAsia="Arial" w:hAnsi="Arial"/>
          <w:sz w:val="13"/>
          <w:szCs w:val="13"/>
          <w:color w:val="auto"/>
        </w:rPr>
        <w:t>In connection with the filing of the Annual Report on Form 10-K of Harris Stratex Networks, Inc. (“Harris Stratex”) for the fiscal year ended July 3, 2009, as filed with the Securities and Exchange Commission on the date hereof (the “Report”), the undersigned, Harald J. Braun, hereby certifies, pursuant to Section 906 of the Sarbanes-Oxley Act of 2002, 18 U.S.C. §1350, that:</w:t>
      </w:r>
    </w:p>
    <w:p>
      <w:pPr>
        <w:spacing w:after="0" w:line="37" w:lineRule="exact"/>
        <w:rPr>
          <w:sz w:val="20"/>
          <w:szCs w:val="20"/>
          <w:color w:val="auto"/>
        </w:rPr>
      </w:pPr>
    </w:p>
    <w:p>
      <w:pPr>
        <w:ind w:left="680" w:hanging="458"/>
        <w:spacing w:after="0"/>
        <w:tabs>
          <w:tab w:leader="none" w:pos="680" w:val="left"/>
        </w:tabs>
        <w:numPr>
          <w:ilvl w:val="0"/>
          <w:numId w:val="58"/>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as applicable, of the Securities Exchange Act of 1934, as amended; and</w:t>
      </w:r>
    </w:p>
    <w:p>
      <w:pPr>
        <w:spacing w:after="0" w:line="102" w:lineRule="exact"/>
        <w:rPr>
          <w:rFonts w:ascii="Arial" w:cs="Arial" w:eastAsia="Arial" w:hAnsi="Arial"/>
          <w:sz w:val="13"/>
          <w:szCs w:val="13"/>
          <w:color w:val="auto"/>
        </w:rPr>
      </w:pPr>
    </w:p>
    <w:p>
      <w:pPr>
        <w:ind w:left="680" w:right="240" w:hanging="458"/>
        <w:spacing w:after="0" w:line="294" w:lineRule="auto"/>
        <w:tabs>
          <w:tab w:leader="none" w:pos="680" w:val="left"/>
        </w:tabs>
        <w:numPr>
          <w:ilvl w:val="0"/>
          <w:numId w:val="58"/>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Harris Stratex as of the dates and for the periods expressed in the Report.</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340" w:type="dxa"/>
            <w:vAlign w:val="bottom"/>
          </w:tcPr>
          <w:p>
            <w:pPr>
              <w:spacing w:after="0"/>
              <w:rPr>
                <w:sz w:val="20"/>
                <w:szCs w:val="20"/>
                <w:color w:val="auto"/>
              </w:rPr>
            </w:pPr>
            <w:r>
              <w:rPr>
                <w:rFonts w:ascii="Arial" w:cs="Arial" w:eastAsia="Arial" w:hAnsi="Arial"/>
                <w:sz w:val="13"/>
                <w:szCs w:val="13"/>
                <w:color w:val="auto"/>
              </w:rPr>
              <w:t>Date: September 3, 2009</w:t>
            </w:r>
          </w:p>
        </w:tc>
        <w:tc>
          <w:tcPr>
            <w:tcW w:w="44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Harald J. Braun</w:t>
            </w:r>
          </w:p>
        </w:tc>
      </w:tr>
      <w:tr>
        <w:trPr>
          <w:trHeight w:val="141"/>
        </w:trPr>
        <w:tc>
          <w:tcPr>
            <w:tcW w:w="5340" w:type="dxa"/>
            <w:vAlign w:val="bottom"/>
          </w:tcPr>
          <w:p>
            <w:pPr>
              <w:spacing w:after="0"/>
              <w:rPr>
                <w:sz w:val="12"/>
                <w:szCs w:val="12"/>
                <w:color w:val="auto"/>
              </w:rPr>
            </w:pPr>
          </w:p>
        </w:tc>
        <w:tc>
          <w:tcPr>
            <w:tcW w:w="4460" w:type="dxa"/>
            <w:vAlign w:val="bottom"/>
          </w:tcPr>
          <w:p>
            <w:pPr>
              <w:spacing w:after="0" w:line="141" w:lineRule="exact"/>
              <w:rPr>
                <w:sz w:val="20"/>
                <w:szCs w:val="20"/>
                <w:color w:val="auto"/>
              </w:rPr>
            </w:pPr>
            <w:r>
              <w:rPr>
                <w:rFonts w:ascii="Arial" w:cs="Arial" w:eastAsia="Arial" w:hAnsi="Arial"/>
                <w:sz w:val="13"/>
                <w:szCs w:val="13"/>
                <w:color w:val="auto"/>
              </w:rPr>
              <w:t>Name: Harald J. Braun</w:t>
            </w:r>
          </w:p>
        </w:tc>
      </w:tr>
      <w:tr>
        <w:trPr>
          <w:trHeight w:val="172"/>
        </w:trPr>
        <w:tc>
          <w:tcPr>
            <w:tcW w:w="5340" w:type="dxa"/>
            <w:vAlign w:val="bottom"/>
          </w:tcPr>
          <w:p>
            <w:pPr>
              <w:spacing w:after="0"/>
              <w:rPr>
                <w:sz w:val="14"/>
                <w:szCs w:val="14"/>
                <w:color w:val="auto"/>
              </w:rPr>
            </w:pPr>
          </w:p>
        </w:tc>
        <w:tc>
          <w:tcPr>
            <w:tcW w:w="4460" w:type="dxa"/>
            <w:vAlign w:val="bottom"/>
          </w:tcPr>
          <w:p>
            <w:pPr>
              <w:spacing w:after="0"/>
              <w:rPr>
                <w:sz w:val="20"/>
                <w:szCs w:val="20"/>
                <w:color w:val="auto"/>
              </w:rPr>
            </w:pPr>
            <w:r>
              <w:rPr>
                <w:rFonts w:ascii="Arial" w:cs="Arial" w:eastAsia="Arial" w:hAnsi="Arial"/>
                <w:sz w:val="13"/>
                <w:szCs w:val="13"/>
                <w:color w:val="auto"/>
              </w:rPr>
              <w:t>Title:  President and Chief Executive Officer</w:t>
            </w:r>
          </w:p>
        </w:tc>
      </w:tr>
    </w:tbl>
    <w:p>
      <w:pPr>
        <w:sectPr>
          <w:pgSz w:w="11900" w:h="16838" w:orient="portrait"/>
          <w:cols w:equalWidth="0" w:num="1">
            <w:col w:w="11460"/>
          </w:cols>
          <w:pgMar w:left="220" w:top="449" w:right="219" w:bottom="1440" w:gutter="0" w:footer="0" w:header="0"/>
        </w:sectPr>
      </w:pPr>
    </w:p>
    <w:bookmarkStart w:id="140" w:name="page141"/>
    <w:bookmarkEnd w:id="140"/>
    <w:p>
      <w:pPr>
        <w:jc w:val="right"/>
        <w:spacing w:after="0"/>
        <w:rPr>
          <w:sz w:val="20"/>
          <w:szCs w:val="20"/>
          <w:color w:val="auto"/>
        </w:rPr>
      </w:pPr>
      <w:r>
        <w:rPr>
          <w:rFonts w:ascii="Arial" w:cs="Arial" w:eastAsia="Arial" w:hAnsi="Arial"/>
          <w:sz w:val="13"/>
          <w:szCs w:val="13"/>
          <w:b w:val="1"/>
          <w:bCs w:val="1"/>
          <w:color w:val="auto"/>
        </w:rPr>
        <w:t>Exhibit 32.2</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Pursuant to Section 1350 of Chapter 63 of Title 18 of the</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United States Code as Adopted Pursuant to Section 906</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of the Sarbanes-Oxley Act of 2002</w:t>
      </w:r>
    </w:p>
    <w:p>
      <w:pPr>
        <w:spacing w:after="0" w:line="82" w:lineRule="exact"/>
        <w:rPr>
          <w:sz w:val="20"/>
          <w:szCs w:val="20"/>
          <w:color w:val="auto"/>
        </w:rPr>
      </w:pPr>
    </w:p>
    <w:p>
      <w:pPr>
        <w:ind w:right="20" w:firstLine="168"/>
        <w:spacing w:after="0" w:line="294" w:lineRule="auto"/>
        <w:rPr>
          <w:sz w:val="20"/>
          <w:szCs w:val="20"/>
          <w:color w:val="auto"/>
        </w:rPr>
      </w:pPr>
      <w:r>
        <w:rPr>
          <w:rFonts w:ascii="Arial" w:cs="Arial" w:eastAsia="Arial" w:hAnsi="Arial"/>
          <w:sz w:val="13"/>
          <w:szCs w:val="13"/>
          <w:color w:val="auto"/>
        </w:rPr>
        <w:t>In connection with the filing of the Annual Report on Form 10-K of Harris Stratex Networks, Inc. (“Harris Stratex”) for the fiscal year ended July 3, 2009, as filed with the Securities and Exchange Commission on the date hereof (the “Report”), the undersigned, Thomas L. Cronan, III, hereby certifies, pursuant to Section 906 of the Sarbanes-Oxley Act of 2002, 18 U.S.C. §1350, that:</w:t>
      </w:r>
    </w:p>
    <w:p>
      <w:pPr>
        <w:spacing w:after="0" w:line="37" w:lineRule="exact"/>
        <w:rPr>
          <w:sz w:val="20"/>
          <w:szCs w:val="20"/>
          <w:color w:val="auto"/>
        </w:rPr>
      </w:pPr>
    </w:p>
    <w:p>
      <w:pPr>
        <w:ind w:left="680" w:hanging="458"/>
        <w:spacing w:after="0"/>
        <w:tabs>
          <w:tab w:leader="none" w:pos="680" w:val="left"/>
        </w:tabs>
        <w:numPr>
          <w:ilvl w:val="0"/>
          <w:numId w:val="59"/>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as applicable, of the Securities Exchange Act of 1934, as amended; and</w:t>
      </w:r>
    </w:p>
    <w:p>
      <w:pPr>
        <w:spacing w:after="0" w:line="102" w:lineRule="exact"/>
        <w:rPr>
          <w:rFonts w:ascii="Arial" w:cs="Arial" w:eastAsia="Arial" w:hAnsi="Arial"/>
          <w:sz w:val="13"/>
          <w:szCs w:val="13"/>
          <w:color w:val="auto"/>
        </w:rPr>
      </w:pPr>
    </w:p>
    <w:p>
      <w:pPr>
        <w:ind w:left="680" w:right="240" w:hanging="458"/>
        <w:spacing w:after="0" w:line="294" w:lineRule="auto"/>
        <w:tabs>
          <w:tab w:leader="none" w:pos="680" w:val="left"/>
        </w:tabs>
        <w:numPr>
          <w:ilvl w:val="0"/>
          <w:numId w:val="59"/>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Harris Stratex as of the dates and for the periods expressed in the Report.</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740" w:type="dxa"/>
            <w:vAlign w:val="bottom"/>
          </w:tcPr>
          <w:p>
            <w:pPr>
              <w:spacing w:after="0"/>
              <w:rPr>
                <w:sz w:val="20"/>
                <w:szCs w:val="20"/>
                <w:color w:val="auto"/>
              </w:rPr>
            </w:pPr>
            <w:r>
              <w:rPr>
                <w:rFonts w:ascii="Arial" w:cs="Arial" w:eastAsia="Arial" w:hAnsi="Arial"/>
                <w:sz w:val="13"/>
                <w:szCs w:val="13"/>
                <w:color w:val="auto"/>
              </w:rPr>
              <w:t>Date: September 3, 2009</w:t>
            </w:r>
          </w:p>
        </w:tc>
        <w:tc>
          <w:tcPr>
            <w:tcW w:w="45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Thomas L. Cronan, III</w:t>
            </w:r>
          </w:p>
        </w:tc>
      </w:tr>
      <w:tr>
        <w:trPr>
          <w:trHeight w:val="141"/>
        </w:trPr>
        <w:tc>
          <w:tcPr>
            <w:tcW w:w="5740" w:type="dxa"/>
            <w:vAlign w:val="bottom"/>
          </w:tcPr>
          <w:p>
            <w:pPr>
              <w:spacing w:after="0"/>
              <w:rPr>
                <w:sz w:val="12"/>
                <w:szCs w:val="12"/>
                <w:color w:val="auto"/>
              </w:rPr>
            </w:pPr>
          </w:p>
        </w:tc>
        <w:tc>
          <w:tcPr>
            <w:tcW w:w="4500" w:type="dxa"/>
            <w:vAlign w:val="bottom"/>
          </w:tcPr>
          <w:p>
            <w:pPr>
              <w:spacing w:after="0" w:line="141" w:lineRule="exact"/>
              <w:rPr>
                <w:sz w:val="20"/>
                <w:szCs w:val="20"/>
                <w:color w:val="auto"/>
              </w:rPr>
            </w:pPr>
            <w:r>
              <w:rPr>
                <w:rFonts w:ascii="Arial" w:cs="Arial" w:eastAsia="Arial" w:hAnsi="Arial"/>
                <w:sz w:val="13"/>
                <w:szCs w:val="13"/>
                <w:color w:val="auto"/>
              </w:rPr>
              <w:t>Name: Thomas L. Cronan, III</w:t>
            </w:r>
          </w:p>
        </w:tc>
      </w:tr>
      <w:tr>
        <w:trPr>
          <w:trHeight w:val="172"/>
        </w:trPr>
        <w:tc>
          <w:tcPr>
            <w:tcW w:w="5740" w:type="dxa"/>
            <w:vAlign w:val="bottom"/>
          </w:tcPr>
          <w:p>
            <w:pPr>
              <w:spacing w:after="0"/>
              <w:rPr>
                <w:sz w:val="14"/>
                <w:szCs w:val="14"/>
                <w:color w:val="auto"/>
              </w:rPr>
            </w:pPr>
          </w:p>
        </w:tc>
        <w:tc>
          <w:tcPr>
            <w:tcW w:w="4500" w:type="dxa"/>
            <w:vAlign w:val="bottom"/>
          </w:tcPr>
          <w:p>
            <w:pPr>
              <w:spacing w:after="0"/>
              <w:rPr>
                <w:sz w:val="20"/>
                <w:szCs w:val="20"/>
                <w:color w:val="auto"/>
              </w:rPr>
            </w:pPr>
            <w:r>
              <w:rPr>
                <w:rFonts w:ascii="Arial" w:cs="Arial" w:eastAsia="Arial" w:hAnsi="Arial"/>
                <w:sz w:val="13"/>
                <w:szCs w:val="13"/>
                <w:color w:val="auto"/>
              </w:rPr>
              <w:t>Title:  Senior Vice President and Chief Financial Officer</w:t>
            </w:r>
          </w:p>
        </w:tc>
      </w:tr>
    </w:tbl>
    <w:p>
      <w:pPr>
        <w:spacing w:after="0" w:line="1" w:lineRule="exact"/>
        <w:rPr>
          <w:sz w:val="20"/>
          <w:szCs w:val="20"/>
          <w:color w:val="auto"/>
        </w:rPr>
      </w:pPr>
    </w:p>
    <w:sectPr>
      <w:pgSz w:w="11900" w:h="16838" w:orient="portrait"/>
      <w:cols w:equalWidth="0" w:num="1">
        <w:col w:w="11460"/>
      </w:cols>
      <w:pgMar w:left="220" w:top="449"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abstractNum>
  <w:abstractNum w:abstractNumId="1">
    <w:nsid w:val="1E7FF521"/>
    <w:multiLevelType w:val="hybridMultilevel"/>
    <w:lvl w:ilvl="0">
      <w:lvlJc w:val="left"/>
      <w:lvlText w:val="o"/>
      <w:numFmt w:val="bullet"/>
      <w:start w:val="1"/>
    </w:lvl>
  </w:abstractNum>
  <w:abstractNum w:abstractNumId="2">
    <w:nsid w:val="7C3DBD3D"/>
    <w:multiLevelType w:val="hybridMultilevel"/>
    <w:lvl w:ilvl="0">
      <w:lvlJc w:val="left"/>
      <w:lvlText w:val="•"/>
      <w:numFmt w:val="bullet"/>
      <w:start w:val="1"/>
    </w:lvl>
  </w:abstractNum>
  <w:abstractNum w:abstractNumId="3">
    <w:nsid w:val="737B8DDC"/>
    <w:multiLevelType w:val="hybridMultilevel"/>
    <w:lvl w:ilvl="0">
      <w:lvlJc w:val="left"/>
      <w:lvlText w:val="•"/>
      <w:numFmt w:val="bullet"/>
      <w:start w:val="1"/>
    </w:lvl>
  </w:abstractNum>
  <w:abstractNum w:abstractNumId="4">
    <w:nsid w:val="6CEAF087"/>
    <w:multiLevelType w:val="hybridMultilevel"/>
    <w:lvl w:ilvl="0">
      <w:lvlJc w:val="left"/>
      <w:lvlText w:val="•"/>
      <w:numFmt w:val="bullet"/>
      <w:start w:val="1"/>
    </w:lvl>
  </w:abstractNum>
  <w:abstractNum w:abstractNumId="5">
    <w:nsid w:val="22221A70"/>
    <w:multiLevelType w:val="hybridMultilevel"/>
    <w:lvl w:ilvl="0">
      <w:lvlJc w:val="left"/>
      <w:lvlText w:val="•"/>
      <w:numFmt w:val="bullet"/>
      <w:start w:val="1"/>
    </w:lvl>
  </w:abstractNum>
  <w:abstractNum w:abstractNumId="6">
    <w:nsid w:val="4516DDE9"/>
    <w:multiLevelType w:val="hybridMultilevel"/>
    <w:lvl w:ilvl="0">
      <w:lvlJc w:val="left"/>
      <w:lvlText w:val="•"/>
      <w:numFmt w:val="bullet"/>
      <w:start w:val="1"/>
    </w:lvl>
  </w:abstractNum>
  <w:abstractNum w:abstractNumId="7">
    <w:nsid w:val="3006C83E"/>
    <w:multiLevelType w:val="hybridMultilevel"/>
    <w:lvl w:ilvl="0">
      <w:lvlJc w:val="left"/>
      <w:lvlText w:val="•"/>
      <w:numFmt w:val="bullet"/>
      <w:start w:val="1"/>
    </w:lvl>
  </w:abstractNum>
  <w:abstractNum w:abstractNumId="8">
    <w:nsid w:val="614FD4A1"/>
    <w:multiLevelType w:val="hybridMultilevel"/>
    <w:lvl w:ilvl="0">
      <w:lvlJc w:val="left"/>
      <w:lvlText w:val="•"/>
      <w:numFmt w:val="bullet"/>
      <w:start w:val="1"/>
    </w:lvl>
  </w:abstractNum>
  <w:abstractNum w:abstractNumId="9">
    <w:nsid w:val="419AC241"/>
    <w:multiLevelType w:val="hybridMultilevel"/>
    <w:lvl w:ilvl="0">
      <w:lvlJc w:val="left"/>
      <w:lvlText w:val="•"/>
      <w:numFmt w:val="bullet"/>
      <w:start w:val="1"/>
    </w:lvl>
  </w:abstractNum>
  <w:abstractNum w:abstractNumId="10">
    <w:nsid w:val="5577F8E1"/>
    <w:multiLevelType w:val="hybridMultilevel"/>
    <w:lvl w:ilvl="0">
      <w:lvlJc w:val="left"/>
      <w:lvlText w:val="•"/>
      <w:numFmt w:val="bullet"/>
      <w:start w:val="1"/>
    </w:lvl>
  </w:abstractNum>
  <w:abstractNum w:abstractNumId="11">
    <w:nsid w:val="440BADFC"/>
    <w:multiLevelType w:val="hybridMultilevel"/>
    <w:lvl w:ilvl="0">
      <w:lvlJc w:val="left"/>
      <w:lvlText w:val="•"/>
      <w:numFmt w:val="bullet"/>
      <w:start w:val="1"/>
    </w:lvl>
  </w:abstractNum>
  <w:abstractNum w:abstractNumId="12">
    <w:nsid w:val="5072367"/>
    <w:multiLevelType w:val="hybridMultilevel"/>
    <w:lvl w:ilvl="0">
      <w:lvlJc w:val="left"/>
      <w:lvlText w:val="•"/>
      <w:numFmt w:val="bullet"/>
      <w:start w:val="1"/>
    </w:lvl>
  </w:abstractNum>
  <w:abstractNum w:abstractNumId="13">
    <w:nsid w:val="3804823E"/>
    <w:multiLevelType w:val="hybridMultilevel"/>
    <w:lvl w:ilvl="0">
      <w:lvlJc w:val="left"/>
      <w:lvlText w:val="•"/>
      <w:numFmt w:val="bullet"/>
      <w:start w:val="1"/>
    </w:lvl>
  </w:abstractNum>
  <w:abstractNum w:abstractNumId="14">
    <w:nsid w:val="77465F01"/>
    <w:multiLevelType w:val="hybridMultilevel"/>
    <w:lvl w:ilvl="0">
      <w:lvlJc w:val="left"/>
      <w:lvlText w:val="•"/>
      <w:numFmt w:val="bullet"/>
      <w:start w:val="1"/>
    </w:lvl>
  </w:abstractNum>
  <w:abstractNum w:abstractNumId="15">
    <w:nsid w:val="7724C67E"/>
    <w:multiLevelType w:val="hybridMultilevel"/>
    <w:lvl w:ilvl="0">
      <w:lvlJc w:val="left"/>
      <w:lvlText w:val="*"/>
      <w:numFmt w:val="bullet"/>
      <w:start w:val="1"/>
    </w:lvl>
  </w:abstractNum>
  <w:abstractNum w:abstractNumId="16">
    <w:nsid w:val="5C482A97"/>
    <w:multiLevelType w:val="hybridMultilevel"/>
    <w:lvl w:ilvl="0">
      <w:lvlJc w:val="left"/>
      <w:lvlText w:val="•"/>
      <w:numFmt w:val="bullet"/>
      <w:start w:val="1"/>
    </w:lvl>
  </w:abstractNum>
  <w:abstractNum w:abstractNumId="17">
    <w:nsid w:val="2463B9EA"/>
    <w:multiLevelType w:val="hybridMultilevel"/>
    <w:lvl w:ilvl="0">
      <w:lvlJc w:val="left"/>
      <w:lvlText w:val="•"/>
      <w:numFmt w:val="bullet"/>
      <w:start w:val="1"/>
    </w:lvl>
  </w:abstractNum>
  <w:abstractNum w:abstractNumId="18">
    <w:nsid w:val="5E884ADC"/>
    <w:multiLevelType w:val="hybridMultilevel"/>
    <w:lvl w:ilvl="0">
      <w:lvlJc w:val="left"/>
      <w:lvlText w:val="•"/>
      <w:numFmt w:val="bullet"/>
      <w:start w:val="1"/>
    </w:lvl>
  </w:abstractNum>
  <w:abstractNum w:abstractNumId="19">
    <w:nsid w:val="51EAD36B"/>
    <w:multiLevelType w:val="hybridMultilevel"/>
    <w:lvl w:ilvl="0">
      <w:lvlJc w:val="left"/>
      <w:lvlText w:val="•"/>
      <w:numFmt w:val="bullet"/>
      <w:start w:val="1"/>
    </w:lvl>
  </w:abstractNum>
  <w:abstractNum w:abstractNumId="20">
    <w:nsid w:val="2D517796"/>
    <w:multiLevelType w:val="hybridMultilevel"/>
    <w:lvl w:ilvl="0">
      <w:lvlJc w:val="left"/>
      <w:lvlText w:val="$"/>
      <w:numFmt w:val="bullet"/>
      <w:start w:val="1"/>
    </w:lvl>
  </w:abstractNum>
  <w:abstractNum w:abstractNumId="21">
    <w:nsid w:val="580BD78F"/>
    <w:multiLevelType w:val="hybridMultilevel"/>
    <w:lvl w:ilvl="0">
      <w:lvlJc w:val="left"/>
      <w:lvlText w:val="$"/>
      <w:numFmt w:val="bullet"/>
      <w:start w:val="1"/>
    </w:lvl>
  </w:abstractNum>
  <w:abstractNum w:abstractNumId="22">
    <w:nsid w:val="153EA438"/>
    <w:multiLevelType w:val="hybridMultilevel"/>
    <w:lvl w:ilvl="0">
      <w:lvlJc w:val="left"/>
      <w:lvlText w:val="(%1)"/>
      <w:numFmt w:val="decimal"/>
      <w:start w:val="2"/>
    </w:lvl>
  </w:abstractNum>
  <w:abstractNum w:abstractNumId="23">
    <w:nsid w:val="3855585C"/>
    <w:multiLevelType w:val="hybridMultilevel"/>
    <w:lvl w:ilvl="0">
      <w:lvlJc w:val="left"/>
      <w:lvlText w:val="(%1)"/>
      <w:numFmt w:val="decimal"/>
      <w:start w:val="1"/>
    </w:lvl>
  </w:abstractNum>
  <w:abstractNum w:abstractNumId="24">
    <w:nsid w:val="70A64E2A"/>
    <w:multiLevelType w:val="hybridMultilevel"/>
    <w:lvl w:ilvl="0">
      <w:lvlJc w:val="left"/>
      <w:lvlText w:val="•"/>
      <w:numFmt w:val="bullet"/>
      <w:start w:val="1"/>
    </w:lvl>
  </w:abstractNum>
  <w:abstractNum w:abstractNumId="25">
    <w:nsid w:val="6A2342EC"/>
    <w:multiLevelType w:val="hybridMultilevel"/>
    <w:lvl w:ilvl="0">
      <w:lvlJc w:val="left"/>
      <w:lvlText w:val="•"/>
      <w:numFmt w:val="bullet"/>
      <w:start w:val="1"/>
    </w:lvl>
  </w:abstractNum>
  <w:abstractNum w:abstractNumId="26">
    <w:nsid w:val="2A487CB0"/>
    <w:multiLevelType w:val="hybridMultilevel"/>
    <w:lvl w:ilvl="0">
      <w:lvlJc w:val="left"/>
      <w:lvlText w:val="(%1)"/>
      <w:numFmt w:val="decimal"/>
      <w:start w:val="1"/>
    </w:lvl>
  </w:abstractNum>
  <w:abstractNum w:abstractNumId="27">
    <w:nsid w:val="1D4ED43B"/>
    <w:multiLevelType w:val="hybridMultilevel"/>
    <w:lvl w:ilvl="0">
      <w:lvlJc w:val="left"/>
      <w:lvlText w:val="•"/>
      <w:numFmt w:val="bullet"/>
      <w:start w:val="1"/>
    </w:lvl>
  </w:abstractNum>
  <w:abstractNum w:abstractNumId="28">
    <w:nsid w:val="725A06FB"/>
    <w:multiLevelType w:val="hybridMultilevel"/>
    <w:lvl w:ilvl="0">
      <w:lvlJc w:val="left"/>
      <w:lvlText w:val="•"/>
      <w:numFmt w:val="bullet"/>
      <w:start w:val="1"/>
    </w:lvl>
  </w:abstractNum>
  <w:abstractNum w:abstractNumId="29">
    <w:nsid w:val="2CD89A32"/>
    <w:multiLevelType w:val="hybridMultilevel"/>
    <w:lvl w:ilvl="0">
      <w:lvlJc w:val="left"/>
      <w:lvlText w:val="$"/>
      <w:numFmt w:val="bullet"/>
      <w:start w:val="1"/>
    </w:lvl>
  </w:abstractNum>
  <w:abstractNum w:abstractNumId="30">
    <w:nsid w:val="57E4CCAF"/>
    <w:multiLevelType w:val="hybridMultilevel"/>
    <w:lvl w:ilvl="0">
      <w:lvlJc w:val="left"/>
      <w:lvlText w:val="$"/>
      <w:numFmt w:val="bullet"/>
      <w:start w:val="1"/>
    </w:lvl>
  </w:abstractNum>
  <w:abstractNum w:abstractNumId="31">
    <w:nsid w:val="7A6D8D3C"/>
    <w:multiLevelType w:val="hybridMultilevel"/>
    <w:lvl w:ilvl="0">
      <w:lvlJc w:val="left"/>
      <w:lvlText w:val="•"/>
      <w:numFmt w:val="bullet"/>
      <w:start w:val="1"/>
    </w:lvl>
  </w:abstractNum>
  <w:abstractNum w:abstractNumId="32">
    <w:nsid w:val="4B588F54"/>
    <w:multiLevelType w:val="hybridMultilevel"/>
    <w:lvl w:ilvl="0">
      <w:lvlJc w:val="left"/>
      <w:lvlText w:val="(%1)"/>
      <w:numFmt w:val="decimal"/>
      <w:start w:val="1"/>
    </w:lvl>
  </w:abstractNum>
  <w:abstractNum w:abstractNumId="33">
    <w:nsid w:val="542289EC"/>
    <w:multiLevelType w:val="hybridMultilevel"/>
    <w:lvl w:ilvl="0">
      <w:lvlJc w:val="left"/>
      <w:lvlText w:val="%1."/>
      <w:numFmt w:val="decimal"/>
      <w:start w:val="1"/>
    </w:lvl>
  </w:abstractNum>
  <w:abstractNum w:abstractNumId="34">
    <w:nsid w:val="6DE91B18"/>
    <w:multiLevelType w:val="hybridMultilevel"/>
    <w:lvl w:ilvl="0">
      <w:lvlJc w:val="left"/>
      <w:lvlText w:val="•"/>
      <w:numFmt w:val="bullet"/>
      <w:start w:val="1"/>
    </w:lvl>
  </w:abstractNum>
  <w:abstractNum w:abstractNumId="35">
    <w:nsid w:val="38437FDB"/>
    <w:multiLevelType w:val="hybridMultilevel"/>
    <w:lvl w:ilvl="0">
      <w:lvlJc w:val="left"/>
      <w:lvlText w:val="•"/>
      <w:numFmt w:val="bullet"/>
      <w:start w:val="1"/>
    </w:lvl>
  </w:abstractNum>
  <w:abstractNum w:abstractNumId="36">
    <w:nsid w:val="7644A45C"/>
    <w:multiLevelType w:val="hybridMultilevel"/>
    <w:lvl w:ilvl="0">
      <w:lvlJc w:val="left"/>
      <w:lvlText w:val="(%1)"/>
      <w:numFmt w:val="decimal"/>
      <w:start w:val="1"/>
    </w:lvl>
  </w:abstractNum>
  <w:abstractNum w:abstractNumId="37">
    <w:nsid w:val="32FFF902"/>
    <w:multiLevelType w:val="hybridMultilevel"/>
    <w:lvl w:ilvl="0">
      <w:lvlJc w:val="left"/>
      <w:lvlText w:val="(%1)"/>
      <w:numFmt w:val="decimal"/>
      <w:start w:val="3"/>
    </w:lvl>
  </w:abstractNum>
  <w:abstractNum w:abstractNumId="38">
    <w:nsid w:val="684A481A"/>
    <w:multiLevelType w:val="hybridMultilevel"/>
    <w:lvl w:ilvl="0">
      <w:lvlJc w:val="left"/>
      <w:lvlText w:val="*"/>
      <w:numFmt w:val="bullet"/>
      <w:start w:val="1"/>
    </w:lvl>
    <w:lvl w:ilvl="1">
      <w:lvlJc w:val="left"/>
      <w:lvlText w:val="%2"/>
      <w:numFmt w:val="decimal"/>
      <w:start w:val="23"/>
    </w:lvl>
  </w:abstractNum>
  <w:abstractNum w:abstractNumId="39">
    <w:nsid w:val="579478FE"/>
    <w:multiLevelType w:val="hybridMultilevel"/>
    <w:lvl w:ilvl="0">
      <w:lvlJc w:val="left"/>
      <w:lvlText w:val="*"/>
      <w:numFmt w:val="bullet"/>
      <w:start w:val="1"/>
    </w:lvl>
    <w:lvl w:ilvl="1">
      <w:lvlJc w:val="left"/>
      <w:lvlText w:val="%2"/>
      <w:numFmt w:val="decimal"/>
      <w:start w:val="23"/>
    </w:lvl>
  </w:abstractNum>
  <w:abstractNum w:abstractNumId="40">
    <w:nsid w:val="749ABB43"/>
    <w:multiLevelType w:val="hybridMultilevel"/>
    <w:lvl w:ilvl="0">
      <w:lvlJc w:val="left"/>
      <w:lvlText w:val="%1."/>
      <w:numFmt w:val="decimal"/>
      <w:start w:val="1"/>
    </w:lvl>
    <w:lvl w:ilvl="1">
      <w:lvlJc w:val="left"/>
      <w:lvlText w:val="(%2)"/>
      <w:numFmt w:val="lowerLetter"/>
      <w:start w:val="1"/>
    </w:lvl>
  </w:abstractNum>
  <w:abstractNum w:abstractNumId="41">
    <w:nsid w:val="3DC240FB"/>
    <w:multiLevelType w:val="hybridMultilevel"/>
    <w:lvl w:ilvl="0">
      <w:lvlJc w:val="left"/>
      <w:lvlText w:val="%1."/>
      <w:numFmt w:val="decimal"/>
      <w:start w:val="4"/>
    </w:lvl>
    <w:lvl w:ilvl="1">
      <w:lvlJc w:val="left"/>
      <w:lvlText w:val="(%2)"/>
      <w:numFmt w:val="lowerLetter"/>
      <w:start w:val="1"/>
    </w:lvl>
  </w:abstractNum>
  <w:abstractNum w:abstractNumId="42">
    <w:nsid w:val="1BA026FA"/>
    <w:multiLevelType w:val="hybridMultilevel"/>
    <w:lvl w:ilvl="0">
      <w:lvlJc w:val="left"/>
      <w:lvlText w:val="(%1)"/>
      <w:numFmt w:val="lowerRoman"/>
      <w:start w:val="2"/>
    </w:lvl>
  </w:abstractNum>
  <w:abstractNum w:abstractNumId="43">
    <w:nsid w:val="79A1DEAA"/>
    <w:multiLevelType w:val="hybridMultilevel"/>
    <w:lvl w:ilvl="0">
      <w:lvlJc w:val="left"/>
      <w:lvlText w:val="(%1)"/>
      <w:numFmt w:val="lowerLetter"/>
      <w:start w:val="3"/>
    </w:lvl>
    <w:lvl w:ilvl="1">
      <w:lvlJc w:val="left"/>
      <w:lvlText w:val="(%2)"/>
      <w:numFmt w:val="lowerRoman"/>
      <w:start w:val="1"/>
    </w:lvl>
  </w:abstractNum>
  <w:abstractNum w:abstractNumId="44">
    <w:nsid w:val="75C6C33A"/>
    <w:multiLevelType w:val="hybridMultilevel"/>
    <w:lvl w:ilvl="0">
      <w:lvlJc w:val="left"/>
      <w:lvlText w:val="(%1)"/>
      <w:numFmt w:val="lowerRoman"/>
      <w:start w:val="1"/>
    </w:lvl>
  </w:abstractNum>
  <w:abstractNum w:abstractNumId="45">
    <w:nsid w:val="12E685FB"/>
    <w:multiLevelType w:val="hybridMultilevel"/>
    <w:lvl w:ilvl="0">
      <w:lvlJc w:val="left"/>
      <w:lvlText w:val="(%1)"/>
      <w:numFmt w:val="lowerLetter"/>
      <w:start w:val="5"/>
    </w:lvl>
  </w:abstractNum>
  <w:abstractNum w:abstractNumId="46">
    <w:nsid w:val="70C6A529"/>
    <w:multiLevelType w:val="hybridMultilevel"/>
    <w:lvl w:ilvl="0">
      <w:lvlJc w:val="left"/>
      <w:lvlText w:val="%1."/>
      <w:numFmt w:val="decimal"/>
      <w:start w:val="6"/>
    </w:lvl>
  </w:abstractNum>
  <w:abstractNum w:abstractNumId="47">
    <w:nsid w:val="520EEDD1"/>
    <w:multiLevelType w:val="hybridMultilevel"/>
    <w:lvl w:ilvl="0">
      <w:lvlJc w:val="left"/>
      <w:lvlText w:val="(%1)"/>
      <w:numFmt w:val="lowerLetter"/>
      <w:start w:val="1"/>
    </w:lvl>
    <w:lvl w:ilvl="1">
      <w:lvlJc w:val="left"/>
      <w:lvlText w:val="(%2)"/>
      <w:numFmt w:val="lowerLetter"/>
      <w:start w:val="9"/>
    </w:lvl>
  </w:abstractNum>
  <w:abstractNum w:abstractNumId="48">
    <w:nsid w:val="374A3FE6"/>
    <w:multiLevelType w:val="hybridMultilevel"/>
    <w:lvl w:ilvl="0">
      <w:lvlJc w:val="left"/>
      <w:lvlText w:val="(%1)"/>
      <w:numFmt w:val="lowerRoman"/>
      <w:start w:val="2"/>
    </w:lvl>
  </w:abstractNum>
  <w:abstractNum w:abstractNumId="49">
    <w:nsid w:val="4F4EF005"/>
    <w:multiLevelType w:val="hybridMultilevel"/>
    <w:lvl w:ilvl="0">
      <w:lvlJc w:val="left"/>
      <w:lvlText w:val="(%1)"/>
      <w:numFmt w:val="lowerLetter"/>
      <w:start w:val="2"/>
    </w:lvl>
    <w:lvl w:ilvl="1">
      <w:lvlJc w:val="left"/>
      <w:lvlText w:val="(%2)"/>
      <w:numFmt w:val="lowerLetter"/>
      <w:start w:val="9"/>
    </w:lvl>
  </w:abstractNum>
  <w:abstractNum w:abstractNumId="50">
    <w:nsid w:val="23F9C13C"/>
    <w:multiLevelType w:val="hybridMultilevel"/>
    <w:lvl w:ilvl="0">
      <w:lvlJc w:val="left"/>
      <w:lvlText w:val="(%1)"/>
      <w:numFmt w:val="lowerRoman"/>
      <w:start w:val="2"/>
    </w:lvl>
  </w:abstractNum>
  <w:abstractNum w:abstractNumId="51">
    <w:nsid w:val="649BB77C"/>
    <w:multiLevelType w:val="hybridMultilevel"/>
    <w:lvl w:ilvl="0">
      <w:lvlJc w:val="left"/>
      <w:lvlText w:val="%1."/>
      <w:numFmt w:val="decimal"/>
      <w:start w:val="7"/>
    </w:lvl>
    <w:lvl w:ilvl="1">
      <w:lvlJc w:val="left"/>
      <w:lvlText w:val="(%2)"/>
      <w:numFmt w:val="lowerLetter"/>
      <w:start w:val="1"/>
    </w:lvl>
  </w:abstractNum>
  <w:abstractNum w:abstractNumId="52">
    <w:nsid w:val="275AC794"/>
    <w:multiLevelType w:val="hybridMultilevel"/>
    <w:lvl w:ilvl="0">
      <w:lvlJc w:val="left"/>
      <w:lvlText w:val="%1."/>
      <w:numFmt w:val="decimal"/>
      <w:start w:val="10"/>
    </w:lvl>
  </w:abstractNum>
  <w:abstractNum w:abstractNumId="53">
    <w:nsid w:val="39386575"/>
    <w:multiLevelType w:val="hybridMultilevel"/>
    <w:lvl w:ilvl="0">
      <w:lvlJc w:val="left"/>
      <w:lvlText w:val="%1."/>
      <w:numFmt w:val="decimal"/>
      <w:start w:val="13"/>
    </w:lvl>
  </w:abstractNum>
  <w:abstractNum w:abstractNumId="54">
    <w:nsid w:val="1CF10FD8"/>
    <w:multiLevelType w:val="hybridMultilevel"/>
    <w:lvl w:ilvl="0">
      <w:lvlJc w:val="left"/>
      <w:lvlText w:val="%1."/>
      <w:numFmt w:val="decimal"/>
      <w:start w:val="1"/>
    </w:lvl>
  </w:abstractNum>
  <w:abstractNum w:abstractNumId="55">
    <w:nsid w:val="180115BE"/>
    <w:multiLevelType w:val="hybridMultilevel"/>
    <w:lvl w:ilvl="0">
      <w:lvlJc w:val="left"/>
      <w:lvlText w:val="%1."/>
      <w:numFmt w:val="decimal"/>
      <w:start w:val="1"/>
    </w:lvl>
    <w:lvl w:ilvl="1">
      <w:lvlJc w:val="left"/>
      <w:lvlText w:val="(%2)"/>
      <w:numFmt w:val="lowerLetter"/>
      <w:start w:val="1"/>
    </w:lvl>
  </w:abstractNum>
  <w:abstractNum w:abstractNumId="56">
    <w:nsid w:val="235BA861"/>
    <w:multiLevelType w:val="hybridMultilevel"/>
    <w:lvl w:ilvl="0">
      <w:lvlJc w:val="left"/>
      <w:lvlText w:val="%1."/>
      <w:numFmt w:val="decimal"/>
      <w:start w:val="1"/>
    </w:lvl>
    <w:lvl w:ilvl="1">
      <w:lvlJc w:val="left"/>
      <w:lvlText w:val="(%2)"/>
      <w:numFmt w:val="lowerLetter"/>
      <w:start w:val="1"/>
    </w:lvl>
  </w:abstractNum>
  <w:abstractNum w:abstractNumId="57">
    <w:nsid w:val="47398C89"/>
    <w:multiLevelType w:val="hybridMultilevel"/>
    <w:lvl w:ilvl="0">
      <w:lvlJc w:val="left"/>
      <w:lvlText w:val="%1."/>
      <w:numFmt w:val="decimal"/>
      <w:start w:val="1"/>
    </w:lvl>
  </w:abstractNum>
  <w:abstractNum w:abstractNumId="58">
    <w:nsid w:val="354FE9F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2019-12-11T02:39:46Z</dcterms:created>
  <dcterms:modified xsi:type="dcterms:W3CDTF">2019-12-11T02:39:46Z</dcterms:modified>
</cp:coreProperties>
</file>