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28,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January 31, 2013 was 61,265,283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December 28, 2012</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6280" w:type="dxa"/>
            <w:vAlign w:val="bottom"/>
            <w:gridSpan w:val="11"/>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36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1. Financial Statements (Unaudited)</w:t>
            </w:r>
          </w:p>
        </w:tc>
        <w:tc>
          <w:tcPr>
            <w:tcW w:w="5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5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Operations for the Quarter and Two Quarters ended</w:t>
            </w:r>
          </w:p>
        </w:tc>
        <w:tc>
          <w:tcPr>
            <w:tcW w:w="16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3400" w:type="dxa"/>
            <w:vAlign w:val="bottom"/>
            <w:gridSpan w:val="11"/>
          </w:tcPr>
          <w:p>
            <w:pPr>
              <w:ind w:left="220"/>
              <w:spacing w:after="0" w:line="196" w:lineRule="exact"/>
              <w:rPr>
                <w:sz w:val="20"/>
                <w:szCs w:val="20"/>
                <w:color w:val="auto"/>
              </w:rPr>
            </w:pPr>
            <w:r>
              <w:rPr>
                <w:rFonts w:ascii="Arial" w:cs="Arial" w:eastAsia="Arial" w:hAnsi="Arial"/>
                <w:sz w:val="18"/>
                <w:szCs w:val="18"/>
                <w:color w:val="0000FF"/>
                <w:w w:val="88"/>
              </w:rPr>
              <w:t>December 28, 2012 and December 30, 2011</w:t>
            </w:r>
          </w:p>
        </w:tc>
        <w:tc>
          <w:tcPr>
            <w:tcW w:w="4780" w:type="dxa"/>
            <w:vAlign w:val="bottom"/>
            <w:gridSpan w:val="7"/>
          </w:tcPr>
          <w:p>
            <w:pPr>
              <w:spacing w:after="0"/>
              <w:rPr>
                <w:sz w:val="17"/>
                <w:szCs w:val="17"/>
                <w:color w:val="auto"/>
              </w:rPr>
            </w:pPr>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730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Comprehensive Loss for the Quarter and Two Quarters ended</w:t>
              </w:r>
            </w:hyperlink>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8180" w:type="dxa"/>
            <w:vAlign w:val="bottom"/>
            <w:gridSpan w:val="18"/>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December 28, 2012 and December 30, 2011</w:t>
              </w:r>
            </w:hyperlink>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180" w:type="dxa"/>
            <w:vAlign w:val="bottom"/>
            <w:gridSpan w:val="14"/>
          </w:tcPr>
          <w:p>
            <w:pPr>
              <w:spacing w:after="0"/>
              <w:rPr>
                <w:sz w:val="20"/>
                <w:szCs w:val="20"/>
                <w:color w:val="auto"/>
              </w:rPr>
            </w:pPr>
            <w:r>
              <w:rPr>
                <w:rFonts w:ascii="Arial" w:cs="Arial" w:eastAsia="Arial" w:hAnsi="Arial"/>
                <w:sz w:val="18"/>
                <w:szCs w:val="18"/>
                <w:color w:val="0000FF"/>
                <w:w w:val="88"/>
              </w:rPr>
              <w:t>Condensed Consolidated Balance Sheets as of December 28, 2012 and June, 29, 2012</w:t>
            </w:r>
          </w:p>
        </w:tc>
        <w:tc>
          <w:tcPr>
            <w:tcW w:w="2000" w:type="dxa"/>
            <w:vAlign w:val="bottom"/>
            <w:gridSpan w:val="4"/>
          </w:tcPr>
          <w:p>
            <w:pPr>
              <w:spacing w:after="0"/>
              <w:rPr>
                <w:sz w:val="21"/>
                <w:szCs w:val="21"/>
                <w:color w:val="auto"/>
              </w:rPr>
            </w:pPr>
          </w:p>
        </w:tc>
        <w:tc>
          <w:tcPr>
            <w:tcW w:w="52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360" w:type="dxa"/>
            <w:vAlign w:val="bottom"/>
          </w:tcPr>
          <w:p>
            <w:pPr>
              <w:spacing w:after="0"/>
              <w:rPr>
                <w:sz w:val="21"/>
                <w:szCs w:val="21"/>
                <w:color w:val="auto"/>
              </w:rPr>
            </w:pPr>
          </w:p>
        </w:tc>
        <w:tc>
          <w:tcPr>
            <w:tcW w:w="57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Two Quarters ended</w:t>
              </w:r>
            </w:hyperlink>
          </w:p>
        </w:tc>
        <w:tc>
          <w:tcPr>
            <w:tcW w:w="440" w:type="dxa"/>
            <w:vAlign w:val="bottom"/>
            <w:tcBorders>
              <w:top w:val="single" w:sz="8" w:color="0000FF"/>
            </w:tcBorders>
          </w:tcPr>
          <w:p>
            <w:pPr>
              <w:spacing w:after="0"/>
              <w:rPr>
                <w:sz w:val="21"/>
                <w:szCs w:val="21"/>
                <w:color w:val="auto"/>
              </w:rPr>
            </w:pPr>
          </w:p>
        </w:tc>
        <w:tc>
          <w:tcPr>
            <w:tcW w:w="2000" w:type="dxa"/>
            <w:vAlign w:val="bottom"/>
            <w:gridSpan w:val="4"/>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8180" w:type="dxa"/>
            <w:vAlign w:val="bottom"/>
            <w:gridSpan w:val="18"/>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December 28, 2012 and December 30, 2011</w:t>
              </w:r>
            </w:hyperlink>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2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40" w:type="dxa"/>
            <w:vAlign w:val="bottom"/>
            <w:tcBorders>
              <w:left w:val="single" w:sz="8" w:color="0000FF"/>
            </w:tcBorders>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20" w:type="dxa"/>
            <w:vAlign w:val="bottom"/>
            <w:gridSpan w:val="4"/>
          </w:tcPr>
          <w:p>
            <w:pPr>
              <w:jc w:val="right"/>
              <w:ind w:right="4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40" w:type="dxa"/>
            <w:vAlign w:val="bottom"/>
            <w:tcBorders>
              <w:left w:val="single" w:sz="8" w:color="0000FF"/>
            </w:tcBorders>
            <w:gridSpan w:val="4"/>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gridSpan w:val="4"/>
          </w:tcPr>
          <w:p>
            <w:pPr>
              <w:spacing w:after="0"/>
              <w:rPr>
                <w:sz w:val="21"/>
                <w:szCs w:val="21"/>
                <w:color w:val="auto"/>
              </w:rPr>
            </w:pPr>
          </w:p>
        </w:tc>
        <w:tc>
          <w:tcPr>
            <w:tcW w:w="11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Arial" w:cs="Arial" w:eastAsia="Arial" w:hAnsi="Arial"/>
                <w:sz w:val="18"/>
                <w:szCs w:val="18"/>
                <w:color w:val="0000FF"/>
                <w:w w:val="88"/>
              </w:rPr>
              <w:t>Item 4. Controls and Procedures</w:t>
            </w:r>
          </w:p>
        </w:tc>
        <w:tc>
          <w:tcPr>
            <w:tcW w:w="2540" w:type="dxa"/>
            <w:vAlign w:val="bottom"/>
            <w:gridSpan w:val="4"/>
          </w:tcPr>
          <w:p>
            <w:pPr>
              <w:spacing w:after="0"/>
              <w:rPr>
                <w:sz w:val="21"/>
                <w:szCs w:val="21"/>
                <w:color w:val="auto"/>
              </w:rPr>
            </w:pPr>
          </w:p>
        </w:tc>
        <w:tc>
          <w:tcPr>
            <w:tcW w:w="3320" w:type="dxa"/>
            <w:vAlign w:val="bottom"/>
            <w:gridSpan w:val="6"/>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6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54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1. Legal Proceedings</w:t>
            </w:r>
          </w:p>
        </w:tc>
        <w:tc>
          <w:tcPr>
            <w:tcW w:w="520" w:type="dxa"/>
            <w:vAlign w:val="bottom"/>
            <w:gridSpan w:val="4"/>
          </w:tcPr>
          <w:p>
            <w:pPr>
              <w:jc w:val="right"/>
              <w:ind w:right="4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0000FF"/>
              </w:rPr>
              <w:t>Item 1A. Risk Factors</w:t>
            </w:r>
          </w:p>
        </w:tc>
        <w:tc>
          <w:tcPr>
            <w:tcW w:w="6300" w:type="dxa"/>
            <w:vAlign w:val="bottom"/>
            <w:gridSpan w:val="12"/>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8"/>
                <w:szCs w:val="18"/>
                <w:color w:val="0000FF"/>
              </w:rPr>
              <w:t>Item 6. Exhibits</w:t>
            </w:r>
          </w:p>
        </w:tc>
        <w:tc>
          <w:tcPr>
            <w:tcW w:w="6600" w:type="dxa"/>
            <w:vAlign w:val="bottom"/>
            <w:gridSpan w:val="14"/>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b w:val="1"/>
                <w:bCs w:val="1"/>
                <w:color w:val="0000FF"/>
                <w:w w:val="89"/>
              </w:rPr>
              <w:t>Signature</w:t>
            </w:r>
          </w:p>
        </w:tc>
        <w:tc>
          <w:tcPr>
            <w:tcW w:w="7780" w:type="dxa"/>
            <w:vAlign w:val="bottom"/>
            <w:gridSpan w:val="17"/>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sz w:val="20"/>
                <w:szCs w:val="20"/>
                <w:color w:val="auto"/>
              </w:rPr>
            </w:pPr>
            <w:r>
              <w:rPr>
                <w:rFonts w:ascii="Arial" w:cs="Arial" w:eastAsia="Arial" w:hAnsi="Arial"/>
                <w:sz w:val="18"/>
                <w:szCs w:val="18"/>
                <w:b w:val="1"/>
                <w:bCs w:val="1"/>
                <w:color w:val="0000FF"/>
                <w:w w:val="92"/>
              </w:rPr>
              <w:t>Exhibit Index</w:t>
            </w:r>
          </w:p>
        </w:tc>
        <w:tc>
          <w:tcPr>
            <w:tcW w:w="7480" w:type="dxa"/>
            <w:vAlign w:val="bottom"/>
            <w:gridSpan w:val="16"/>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r>
      <w:tr>
        <w:trPr>
          <w:trHeight w:val="723"/>
        </w:trPr>
        <w:tc>
          <w:tcPr>
            <w:tcW w:w="1060" w:type="dxa"/>
            <w:vAlign w:val="bottom"/>
            <w:tcBorders>
              <w:top w:val="single" w:sz="8" w:color="0000FF"/>
            </w:tcBorders>
            <w:gridSpan w:val="3"/>
          </w:tcPr>
          <w:p>
            <w:pPr>
              <w:spacing w:after="0"/>
              <w:rPr>
                <w:sz w:val="24"/>
                <w:szCs w:val="24"/>
                <w:color w:val="auto"/>
              </w:rPr>
            </w:pPr>
          </w:p>
        </w:tc>
        <w:tc>
          <w:tcPr>
            <w:tcW w:w="4160" w:type="dxa"/>
            <w:vAlign w:val="bottom"/>
            <w:gridSpan w:val="10"/>
          </w:tcPr>
          <w:p>
            <w:pPr>
              <w:jc w:val="right"/>
              <w:ind w:right="66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60"/>
          </w:cols>
          <w:pgMar w:left="1440" w:top="580" w:right="139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Two Quarters Ended</w:t>
            </w:r>
          </w:p>
        </w:tc>
      </w:tr>
      <w:tr>
        <w:trPr>
          <w:trHeight w:val="144"/>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December 28,</w:t>
            </w:r>
          </w:p>
        </w:tc>
        <w:tc>
          <w:tcPr>
            <w:tcW w:w="220" w:type="dxa"/>
            <w:vAlign w:val="bottom"/>
          </w:tcPr>
          <w:p>
            <w:pPr>
              <w:spacing w:after="0"/>
              <w:rPr>
                <w:sz w:val="12"/>
                <w:szCs w:val="12"/>
                <w:color w:val="auto"/>
              </w:rPr>
            </w:pPr>
          </w:p>
        </w:tc>
        <w:tc>
          <w:tcPr>
            <w:tcW w:w="12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December 30,</w:t>
            </w:r>
          </w:p>
        </w:tc>
        <w:tc>
          <w:tcPr>
            <w:tcW w:w="200" w:type="dxa"/>
            <w:vAlign w:val="bottom"/>
          </w:tcPr>
          <w:p>
            <w:pPr>
              <w:spacing w:after="0"/>
              <w:rPr>
                <w:sz w:val="12"/>
                <w:szCs w:val="12"/>
                <w:color w:val="auto"/>
              </w:rPr>
            </w:pPr>
          </w:p>
        </w:tc>
        <w:tc>
          <w:tcPr>
            <w:tcW w:w="12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December 28,</w:t>
            </w:r>
          </w:p>
        </w:tc>
        <w:tc>
          <w:tcPr>
            <w:tcW w:w="220" w:type="dxa"/>
            <w:vAlign w:val="bottom"/>
          </w:tcPr>
          <w:p>
            <w:pPr>
              <w:spacing w:after="0"/>
              <w:rPr>
                <w:sz w:val="12"/>
                <w:szCs w:val="12"/>
                <w:color w:val="auto"/>
              </w:rPr>
            </w:pP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b w:val="1"/>
                <w:bCs w:val="1"/>
                <w:color w:val="auto"/>
                <w:w w:val="94"/>
              </w:rPr>
              <w:t>December 30,</w:t>
            </w:r>
          </w:p>
        </w:tc>
      </w:tr>
      <w:tr>
        <w:trPr>
          <w:trHeight w:val="174"/>
        </w:trPr>
        <w:tc>
          <w:tcPr>
            <w:tcW w:w="5620" w:type="dxa"/>
            <w:vAlign w:val="bottom"/>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product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53.2</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216.4</w:t>
            </w:r>
          </w:p>
        </w:tc>
      </w:tr>
      <w:tr>
        <w:trPr>
          <w:trHeight w:val="23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38.4</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17.8</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identifiable intangible assets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 basic and 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58.9</w:t>
            </w:r>
          </w:p>
        </w:tc>
      </w:tr>
      <w:tr>
        <w:trPr>
          <w:trHeight w:val="33"/>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120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122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1080" w:type="dxa"/>
            <w:vAlign w:val="bottom"/>
            <w:gridSpan w:val="2"/>
          </w:tcPr>
          <w:p>
            <w:pPr>
              <w:jc w:val="right"/>
              <w:ind w:right="53"/>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60" w:type="dxa"/>
            <w:vAlign w:val="bottom"/>
          </w:tcPr>
          <w:p>
            <w:pPr>
              <w:ind w:left="200"/>
              <w:spacing w:after="0"/>
              <w:rPr>
                <w:sz w:val="20"/>
                <w:szCs w:val="20"/>
                <w:color w:val="auto"/>
              </w:rPr>
            </w:pPr>
            <w:r>
              <w:rPr>
                <w:rFonts w:ascii="Arial" w:cs="Arial" w:eastAsia="Arial" w:hAnsi="Arial"/>
                <w:sz w:val="18"/>
                <w:szCs w:val="18"/>
                <w:color w:val="auto"/>
                <w:w w:val="92"/>
              </w:rPr>
              <w:t>Change in unrealized gain or loss on hedging activities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58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Identifiable intangible assets,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8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26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83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0"/>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Amortization of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300" w:type="dxa"/>
            <w:vAlign w:val="bottom"/>
          </w:tcPr>
          <w:p>
            <w:pPr>
              <w:ind w:left="88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Bad debt expenses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Charges for inventory write-downs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disposition of the WiMAX business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Other assets and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disbursed related to sale of WiMAX business,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Additions of property, plant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Proceeds from share-based compensation awards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0" w:right="29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two quarters ended December 28, 2012 (the “second quarter and first two quarters of fiscal 2013”)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2012.</w:t>
      </w:r>
    </w:p>
    <w:p>
      <w:pPr>
        <w:spacing w:after="0" w:line="12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two quarters of fiscal 2013 and 2012 included 13 weeks in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Certain amounts in the fiscal 2012 financial statements have been reclassified to conform to the fiscal 2013 presentation. Specifically, the amortization of purchased technology is included in cost of product sales in the condensed consolidated statements of operations as the amounts were not material for all periods presented.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components of our accumulated other comprehensive income (loss) during the first two quarters of fiscal 2013 are as follows: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(“CTA”)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Balance as of December 28, 2012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and the undistributed losses were not allocated to unvested restricted shares. Therefore the unvested restricted shares were anti-dilutive and excluded from our diluted net loss calculations for the second quarter and first two quarters of fiscal 2013 and 2012.</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potential weighted average shares of common stock outstanding have been excluded from the diluted net loss per share calculations, as their effect would have been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Two Quarters Ended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52"/>
        </w:trPr>
        <w:tc>
          <w:tcPr>
            <w:tcW w:w="12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10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December 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1080" w:type="dxa"/>
            <w:vAlign w:val="bottom"/>
          </w:tcPr>
          <w:p>
            <w:pPr>
              <w:spacing w:after="0"/>
              <w:rPr>
                <w:sz w:val="13"/>
                <w:szCs w:val="13"/>
                <w:color w:val="auto"/>
              </w:rPr>
            </w:pPr>
          </w:p>
        </w:tc>
      </w:tr>
      <w:tr>
        <w:trPr>
          <w:trHeight w:val="192"/>
        </w:trPr>
        <w:tc>
          <w:tcPr>
            <w:tcW w:w="12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0"/>
        </w:trPr>
        <w:tc>
          <w:tcPr>
            <w:tcW w:w="12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87"/>
              </w:rPr>
              <w:t>5.7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43"/>
        </w:trPr>
        <w:tc>
          <w:tcPr>
            <w:tcW w:w="126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w w:val="87"/>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7"/>
              </w:rPr>
              <w:t>1.9</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126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8"/>
              </w:rPr>
              <w:t>Total potential shares of common stock excluded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87"/>
              </w:rPr>
              <w:t>7.3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80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Our receivables are summarized below:</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1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12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196"/>
        </w:trPr>
        <w:tc>
          <w:tcPr>
            <w:tcW w:w="12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112.0</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Notes receivable due within one year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w:t>
            </w:r>
          </w:p>
        </w:tc>
      </w:tr>
      <w:tr>
        <w:trPr>
          <w:trHeight w:val="27"/>
        </w:trPr>
        <w:tc>
          <w:tcPr>
            <w:tcW w:w="12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106.9</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Less allowances for collection losses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12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99.1</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90.7</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regularly require letters of credit from some customers who request extended payment terms of up to one year or more, which we discount from time to time with various financial institutions in order to meet immediate liquidity requirements and to reduce our credit and sovereign risk.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2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Two Quarters Ended</w:t>
            </w:r>
          </w:p>
        </w:tc>
        <w:tc>
          <w:tcPr>
            <w:tcW w:w="32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0"/>
              </w:rPr>
              <w:t>December 28,</w:t>
            </w:r>
          </w:p>
        </w:tc>
        <w:tc>
          <w:tcPr>
            <w:tcW w:w="180" w:type="dxa"/>
            <w:vAlign w:val="bottom"/>
          </w:tcPr>
          <w:p>
            <w:pPr>
              <w:spacing w:after="0"/>
              <w:rPr>
                <w:sz w:val="13"/>
                <w:szCs w:val="13"/>
                <w:color w:val="auto"/>
              </w:rPr>
            </w:pPr>
          </w:p>
        </w:tc>
        <w:tc>
          <w:tcPr>
            <w:tcW w:w="10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3"/>
                <w:szCs w:val="13"/>
                <w:color w:val="auto"/>
              </w:rPr>
            </w:pPr>
          </w:p>
        </w:tc>
        <w:tc>
          <w:tcPr>
            <w:tcW w:w="98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87"/>
              </w:rPr>
              <w:t>December 28,</w:t>
            </w:r>
          </w:p>
        </w:tc>
        <w:tc>
          <w:tcPr>
            <w:tcW w:w="180" w:type="dxa"/>
            <w:vAlign w:val="bottom"/>
          </w:tcPr>
          <w:p>
            <w:pPr>
              <w:spacing w:after="0"/>
              <w:rPr>
                <w:sz w:val="13"/>
                <w:szCs w:val="13"/>
                <w:color w:val="auto"/>
              </w:rPr>
            </w:pPr>
          </w:p>
        </w:tc>
        <w:tc>
          <w:tcPr>
            <w:tcW w:w="2060" w:type="dxa"/>
            <w:vAlign w:val="bottom"/>
            <w:gridSpan w:val="5"/>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4"/>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4160" w:type="dxa"/>
            <w:vAlign w:val="bottom"/>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18.3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416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8"/>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24"/>
                <w:szCs w:val="2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2012</w:t>
            </w:r>
          </w:p>
        </w:tc>
      </w:tr>
      <w:tr>
        <w:trPr>
          <w:trHeight w:val="19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6.9</w:t>
            </w: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56.8</w:t>
            </w:r>
          </w:p>
        </w:tc>
      </w:tr>
      <w:tr>
        <w:trPr>
          <w:trHeight w:val="67"/>
        </w:trPr>
        <w:tc>
          <w:tcPr>
            <w:tcW w:w="4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Deferred cost of sales included within finished goods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second quarter and first two quarters of fiscal 2013 and 2012, we recorded charges to adjust our inventory and customer service inventory to the lower of cost or market, primarily due to excess and obsolete inventory,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0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2011</w:t>
            </w:r>
          </w:p>
        </w:tc>
      </w:tr>
      <w:tr>
        <w:trPr>
          <w:trHeight w:val="250"/>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1.1</w:t>
            </w:r>
          </w:p>
        </w:tc>
      </w:tr>
      <w:tr>
        <w:trPr>
          <w:trHeight w:val="27"/>
        </w:trPr>
        <w:tc>
          <w:tcPr>
            <w:tcW w:w="4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6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14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1.2%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29,</w:t>
            </w:r>
          </w:p>
        </w:tc>
      </w:tr>
      <w:tr>
        <w:trPr>
          <w:trHeight w:val="192"/>
        </w:trPr>
        <w:tc>
          <w:tcPr>
            <w:tcW w:w="8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8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10.7</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45.0</w:t>
            </w:r>
          </w:p>
        </w:tc>
      </w:tr>
      <w:tr>
        <w:trPr>
          <w:trHeight w:val="27"/>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$1.3 million and $1.3 million, respectively, for the second quarter of fiscal 2013 and 2012, and was $2.9 million and $2.1 million, respectively, for the first two quarters of fiscal 2013 and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We have accrued for the estimated cost to repair or replace products under warranty at the time of sale. Changes in our warranty liability, which are included as a component of other accrued expenses on the consolidated balance sheets, during the first two quarters of fiscal 2013 and 2012 were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68"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w w:val="96"/>
              </w:rPr>
              <w:t>December 30,</w:t>
            </w:r>
          </w:p>
        </w:tc>
      </w:t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r>
      <w:tr>
        <w:trPr>
          <w:trHeight w:val="196"/>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94" w:lineRule="exact"/>
        <w:rPr>
          <w:sz w:val="20"/>
          <w:szCs w:val="20"/>
          <w:color w:val="auto"/>
        </w:rPr>
      </w:pPr>
    </w:p>
    <w:p>
      <w:pPr>
        <w:ind w:right="40" w:firstLine="432"/>
        <w:spacing w:after="0" w:line="299"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sz w:val="20"/>
          <w:szCs w:val="20"/>
          <w:color w:val="auto"/>
        </w:rPr>
      </w:pPr>
    </w:p>
    <w:p>
      <w:pPr>
        <w:ind w:left="980" w:right="180" w:hanging="324"/>
        <w:spacing w:after="0" w:line="305"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that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and</w:t>
      </w:r>
    </w:p>
    <w:p>
      <w:pPr>
        <w:spacing w:after="0" w:line="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December 28, 2012 and June 29, 2012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December 28,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40" w:type="dxa"/>
            <w:vAlign w:val="bottom"/>
          </w:tcPr>
          <w:p>
            <w:pPr>
              <w:jc w:val="right"/>
              <w:ind w:right="19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r>
      <w:tr>
        <w:trPr>
          <w:trHeight w:val="264"/>
        </w:trPr>
        <w:tc>
          <w:tcPr>
            <w:tcW w:w="5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0.4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money market funds purchased from two major financial institutions. As of December 28, 2012 and June 29, 2012, these money market shares were valued at $1.00 net asset value per share by these financial institutions.</w:t>
      </w:r>
    </w:p>
    <w:p>
      <w:pPr>
        <w:spacing w:after="0" w:line="12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two quarters of fiscal 2013 and 2012, we had no transfers between levels of the fair value hierarchy of our assets or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During the quarter ended October 1, 2010, we terminated our previous credit facility with two commercial banks and entered into a new $40.0 million credit facility with Silicon Valley Bank ("SVB") for an initial term of one year expiring on September 30, 2011. We repaid the outstanding debt of $5.0 million under the previous credit facility on October 1, 2010 with the proceeds of advance borrowings of $6.0 million under the new facility. On September 23, 2011, the availability of the facility was extended and, on November 2, 2011, the facility was amended to expire on February 28, 2014 and provide for a two-year term loan for up to $8.3 million to fund the redemption of the preference shares issued by our Singapore subsidiary. On January 30, 2012, we borrowed $8.3 million to complete that redemption. The term loan matures on January 31, 2014 and must be repaid in 24 equal monthly principal payments.</w:t>
      </w:r>
    </w:p>
    <w:p>
      <w:pPr>
        <w:spacing w:after="0" w:line="11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current SVB credit facility provides for a committed amount of $40.0 million. The facility provides for (1) advance borrowings (with no stated maturity date other than the February 28, 2014 expiration of the facility); (2) fixed term Eurodollar loans for up to six months, (3) a two-year term loan of $8.3 million, and (4) the issuance of standby or commercial letters of credit. As of December 28, 2012, available credit under this facility was $23.8 million reflecting borrowings of $10.8 million and outstanding letters of credit of $5.4 million.</w:t>
      </w:r>
    </w:p>
    <w:p>
      <w:pPr>
        <w:spacing w:after="0" w:line="13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December 28, 2012, our outstanding debt under the SVB facility consisted of the $6.0 million advance borrowings in fiscal 2011 and a $4.8 million outstanding balance on the original $8.3 million term loan, of which $4.1 million was classified as a current liability. Since we do not expect to repay within the next 12 months, the $6.0 million advance borrowings were classified as long-term debt as of December 28, 2012 and June 29, 2012.</w:t>
      </w:r>
    </w:p>
    <w:p>
      <w:pPr>
        <w:spacing w:after="0" w:line="11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advance borrowings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Interest on Eurodollar loans is offered at LIBOR plus a spread of between 2.00% to 2.75% based on our current leverage ratio. The interest rate on Eurodollar loans is adjustable quarterly based on the computed actual leverage ratio for the most recently completed fiscal quarter. During the first two quarters of fiscal 2013, the weighted average interest rate on our $6.0 million advance borrowings was 3.25%. The two-year term loan bears a fixed interest rate of 5% per annum and provides for equal monthly payments of principal. The SVB facility, as further amended on September 28, 2012, contains a minimum liquidity ratio covenant and a minimum profitability covenant. As of December 28, 2012, we were in compliance with these financial covenants. The facility also imposes certain restrictions on our ability to pay dividends or make distributions to our stockholders under certain circumstances. Certain of our assets, including accounts receivable, inventory, and equipment, are pledged as collateral for the credit facility. Pursuant to the loan and security agreement, if a material adverse event occurs, all obligations in connection with the agreement would be immediately due and payable.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9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w:t>
      </w:r>
    </w:p>
    <w:p>
      <w:pPr>
        <w:spacing w:after="0" w:line="3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our costs incurred during the second quarter and first two quarters of fiscal 2013 and 2012, estimated additional costs to be incurred and estimated total costs expected to be incurred as of December 28, 2012 under the Fiscal 2011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Costs Incurred During</w:t>
            </w:r>
          </w:p>
        </w:tc>
        <w:tc>
          <w:tcPr>
            <w:tcW w:w="1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Costs Incurred During</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00" w:type="dxa"/>
            <w:vAlign w:val="bottom"/>
            <w:gridSpan w:val="4"/>
            <w:vMerge w:val="restart"/>
          </w:tcPr>
          <w:p>
            <w:pPr>
              <w:jc w:val="right"/>
              <w:ind w:right="494"/>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gridSpan w:val="3"/>
            <w:vMerge w:val="restart"/>
          </w:tcPr>
          <w:p>
            <w:pPr>
              <w:jc w:val="right"/>
              <w:ind w:right="21"/>
              <w:spacing w:after="0"/>
              <w:rPr>
                <w:sz w:val="20"/>
                <w:szCs w:val="20"/>
                <w:color w:val="auto"/>
              </w:rPr>
            </w:pPr>
            <w:r>
              <w:rPr>
                <w:rFonts w:ascii="Arial" w:cs="Arial" w:eastAsia="Arial" w:hAnsi="Arial"/>
                <w:sz w:val="14"/>
                <w:szCs w:val="14"/>
                <w:b w:val="1"/>
                <w:bCs w:val="1"/>
                <w:color w:val="auto"/>
              </w:rPr>
              <w:t>Two Quarters Ended</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36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3"/>
                <w:szCs w:val="13"/>
                <w:color w:val="auto"/>
              </w:rPr>
            </w:pPr>
          </w:p>
        </w:tc>
        <w:tc>
          <w:tcPr>
            <w:tcW w:w="12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28, 2012</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27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360" w:type="dxa"/>
            <w:vAlign w:val="bottom"/>
          </w:tcPr>
          <w:p>
            <w:pPr>
              <w:jc w:val="center"/>
              <w:ind w:right="10"/>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11" w:name="page12"/>
    <w:bookmarkEnd w:id="11"/>
    <w:p>
      <w:pPr>
        <w:jc w:val="both"/>
        <w:ind w:right="60" w:firstLine="432"/>
        <w:spacing w:after="0" w:line="264" w:lineRule="auto"/>
        <w:rPr>
          <w:sz w:val="20"/>
          <w:szCs w:val="20"/>
          <w:color w:val="auto"/>
        </w:rPr>
      </w:pPr>
      <w:r>
        <w:rPr>
          <w:rFonts w:ascii="Arial" w:cs="Arial" w:eastAsia="Arial" w:hAnsi="Arial"/>
          <w:sz w:val="18"/>
          <w:szCs w:val="18"/>
          <w:color w:val="auto"/>
        </w:rPr>
        <w:t>During the first two quarters of fiscal 2013 and 2012, we continued executing restructuring activities to reduce our operating costs worldwide under the Fiscal 2011 Plan. The $0.7 million facilities charges in the first two quarters of fiscal 2012 primarily related to the sublease and relocation of our Morrisville, North Carolina office during the period.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complete the remaining restructuring activities under the Fiscal 2011 Plan during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in the following table summarizes our restructuring activities during the first two quarters of fiscal 2013 and restructuring liability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liability as of December 28, 2012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liability as of December 28, 2012</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liability as of December 28, 2012</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94"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As of December 28, 2012, we had received $0.1 million of such contingent payments. EION is entitled to receive cash payments up to $2.0 million upon collection of certain WiMAX accounts receivable, of which $1.5 million had been paid by us to EION as of December 28, 2012.</w:t>
      </w:r>
    </w:p>
    <w:p>
      <w:pPr>
        <w:spacing w:after="0" w:line="12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We recognized a $2.0 million loss on disposition of the WiMAX business in the first two quarters of fiscal 2012. The loss incurred in the first two quarters of fiscal 2013 were primarily due to write-down of certain WiMAX deferred cost of sales that were not transferred to EION and certain expenses we incurred to support a remaining customer obligation. As of December 28, 2012 and June 29, 2012, our accrued liabilities related to the disposition of the WiMAX business were $0.5 million and $0.6 million,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Two Quarters Ended</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46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December 30,</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28, 2012</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30, 2011</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 related to WiMAX</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69"/>
        </w:trPr>
        <w:tc>
          <w:tcPr>
            <w:tcW w:w="5620" w:type="dxa"/>
            <w:vAlign w:val="bottom"/>
          </w:tcPr>
          <w:p>
            <w:pPr>
              <w:spacing w:after="0"/>
              <w:rPr>
                <w:sz w:val="24"/>
                <w:szCs w:val="24"/>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12</w:t>
            </w: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As of December 28, 2012,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0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1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During the first two quarters of fiscal 2013, we granted options to purchase 1,202,679 shares of our common stock and awarded 1,288,615 shares of performance units to employees under our 2007 Stock Equity Plan. During the first two quarters of fiscal 2013, there were 377,784 performance shares vested upon the achievement of financial performance targets and 208,951 performance shares canceled because the performance target threshold were not met.</w:t>
      </w:r>
    </w:p>
    <w:p>
      <w:pPr>
        <w:spacing w:after="0" w:line="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4,274,102 as of December 28,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second quarter and first two quarters of fiscal 2013 and 2012 was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986"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Two Quarters Ended</w:t>
            </w:r>
          </w:p>
        </w:tc>
        <w:tc>
          <w:tcPr>
            <w:tcW w:w="540" w:type="dxa"/>
            <w:vAlign w:val="bottom"/>
            <w:tcBorders>
              <w:bottom w:val="single" w:sz="8" w:color="auto"/>
            </w:tcBorders>
          </w:tcPr>
          <w:p>
            <w:pPr>
              <w:spacing w:after="0"/>
              <w:rPr>
                <w:sz w:val="16"/>
                <w:szCs w:val="16"/>
                <w:color w:val="auto"/>
              </w:rPr>
            </w:pPr>
          </w:p>
        </w:tc>
      </w:tr>
      <w:tr>
        <w:trPr>
          <w:trHeight w:val="264"/>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28, 2012</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30, 2011</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28, 2012</w:t>
            </w:r>
          </w:p>
        </w:tc>
        <w:tc>
          <w:tcPr>
            <w:tcW w:w="13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December 30, 2011</w:t>
            </w:r>
          </w:p>
        </w:tc>
      </w:tr>
      <w:tr>
        <w:trPr>
          <w:trHeight w:val="189"/>
        </w:trPr>
        <w:tc>
          <w:tcPr>
            <w:tcW w:w="5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5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37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40" w:type="dxa"/>
            <w:vAlign w:val="bottom"/>
          </w:tcPr>
          <w:p>
            <w:pPr>
              <w:spacing w:after="0"/>
              <w:rPr>
                <w:sz w:val="20"/>
                <w:szCs w:val="20"/>
                <w:color w:val="auto"/>
              </w:rPr>
            </w:pP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76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r>
        <w:trPr>
          <w:trHeight w:val="156"/>
        </w:trPr>
        <w:tc>
          <w:tcPr>
            <w:tcW w:w="55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7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 and units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December 28, 2012, there was $7.5 million of total unrecognized compensation expense related to nonvested share-based awards granted under our 2007 Stock Equity Plan. This expense is expected to be recognized over a weighted-average period of 1.7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under our 2007 Stock Equity Plan was estimated using the Black-Scholes option pricing model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weighted average assumptions we used in the Black-Scholes valuation model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53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December 28, 2012</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9"/>
              </w:rPr>
              <w:t>December 30, 2011</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December 28, 2012</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9"/>
              </w:rPr>
              <w:t>December 30, 2011</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5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4.38</w:t>
            </w:r>
          </w:p>
        </w:tc>
      </w:tr>
      <w:tr>
        <w:trPr>
          <w:trHeight w:val="27"/>
        </w:trPr>
        <w:tc>
          <w:tcPr>
            <w:tcW w:w="5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Expected volatility is based on historical volatility of our common stock using the daily closing price of our common stock over a period commensurate with the expected term of the options. The expected term of the options is calculated using the simplified method as we do not have sufficient stock option exercise data to derive a reasonable estimate of the expected life of an option. In addition, the types of employees that receive option grants have been significantly changed as we granted share-based awards in fiscal 2012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and have no intention to pay dividends.</w:t>
      </w:r>
    </w:p>
    <w:p>
      <w:pPr>
        <w:spacing w:after="0" w:line="13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fair value of each restricted stock grant is based on the closing price of our common stock on the date of grant and is amortized to compensation expense over its vesting period. The fair value of each performance share is based on the 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 If the vesting conditions of a performance award is modified and the original vesting conditions are not expected to be satisfied, the grant date fair value of the original award is ignored and the fair value of the award measured at the modification date is recognized if the modified award ultimately vests.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2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6" w:right="259" w:bottom="1440" w:gutter="0" w:footer="0" w:header="0"/>
        </w:sectPr>
      </w:pPr>
    </w:p>
    <w:bookmarkStart w:id="14" w:name="page15"/>
    <w:bookmarkEnd w:id="14"/>
    <w:p>
      <w:pPr>
        <w:ind w:right="20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second quarter and first two quarters of fiscal 2013 and 2012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Two Quarters Ended</w:t>
            </w:r>
          </w:p>
        </w:tc>
        <w:tc>
          <w:tcPr>
            <w:tcW w:w="62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28, 2012</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 2011</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28, 2012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 2011</w:t>
            </w:r>
          </w:p>
        </w:tc>
      </w:tr>
      <w:tr>
        <w:trPr>
          <w:trHeight w:val="250"/>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r>
      <w:tr>
        <w:trPr>
          <w:trHeight w:val="243"/>
        </w:trPr>
        <w:tc>
          <w:tcPr>
            <w:tcW w:w="53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66.7</w:t>
            </w:r>
          </w:p>
        </w:tc>
      </w:tr>
      <w:tr>
        <w:trPr>
          <w:trHeight w:val="27"/>
        </w:trPr>
        <w:tc>
          <w:tcPr>
            <w:tcW w:w="5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53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5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r>
      <w:tr>
        <w:trPr>
          <w:trHeight w:val="20"/>
        </w:trPr>
        <w:tc>
          <w:tcPr>
            <w:tcW w:w="5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During the second quarter of fiscal 2013 and first two quarters of both fiscal 2013 and 2012, we had one international customer in Africa (Mobile Telephone Networks Group or MTN Group) that accounted for more than 10% of our total revenue. As of December 28, 2012, MTN Group accounted for more than 10% of our accounts receivable. We had no customers accounted for more than 10% of our accounts receivable at June 29, 2012.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2013. We have a number of years with open tax audits which vary from jurisdiction to jurisdiction. Our major tax jurisdictions include the U.S., Singapore and Nigeria. The earliest years still open and subject to potential audits for these jurisdictions are as follows: U.S. — 2003; Singapore — 2006; and Nigeria — 2004.</w:t>
      </w:r>
    </w:p>
    <w:p>
      <w:pPr>
        <w:spacing w:after="0" w:line="134"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During the current quarter, we received several preliminary assessments from the taxing authority in certain countries challenging certain of the tax benefits. Although we intend to protest these assessments and defend the positions that we have taken with regard to these tax benefits, at this time we are unable to conclude that it is more likely than not that our positions will prevail and accordingly have increased our uncertain tax liability during the current quarter by $9.9 million.</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determination of our provision for the second quarter and first two quarters of fiscal 2013 and 2012 was based on our estimated annual effective tax rate adjusted for losses in separate jurisdictions for which no tax benefit can be recognized. In addition, jurisdictions where we are unable to estimate an annual effective tax rate are excluded from the estimated annual effective tax rate. The tax expense for the second quarter and first two quarters of fiscal 2013 was primarily attributable to an increase in unrecognized tax benefit of $9.9 million and $11.4 million, respectively. The increase was in response to recent assessments of past due income tax in certain countries that we are currently analyzing but as to which, at this time, we are unable to state that it is more likely than not that we will be able to utilize these tax benefits.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 and Hedging Activities</w:t>
      </w:r>
    </w:p>
    <w:p>
      <w:pPr>
        <w:spacing w:after="0" w:line="9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product costs, operating expenses and intercompany transactions. As of December 28, 2012, hedged transactions included our customer and intercompany backlog and, to a much lesser extent, outstanding purchase commitments denominated primarily in the Australian dollar, Euro, Polish zloty and Republic of South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65" w:right="279" w:bottom="1440" w:gutter="0" w:footer="0" w:header="0"/>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Africa rand. These derivatives are designated as cash flow hedges and typically have maturities from one to three months with a maximum of six months, which in general closely match the underlying forecasted transaction in duration.</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As of December 28, 2012, it is expected that $0.1 million of derivative net loss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on outstanding derivatives depend on the exchange rates in effect when they mature.</w:t>
      </w:r>
    </w:p>
    <w:p>
      <w:pPr>
        <w:spacing w:after="0" w:line="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December 28, 2012 and June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 2012</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29,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20"/>
              <w:spacing w:after="0"/>
              <w:rPr>
                <w:sz w:val="20"/>
                <w:szCs w:val="20"/>
                <w:color w:val="auto"/>
              </w:rPr>
            </w:pPr>
            <w:r>
              <w:rPr>
                <w:rFonts w:ascii="Arial" w:cs="Arial" w:eastAsia="Arial" w:hAnsi="Arial"/>
                <w:sz w:val="18"/>
                <w:szCs w:val="18"/>
                <w:color w:val="auto"/>
              </w:rPr>
              <w:t>Australian dollar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06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0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Australian dollar</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Singapore dollar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Thailand baht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fair value of derivative instruments included within our consolidated balance sheet as of December 28,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29,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13"/>
                <w:szCs w:val="13"/>
                <w:color w:val="auto"/>
              </w:rPr>
            </w:pPr>
          </w:p>
        </w:tc>
        <w:tc>
          <w:tcPr>
            <w:tcW w:w="76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13"/>
                <w:szCs w:val="13"/>
                <w:color w:val="auto"/>
              </w:rPr>
            </w:pPr>
          </w:p>
        </w:tc>
        <w:tc>
          <w:tcPr>
            <w:tcW w:w="128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9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0"/>
                <w:szCs w:val="10"/>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4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location and amount of the gains and losses on derivative instruments reported in our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Two Quarters Ended</w:t>
            </w:r>
          </w:p>
        </w:tc>
        <w:tc>
          <w:tcPr>
            <w:tcW w:w="520" w:type="dxa"/>
            <w:vAlign w:val="bottom"/>
            <w:tcBorders>
              <w:bottom w:val="single" w:sz="8" w:color="auto"/>
            </w:tcBorders>
          </w:tcPr>
          <w:p>
            <w:pPr>
              <w:spacing w:after="0"/>
              <w:rPr>
                <w:sz w:val="16"/>
                <w:szCs w:val="16"/>
                <w:color w:val="auto"/>
              </w:rPr>
            </w:pPr>
          </w:p>
        </w:tc>
      </w:tr>
      <w:tr>
        <w:trPr>
          <w:trHeight w:val="264"/>
        </w:trPr>
        <w:tc>
          <w:tcPr>
            <w:tcW w:w="590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Locations of Gains (Losses) on Derivative Instruments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December 28, 2012</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30, 2011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28, 2012</w:t>
            </w: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w w:val="93"/>
              </w:rPr>
              <w:t>December 30, 2011</w:t>
            </w:r>
          </w:p>
        </w:tc>
      </w:tr>
      <w:tr>
        <w:trPr>
          <w:trHeight w:val="250"/>
        </w:trPr>
        <w:tc>
          <w:tcPr>
            <w:tcW w:w="5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6"/>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Designated as cash flow hedges (foreign exchange forward contracts):</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7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7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29"/>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Loss associated with excluded time value recognized in</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cost of product sales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7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7"/>
        </w:trPr>
        <w:tc>
          <w:tcPr>
            <w:tcW w:w="5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w w:val="91"/>
              </w:rPr>
              <w:t>Not designated as cash flow hedges (foreign exchange forward contracts):</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7" w:name="page18"/>
    <w:bookmarkEnd w:id="17"/>
    <w:p>
      <w:pPr>
        <w:ind w:right="14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December 28, 2012, future minimum lease payments for our headquarters total $18.7 million through April 2020.</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28, 2012, our future minimum lease payments under all non-cancelable operating leases with an initial lease term in excess of one year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(2 Quarters remaining)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5.0</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3.2</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8.1</w:t>
            </w:r>
          </w:p>
        </w:tc>
      </w:tr>
      <w:tr>
        <w:trPr>
          <w:trHeight w:val="27"/>
        </w:trPr>
        <w:tc>
          <w:tcPr>
            <w:tcW w:w="9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25.8</w:t>
            </w:r>
          </w:p>
        </w:tc>
      </w:tr>
      <w:tr>
        <w:trPr>
          <w:trHeight w:val="20"/>
        </w:trPr>
        <w:tc>
          <w:tcPr>
            <w:tcW w:w="9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Total minimum rentals to be received in the future under our noncancelable subleases was $1.0 million as of December 28, 2012.</w:t>
      </w:r>
    </w:p>
    <w:p>
      <w:pPr>
        <w:spacing w:after="0" w:line="12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$2.2 million and $2.3 million in the second quarter of fiscal 2013 and 2012, respectively, and $4.3 million and $4.7 million in the first two quarters of fiscal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Orders and Other Commitments</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are unable to estimate any future liability under these agreements. As of December 28, 2012, we had purchase obligations with our suppliers or contract manufacturers of $56.5 million outstanding. In addition, we had contractual obligations of approximately $5.1 million associated with major capital purchase and service agreements as of December 28,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Guarantees and Commercial Commitments</w:t>
      </w:r>
    </w:p>
    <w:p>
      <w:pPr>
        <w:spacing w:after="0" w:line="94"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28, 2012,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28, 2012, we had commercial commitments of $52.8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Under the terms of substantially all of our license agreements, we have agreed to defend and pay any final judgment against our customers arising from claims against such customers that our software products infringe the intellectual property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8" w:name="page19"/>
    <w:bookmarkEnd w:id="18"/>
    <w:p>
      <w:pPr>
        <w:ind w:right="20"/>
        <w:spacing w:after="0" w:line="255" w:lineRule="auto"/>
        <w:rPr>
          <w:sz w:val="20"/>
          <w:szCs w:val="20"/>
          <w:color w:val="auto"/>
        </w:rPr>
      </w:pPr>
      <w:r>
        <w:rPr>
          <w:rFonts w:ascii="Arial" w:cs="Arial" w:eastAsia="Arial" w:hAnsi="Arial"/>
          <w:sz w:val="18"/>
          <w:szCs w:val="18"/>
          <w:color w:val="auto"/>
        </w:rPr>
        <w:t>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28, 2012, we had not recorded any liabilities related to these indemnifications.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District of Delaware by plaintiff Howard Taylor. Plaintiff purported to bring this action derivatively on behalf of Aviat Networks, which was named as a nominal defendant. Plaintiff brought a claim for breach of fiduciary duty against the officer and director defendants based on the allegations of securities law violations alleged in the class action described above and also alleges that the defendants caused us to acquire the Microwave Communications Division, Harris Corporation at an inflated price. Plaintiff sought to recover unspecified damages and other relief on behalf of Aviat Networks, as well as payment of costs and attorneys' fees. On September 27, 2012, the Court granted defendants' motion to dismiss and granted plaintiff leave to amend by October 18, 2012 only as to the allegations related to the class action. On October 18, 2012, plaintiff did not amend but filed a motion for a stay of the action and sent a demand to the Company's Board that it investigate and pursue the claims that were dismissed by the Court. On December 14, 2012, the Court denied plaintiff's motion to stay and, as a result, all claims have been dismissed with prejudice. The Board has informed counsel for Taylor that it has commenced an investigation in response to Taylor's letter and has invited them to share any documents or other information supporting their demand so that the Board may consider such information. The Board will advise Taylor's counsel when its work in response to the demand is concluded.</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46" w:right="27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2012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2012 and 2013 Results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28, 2013 is referred to as “fiscal 2013” or “2013” and fiscal year ended June 29, 2012 as “fiscal 2012” or “2012”.</w:t>
      </w:r>
    </w:p>
    <w:p>
      <w:pPr>
        <w:spacing w:after="0" w:line="13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65" w:right="259" w:bottom="1440" w:gutter="0" w:footer="0" w:header="0"/>
        </w:sectPr>
      </w:pPr>
    </w:p>
    <w:bookmarkStart w:id="20" w:name="page21"/>
    <w:bookmarkEnd w:id="20"/>
    <w:p>
      <w:pPr>
        <w:jc w:val="both"/>
        <w:ind w:right="80"/>
        <w:spacing w:after="0" w:line="264" w:lineRule="auto"/>
        <w:rPr>
          <w:sz w:val="20"/>
          <w:szCs w:val="20"/>
          <w:color w:val="auto"/>
        </w:rPr>
      </w:pPr>
      <w:r>
        <w:rPr>
          <w:rFonts w:ascii="Arial" w:cs="Arial" w:eastAsia="Arial" w:hAnsi="Arial"/>
          <w:sz w:val="18"/>
          <w:szCs w:val="18"/>
          <w:color w:val="auto"/>
        </w:rPr>
        <w:t>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strategic focus in the second half of fiscal 2013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While the general trend of increasing demand for bandwidth to support mobile networks applies in all markets, we expect to see quarter-to-quarter fluctuations within markets and with individual customers based on customers' past purchasing patterns. As well, seasonality is a factor that impacts our business. Our fiscal third quarter revenue and orders have historically been lower than the revenue and orders in the immediately preceding second quarter because many of our customers utilize a significant portion of their capital budgets at the end of their fiscal year, which is typically the calendar year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 Please refer to the section entitled “Risk Factors” in Item 1A in our fiscal 2012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21"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During the first two quarters of fiscal 2013, we secured orders and continued to expand our footprint with our customers in the mobile operator market using our current technology and service capabilities. The market for mobile backhaul continues to be our primary addressable market segment and the demand for increasing the backhaul capacity in our customers' networks continues to grow in line with our expectations. In the quarter we saw increased demand in North America as we supported the LTE deployments of our key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of our 2012 Annual Report on Form 10-K, a number of factors could prevent us from achieving our objectives, including ongoing pricing pressures attributable to competition and macroeconomic conditions in the geographic markets that we service.</w:t>
      </w:r>
    </w:p>
    <w:p>
      <w:pPr>
        <w:spacing w:after="0" w:line="11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first two quarters of fiscal 2013, we incurred restructuring expenses under the Fiscal 2011 Plan that will allow us to reduce our operational costs. We intend to complete remaining restructuring activities under the Fiscal 2011 Plan during fiscal 2013.</w:t>
      </w:r>
    </w:p>
    <w:p>
      <w:pPr>
        <w:spacing w:after="0" w:line="11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the fourth quarter of fiscal 2012, we re-evaluated our reportable segments primarily due to changes in our management, product platform and business processes, and determined that we operate in one single reportable industry segment. Accordingly, financial information for the second quarter and first two quarters of fiscal 2012 has been recast to conform with the current reportable segment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 region for the second quarter and first two quarters of fiscal 2013 and 2012 and the related changes are shown in the table below:</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46"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6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39.9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166.3 %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46.2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revenue in North America decreased $2.8 million, or 6.3%, and $1.1 million, or 1.4%, respectively, during the second quarter and first two quarters of fiscal 2013 compared with the same periods of fiscal 2012. In the fiscal 2013 periods, we saw improved sales with North American mobile operators which were attributable to their ongoing buildout of LTE capable networks in the region. At the same time, North America sales to power utilities and state and local government private networks were down in the second quarter and in the first two quarters of fiscal 2013 compared with the same periods in fiscal 2012. The reduction was due to the timing of completion of distinct projects which tend to vary from quarter to quarter and year to year. We do not believe the decline indicates a trend in the private network business. We completed our first sales of low latency projects to a private network operator in the first half of fiscal 2013.</w:t>
      </w:r>
    </w:p>
    <w:p>
      <w:pPr>
        <w:spacing w:after="0" w:line="1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revenue in Africa and Middle East increased substantially over the same periods in fiscal 2012, up $39.9 million, or 166.3% for the second quarter and $46.2 million, or 69.3%, for the first two quarters in fiscal 2013. Throughout the first half of fiscal 2013, demand from mobile operator customers in Africa has been strong due to their increased investment in network transmission capacity in order to accommodate their growth in network data traffic and increase their service competitiveness. The second fiscal quarter each year tends to be seasonally high in our business. That seasonality is driven in part by mobile operators utilizing a significant portion of their capital budgets at the end of their fiscal year, which is the calendar year and coincides with our second fiscal quarter.</w:t>
      </w:r>
    </w:p>
    <w:p>
      <w:pPr>
        <w:spacing w:after="0" w:line="193"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Revenue from mobile operators in Europe and Russia declined $6.6 million for both the second quarter and first two quarters of fiscal 2013 compared to the same periods in fiscal 2012. We believe this decrease was related to economic difficulty experienced generally throughout Europe.</w:t>
      </w:r>
    </w:p>
    <w:p>
      <w:pPr>
        <w:spacing w:after="0" w:line="14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Revenue in Latin America and Asia Pacific declined $6.5 million, or 31.0%, and $10.9 million, or 27.0%, respectively, during the second quarter and first two quarters of fiscal 2013 compared with the same periods of fiscal 2012. The decrease was primarily due to a decline in customer purchases in Asia as some of our bigger customers continue to deploy large orders that we delivered in the past year as they begin to roll out LTE service.</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revenue from product sales was up by $20.1 million, or 27.1%, and $14.8 million, or 9.1%, respectively, during the second quarter and first two quarters of fiscal 2013 compared with the same periods of fiscal 2012. The increase came primarily from strong sales in Africa, offset in part by reductions in North America, Europe and Asia. Our services revenue was up by $3.9 million, or 12.6%, and $12.8 million, or 24.1%, respectively, during the second quarter and first two quarters of fiscal 2013 compared with the same periods of fiscal 2012. The increase in the fiscal 2013 periods came from additional services delivered in North America and Africa, offset in part by a decrease in Asia Pacific.</w:t>
      </w:r>
    </w:p>
    <w:p>
      <w:pPr>
        <w:spacing w:after="0" w:line="11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second quarter of fiscal 2013 and first two quarters of fiscal 2013 and 2012, the MTN Group in Africa accounted for more than 10% of our total revenue. We have entered into separate and distinct contracts with MTN Group as well as separate arrangements with MTN Group subsidiaries. The loss of all MTN Group business could adversely affect our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8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millions, except percentages)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8"/>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Gross margin for the second quarter and first two quarters of fiscal 2013 increased $6.8 million, or 21.3%, and $7.8 million, or 12.1%, respectively, compared with the same periods of fiscal 2012. The increase in gross margin was due largely to higher sales volume and product mix for both the second quarter and the first half of fiscal 2013 compared with the same periods in fiscal 2012. Gross margin as a percentage of revenue remained approximately the same for the fiscal 2013 periods compared with the same periods of fiscal 2012. We anticipate improvements in gross margin rates over time as our new product sales represent a larger share of our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Two Quarters Ended</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(In millions, except percentages)</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9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8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Research and development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w w:val="97"/>
              </w:rPr>
              <w:t>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w w:val="92"/>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80" w:firstLine="432"/>
        <w:spacing w:after="0" w:line="302" w:lineRule="auto"/>
        <w:rPr>
          <w:sz w:val="20"/>
          <w:szCs w:val="20"/>
          <w:color w:val="auto"/>
        </w:rPr>
      </w:pPr>
      <w:r>
        <w:rPr>
          <w:rFonts w:ascii="Arial" w:cs="Arial" w:eastAsia="Arial" w:hAnsi="Arial"/>
          <w:sz w:val="16"/>
          <w:szCs w:val="16"/>
          <w:color w:val="auto"/>
        </w:rPr>
        <w:t>Our research and development (“R&amp;D”) expenses increased $1.0 million, or 11.4%, and $1.3 million, or 7.3%, respectively, in the second quarter and first two quarters of fiscal 2013 compared with the same periods in fiscal 2012. The increase in R&amp;D expenses was primarily due to increases in personnel expenses and share-based compensation, reflecting our investment in our new product development projects. We continue to invest in new product features, new functionality and lower cost platforms that we believe will enable our product lines to retain their technology leads in a cost effective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Two Quarters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(In millions, except percentages)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1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4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w w:val="97"/>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selling and administrative expenses declined $1.6 million, or 6.3%, and $3.5 million or 7.0%, respectively, in the second quarter and first two quarters of fiscal 2013 compared with the same periods of fiscal 2012, primarily as a result of the restructuring programs we implemented over the past years. The decrease for the second quarter of fiscal 2013 was due primarily to a $0.9 million reduction in personnel expenses, a $0.4 million reduction in professional services, a $0.4 million reduction in agent commissions driven by lower fee-based revenues, and a $0.4 million decrease in bad debt expense, partially offset by a $0.4 million increase in sales related expenses and a $0.3 million increase in share-based compensation expenses. The decrease for the first half of fiscal 2013 was due primarily to a $2.0 million reduction in professional services, a $1.9 million reduction in personnel expenses, a $1.3 million reduction in telecommunication and facility expenses, partially offset by a $0.6 million increase in sales related expenses and a $0.8 million increase in share-based compensation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first quarter of fiscal 2011, we initiated the Fiscal 2011 Plan to reduce our operational costs. The Fiscal 2011 Plan was intended to bring our cost structure in line with the changing business environment of the worldwide microwave radio and telecommunication markets, primarily in North America, Europe and Asia. Activities under the Fiscal 2011 Plan included the reductions in force to reduce our operating expenses and downsizing or closures of our Morrisville, North Carolina, Santa Clara, California, Montreal, Canada and certain international field offices.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22"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t>Our restructuring charges for the second quarter and first two quarters of fiscal 2013 and 2012 are summarized in the table below:</w:t>
      </w:r>
    </w:p>
    <w:p>
      <w:pPr>
        <w:spacing w:after="0" w:line="392"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Two Quarters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(In millions, except</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December</w:t>
            </w:r>
          </w:p>
        </w:tc>
        <w:tc>
          <w:tcPr>
            <w:tcW w:w="9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28, 2012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30, 2011</w:t>
            </w: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Restructuring charges increased $0.1 million in the second quarter of fiscal 2013 compared with the same quarter of fiscal 2012 due to severance and related benefit charges. Restructuring charges declined $0.5 million in the first two quarters of fiscal 2013 compared with the same period of fiscal 2012 primarily due to the absence of a $0.7 million facilities charge in the first half of fiscal 2012 primarily related to the sublease and relocation of our Morrisville, North Carolina office during the period.</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restructuring expenses consisted primarily of severance and related benefit charges, and to a lesser extent, facilities costs related to obligations under non-cancelable leases for facilities that we ceased to use. We intend to complete remaining restructuring activities under the Fiscal 2011 Plan in fiscal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Interest Income and Interest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Two Quarters Ended</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December 28, 2012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30, 2011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December 28,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30, 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Other expense for the first two quarters of fiscal 2013 and fiscal 2012 consisted primarily of transactional tax assessments related to certain international entities.</w:t>
      </w:r>
    </w:p>
    <w:p>
      <w:pPr>
        <w:spacing w:after="0" w:line="11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our credit facilities and, in the first half of fiscal 2012, also included preference dividends on our $8.25 million redeemable preference shares. The $8.25 million preference shares were redeemed at their carrying value on January 30, 2012, funded by a two-year term loan of $8.25 million under our credit facility at a fixed interest rate of 5% per annum.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Two Quarters Ended</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30, 2011</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1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2011</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before income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 of income (loss) from continuing operations before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We estimate our annual effective rate at the end of each quarterly period, and we record the tax effect of certain discrete items, which are unusual or occur infrequently, in the interim period in which they occur, including changes in judgment about deferred tax valuation allowances. In jurisdictions with a year-to-date loss where no tax benefit can be recognized and jurisdictions where we are unable to estimate an annual effective tax rate are excluded from the annual effective tax rate. That determination also reflected tax expense and benefit generated in certain foreign jurisdictions. The tax expense for the second quarter and first two quarters of fiscal 2013 was primarily attributable to an increase in our reserve for uncertain tax positions of $9.9 million and $11.4 million, respectively, as the result of additional information obtained during recent tax examinations in certain countries. The tax expense for the second quarter and first two quarters of fiscal 2012 was primarily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100"/>
        <w:spacing w:after="0" w:line="277" w:lineRule="auto"/>
        <w:rPr>
          <w:sz w:val="20"/>
          <w:szCs w:val="20"/>
          <w:color w:val="auto"/>
        </w:rPr>
      </w:pPr>
      <w:r>
        <w:rPr>
          <w:rFonts w:ascii="Arial" w:cs="Arial" w:eastAsia="Arial" w:hAnsi="Arial"/>
          <w:sz w:val="18"/>
          <w:szCs w:val="18"/>
          <w:color w:val="auto"/>
        </w:rPr>
        <w:t>attributable to profitable foreign entities for which we have accrued income taxes. We accrued tax expenses for foreign jurisdictions that are anticipated to be profitable for fiscal 2013.</w:t>
      </w:r>
    </w:p>
    <w:p>
      <w:pPr>
        <w:spacing w:after="0" w:line="17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Two Quarters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28, 2012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30, 2011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28, 2012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30, 2011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4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20" w:firstLine="432"/>
        <w:spacing w:after="0" w:line="255"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loss from discontinued operations decreased $2.5 million and $4.2 million, respectively, in the second quarter and first two quarters of fiscal 2013 compared with the same same periods in fiscal 2012. The loss incurred in the first two quarters of fiscal 2013 was primarily due to write-down of certain WiMAX deferred cost of sales that were not transferred to EION and certain expenses we incurred to support a remaining customer obligation. The loss in the first two quarters of fiscal 2012 included operating expenses we incurred to transition the business and a $2.0 million loss on disposition of the WiMAX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As of December 28, 2012, our total cash and cash equivalents were $94.8 million. Approximately $31.9 million, or 33.6% of our total cash and cash equivalents, was held by entities domiciled in the United States. The remaining balance of $62.9 million or 66.4% was held by entities outside the United States. </w:t>
      </w:r>
      <w:r>
        <w:rPr>
          <w:rFonts w:ascii="Arial" w:cs="Arial" w:eastAsia="Arial" w:hAnsi="Arial"/>
          <w:sz w:val="18"/>
          <w:szCs w:val="18"/>
          <w:u w:val="single" w:color="auto"/>
          <w:color w:val="auto"/>
        </w:rPr>
        <w:t>Of the amount of cash and cash equivalents held by our foreign subsidiaries at December 28, 2012, $49.3 million was held in jurisdictions where our</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undistributed earnings are indefinitely reinvested, and would be subject to U.S. taxes if repatriated.</w:t>
      </w:r>
      <w:r>
        <w:rPr>
          <w:rFonts w:ascii="Arial" w:cs="Arial" w:eastAsia="Arial" w:hAnsi="Arial"/>
          <w:sz w:val="18"/>
          <w:szCs w:val="18"/>
          <w:color w:val="auto"/>
        </w:rPr>
        <w:t>.</w:t>
      </w:r>
    </w:p>
    <w:p>
      <w:pPr>
        <w:spacing w:after="0" w:line="52"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As of December 28, 2012, our principal sources of liquidity consisted of the $94.8 million in cash and cash equivalents, $23.8 million of available credit under our current $40.0 million credit facility with SVB, and future collections of receivables from customers. We regularly require letters of credit from some customers that request extended payment terms up to one year or more.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two quarters of fiscal 2013, our total cash and cash equivalents decreased by $1.2 million primarily due to $3.5 million million cash provided by operating activities, $3.6 million of cash used for capital expenditures, and $2.1 million repayment on our long-term debt.</w:t>
      </w:r>
    </w:p>
    <w:p>
      <w:pPr>
        <w:spacing w:after="0" w:line="12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Cash provided by operating activities was $3.5 million in the first two quarters of fiscal 2013 primarily due to a decrease in unbilled costs of $9.1 million, an increase in customer advance payments and unearned income of $11.4 million, an increase in reserve for uncertain tax positions of $11.4 million, and taking into account our net loss of $7.5 million adjusted by non-cash expense items of $10.3 million, but was partially offset by an increase in receivables of $10.3 million and a net decrease in accounts payable and accrued expenses of $18.0 million. The decrease in unbilled costs was due to the completion of customer projects during the period. The increase in customer advance payments and unearned income was due to the timing of revenue recognition on several large contracts. Our accounts receivable increased during the first two quarters of fiscal 2013 primarily due to a larger volume of billings in the period. The decrease in accounts payable and accrued expenses was primarily due to the timing of disbursements. We also used $1.3 million in cash during the first two quarters of fiscal 2013 related to restructuring liabilities.</w:t>
      </w:r>
    </w:p>
    <w:p>
      <w:pPr>
        <w:spacing w:after="0" w:line="12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During the remainder of fiscal year 2013, we expect to spend approximately $7.5 million for capital expenditures primarily on equipment for development of new products and improvement of our information technology infrastructure which will enable more automated supply chain management and financial reporting and lead to process and cost efficiency and ability to scale our business. We currently believe that our existing cash and cash equivalents, the available line of credit under the SVB facility and future cash collections from customers will be sufficient to provide for our anticipated requirements for working capital and capital expenditures for the next 12 months and the foreseeable future. There can be no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20"/>
        <w:spacing w:after="0" w:line="273" w:lineRule="auto"/>
        <w:rPr>
          <w:sz w:val="20"/>
          <w:szCs w:val="20"/>
          <w:color w:val="auto"/>
        </w:rPr>
      </w:pPr>
      <w:r>
        <w:rPr>
          <w:rFonts w:ascii="Arial" w:cs="Arial" w:eastAsia="Arial" w:hAnsi="Arial"/>
          <w:sz w:val="17"/>
          <w:szCs w:val="17"/>
          <w:color w:val="auto"/>
        </w:rPr>
        <w:t>assurance, however, that our business will generate cash flow, or that anticipated operational improvements will be achieved. If we are unable to maintain cash balances or generate sufficient cash flow from operations to service our obligations or liability for uncertain tax positions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9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December 28, 2012, we had $23.8 million of credit available under our revolving credit facility with SVB. The total amount of revolving credit available was $40.0 million less $10.8 million in outstanding borrowings and $5.4 million in outstanding standby letters of credit issued under the SVB facility.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an amendment to the facility effective November 2, 2011, the commitment of $40.0 million under the facility was extended to expire on February 28,</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2014 and provides for (1) advance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two-year term loan in the amount of $8.3 million at a fixed rate of 5% per annum expiring on January 31, 2014, and (4) the issuance of standby or commercial letters of credit. As of December 28, 2012, we had $6.0 million advance borrowings under the credit facility which we do not expect to repay within the next 12 months. The term loan drawn on January 30, 2012 is repaid in 24 equal monthly installments of principal plus accrued interest commencing February 29, 2012. The SVB facility contains a minimum liquidity ratio covenant and a minimum profitability covenant and is secured by certain of the company’s assets including accounts receivable, inventory, and equipment. The facility also imposes certain restrictions on our ability to pay dividends or make distributions to our stockholders under certain circumstances.</w:t>
      </w:r>
    </w:p>
    <w:p>
      <w:pPr>
        <w:spacing w:after="0" w:line="11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Based on financial covenants included as part of the amended SVB credit facility effective September 28, 2012, we must maintain, as measured at the last day of each fiscal quarter beginning September 28, 2012 through December 27, 2013,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December 28, 2012, we were in compliance with these financial covenants.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90" w:lineRule="exact"/>
        <w:rPr>
          <w:sz w:val="20"/>
          <w:szCs w:val="20"/>
          <w:color w:val="auto"/>
        </w:rPr>
      </w:pPr>
    </w:p>
    <w:p>
      <w:pPr>
        <w:jc w:val="both"/>
        <w:ind w:right="120" w:firstLine="432"/>
        <w:spacing w:after="0" w:line="342" w:lineRule="auto"/>
        <w:rPr>
          <w:sz w:val="20"/>
          <w:szCs w:val="20"/>
          <w:color w:val="auto"/>
        </w:rPr>
      </w:pPr>
      <w:r>
        <w:rPr>
          <w:rFonts w:ascii="Arial" w:cs="Arial" w:eastAsia="Arial" w:hAnsi="Arial"/>
          <w:sz w:val="16"/>
          <w:szCs w:val="16"/>
          <w:color w:val="auto"/>
        </w:rPr>
        <w:t>We have a liability for restructuring activities totaling $1.4 million as of December 28, 2012, $0.9 million of which is classified as current liability and expected to be paid out in cash over the next 12 months. We expect to fund these future payments with available cash and cash flow provided by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amounts disclosed in our Fiscal 2012 Form 10-K include our commercial commitments and contractual obligations. During the first two quarters of fiscal 2013,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2012 Form 10-K. Please refer to Note 13, "Commitments and Contingencies" in this Form 10-Q. During the first two quarters of fiscal 2013, we recorded $11.4 million in our reserve for uncertain tax positions, as set forth in Note 11, "Income Taxes" in this Form 10-Q. As of December 28, 2012, we were not able to determine the timing of future payment on the uncertain tax position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2012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6" w:name="page27"/>
    <w:bookmarkEnd w:id="26"/>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As of December 28, 2012, we had foreign currency forward contracts outstanding with a total notional amount of $40.9 million consisting of 13 different currencies. The following is a summary of the notional amount of our outstanding contracts grouped by the underlying foreign currency as of December 28, 2012: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3"/>
              </w:rPr>
              <w:t>Notional Contract</w:t>
            </w:r>
          </w:p>
        </w:tc>
        <w:tc>
          <w:tcPr>
            <w:tcW w:w="340" w:type="dxa"/>
            <w:vAlign w:val="bottom"/>
          </w:tcPr>
          <w:p>
            <w:pPr>
              <w:spacing w:after="0"/>
              <w:rPr>
                <w:sz w:val="14"/>
                <w:szCs w:val="14"/>
                <w:color w:val="auto"/>
              </w:rPr>
            </w:pPr>
          </w:p>
        </w:tc>
        <w:tc>
          <w:tcPr>
            <w:tcW w:w="102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02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20" w:type="dxa"/>
            <w:vAlign w:val="bottom"/>
            <w:gridSpan w:val="2"/>
            <w:vMerge w:val="continue"/>
          </w:tcPr>
          <w:p>
            <w:pPr>
              <w:spacing w:after="0"/>
              <w:rPr>
                <w:sz w:val="16"/>
                <w:szCs w:val="16"/>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(Local Currency)</w:t>
            </w:r>
          </w:p>
        </w:tc>
        <w:tc>
          <w:tcPr>
            <w:tcW w:w="340" w:type="dxa"/>
            <w:vAlign w:val="bottom"/>
          </w:tcPr>
          <w:p>
            <w:pPr>
              <w:spacing w:after="0"/>
              <w:rPr>
                <w:sz w:val="16"/>
                <w:szCs w:val="16"/>
                <w:color w:val="auto"/>
              </w:rPr>
            </w:pPr>
          </w:p>
        </w:tc>
        <w:tc>
          <w:tcPr>
            <w:tcW w:w="1020" w:type="dxa"/>
            <w:vAlign w:val="bottom"/>
          </w:tcPr>
          <w:p>
            <w:pPr>
              <w:jc w:val="center"/>
              <w:ind w:right="27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108.0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116.0</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foreign exchange gain (loss) recorded in our consolidated statements of operations during the second quarter and first two quarters of fiscal 2013 and 2012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Two Quarters Ended</w:t>
            </w:r>
          </w:p>
        </w:tc>
        <w:tc>
          <w:tcPr>
            <w:tcW w:w="5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28, 2012</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30, 2011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28, 2012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30, 2011</w:t>
            </w:r>
          </w:p>
        </w:tc>
      </w:tr>
      <w:tr>
        <w:trPr>
          <w:trHeight w:val="243"/>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(loss), net</w:t>
            </w: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December 28, 2012 would have an impact of approximately $3.1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December 28, 2012 and June 29, 2012, the cumulative translation adjustment decreased our stockholders’ equity by $3.1 million and $4.0 million,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and long-term debt borrowings under our SVB credit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90"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had $94.8 million in total cash and cash equivalents as of December 28, 2012. Cash equivalents totaled $62.9 million as of December 28, 2012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December 28, 2012 was 2.8 days, and these investments had an average yield of 0.12% per annum. A 10% change in interest rates on our cash and cash equivalents is not expected to have a material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first two quarters of fiscal 2013, we had $6.0 million of advance borrowings outstanding under our $40.0 million revolving credit facility that incurred interest at the prime rate. We also recorded interest on our $8.3 million long-term borrowing drawn on January 30, 2012 at the fixed rate of 5% per annum. During the first two quarters of fiscal 2013, our weighted average interest rate was 4.1% and we recorded total interest expense of $0.2 million on these borrowings.</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 Based on this evaluation, the Chief Executive Officer and Chief Financial Officer concluded that our disclosure controls and procedures were effective as of December 28,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3" w:right="239" w:bottom="1440" w:gutter="0" w:footer="0" w:header="0"/>
        </w:sectPr>
      </w:pPr>
    </w:p>
    <w:bookmarkStart w:id="28" w:name="page29"/>
    <w:bookmarkEnd w:id="28"/>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Legal Proceedings under Note 13, "Commitments and Contingencies" in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2012 Form 10-K.</w:t>
      </w:r>
    </w:p>
    <w:p>
      <w:pPr>
        <w:spacing w:after="0" w:line="116"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2012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688"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8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3009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240" w:top="796" w:right="939" w:bottom="1440" w:gutter="0" w:footer="0" w:header="0"/>
        </w:sectPr>
      </w:pPr>
    </w:p>
    <w:bookmarkStart w:id="31" w:name="page32"/>
    <w:bookmarkEnd w:id="31"/>
    <w:p>
      <w:pPr>
        <w:ind w:left="5020"/>
        <w:spacing w:after="0"/>
        <w:rPr>
          <w:sz w:val="20"/>
          <w:szCs w:val="20"/>
          <w:color w:val="auto"/>
        </w:rPr>
      </w:pPr>
      <w:r>
        <w:rPr>
          <w:rFonts w:ascii="Arial" w:cs="Arial" w:eastAsia="Arial" w:hAnsi="Arial"/>
          <w:sz w:val="18"/>
          <w:szCs w:val="18"/>
          <w:b w:val="1"/>
          <w:bCs w:val="1"/>
          <w:color w:val="auto"/>
        </w:rPr>
        <w:t>EXHIBIT INDEX</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8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28,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5,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28,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5,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28, 2012,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February 5, 2013</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5980" w:val="left"/>
        </w:tabs>
        <w:rPr>
          <w:sz w:val="20"/>
          <w:szCs w:val="20"/>
          <w:color w:val="auto"/>
        </w:rPr>
      </w:pPr>
      <w:r>
        <w:rPr>
          <w:rFonts w:ascii="Arial" w:cs="Arial" w:eastAsia="Arial" w:hAnsi="Arial"/>
          <w:sz w:val="18"/>
          <w:szCs w:val="18"/>
          <w:color w:val="auto"/>
        </w:rPr>
        <w:t>Date: February 5, 2013</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2019-12-07T14:08:19Z</dcterms:created>
  <dcterms:modified xsi:type="dcterms:W3CDTF">2019-12-07T14:08:19Z</dcterms:modified>
</cp:coreProperties>
</file>