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412750</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437515</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4240"/>
        <w:spacing w:after="0"/>
        <w:rPr>
          <w:sz w:val="20"/>
          <w:szCs w:val="20"/>
          <w:color w:val="auto"/>
        </w:rPr>
      </w:pPr>
      <w:r>
        <w:rPr>
          <w:rFonts w:ascii="Arial" w:cs="Arial" w:eastAsia="Arial" w:hAnsi="Arial"/>
          <w:sz w:val="17"/>
          <w:szCs w:val="17"/>
          <w:color w:val="auto"/>
        </w:rPr>
        <w:t>________________________________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440" w:hanging="418"/>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34" w:lineRule="exact"/>
        <w:rPr>
          <w:sz w:val="24"/>
          <w:szCs w:val="24"/>
          <w:color w:val="auto"/>
        </w:rPr>
      </w:pPr>
    </w:p>
    <w:p>
      <w:pPr>
        <w:ind w:left="440" w:hanging="418"/>
        <w:spacing w:after="0"/>
        <w:tabs>
          <w:tab w:leader="none" w:pos="4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9"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001-33278</w:t>
      </w:r>
    </w:p>
    <w:p>
      <w:pPr>
        <w:spacing w:after="0" w:line="32" w:lineRule="exact"/>
        <w:rPr>
          <w:sz w:val="24"/>
          <w:szCs w:val="24"/>
          <w:color w:val="auto"/>
        </w:rPr>
      </w:pPr>
    </w:p>
    <w:p>
      <w:pPr>
        <w:ind w:left="4320"/>
        <w:spacing w:after="0"/>
        <w:rPr>
          <w:sz w:val="20"/>
          <w:szCs w:val="20"/>
          <w:color w:val="auto"/>
        </w:rPr>
      </w:pPr>
      <w:r>
        <w:rPr>
          <w:rFonts w:ascii="Arial" w:cs="Arial" w:eastAsia="Arial" w:hAnsi="Arial"/>
          <w:sz w:val="17"/>
          <w:szCs w:val="17"/>
          <w:color w:val="auto"/>
        </w:rPr>
        <w:t>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AVIAT NETWORKS,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 w:lineRule="exact"/>
        <w:rPr>
          <w:sz w:val="24"/>
          <w:szCs w:val="24"/>
          <w:color w:val="auto"/>
        </w:rPr>
      </w:pPr>
    </w:p>
    <w:p>
      <w:pPr>
        <w:ind w:left="4320"/>
        <w:spacing w:after="0"/>
        <w:rPr>
          <w:sz w:val="20"/>
          <w:szCs w:val="20"/>
          <w:color w:val="auto"/>
        </w:rPr>
      </w:pPr>
      <w:r>
        <w:rPr>
          <w:rFonts w:ascii="Arial" w:cs="Arial" w:eastAsia="Arial" w:hAnsi="Arial"/>
          <w:sz w:val="17"/>
          <w:szCs w:val="17"/>
          <w:color w:val="auto"/>
        </w:rPr>
        <w:t>______________________________</w:t>
      </w:r>
    </w:p>
    <w:p>
      <w:pPr>
        <w:spacing w:after="0" w:line="39"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3200" w:type="dxa"/>
            <w:vAlign w:val="bottom"/>
            <w:gridSpan w:val="2"/>
          </w:tcPr>
          <w:p>
            <w:pPr>
              <w:jc w:val="center"/>
              <w:ind w:right="1993"/>
              <w:spacing w:after="0"/>
              <w:rPr>
                <w:sz w:val="20"/>
                <w:szCs w:val="20"/>
                <w:color w:val="auto"/>
              </w:rPr>
            </w:pPr>
            <w:r>
              <w:rPr>
                <w:rFonts w:ascii="Arial" w:cs="Arial" w:eastAsia="Arial" w:hAnsi="Arial"/>
                <w:sz w:val="16"/>
                <w:szCs w:val="16"/>
                <w:b w:val="1"/>
                <w:bCs w:val="1"/>
                <w:color w:val="auto"/>
                <w:w w:val="91"/>
              </w:rPr>
              <w:t>Delaware</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jc w:val="center"/>
              <w:ind w:right="825"/>
              <w:spacing w:after="0"/>
              <w:rPr>
                <w:sz w:val="20"/>
                <w:szCs w:val="20"/>
                <w:color w:val="auto"/>
              </w:rPr>
            </w:pPr>
            <w:r>
              <w:rPr>
                <w:rFonts w:ascii="Arial" w:cs="Arial" w:eastAsia="Arial" w:hAnsi="Arial"/>
                <w:sz w:val="16"/>
                <w:szCs w:val="16"/>
                <w:b w:val="1"/>
                <w:bCs w:val="1"/>
                <w:color w:val="auto"/>
                <w:w w:val="88"/>
              </w:rPr>
              <w:t>20-5961564</w:t>
            </w:r>
          </w:p>
        </w:tc>
      </w:tr>
      <w:tr>
        <w:trPr>
          <w:trHeight w:val="160"/>
        </w:trPr>
        <w:tc>
          <w:tcPr>
            <w:tcW w:w="4820" w:type="dxa"/>
            <w:vAlign w:val="bottom"/>
            <w:gridSpan w:val="3"/>
          </w:tcPr>
          <w:p>
            <w:pPr>
              <w:jc w:val="center"/>
              <w:ind w:right="373"/>
              <w:spacing w:after="0"/>
              <w:rPr>
                <w:sz w:val="20"/>
                <w:szCs w:val="20"/>
                <w:color w:val="auto"/>
              </w:rPr>
            </w:pPr>
            <w:r>
              <w:rPr>
                <w:rFonts w:ascii="Arial" w:cs="Arial" w:eastAsia="Arial" w:hAnsi="Arial"/>
                <w:sz w:val="12"/>
                <w:szCs w:val="12"/>
                <w:b w:val="1"/>
                <w:bCs w:val="1"/>
                <w:color w:val="auto"/>
                <w:w w:val="93"/>
              </w:rPr>
              <w:t>(State or other jurisdiction of incorporation or organization)</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(I.R.S. Employer Identification No.)</w:t>
            </w:r>
          </w:p>
        </w:tc>
      </w:tr>
      <w:tr>
        <w:trPr>
          <w:trHeight w:val="585"/>
        </w:trPr>
        <w:tc>
          <w:tcPr>
            <w:tcW w:w="4820" w:type="dxa"/>
            <w:vAlign w:val="bottom"/>
            <w:gridSpan w:val="3"/>
          </w:tcPr>
          <w:p>
            <w:pPr>
              <w:ind w:left="720"/>
              <w:spacing w:after="0"/>
              <w:rPr>
                <w:sz w:val="20"/>
                <w:szCs w:val="20"/>
                <w:color w:val="auto"/>
              </w:rPr>
            </w:pPr>
            <w:r>
              <w:rPr>
                <w:rFonts w:ascii="Arial" w:cs="Arial" w:eastAsia="Arial" w:hAnsi="Arial"/>
                <w:sz w:val="16"/>
                <w:szCs w:val="16"/>
                <w:b w:val="1"/>
                <w:bCs w:val="1"/>
                <w:color w:val="auto"/>
              </w:rPr>
              <w:t>200 Parker Drive, Suite C100A,  Austin,  Texas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jc w:val="center"/>
              <w:ind w:right="825"/>
              <w:spacing w:after="0"/>
              <w:rPr>
                <w:sz w:val="20"/>
                <w:szCs w:val="20"/>
                <w:color w:val="auto"/>
              </w:rPr>
            </w:pPr>
            <w:r>
              <w:rPr>
                <w:rFonts w:ascii="Arial" w:cs="Arial" w:eastAsia="Arial" w:hAnsi="Arial"/>
                <w:sz w:val="16"/>
                <w:szCs w:val="16"/>
                <w:b w:val="1"/>
                <w:bCs w:val="1"/>
                <w:color w:val="auto"/>
                <w:w w:val="89"/>
              </w:rPr>
              <w:t>78728</w:t>
            </w:r>
          </w:p>
        </w:tc>
      </w:tr>
      <w:tr>
        <w:trPr>
          <w:trHeight w:val="160"/>
        </w:trPr>
        <w:tc>
          <w:tcPr>
            <w:tcW w:w="4820" w:type="dxa"/>
            <w:vAlign w:val="bottom"/>
            <w:gridSpan w:val="3"/>
          </w:tcPr>
          <w:p>
            <w:pPr>
              <w:jc w:val="center"/>
              <w:ind w:right="353"/>
              <w:spacing w:after="0"/>
              <w:rPr>
                <w:sz w:val="20"/>
                <w:szCs w:val="20"/>
                <w:color w:val="auto"/>
              </w:rPr>
            </w:pPr>
            <w:r>
              <w:rPr>
                <w:rFonts w:ascii="Arial" w:cs="Arial" w:eastAsia="Arial" w:hAnsi="Arial"/>
                <w:sz w:val="12"/>
                <w:szCs w:val="12"/>
                <w:b w:val="1"/>
                <w:bCs w:val="1"/>
                <w:color w:val="auto"/>
                <w:w w:val="90"/>
              </w:rPr>
              <w:t>(Address of principal executive offices)</w:t>
            </w: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jc w:val="center"/>
              <w:ind w:right="825"/>
              <w:spacing w:after="0"/>
              <w:rPr>
                <w:sz w:val="20"/>
                <w:szCs w:val="20"/>
                <w:color w:val="auto"/>
              </w:rPr>
            </w:pPr>
            <w:r>
              <w:rPr>
                <w:rFonts w:ascii="Arial" w:cs="Arial" w:eastAsia="Arial" w:hAnsi="Arial"/>
                <w:sz w:val="12"/>
                <w:szCs w:val="12"/>
                <w:b w:val="1"/>
                <w:bCs w:val="1"/>
                <w:color w:val="auto"/>
                <w:w w:val="94"/>
              </w:rPr>
              <w:t>(Zip Code)</w:t>
            </w:r>
          </w:p>
        </w:tc>
      </w:tr>
      <w:tr>
        <w:trPr>
          <w:trHeight w:val="473"/>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0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w w:val="92"/>
              </w:rPr>
              <w:t>Registrant’s telephone number, including area code: (408) 941-7100</w:t>
            </w:r>
          </w:p>
        </w:tc>
        <w:tc>
          <w:tcPr>
            <w:tcW w:w="1820" w:type="dxa"/>
            <w:vAlign w:val="bottom"/>
          </w:tcPr>
          <w:p>
            <w:pPr>
              <w:spacing w:after="0"/>
              <w:rPr>
                <w:sz w:val="24"/>
                <w:szCs w:val="24"/>
                <w:color w:val="auto"/>
              </w:rPr>
            </w:pPr>
          </w:p>
        </w:tc>
      </w:tr>
      <w:tr>
        <w:trPr>
          <w:trHeight w:val="248"/>
        </w:trPr>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300" w:type="dxa"/>
            <w:vAlign w:val="bottom"/>
            <w:gridSpan w:val="5"/>
          </w:tcPr>
          <w:p>
            <w:pPr>
              <w:jc w:val="right"/>
              <w:ind w:right="533"/>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1820" w:type="dxa"/>
            <w:vAlign w:val="bottom"/>
          </w:tcPr>
          <w:p>
            <w:pPr>
              <w:spacing w:after="0"/>
              <w:rPr>
                <w:sz w:val="21"/>
                <w:szCs w:val="21"/>
                <w:color w:val="auto"/>
              </w:rPr>
            </w:pPr>
          </w:p>
        </w:tc>
      </w:tr>
      <w:tr>
        <w:trPr>
          <w:trHeight w:val="432"/>
        </w:trPr>
        <w:tc>
          <w:tcPr>
            <w:tcW w:w="16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80" w:type="dxa"/>
            <w:vAlign w:val="bottom"/>
          </w:tcPr>
          <w:p>
            <w:pPr>
              <w:spacing w:after="0"/>
              <w:rPr>
                <w:sz w:val="24"/>
                <w:szCs w:val="24"/>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Trading Symbol(s)</w:t>
            </w:r>
          </w:p>
        </w:tc>
        <w:tc>
          <w:tcPr>
            <w:tcW w:w="3340" w:type="dxa"/>
            <w:vAlign w:val="bottom"/>
            <w:gridSpan w:val="3"/>
          </w:tcPr>
          <w:p>
            <w:pPr>
              <w:jc w:val="center"/>
              <w:ind w:left="53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40" w:type="dxa"/>
            <w:vAlign w:val="bottom"/>
            <w:gridSpan w:val="2"/>
            <w:shd w:val="clear" w:color="auto" w:fill="000000"/>
          </w:tcPr>
          <w:p>
            <w:pPr>
              <w:spacing w:after="0" w:line="20" w:lineRule="exact"/>
              <w:rPr>
                <w:sz w:val="1"/>
                <w:szCs w:val="1"/>
                <w:color w:val="auto"/>
              </w:rPr>
            </w:pPr>
          </w:p>
        </w:tc>
      </w:tr>
      <w:tr>
        <w:trPr>
          <w:trHeight w:val="192"/>
        </w:trPr>
        <w:tc>
          <w:tcPr>
            <w:tcW w:w="4820" w:type="dxa"/>
            <w:vAlign w:val="bottom"/>
            <w:gridSpan w:val="3"/>
          </w:tcPr>
          <w:p>
            <w:pPr>
              <w:jc w:val="center"/>
              <w:ind w:right="373"/>
              <w:spacing w:after="0"/>
              <w:rPr>
                <w:sz w:val="20"/>
                <w:szCs w:val="20"/>
                <w:color w:val="auto"/>
              </w:rPr>
            </w:pPr>
            <w:r>
              <w:rPr>
                <w:rFonts w:ascii="Arial" w:cs="Arial" w:eastAsia="Arial" w:hAnsi="Arial"/>
                <w:sz w:val="14"/>
                <w:szCs w:val="14"/>
                <w:color w:val="auto"/>
                <w:w w:val="89"/>
              </w:rPr>
              <w:t>Common Stock, par value $0.01 per share</w:t>
            </w:r>
          </w:p>
        </w:tc>
        <w:tc>
          <w:tcPr>
            <w:tcW w:w="1700" w:type="dxa"/>
            <w:vAlign w:val="bottom"/>
            <w:gridSpan w:val="2"/>
          </w:tcPr>
          <w:p>
            <w:pPr>
              <w:jc w:val="center"/>
              <w:ind w:right="600"/>
              <w:spacing w:after="0"/>
              <w:rPr>
                <w:sz w:val="20"/>
                <w:szCs w:val="20"/>
                <w:color w:val="auto"/>
              </w:rPr>
            </w:pPr>
            <w:r>
              <w:rPr>
                <w:rFonts w:ascii="Arial" w:cs="Arial" w:eastAsia="Arial" w:hAnsi="Arial"/>
                <w:sz w:val="14"/>
                <w:szCs w:val="14"/>
                <w:color w:val="auto"/>
                <w:w w:val="99"/>
              </w:rPr>
              <w:t>AVNW</w:t>
            </w:r>
          </w:p>
        </w:tc>
        <w:tc>
          <w:tcPr>
            <w:tcW w:w="600" w:type="dxa"/>
            <w:vAlign w:val="bottom"/>
          </w:tcPr>
          <w:p>
            <w:pPr>
              <w:spacing w:after="0"/>
              <w:rPr>
                <w:sz w:val="16"/>
                <w:szCs w:val="16"/>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color w:val="auto"/>
                <w:w w:val="95"/>
              </w:rPr>
              <w:t>NASDAQ Stock Market LLC</w:t>
            </w:r>
          </w:p>
        </w:tc>
      </w:tr>
      <w:tr>
        <w:trPr>
          <w:trHeight w:val="183"/>
        </w:trPr>
        <w:tc>
          <w:tcPr>
            <w:tcW w:w="4820" w:type="dxa"/>
            <w:vAlign w:val="bottom"/>
            <w:gridSpan w:val="3"/>
          </w:tcPr>
          <w:p>
            <w:pPr>
              <w:jc w:val="center"/>
              <w:ind w:right="373"/>
              <w:spacing w:after="0"/>
              <w:rPr>
                <w:sz w:val="20"/>
                <w:szCs w:val="20"/>
                <w:color w:val="auto"/>
              </w:rPr>
            </w:pPr>
            <w:r>
              <w:rPr>
                <w:rFonts w:ascii="Arial" w:cs="Arial" w:eastAsia="Arial" w:hAnsi="Arial"/>
                <w:sz w:val="14"/>
                <w:szCs w:val="14"/>
                <w:color w:val="auto"/>
                <w:w w:val="87"/>
              </w:rPr>
              <w:t>Preferred Share Purchase Rights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color w:val="auto"/>
                <w:w w:val="95"/>
              </w:rPr>
              <w:t>NASDAQ Stock Market LLC</w:t>
            </w:r>
          </w:p>
        </w:tc>
      </w:tr>
      <w:tr>
        <w:trPr>
          <w:trHeight w:val="337"/>
        </w:trPr>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00" w:type="dxa"/>
            <w:vAlign w:val="bottom"/>
            <w:gridSpan w:val="5"/>
          </w:tcPr>
          <w:p>
            <w:pPr>
              <w:jc w:val="right"/>
              <w:ind w:right="173"/>
              <w:spacing w:after="0"/>
              <w:rPr>
                <w:sz w:val="20"/>
                <w:szCs w:val="20"/>
                <w:color w:val="auto"/>
              </w:rPr>
            </w:pPr>
            <w:r>
              <w:rPr>
                <w:rFonts w:ascii="Arial" w:cs="Arial" w:eastAsia="Arial" w:hAnsi="Arial"/>
                <w:sz w:val="17"/>
                <w:szCs w:val="17"/>
                <w:b w:val="1"/>
                <w:bCs w:val="1"/>
                <w:color w:val="auto"/>
                <w:w w:val="98"/>
              </w:rPr>
              <w:t>Securities registered pursuant to Section 12(g) of the Act: None</w:t>
            </w:r>
          </w:p>
        </w:tc>
        <w:tc>
          <w:tcPr>
            <w:tcW w:w="1820" w:type="dxa"/>
            <w:vAlign w:val="bottom"/>
          </w:tcPr>
          <w:p>
            <w:pPr>
              <w:spacing w:after="0"/>
              <w:rPr>
                <w:sz w:val="24"/>
                <w:szCs w:val="24"/>
                <w:color w:val="auto"/>
              </w:rPr>
            </w:pPr>
          </w:p>
        </w:tc>
      </w:tr>
      <w:tr>
        <w:trPr>
          <w:trHeight w:val="237"/>
        </w:trPr>
        <w:tc>
          <w:tcPr>
            <w:tcW w:w="8040" w:type="dxa"/>
            <w:vAlign w:val="bottom"/>
            <w:gridSpan w:val="7"/>
          </w:tcPr>
          <w:p>
            <w:pPr>
              <w:jc w:val="right"/>
              <w:ind w:right="553"/>
              <w:spacing w:after="0"/>
              <w:rPr>
                <w:sz w:val="20"/>
                <w:szCs w:val="20"/>
                <w:color w:val="auto"/>
              </w:rPr>
            </w:pPr>
            <w:r>
              <w:rPr>
                <w:rFonts w:ascii="Arial" w:cs="Arial" w:eastAsia="Arial" w:hAnsi="Arial"/>
                <w:sz w:val="17"/>
                <w:szCs w:val="17"/>
                <w:color w:val="auto"/>
              </w:rPr>
              <w:t>_____________________________________________</w:t>
            </w:r>
          </w:p>
        </w:tc>
        <w:tc>
          <w:tcPr>
            <w:tcW w:w="1820" w:type="dxa"/>
            <w:vAlign w:val="bottom"/>
          </w:tcPr>
          <w:p>
            <w:pPr>
              <w:spacing w:after="0"/>
              <w:rPr>
                <w:sz w:val="20"/>
                <w:szCs w:val="20"/>
                <w:color w:val="auto"/>
              </w:rPr>
            </w:pPr>
          </w:p>
        </w:tc>
      </w:tr>
      <w:tr>
        <w:trPr>
          <w:trHeight w:val="222"/>
        </w:trPr>
        <w:tc>
          <w:tcPr>
            <w:tcW w:w="8040" w:type="dxa"/>
            <w:vAlign w:val="bottom"/>
            <w:gridSpan w:val="7"/>
          </w:tcPr>
          <w:p>
            <w:pPr>
              <w:spacing w:after="0" w:line="184" w:lineRule="exact"/>
              <w:rPr>
                <w:sz w:val="20"/>
                <w:szCs w:val="20"/>
                <w:color w:val="auto"/>
              </w:rPr>
            </w:pPr>
            <w:r>
              <w:rPr>
                <w:rFonts w:ascii="Arial" w:cs="Arial" w:eastAsia="Arial" w:hAnsi="Arial"/>
                <w:sz w:val="16"/>
                <w:szCs w:val="16"/>
                <w:color w:val="auto"/>
                <w:w w:val="91"/>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1"/>
              </w:rPr>
              <w:t>☐</w:t>
            </w:r>
          </w:p>
        </w:tc>
        <w:tc>
          <w:tcPr>
            <w:tcW w:w="182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46"/>
        </w:trPr>
        <w:tc>
          <w:tcPr>
            <w:tcW w:w="8040" w:type="dxa"/>
            <w:vAlign w:val="bottom"/>
            <w:gridSpan w:val="7"/>
          </w:tcPr>
          <w:p>
            <w:pPr>
              <w:spacing w:after="0" w:line="184" w:lineRule="exact"/>
              <w:rPr>
                <w:sz w:val="20"/>
                <w:szCs w:val="20"/>
                <w:color w:val="auto"/>
              </w:rPr>
            </w:pPr>
            <w:r>
              <w:rPr>
                <w:rFonts w:ascii="Arial" w:cs="Arial" w:eastAsia="Arial" w:hAnsi="Arial"/>
                <w:sz w:val="16"/>
                <w:szCs w:val="16"/>
                <w:color w:val="auto"/>
                <w:w w:val="90"/>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0"/>
              </w:rPr>
              <w:t>☐</w:t>
            </w:r>
          </w:p>
        </w:tc>
        <w:tc>
          <w:tcPr>
            <w:tcW w:w="182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 w:lineRule="exact"/>
        <w:rPr>
          <w:sz w:val="24"/>
          <w:szCs w:val="24"/>
          <w:color w:val="auto"/>
        </w:rPr>
      </w:pPr>
    </w:p>
    <w:p>
      <w:pPr>
        <w:jc w:val="both"/>
        <w:ind w:firstLine="314"/>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314"/>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jc w:val="both"/>
        <w:ind w:firstLine="314"/>
        <w:spacing w:after="0" w:line="3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5"/>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780"/>
              <w:spacing w:after="0"/>
              <w:rPr>
                <w:sz w:val="20"/>
                <w:szCs w:val="20"/>
                <w:color w:val="auto"/>
              </w:rPr>
            </w:pPr>
            <w:r>
              <w:rPr>
                <w:rFonts w:ascii="Arial" w:cs="Arial" w:eastAsia="Arial" w:hAnsi="Arial"/>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154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09" w:lineRule="exact"/>
        <w:rPr>
          <w:sz w:val="24"/>
          <w:szCs w:val="24"/>
          <w:color w:val="auto"/>
        </w:rPr>
      </w:pPr>
    </w:p>
    <w:p>
      <w:pPr>
        <w:ind w:firstLine="314"/>
        <w:spacing w:after="0" w:line="19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firstLine="314"/>
        <w:spacing w:after="0" w:line="20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320"/>
        <w:spacing w:after="0" w:line="184"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ind w:firstLine="314"/>
        <w:spacing w:after="0" w:line="247" w:lineRule="auto"/>
        <w:rPr>
          <w:sz w:val="20"/>
          <w:szCs w:val="20"/>
          <w:color w:val="auto"/>
        </w:rPr>
      </w:pPr>
      <w:r>
        <w:rPr>
          <w:rFonts w:ascii="Arial" w:cs="Arial" w:eastAsia="Arial" w:hAnsi="Arial"/>
          <w:sz w:val="16"/>
          <w:szCs w:val="16"/>
          <w:color w:val="auto"/>
        </w:rPr>
        <w:t>As of January 1, 2021, the aggregate market value of the registrant’s common stock held by non-affiliates was approximately $165.4 million. For purposes of this calculation, the registrant has assumed that its directors, executive officers and holders of 10% or more of the outstanding common stock are affiliates.</w:t>
      </w:r>
    </w:p>
    <w:p>
      <w:pPr>
        <w:spacing w:after="0" w:line="18" w:lineRule="exact"/>
        <w:rPr>
          <w:sz w:val="24"/>
          <w:szCs w:val="24"/>
          <w:color w:val="auto"/>
        </w:rPr>
      </w:pPr>
    </w:p>
    <w:p>
      <w:pPr>
        <w:ind w:left="320"/>
        <w:spacing w:after="0"/>
        <w:rPr>
          <w:sz w:val="20"/>
          <w:szCs w:val="20"/>
          <w:color w:val="auto"/>
        </w:rPr>
      </w:pPr>
      <w:r>
        <w:rPr>
          <w:rFonts w:ascii="Arial" w:cs="Arial" w:eastAsia="Arial" w:hAnsi="Arial"/>
          <w:sz w:val="16"/>
          <w:szCs w:val="16"/>
          <w:color w:val="auto"/>
        </w:rPr>
        <w:t>As of August 20, 2021, there were 11,165,221 shares of the registrant’s common stock outstanding.</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7"/>
          <w:szCs w:val="17"/>
          <w:color w:val="auto"/>
        </w:rPr>
        <w:t>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568325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431165</wp:posOffset>
            </wp:positionV>
            <wp:extent cx="7136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456565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206375</wp:posOffset>
            </wp:positionH>
            <wp:positionV relativeFrom="page">
              <wp:posOffset>412750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437515</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t>DOCUMENTS INCORPORATED BY REFERENCE</w:t>
      </w:r>
    </w:p>
    <w:p>
      <w:pPr>
        <w:spacing w:after="0" w:line="29" w:lineRule="exact"/>
        <w:rPr>
          <w:sz w:val="20"/>
          <w:szCs w:val="20"/>
          <w:color w:val="auto"/>
        </w:rPr>
      </w:pPr>
    </w:p>
    <w:p>
      <w:pPr>
        <w:jc w:val="both"/>
        <w:ind w:firstLine="314"/>
        <w:spacing w:after="0" w:line="248" w:lineRule="auto"/>
        <w:rPr>
          <w:sz w:val="20"/>
          <w:szCs w:val="20"/>
          <w:color w:val="auto"/>
        </w:rPr>
      </w:pPr>
      <w:r>
        <w:rPr>
          <w:rFonts w:ascii="Arial" w:cs="Arial" w:eastAsia="Arial" w:hAnsi="Arial"/>
          <w:sz w:val="16"/>
          <w:szCs w:val="16"/>
          <w:color w:val="auto"/>
        </w:rPr>
        <w:t>Portions of the registrant’s definitive Proxy Statement for its fiscal 2021 Annual Meeting of Stockholders (“Proxy Statement”), which will be filed with the Securities and Exchange Commission within 120 days after the end of the registrant’s fiscal year ended July 2,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544195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407670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432435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20" w:type="dxa"/>
            <w:vAlign w:val="bottom"/>
          </w:tcPr>
          <w:p>
            <w:pPr>
              <w:jc w:val="center"/>
              <w:ind w:right="1173"/>
              <w:spacing w:after="0"/>
              <w:rPr>
                <w:sz w:val="20"/>
                <w:szCs w:val="20"/>
                <w:color w:val="auto"/>
              </w:rPr>
            </w:pPr>
            <w:r>
              <w:rPr>
                <w:rFonts w:ascii="Arial" w:cs="Arial" w:eastAsia="Arial" w:hAnsi="Arial"/>
                <w:sz w:val="17"/>
                <w:szCs w:val="17"/>
                <w:b w:val="1"/>
                <w:bCs w:val="1"/>
                <w:color w:val="auto"/>
              </w:rPr>
              <w:t>AVIAT NETWORKS, INC.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1"/>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jc w:val="center"/>
              <w:ind w:right="1173"/>
              <w:spacing w:after="0"/>
              <w:rPr>
                <w:sz w:val="20"/>
                <w:szCs w:val="20"/>
                <w:color w:val="auto"/>
              </w:rPr>
            </w:pPr>
            <w:r>
              <w:rPr>
                <w:rFonts w:ascii="Arial" w:cs="Arial" w:eastAsia="Arial" w:hAnsi="Arial"/>
                <w:sz w:val="17"/>
                <w:szCs w:val="17"/>
                <w:b w:val="1"/>
                <w:bCs w:val="1"/>
                <w:color w:val="auto"/>
              </w:rPr>
              <w:t>ANNUAL REPORT ON FORM 10-K</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jc w:val="center"/>
              <w:ind w:right="1173"/>
              <w:spacing w:after="0"/>
              <w:rPr>
                <w:sz w:val="20"/>
                <w:szCs w:val="20"/>
                <w:color w:val="auto"/>
              </w:rPr>
            </w:pPr>
            <w:r>
              <w:rPr>
                <w:rFonts w:ascii="Arial" w:cs="Arial" w:eastAsia="Arial" w:hAnsi="Arial"/>
                <w:sz w:val="17"/>
                <w:szCs w:val="17"/>
                <w:b w:val="1"/>
                <w:bCs w:val="1"/>
                <w:color w:val="auto"/>
                <w:w w:val="93"/>
              </w:rPr>
              <w:t>For the Fiscal Year Ended July 2, 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1"/>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jc w:val="center"/>
              <w:ind w:right="1173"/>
              <w:spacing w:after="0"/>
              <w:rPr>
                <w:sz w:val="20"/>
                <w:szCs w:val="20"/>
                <w:color w:val="auto"/>
              </w:rPr>
            </w:pPr>
            <w:r>
              <w:rPr>
                <w:rFonts w:ascii="Arial" w:cs="Arial" w:eastAsia="Arial" w:hAnsi="Arial"/>
                <w:sz w:val="17"/>
                <w:szCs w:val="17"/>
                <w:b w:val="1"/>
                <w:bCs w:val="1"/>
                <w:color w:val="auto"/>
                <w:w w:val="91"/>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680" w:type="dxa"/>
            <w:vAlign w:val="bottom"/>
            <w:tcBorders>
              <w:left w:val="single" w:sz="8" w:color="CCEEFF"/>
            </w:tcBorders>
            <w:gridSpan w:val="3"/>
            <w:shd w:val="clear" w:color="auto" w:fill="CCEEFF"/>
          </w:tcPr>
          <w:p>
            <w:pPr>
              <w:ind w:left="20"/>
              <w:spacing w:after="0" w:line="183" w:lineRule="exact"/>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w:t>
              </w:r>
            </w:hyperlink>
          </w:p>
        </w:tc>
        <w:tc>
          <w:tcPr>
            <w:tcW w:w="14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3" w:lineRule="exact"/>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20" w:type="dxa"/>
            <w:vAlign w:val="bottom"/>
            <w:shd w:val="clear" w:color="auto" w:fill="CCEEFF"/>
          </w:tcPr>
          <w:p>
            <w:pPr>
              <w:spacing w:after="0"/>
              <w:rPr>
                <w:sz w:val="15"/>
                <w:szCs w:val="15"/>
                <w:color w:val="auto"/>
              </w:rPr>
            </w:pPr>
          </w:p>
        </w:tc>
      </w:tr>
      <w:tr>
        <w:trPr>
          <w:trHeight w:val="39"/>
        </w:trPr>
        <w:tc>
          <w:tcPr>
            <w:tcW w:w="340" w:type="dxa"/>
            <w:vAlign w:val="bottom"/>
            <w:tcBorders>
              <w:left w:val="single" w:sz="8" w:color="CCEE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6">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rPr>
            </w:pPr>
            <w:hyperlink w:anchor="page6">
              <w:r>
                <w:rPr>
                  <w:rFonts w:ascii="Arial" w:cs="Arial" w:eastAsia="Arial" w:hAnsi="Arial"/>
                  <w:sz w:val="17"/>
                  <w:szCs w:val="17"/>
                  <w:color w:val="0000FF"/>
                </w:rPr>
                <w:t>1.</w:t>
              </w:r>
            </w:hyperlink>
          </w:p>
        </w:tc>
        <w:tc>
          <w:tcPr>
            <w:tcW w:w="480" w:type="dxa"/>
            <w:vAlign w:val="bottom"/>
          </w:tcPr>
          <w:p>
            <w:pPr>
              <w:spacing w:after="0"/>
              <w:rPr>
                <w:sz w:val="15"/>
                <w:szCs w:val="15"/>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6">
              <w:r>
                <w:rPr>
                  <w:rFonts w:ascii="Arial" w:cs="Arial" w:eastAsia="Arial" w:hAnsi="Arial"/>
                  <w:sz w:val="17"/>
                  <w:szCs w:val="17"/>
                  <w:color w:val="0000FF"/>
                </w:rPr>
                <w:t>Business</w:t>
              </w:r>
            </w:hyperlink>
          </w:p>
        </w:tc>
        <w:tc>
          <w:tcPr>
            <w:tcW w:w="160" w:type="dxa"/>
            <w:vAlign w:val="bottom"/>
            <w:gridSpan w:val="2"/>
          </w:tcPr>
          <w:p>
            <w:pPr>
              <w:jc w:val="right"/>
              <w:spacing w:after="0" w:line="183" w:lineRule="exact"/>
              <w:rPr>
                <w:rFonts w:ascii="Arial" w:cs="Arial" w:eastAsia="Arial" w:hAnsi="Arial"/>
                <w:sz w:val="17"/>
                <w:szCs w:val="17"/>
                <w:color w:val="0000FF"/>
              </w:rPr>
            </w:pPr>
            <w:hyperlink w:anchor="page6">
              <w:r>
                <w:rPr>
                  <w:rFonts w:ascii="Arial" w:cs="Arial" w:eastAsia="Arial" w:hAnsi="Arial"/>
                  <w:sz w:val="17"/>
                  <w:szCs w:val="17"/>
                  <w:color w:val="0000FF"/>
                </w:rPr>
                <w:t>6</w:t>
              </w:r>
            </w:hyperlink>
          </w:p>
        </w:tc>
        <w:tc>
          <w:tcPr>
            <w:tcW w:w="20" w:type="dxa"/>
            <w:vAlign w:val="bottom"/>
          </w:tcPr>
          <w:p>
            <w:pPr>
              <w:spacing w:after="0"/>
              <w:rPr>
                <w:sz w:val="15"/>
                <w:szCs w:val="15"/>
                <w:color w:val="auto"/>
              </w:rPr>
            </w:pPr>
          </w:p>
        </w:tc>
      </w:tr>
      <w:tr>
        <w:trPr>
          <w:trHeight w:val="30"/>
        </w:trPr>
        <w:tc>
          <w:tcPr>
            <w:tcW w:w="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40" w:type="dxa"/>
            <w:vAlign w:val="bottom"/>
            <w:tcBorders>
              <w:left w:val="single" w:sz="8" w:color="CCEEFF"/>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spacing w:after="0" w:line="193" w:lineRule="exact"/>
              <w:rPr>
                <w:rFonts w:ascii="Arial" w:cs="Arial" w:eastAsia="Arial" w:hAnsi="Arial"/>
                <w:sz w:val="17"/>
                <w:szCs w:val="17"/>
                <w:color w:val="0000FF"/>
                <w:w w:val="96"/>
              </w:rPr>
            </w:pPr>
            <w:hyperlink w:anchor="page15">
              <w:r>
                <w:rPr>
                  <w:rFonts w:ascii="Arial" w:cs="Arial" w:eastAsia="Arial" w:hAnsi="Arial"/>
                  <w:sz w:val="17"/>
                  <w:szCs w:val="17"/>
                  <w:color w:val="0000FF"/>
                  <w:w w:val="96"/>
                </w:rPr>
                <w:t>Item</w:t>
              </w:r>
            </w:hyperlink>
          </w:p>
        </w:tc>
        <w:tc>
          <w:tcPr>
            <w:tcW w:w="280" w:type="dxa"/>
            <w:vAlign w:val="bottom"/>
            <w:tcBorders>
              <w:bottom w:val="single" w:sz="8" w:color="0000FF"/>
              <w:right w:val="single" w:sz="8" w:color="CCEEFF"/>
            </w:tcBorders>
            <w:gridSpan w:val="2"/>
            <w:shd w:val="clear" w:color="auto" w:fill="CCEEFF"/>
          </w:tcPr>
          <w:p>
            <w:pPr>
              <w:ind w:left="20"/>
              <w:spacing w:after="0" w:line="193" w:lineRule="exact"/>
              <w:rPr>
                <w:rFonts w:ascii="Arial" w:cs="Arial" w:eastAsia="Arial" w:hAnsi="Arial"/>
                <w:sz w:val="17"/>
                <w:szCs w:val="17"/>
                <w:color w:val="0000FF"/>
                <w:w w:val="86"/>
              </w:rPr>
            </w:pPr>
            <w:hyperlink w:anchor="page15">
              <w:r>
                <w:rPr>
                  <w:rFonts w:ascii="Arial" w:cs="Arial" w:eastAsia="Arial" w:hAnsi="Arial"/>
                  <w:sz w:val="17"/>
                  <w:szCs w:val="17"/>
                  <w:color w:val="0000FF"/>
                  <w:w w:val="86"/>
                </w:rPr>
                <w:t>1A.</w:t>
              </w:r>
            </w:hyperlink>
          </w:p>
        </w:tc>
        <w:tc>
          <w:tcPr>
            <w:tcW w:w="480" w:type="dxa"/>
            <w:vAlign w:val="bottom"/>
            <w:tcBorders>
              <w:bottom w:val="single" w:sz="8" w:color="CCEEFF"/>
            </w:tcBorders>
            <w:shd w:val="clear" w:color="auto" w:fill="CCEEFF"/>
          </w:tcPr>
          <w:p>
            <w:pPr>
              <w:spacing w:after="0"/>
              <w:rPr>
                <w:sz w:val="18"/>
                <w:szCs w:val="18"/>
                <w:color w:val="auto"/>
              </w:rPr>
            </w:pPr>
          </w:p>
        </w:tc>
        <w:tc>
          <w:tcPr>
            <w:tcW w:w="9620" w:type="dxa"/>
            <w:vAlign w:val="bottom"/>
            <w:tcBorders>
              <w:bottom w:val="single" w:sz="8" w:color="CCEEFF"/>
            </w:tcBorders>
            <w:shd w:val="clear" w:color="auto" w:fill="CCEEFF"/>
          </w:tcPr>
          <w:p>
            <w:pPr>
              <w:ind w:left="140"/>
              <w:spacing w:after="0" w:line="193" w:lineRule="exact"/>
              <w:rPr>
                <w:rFonts w:ascii="Arial" w:cs="Arial" w:eastAsia="Arial" w:hAnsi="Arial"/>
                <w:sz w:val="17"/>
                <w:szCs w:val="17"/>
                <w:color w:val="0000FF"/>
              </w:rPr>
            </w:pPr>
            <w:hyperlink w:anchor="page15">
              <w:r>
                <w:rPr>
                  <w:rFonts w:ascii="Arial" w:cs="Arial" w:eastAsia="Arial" w:hAnsi="Arial"/>
                  <w:sz w:val="17"/>
                  <w:szCs w:val="17"/>
                  <w:color w:val="0000FF"/>
                </w:rPr>
                <w:t>Risk Factors</w:t>
              </w:r>
            </w:hyperlink>
          </w:p>
        </w:tc>
        <w:tc>
          <w:tcPr>
            <w:tcW w:w="160" w:type="dxa"/>
            <w:vAlign w:val="bottom"/>
            <w:tcBorders>
              <w:bottom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15">
              <w:r>
                <w:rPr>
                  <w:rFonts w:ascii="Arial" w:cs="Arial" w:eastAsia="Arial" w:hAnsi="Arial"/>
                  <w:sz w:val="17"/>
                  <w:szCs w:val="17"/>
                  <w:color w:val="0000FF"/>
                  <w:w w:val="73"/>
                </w:rPr>
                <w:t>15</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340" w:type="dxa"/>
            <w:vAlign w:val="bottom"/>
          </w:tcPr>
          <w:p>
            <w:pPr>
              <w:spacing w:after="0"/>
              <w:rPr>
                <w:sz w:val="16"/>
                <w:szCs w:val="16"/>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32">
              <w:r>
                <w:rPr>
                  <w:rFonts w:ascii="Arial" w:cs="Arial" w:eastAsia="Arial" w:hAnsi="Arial"/>
                  <w:sz w:val="17"/>
                  <w:szCs w:val="17"/>
                  <w:color w:val="0000FF"/>
                  <w:w w:val="96"/>
                </w:rPr>
                <w:t>Item</w:t>
              </w:r>
            </w:hyperlink>
          </w:p>
        </w:tc>
        <w:tc>
          <w:tcPr>
            <w:tcW w:w="760" w:type="dxa"/>
            <w:vAlign w:val="bottom"/>
            <w:gridSpan w:val="3"/>
          </w:tcPr>
          <w:p>
            <w:pPr>
              <w:ind w:left="20"/>
              <w:spacing w:after="0" w:line="183" w:lineRule="exact"/>
              <w:rPr>
                <w:rFonts w:ascii="Arial" w:cs="Arial" w:eastAsia="Arial" w:hAnsi="Arial"/>
                <w:sz w:val="17"/>
                <w:szCs w:val="17"/>
                <w:color w:val="0000FF"/>
              </w:rPr>
            </w:pPr>
            <w:hyperlink w:anchor="page32">
              <w:r>
                <w:rPr>
                  <w:rFonts w:ascii="Arial" w:cs="Arial" w:eastAsia="Arial" w:hAnsi="Arial"/>
                  <w:sz w:val="17"/>
                  <w:szCs w:val="17"/>
                  <w:color w:val="0000FF"/>
                </w:rPr>
                <w:t>1B.</w:t>
              </w:r>
            </w:hyperlink>
          </w:p>
        </w:tc>
        <w:tc>
          <w:tcPr>
            <w:tcW w:w="9620" w:type="dxa"/>
            <w:vAlign w:val="bottom"/>
          </w:tcPr>
          <w:p>
            <w:pPr>
              <w:ind w:left="140"/>
              <w:spacing w:after="0" w:line="183" w:lineRule="exact"/>
              <w:rPr>
                <w:rFonts w:ascii="Arial" w:cs="Arial" w:eastAsia="Arial" w:hAnsi="Arial"/>
                <w:sz w:val="17"/>
                <w:szCs w:val="17"/>
                <w:color w:val="0000FF"/>
              </w:rPr>
            </w:pPr>
            <w:hyperlink w:anchor="page32">
              <w:r>
                <w:rPr>
                  <w:rFonts w:ascii="Arial" w:cs="Arial" w:eastAsia="Arial" w:hAnsi="Arial"/>
                  <w:sz w:val="17"/>
                  <w:szCs w:val="17"/>
                  <w:color w:val="0000FF"/>
                </w:rPr>
                <w:t>Unresolved Staff Comments</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32">
              <w:r>
                <w:rPr>
                  <w:rFonts w:ascii="Arial" w:cs="Arial" w:eastAsia="Arial" w:hAnsi="Arial"/>
                  <w:sz w:val="17"/>
                  <w:szCs w:val="17"/>
                  <w:color w:val="0000FF"/>
                  <w:w w:val="73"/>
                </w:rPr>
                <w:t>32</w:t>
              </w:r>
            </w:hyperlink>
          </w:p>
        </w:tc>
        <w:tc>
          <w:tcPr>
            <w:tcW w:w="20" w:type="dxa"/>
            <w:vAlign w:val="bottom"/>
          </w:tcPr>
          <w:p>
            <w:pPr>
              <w:spacing w:after="0"/>
              <w:rPr>
                <w:sz w:val="16"/>
                <w:szCs w:val="16"/>
                <w:color w:val="auto"/>
              </w:rPr>
            </w:pPr>
          </w:p>
        </w:tc>
      </w:tr>
      <w:tr>
        <w:trPr>
          <w:trHeight w:val="193"/>
        </w:trPr>
        <w:tc>
          <w:tcPr>
            <w:tcW w:w="340" w:type="dxa"/>
            <w:vAlign w:val="bottom"/>
            <w:tcBorders>
              <w:left w:val="single" w:sz="8" w:color="CCEEFF"/>
            </w:tcBorders>
            <w:shd w:val="clear" w:color="auto" w:fill="CCEEFF"/>
          </w:tcPr>
          <w:p>
            <w:pPr>
              <w:spacing w:after="0"/>
              <w:rPr>
                <w:sz w:val="16"/>
                <w:szCs w:val="16"/>
                <w:color w:val="auto"/>
              </w:rPr>
            </w:pPr>
          </w:p>
        </w:tc>
        <w:tc>
          <w:tcPr>
            <w:tcW w:w="340" w:type="dxa"/>
            <w:vAlign w:val="bottom"/>
            <w:tcBorders>
              <w:top w:val="single" w:sz="8" w:color="0000FF"/>
            </w:tcBorders>
            <w:gridSpan w:val="2"/>
            <w:shd w:val="clear" w:color="auto" w:fill="CCEEFF"/>
          </w:tcPr>
          <w:p>
            <w:pPr>
              <w:spacing w:after="0" w:line="193" w:lineRule="exact"/>
              <w:rPr>
                <w:rFonts w:ascii="Arial" w:cs="Arial" w:eastAsia="Arial" w:hAnsi="Arial"/>
                <w:sz w:val="17"/>
                <w:szCs w:val="17"/>
                <w:color w:val="0000FF"/>
                <w:w w:val="96"/>
              </w:rPr>
            </w:pPr>
            <w:hyperlink w:anchor="page32">
              <w:r>
                <w:rPr>
                  <w:rFonts w:ascii="Arial" w:cs="Arial" w:eastAsia="Arial" w:hAnsi="Arial"/>
                  <w:sz w:val="17"/>
                  <w:szCs w:val="17"/>
                  <w:color w:val="0000FF"/>
                  <w:w w:val="96"/>
                </w:rPr>
                <w:t>Item</w:t>
              </w:r>
            </w:hyperlink>
          </w:p>
        </w:tc>
        <w:tc>
          <w:tcPr>
            <w:tcW w:w="280" w:type="dxa"/>
            <w:vAlign w:val="bottom"/>
            <w:tcBorders>
              <w:top w:val="single" w:sz="8" w:color="0000FF"/>
              <w:right w:val="single" w:sz="8" w:color="CCEEFF"/>
            </w:tcBorders>
            <w:gridSpan w:val="2"/>
            <w:shd w:val="clear" w:color="auto" w:fill="CCEEFF"/>
          </w:tcPr>
          <w:p>
            <w:pPr>
              <w:ind w:left="20"/>
              <w:spacing w:after="0" w:line="193" w:lineRule="exact"/>
              <w:rPr>
                <w:rFonts w:ascii="Arial" w:cs="Arial" w:eastAsia="Arial" w:hAnsi="Arial"/>
                <w:sz w:val="17"/>
                <w:szCs w:val="17"/>
                <w:color w:val="0000FF"/>
              </w:rPr>
            </w:pPr>
            <w:hyperlink w:anchor="page32">
              <w:r>
                <w:rPr>
                  <w:rFonts w:ascii="Arial" w:cs="Arial" w:eastAsia="Arial" w:hAnsi="Arial"/>
                  <w:sz w:val="17"/>
                  <w:szCs w:val="17"/>
                  <w:color w:val="0000FF"/>
                </w:rPr>
                <w:t>2.</w:t>
              </w:r>
            </w:hyperlink>
          </w:p>
        </w:tc>
        <w:tc>
          <w:tcPr>
            <w:tcW w:w="480" w:type="dxa"/>
            <w:vAlign w:val="bottom"/>
            <w:shd w:val="clear" w:color="auto" w:fill="CCEEFF"/>
          </w:tcPr>
          <w:p>
            <w:pPr>
              <w:spacing w:after="0"/>
              <w:rPr>
                <w:sz w:val="16"/>
                <w:szCs w:val="16"/>
                <w:color w:val="auto"/>
              </w:rPr>
            </w:pPr>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32">
              <w:r>
                <w:rPr>
                  <w:rFonts w:ascii="Arial" w:cs="Arial" w:eastAsia="Arial" w:hAnsi="Arial"/>
                  <w:sz w:val="17"/>
                  <w:szCs w:val="17"/>
                  <w:color w:val="0000FF"/>
                </w:rPr>
                <w:t>Properties</w:t>
              </w:r>
            </w:hyperlink>
          </w:p>
        </w:tc>
        <w:tc>
          <w:tcPr>
            <w:tcW w:w="160" w:type="dxa"/>
            <w:vAlign w:val="bottom"/>
            <w:tcBorders>
              <w:top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32">
              <w:r>
                <w:rPr>
                  <w:rFonts w:ascii="Arial" w:cs="Arial" w:eastAsia="Arial" w:hAnsi="Arial"/>
                  <w:sz w:val="17"/>
                  <w:szCs w:val="17"/>
                  <w:color w:val="0000FF"/>
                  <w:w w:val="73"/>
                </w:rPr>
                <w:t>32</w:t>
              </w:r>
            </w:hyperlink>
          </w:p>
        </w:tc>
        <w:tc>
          <w:tcPr>
            <w:tcW w:w="20" w:type="dxa"/>
            <w:vAlign w:val="bottom"/>
            <w:shd w:val="clear" w:color="auto" w:fill="CCEEFF"/>
          </w:tcPr>
          <w:p>
            <w:pPr>
              <w:spacing w:after="0"/>
              <w:rPr>
                <w:sz w:val="16"/>
                <w:szCs w:val="16"/>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6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33">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rPr>
            </w:pPr>
            <w:hyperlink w:anchor="page33">
              <w:r>
                <w:rPr>
                  <w:rFonts w:ascii="Arial" w:cs="Arial" w:eastAsia="Arial" w:hAnsi="Arial"/>
                  <w:sz w:val="17"/>
                  <w:szCs w:val="17"/>
                  <w:color w:val="0000FF"/>
                </w:rPr>
                <w:t>3.</w:t>
              </w:r>
            </w:hyperlink>
          </w:p>
        </w:tc>
        <w:tc>
          <w:tcPr>
            <w:tcW w:w="480" w:type="dxa"/>
            <w:vAlign w:val="bottom"/>
          </w:tcPr>
          <w:p>
            <w:pPr>
              <w:spacing w:after="0"/>
              <w:rPr>
                <w:sz w:val="15"/>
                <w:szCs w:val="15"/>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33">
              <w:r>
                <w:rPr>
                  <w:rFonts w:ascii="Arial" w:cs="Arial" w:eastAsia="Arial" w:hAnsi="Arial"/>
                  <w:sz w:val="17"/>
                  <w:szCs w:val="17"/>
                  <w:color w:val="0000FF"/>
                </w:rPr>
                <w:t>Legal Proceedings</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33">
              <w:r>
                <w:rPr>
                  <w:rFonts w:ascii="Arial" w:cs="Arial" w:eastAsia="Arial" w:hAnsi="Arial"/>
                  <w:sz w:val="17"/>
                  <w:szCs w:val="17"/>
                  <w:color w:val="0000FF"/>
                  <w:w w:val="73"/>
                </w:rPr>
                <w:t>33</w:t>
              </w:r>
            </w:hyperlink>
          </w:p>
        </w:tc>
        <w:tc>
          <w:tcPr>
            <w:tcW w:w="20" w:type="dxa"/>
            <w:vAlign w:val="bottom"/>
          </w:tcPr>
          <w:p>
            <w:pPr>
              <w:spacing w:after="0"/>
              <w:rPr>
                <w:sz w:val="15"/>
                <w:szCs w:val="15"/>
                <w:color w:val="auto"/>
              </w:rPr>
            </w:pPr>
          </w:p>
        </w:tc>
      </w:tr>
      <w:tr>
        <w:trPr>
          <w:trHeight w:val="30"/>
        </w:trPr>
        <w:tc>
          <w:tcPr>
            <w:tcW w:w="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spacing w:after="0" w:line="193" w:lineRule="exact"/>
              <w:rPr>
                <w:rFonts w:ascii="Arial" w:cs="Arial" w:eastAsia="Arial" w:hAnsi="Arial"/>
                <w:sz w:val="17"/>
                <w:szCs w:val="17"/>
                <w:color w:val="0000FF"/>
                <w:w w:val="96"/>
              </w:rPr>
            </w:pPr>
            <w:hyperlink w:anchor="page33">
              <w:r>
                <w:rPr>
                  <w:rFonts w:ascii="Arial" w:cs="Arial" w:eastAsia="Arial" w:hAnsi="Arial"/>
                  <w:sz w:val="17"/>
                  <w:szCs w:val="17"/>
                  <w:color w:val="0000FF"/>
                  <w:w w:val="96"/>
                </w:rPr>
                <w:t>Item</w:t>
              </w:r>
            </w:hyperlink>
          </w:p>
        </w:tc>
        <w:tc>
          <w:tcPr>
            <w:tcW w:w="280" w:type="dxa"/>
            <w:vAlign w:val="bottom"/>
            <w:tcBorders>
              <w:right w:val="single" w:sz="8" w:color="CCEEFF"/>
            </w:tcBorders>
            <w:gridSpan w:val="2"/>
            <w:shd w:val="clear" w:color="auto" w:fill="CCEEFF"/>
          </w:tcPr>
          <w:p>
            <w:pPr>
              <w:ind w:left="20"/>
              <w:spacing w:after="0" w:line="193" w:lineRule="exact"/>
              <w:rPr>
                <w:rFonts w:ascii="Arial" w:cs="Arial" w:eastAsia="Arial" w:hAnsi="Arial"/>
                <w:sz w:val="17"/>
                <w:szCs w:val="17"/>
                <w:color w:val="0000FF"/>
              </w:rPr>
            </w:pPr>
            <w:hyperlink w:anchor="page33">
              <w:r>
                <w:rPr>
                  <w:rFonts w:ascii="Arial" w:cs="Arial" w:eastAsia="Arial" w:hAnsi="Arial"/>
                  <w:sz w:val="17"/>
                  <w:szCs w:val="17"/>
                  <w:color w:val="0000FF"/>
                </w:rPr>
                <w:t>4.</w:t>
              </w:r>
            </w:hyperlink>
          </w:p>
        </w:tc>
        <w:tc>
          <w:tcPr>
            <w:tcW w:w="480" w:type="dxa"/>
            <w:vAlign w:val="bottom"/>
            <w:shd w:val="clear" w:color="auto" w:fill="CCEEFF"/>
          </w:tcPr>
          <w:p>
            <w:pPr>
              <w:spacing w:after="0"/>
              <w:rPr>
                <w:sz w:val="18"/>
                <w:szCs w:val="18"/>
                <w:color w:val="auto"/>
              </w:rPr>
            </w:pPr>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33">
              <w:r>
                <w:rPr>
                  <w:rFonts w:ascii="Arial" w:cs="Arial" w:eastAsia="Arial" w:hAnsi="Arial"/>
                  <w:sz w:val="17"/>
                  <w:szCs w:val="17"/>
                  <w:color w:val="0000FF"/>
                </w:rPr>
                <w:t>Mine Safety Disclosures</w:t>
              </w:r>
            </w:hyperlink>
          </w:p>
        </w:tc>
        <w:tc>
          <w:tcPr>
            <w:tcW w:w="160" w:type="dxa"/>
            <w:vAlign w:val="bottom"/>
            <w:gridSpan w:val="2"/>
            <w:shd w:val="clear" w:color="auto" w:fill="CCEEFF"/>
          </w:tcPr>
          <w:p>
            <w:pPr>
              <w:jc w:val="right"/>
              <w:spacing w:after="0" w:line="193" w:lineRule="exact"/>
              <w:rPr>
                <w:rFonts w:ascii="Arial" w:cs="Arial" w:eastAsia="Arial" w:hAnsi="Arial"/>
                <w:sz w:val="17"/>
                <w:szCs w:val="17"/>
                <w:color w:val="0000FF"/>
                <w:w w:val="73"/>
              </w:rPr>
            </w:pPr>
            <w:hyperlink w:anchor="page33">
              <w:r>
                <w:rPr>
                  <w:rFonts w:ascii="Arial" w:cs="Arial" w:eastAsia="Arial" w:hAnsi="Arial"/>
                  <w:sz w:val="17"/>
                  <w:szCs w:val="17"/>
                  <w:color w:val="0000FF"/>
                  <w:w w:val="73"/>
                </w:rPr>
                <w:t>33</w:t>
              </w:r>
            </w:hyperlink>
          </w:p>
        </w:tc>
        <w:tc>
          <w:tcPr>
            <w:tcW w:w="20" w:type="dxa"/>
            <w:vAlign w:val="bottom"/>
            <w:shd w:val="clear" w:color="auto" w:fill="CCEEFF"/>
          </w:tcPr>
          <w:p>
            <w:pPr>
              <w:spacing w:after="0"/>
              <w:rPr>
                <w:sz w:val="18"/>
                <w:szCs w:val="18"/>
                <w:color w:val="auto"/>
              </w:rPr>
            </w:pPr>
          </w:p>
        </w:tc>
      </w:tr>
      <w:tr>
        <w:trPr>
          <w:trHeight w:val="209"/>
        </w:trPr>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2"/>
        </w:trPr>
        <w:tc>
          <w:tcPr>
            <w:tcW w:w="680" w:type="dxa"/>
            <w:vAlign w:val="bottom"/>
            <w:tcBorders>
              <w:left w:val="single" w:sz="8" w:color="CCEEFF"/>
              <w:bottom w:val="single" w:sz="8" w:color="CCEEFF"/>
            </w:tcBorders>
            <w:gridSpan w:val="3"/>
            <w:shd w:val="clear" w:color="auto" w:fill="CCEEFF"/>
          </w:tcPr>
          <w:p>
            <w:pPr>
              <w:ind w:left="20"/>
              <w:spacing w:after="0" w:line="183" w:lineRule="exact"/>
              <w:rPr>
                <w:rFonts w:ascii="Arial" w:cs="Arial" w:eastAsia="Arial" w:hAnsi="Arial"/>
                <w:sz w:val="17"/>
                <w:szCs w:val="17"/>
                <w:b w:val="1"/>
                <w:bCs w:val="1"/>
                <w:color w:val="0000FF"/>
              </w:rPr>
            </w:pPr>
            <w:hyperlink w:anchor="page33">
              <w:r>
                <w:rPr>
                  <w:rFonts w:ascii="Arial" w:cs="Arial" w:eastAsia="Arial" w:hAnsi="Arial"/>
                  <w:sz w:val="17"/>
                  <w:szCs w:val="17"/>
                  <w:b w:val="1"/>
                  <w:bCs w:val="1"/>
                  <w:color w:val="0000FF"/>
                </w:rPr>
                <w:t>PART II</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83" w:lineRule="exact"/>
              <w:rPr>
                <w:rFonts w:ascii="Arial" w:cs="Arial" w:eastAsia="Arial" w:hAnsi="Arial"/>
                <w:sz w:val="17"/>
                <w:szCs w:val="17"/>
                <w:color w:val="0000FF"/>
                <w:w w:val="73"/>
              </w:rPr>
            </w:pPr>
            <w:hyperlink w:anchor="page33">
              <w:r>
                <w:rPr>
                  <w:rFonts w:ascii="Arial" w:cs="Arial" w:eastAsia="Arial" w:hAnsi="Arial"/>
                  <w:sz w:val="17"/>
                  <w:szCs w:val="17"/>
                  <w:color w:val="0000FF"/>
                  <w:w w:val="73"/>
                </w:rPr>
                <w:t>34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83"/>
        </w:trPr>
        <w:tc>
          <w:tcPr>
            <w:tcW w:w="340" w:type="dxa"/>
            <w:vAlign w:val="bottom"/>
          </w:tcPr>
          <w:p>
            <w:pPr>
              <w:spacing w:after="0"/>
              <w:rPr>
                <w:sz w:val="15"/>
                <w:szCs w:val="15"/>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34">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rPr>
            </w:pPr>
            <w:hyperlink w:anchor="page34">
              <w:r>
                <w:rPr>
                  <w:rFonts w:ascii="Arial" w:cs="Arial" w:eastAsia="Arial" w:hAnsi="Arial"/>
                  <w:sz w:val="17"/>
                  <w:szCs w:val="17"/>
                  <w:color w:val="0000FF"/>
                </w:rPr>
                <w:t>5.</w:t>
              </w:r>
            </w:hyperlink>
          </w:p>
        </w:tc>
        <w:tc>
          <w:tcPr>
            <w:tcW w:w="480" w:type="dxa"/>
            <w:vAlign w:val="bottom"/>
          </w:tcPr>
          <w:p>
            <w:pPr>
              <w:spacing w:after="0"/>
              <w:rPr>
                <w:sz w:val="15"/>
                <w:szCs w:val="15"/>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34">
              <w:r>
                <w:rPr>
                  <w:rFonts w:ascii="Arial" w:cs="Arial" w:eastAsia="Arial" w:hAnsi="Arial"/>
                  <w:sz w:val="17"/>
                  <w:szCs w:val="17"/>
                  <w:color w:val="0000FF"/>
                </w:rPr>
                <w:t>Market for Registrant’s Common Equity, Related Stockholder Matters and Issuer Purchases of Equity Securities</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34">
              <w:r>
                <w:rPr>
                  <w:rFonts w:ascii="Arial" w:cs="Arial" w:eastAsia="Arial" w:hAnsi="Arial"/>
                  <w:sz w:val="17"/>
                  <w:szCs w:val="17"/>
                  <w:color w:val="0000FF"/>
                  <w:w w:val="73"/>
                </w:rPr>
                <w:t>34</w:t>
              </w:r>
            </w:hyperlink>
          </w:p>
        </w:tc>
        <w:tc>
          <w:tcPr>
            <w:tcW w:w="20" w:type="dxa"/>
            <w:vAlign w:val="bottom"/>
          </w:tcPr>
          <w:p>
            <w:pPr>
              <w:spacing w:after="0"/>
              <w:rPr>
                <w:sz w:val="15"/>
                <w:szCs w:val="15"/>
                <w:color w:val="auto"/>
              </w:rPr>
            </w:pPr>
          </w:p>
        </w:tc>
      </w:tr>
      <w:tr>
        <w:trPr>
          <w:trHeight w:val="30"/>
        </w:trPr>
        <w:tc>
          <w:tcPr>
            <w:tcW w:w="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tcBorders>
              <w:left w:val="single" w:sz="8" w:color="CCEEFF"/>
            </w:tcBorders>
            <w:shd w:val="clear" w:color="auto" w:fill="CCEEFF"/>
          </w:tcPr>
          <w:p>
            <w:pPr>
              <w:spacing w:after="0"/>
              <w:rPr>
                <w:sz w:val="16"/>
                <w:szCs w:val="16"/>
                <w:color w:val="auto"/>
              </w:rPr>
            </w:pPr>
          </w:p>
        </w:tc>
        <w:tc>
          <w:tcPr>
            <w:tcW w:w="340" w:type="dxa"/>
            <w:vAlign w:val="bottom"/>
            <w:gridSpan w:val="2"/>
            <w:shd w:val="clear" w:color="auto" w:fill="CCEEFF"/>
          </w:tcPr>
          <w:p>
            <w:pPr>
              <w:spacing w:after="0" w:line="193" w:lineRule="exact"/>
              <w:rPr>
                <w:rFonts w:ascii="Arial" w:cs="Arial" w:eastAsia="Arial" w:hAnsi="Arial"/>
                <w:sz w:val="17"/>
                <w:szCs w:val="17"/>
                <w:color w:val="0000FF"/>
                <w:w w:val="96"/>
              </w:rPr>
            </w:pPr>
            <w:hyperlink w:anchor="page37">
              <w:r>
                <w:rPr>
                  <w:rFonts w:ascii="Arial" w:cs="Arial" w:eastAsia="Arial" w:hAnsi="Arial"/>
                  <w:sz w:val="17"/>
                  <w:szCs w:val="17"/>
                  <w:color w:val="0000FF"/>
                  <w:w w:val="96"/>
                </w:rPr>
                <w:t>Item</w:t>
              </w:r>
            </w:hyperlink>
          </w:p>
        </w:tc>
        <w:tc>
          <w:tcPr>
            <w:tcW w:w="280" w:type="dxa"/>
            <w:vAlign w:val="bottom"/>
            <w:tcBorders>
              <w:right w:val="single" w:sz="8" w:color="CCEEFF"/>
            </w:tcBorders>
            <w:gridSpan w:val="2"/>
            <w:shd w:val="clear" w:color="auto" w:fill="CCEEFF"/>
          </w:tcPr>
          <w:p>
            <w:pPr>
              <w:ind w:left="20"/>
              <w:spacing w:after="0" w:line="193" w:lineRule="exact"/>
              <w:rPr>
                <w:rFonts w:ascii="Arial" w:cs="Arial" w:eastAsia="Arial" w:hAnsi="Arial"/>
                <w:sz w:val="17"/>
                <w:szCs w:val="17"/>
                <w:color w:val="0000FF"/>
              </w:rPr>
            </w:pPr>
            <w:hyperlink w:anchor="page37">
              <w:r>
                <w:rPr>
                  <w:rFonts w:ascii="Arial" w:cs="Arial" w:eastAsia="Arial" w:hAnsi="Arial"/>
                  <w:sz w:val="17"/>
                  <w:szCs w:val="17"/>
                  <w:color w:val="0000FF"/>
                </w:rPr>
                <w:t>6.</w:t>
              </w:r>
            </w:hyperlink>
          </w:p>
        </w:tc>
        <w:tc>
          <w:tcPr>
            <w:tcW w:w="480" w:type="dxa"/>
            <w:vAlign w:val="bottom"/>
            <w:shd w:val="clear" w:color="auto" w:fill="CCEEFF"/>
          </w:tcPr>
          <w:p>
            <w:pPr>
              <w:spacing w:after="0"/>
              <w:rPr>
                <w:sz w:val="16"/>
                <w:szCs w:val="16"/>
                <w:color w:val="auto"/>
              </w:rPr>
            </w:pPr>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37">
              <w:r>
                <w:rPr>
                  <w:rFonts w:ascii="Arial" w:cs="Arial" w:eastAsia="Arial" w:hAnsi="Arial"/>
                  <w:sz w:val="17"/>
                  <w:szCs w:val="17"/>
                  <w:color w:val="0000FF"/>
                </w:rPr>
                <w:t>Selected Financial Data</w:t>
              </w:r>
            </w:hyperlink>
          </w:p>
        </w:tc>
        <w:tc>
          <w:tcPr>
            <w:tcW w:w="160" w:type="dxa"/>
            <w:vAlign w:val="bottom"/>
            <w:gridSpan w:val="2"/>
            <w:shd w:val="clear" w:color="auto" w:fill="CCEEFF"/>
          </w:tcPr>
          <w:p>
            <w:pPr>
              <w:jc w:val="right"/>
              <w:spacing w:after="0" w:line="193" w:lineRule="exact"/>
              <w:rPr>
                <w:rFonts w:ascii="Arial" w:cs="Arial" w:eastAsia="Arial" w:hAnsi="Arial"/>
                <w:sz w:val="17"/>
                <w:szCs w:val="17"/>
                <w:color w:val="0000FF"/>
                <w:w w:val="73"/>
              </w:rPr>
            </w:pPr>
            <w:hyperlink w:anchor="page37">
              <w:r>
                <w:rPr>
                  <w:rFonts w:ascii="Arial" w:cs="Arial" w:eastAsia="Arial" w:hAnsi="Arial"/>
                  <w:sz w:val="17"/>
                  <w:szCs w:val="17"/>
                  <w:color w:val="0000FF"/>
                  <w:w w:val="73"/>
                </w:rPr>
                <w:t>38</w:t>
              </w:r>
            </w:hyperlink>
          </w:p>
        </w:tc>
        <w:tc>
          <w:tcPr>
            <w:tcW w:w="20" w:type="dxa"/>
            <w:vAlign w:val="bottom"/>
            <w:shd w:val="clear" w:color="auto" w:fill="CCEEFF"/>
          </w:tcPr>
          <w:p>
            <w:pPr>
              <w:spacing w:after="0"/>
              <w:rPr>
                <w:sz w:val="16"/>
                <w:szCs w:val="16"/>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6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340" w:type="dxa"/>
            <w:vAlign w:val="bottom"/>
          </w:tcPr>
          <w:p>
            <w:pPr>
              <w:spacing w:after="0"/>
              <w:rPr>
                <w:sz w:val="15"/>
                <w:szCs w:val="15"/>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38">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rPr>
            </w:pPr>
            <w:hyperlink w:anchor="page38">
              <w:r>
                <w:rPr>
                  <w:rFonts w:ascii="Arial" w:cs="Arial" w:eastAsia="Arial" w:hAnsi="Arial"/>
                  <w:sz w:val="17"/>
                  <w:szCs w:val="17"/>
                  <w:color w:val="0000FF"/>
                </w:rPr>
                <w:t>7.</w:t>
              </w:r>
            </w:hyperlink>
          </w:p>
        </w:tc>
        <w:tc>
          <w:tcPr>
            <w:tcW w:w="480" w:type="dxa"/>
            <w:vAlign w:val="bottom"/>
          </w:tcPr>
          <w:p>
            <w:pPr>
              <w:spacing w:after="0"/>
              <w:rPr>
                <w:sz w:val="15"/>
                <w:szCs w:val="15"/>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38">
              <w:r>
                <w:rPr>
                  <w:rFonts w:ascii="Arial" w:cs="Arial" w:eastAsia="Arial" w:hAnsi="Arial"/>
                  <w:sz w:val="17"/>
                  <w:szCs w:val="17"/>
                  <w:color w:val="0000FF"/>
                </w:rPr>
                <w:t>Management’s Discussion and Analysis of Financial Condition and Results of Operations</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38">
              <w:r>
                <w:rPr>
                  <w:rFonts w:ascii="Arial" w:cs="Arial" w:eastAsia="Arial" w:hAnsi="Arial"/>
                  <w:sz w:val="17"/>
                  <w:szCs w:val="17"/>
                  <w:color w:val="0000FF"/>
                  <w:w w:val="73"/>
                </w:rPr>
                <w:t>39</w:t>
              </w:r>
            </w:hyperlink>
          </w:p>
        </w:tc>
        <w:tc>
          <w:tcPr>
            <w:tcW w:w="20" w:type="dxa"/>
            <w:vAlign w:val="bottom"/>
          </w:tcPr>
          <w:p>
            <w:pPr>
              <w:spacing w:after="0"/>
              <w:rPr>
                <w:sz w:val="15"/>
                <w:szCs w:val="15"/>
                <w:color w:val="auto"/>
              </w:rPr>
            </w:pPr>
          </w:p>
        </w:tc>
      </w:tr>
      <w:tr>
        <w:trPr>
          <w:trHeight w:val="30"/>
        </w:trPr>
        <w:tc>
          <w:tcPr>
            <w:tcW w:w="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spacing w:after="0" w:line="193" w:lineRule="exact"/>
              <w:rPr>
                <w:rFonts w:ascii="Arial" w:cs="Arial" w:eastAsia="Arial" w:hAnsi="Arial"/>
                <w:sz w:val="17"/>
                <w:szCs w:val="17"/>
                <w:color w:val="0000FF"/>
                <w:w w:val="96"/>
              </w:rPr>
            </w:pPr>
            <w:hyperlink w:anchor="page51">
              <w:r>
                <w:rPr>
                  <w:rFonts w:ascii="Arial" w:cs="Arial" w:eastAsia="Arial" w:hAnsi="Arial"/>
                  <w:sz w:val="17"/>
                  <w:szCs w:val="17"/>
                  <w:color w:val="0000FF"/>
                  <w:w w:val="96"/>
                </w:rPr>
                <w:t>Item</w:t>
              </w:r>
            </w:hyperlink>
          </w:p>
        </w:tc>
        <w:tc>
          <w:tcPr>
            <w:tcW w:w="760" w:type="dxa"/>
            <w:vAlign w:val="bottom"/>
            <w:gridSpan w:val="3"/>
            <w:shd w:val="clear" w:color="auto" w:fill="CCEEFF"/>
          </w:tcPr>
          <w:p>
            <w:pPr>
              <w:ind w:left="20"/>
              <w:spacing w:after="0" w:line="193" w:lineRule="exact"/>
              <w:rPr>
                <w:rFonts w:ascii="Arial" w:cs="Arial" w:eastAsia="Arial" w:hAnsi="Arial"/>
                <w:sz w:val="17"/>
                <w:szCs w:val="17"/>
                <w:color w:val="0000FF"/>
              </w:rPr>
            </w:pPr>
            <w:hyperlink w:anchor="page51">
              <w:r>
                <w:rPr>
                  <w:rFonts w:ascii="Arial" w:cs="Arial" w:eastAsia="Arial" w:hAnsi="Arial"/>
                  <w:sz w:val="17"/>
                  <w:szCs w:val="17"/>
                  <w:color w:val="0000FF"/>
                </w:rPr>
                <w:t>7A.</w:t>
              </w:r>
            </w:hyperlink>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51">
              <w:r>
                <w:rPr>
                  <w:rFonts w:ascii="Arial" w:cs="Arial" w:eastAsia="Arial" w:hAnsi="Arial"/>
                  <w:sz w:val="17"/>
                  <w:szCs w:val="17"/>
                  <w:color w:val="0000FF"/>
                </w:rPr>
                <w:t>Quantitative and Qualitative Disclosures About Market Risk</w:t>
              </w:r>
            </w:hyperlink>
          </w:p>
        </w:tc>
        <w:tc>
          <w:tcPr>
            <w:tcW w:w="160" w:type="dxa"/>
            <w:vAlign w:val="bottom"/>
            <w:gridSpan w:val="2"/>
            <w:shd w:val="clear" w:color="auto" w:fill="CCEEFF"/>
          </w:tcPr>
          <w:p>
            <w:pPr>
              <w:jc w:val="right"/>
              <w:spacing w:after="0" w:line="193" w:lineRule="exact"/>
              <w:rPr>
                <w:rFonts w:ascii="Arial" w:cs="Arial" w:eastAsia="Arial" w:hAnsi="Arial"/>
                <w:sz w:val="17"/>
                <w:szCs w:val="17"/>
                <w:color w:val="0000FF"/>
                <w:w w:val="73"/>
              </w:rPr>
            </w:pPr>
            <w:hyperlink w:anchor="page51">
              <w:r>
                <w:rPr>
                  <w:rFonts w:ascii="Arial" w:cs="Arial" w:eastAsia="Arial" w:hAnsi="Arial"/>
                  <w:sz w:val="17"/>
                  <w:szCs w:val="17"/>
                  <w:color w:val="0000FF"/>
                  <w:w w:val="73"/>
                </w:rPr>
                <w:t>51</w:t>
              </w:r>
            </w:hyperlink>
          </w:p>
        </w:tc>
        <w:tc>
          <w:tcPr>
            <w:tcW w:w="20" w:type="dxa"/>
            <w:vAlign w:val="bottom"/>
            <w:shd w:val="clear" w:color="auto" w:fill="CCEEFF"/>
          </w:tcPr>
          <w:p>
            <w:pPr>
              <w:spacing w:after="0"/>
              <w:rPr>
                <w:sz w:val="18"/>
                <w:szCs w:val="18"/>
                <w:color w:val="auto"/>
              </w:rPr>
            </w:pPr>
          </w:p>
        </w:tc>
      </w:tr>
      <w:tr>
        <w:trPr>
          <w:trHeight w:val="183"/>
        </w:trPr>
        <w:tc>
          <w:tcPr>
            <w:tcW w:w="340" w:type="dxa"/>
            <w:vAlign w:val="bottom"/>
            <w:tcBorders>
              <w:top w:val="single" w:sz="8" w:color="CCEEFF"/>
            </w:tcBorders>
          </w:tcPr>
          <w:p>
            <w:pPr>
              <w:spacing w:after="0"/>
              <w:rPr>
                <w:sz w:val="15"/>
                <w:szCs w:val="15"/>
                <w:color w:val="auto"/>
              </w:rPr>
            </w:pPr>
          </w:p>
        </w:tc>
        <w:tc>
          <w:tcPr>
            <w:tcW w:w="340" w:type="dxa"/>
            <w:vAlign w:val="bottom"/>
            <w:tcBorders>
              <w:top w:val="single" w:sz="8" w:color="0000FF"/>
            </w:tcBorders>
            <w:gridSpan w:val="2"/>
          </w:tcPr>
          <w:p>
            <w:pPr>
              <w:spacing w:after="0" w:line="183" w:lineRule="exact"/>
              <w:rPr>
                <w:rFonts w:ascii="Arial" w:cs="Arial" w:eastAsia="Arial" w:hAnsi="Arial"/>
                <w:sz w:val="17"/>
                <w:szCs w:val="17"/>
                <w:color w:val="0000FF"/>
                <w:w w:val="96"/>
              </w:rPr>
            </w:pPr>
            <w:hyperlink w:anchor="page51">
              <w:r>
                <w:rPr>
                  <w:rFonts w:ascii="Arial" w:cs="Arial" w:eastAsia="Arial" w:hAnsi="Arial"/>
                  <w:sz w:val="17"/>
                  <w:szCs w:val="17"/>
                  <w:color w:val="0000FF"/>
                  <w:w w:val="96"/>
                </w:rPr>
                <w:t>Item</w:t>
              </w:r>
            </w:hyperlink>
          </w:p>
        </w:tc>
        <w:tc>
          <w:tcPr>
            <w:tcW w:w="280" w:type="dxa"/>
            <w:vAlign w:val="bottom"/>
            <w:tcBorders>
              <w:top w:val="single" w:sz="8" w:color="0000FF"/>
            </w:tcBorders>
            <w:gridSpan w:val="2"/>
          </w:tcPr>
          <w:p>
            <w:pPr>
              <w:ind w:left="20"/>
              <w:spacing w:after="0" w:line="183" w:lineRule="exact"/>
              <w:rPr>
                <w:rFonts w:ascii="Arial" w:cs="Arial" w:eastAsia="Arial" w:hAnsi="Arial"/>
                <w:sz w:val="17"/>
                <w:szCs w:val="17"/>
                <w:color w:val="0000FF"/>
              </w:rPr>
            </w:pPr>
            <w:hyperlink w:anchor="page51">
              <w:r>
                <w:rPr>
                  <w:rFonts w:ascii="Arial" w:cs="Arial" w:eastAsia="Arial" w:hAnsi="Arial"/>
                  <w:sz w:val="17"/>
                  <w:szCs w:val="17"/>
                  <w:color w:val="0000FF"/>
                </w:rPr>
                <w:t>8.</w:t>
              </w:r>
            </w:hyperlink>
          </w:p>
        </w:tc>
        <w:tc>
          <w:tcPr>
            <w:tcW w:w="480" w:type="dxa"/>
            <w:vAlign w:val="bottom"/>
            <w:tcBorders>
              <w:top w:val="single" w:sz="8" w:color="CCEEFF"/>
            </w:tcBorders>
          </w:tcPr>
          <w:p>
            <w:pPr>
              <w:spacing w:after="0"/>
              <w:rPr>
                <w:sz w:val="15"/>
                <w:szCs w:val="15"/>
                <w:color w:val="auto"/>
              </w:rPr>
            </w:pPr>
          </w:p>
        </w:tc>
        <w:tc>
          <w:tcPr>
            <w:tcW w:w="9620" w:type="dxa"/>
            <w:vAlign w:val="bottom"/>
            <w:tcBorders>
              <w:top w:val="single" w:sz="8" w:color="CCEEFF"/>
            </w:tcBorders>
          </w:tcPr>
          <w:p>
            <w:pPr>
              <w:ind w:left="140"/>
              <w:spacing w:after="0" w:line="183" w:lineRule="exact"/>
              <w:rPr>
                <w:rFonts w:ascii="Arial" w:cs="Arial" w:eastAsia="Arial" w:hAnsi="Arial"/>
                <w:sz w:val="17"/>
                <w:szCs w:val="17"/>
                <w:color w:val="0000FF"/>
              </w:rPr>
            </w:pPr>
            <w:hyperlink w:anchor="page51">
              <w:r>
                <w:rPr>
                  <w:rFonts w:ascii="Arial" w:cs="Arial" w:eastAsia="Arial" w:hAnsi="Arial"/>
                  <w:sz w:val="17"/>
                  <w:szCs w:val="17"/>
                  <w:color w:val="0000FF"/>
                </w:rPr>
                <w:t>Financial Statements and Supplementary Data</w:t>
              </w:r>
            </w:hyperlink>
          </w:p>
        </w:tc>
        <w:tc>
          <w:tcPr>
            <w:tcW w:w="160" w:type="dxa"/>
            <w:vAlign w:val="bottom"/>
            <w:tcBorders>
              <w:top w:val="single" w:sz="8" w:color="0000FF"/>
            </w:tcBorders>
            <w:gridSpan w:val="2"/>
          </w:tcPr>
          <w:p>
            <w:pPr>
              <w:jc w:val="right"/>
              <w:spacing w:after="0" w:line="183" w:lineRule="exact"/>
              <w:rPr>
                <w:rFonts w:ascii="Arial" w:cs="Arial" w:eastAsia="Arial" w:hAnsi="Arial"/>
                <w:sz w:val="17"/>
                <w:szCs w:val="17"/>
                <w:color w:val="0000FF"/>
                <w:w w:val="73"/>
              </w:rPr>
            </w:pPr>
            <w:hyperlink w:anchor="page51">
              <w:r>
                <w:rPr>
                  <w:rFonts w:ascii="Arial" w:cs="Arial" w:eastAsia="Arial" w:hAnsi="Arial"/>
                  <w:sz w:val="17"/>
                  <w:szCs w:val="17"/>
                  <w:color w:val="0000FF"/>
                  <w:w w:val="73"/>
                </w:rPr>
                <w:t>52</w:t>
              </w:r>
            </w:hyperlink>
          </w:p>
        </w:tc>
        <w:tc>
          <w:tcPr>
            <w:tcW w:w="20" w:type="dxa"/>
            <w:vAlign w:val="bottom"/>
            <w:tcBorders>
              <w:top w:val="single" w:sz="8" w:color="CCEEFF"/>
            </w:tcBorders>
          </w:tcPr>
          <w:p>
            <w:pPr>
              <w:spacing w:after="0"/>
              <w:rPr>
                <w:sz w:val="15"/>
                <w:szCs w:val="15"/>
                <w:color w:val="auto"/>
              </w:rPr>
            </w:pPr>
          </w:p>
        </w:tc>
      </w:tr>
      <w:tr>
        <w:trPr>
          <w:trHeight w:val="30"/>
        </w:trPr>
        <w:tc>
          <w:tcPr>
            <w:tcW w:w="3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340" w:type="dxa"/>
            <w:vAlign w:val="bottom"/>
            <w:tcBorders>
              <w:left w:val="single" w:sz="8" w:color="CCEEFF"/>
            </w:tcBorders>
            <w:shd w:val="clear" w:color="auto" w:fill="CCEEFF"/>
          </w:tcPr>
          <w:p>
            <w:pPr>
              <w:spacing w:after="0"/>
              <w:rPr>
                <w:sz w:val="16"/>
                <w:szCs w:val="16"/>
                <w:color w:val="auto"/>
              </w:rPr>
            </w:pPr>
          </w:p>
        </w:tc>
        <w:tc>
          <w:tcPr>
            <w:tcW w:w="340" w:type="dxa"/>
            <w:vAlign w:val="bottom"/>
            <w:gridSpan w:val="2"/>
            <w:shd w:val="clear" w:color="auto" w:fill="CCEEFF"/>
          </w:tcPr>
          <w:p>
            <w:pPr>
              <w:spacing w:after="0" w:line="193" w:lineRule="exact"/>
              <w:rPr>
                <w:rFonts w:ascii="Arial" w:cs="Arial" w:eastAsia="Arial" w:hAnsi="Arial"/>
                <w:sz w:val="17"/>
                <w:szCs w:val="17"/>
                <w:color w:val="0000FF"/>
                <w:w w:val="96"/>
              </w:rPr>
            </w:pPr>
            <w:hyperlink w:anchor="page90">
              <w:r>
                <w:rPr>
                  <w:rFonts w:ascii="Arial" w:cs="Arial" w:eastAsia="Arial" w:hAnsi="Arial"/>
                  <w:sz w:val="17"/>
                  <w:szCs w:val="17"/>
                  <w:color w:val="0000FF"/>
                  <w:w w:val="96"/>
                </w:rPr>
                <w:t>Item</w:t>
              </w:r>
            </w:hyperlink>
          </w:p>
        </w:tc>
        <w:tc>
          <w:tcPr>
            <w:tcW w:w="280" w:type="dxa"/>
            <w:vAlign w:val="bottom"/>
            <w:tcBorders>
              <w:right w:val="single" w:sz="8" w:color="CCEEFF"/>
            </w:tcBorders>
            <w:gridSpan w:val="2"/>
            <w:shd w:val="clear" w:color="auto" w:fill="CCEEFF"/>
          </w:tcPr>
          <w:p>
            <w:pPr>
              <w:ind w:left="20"/>
              <w:spacing w:after="0" w:line="193" w:lineRule="exact"/>
              <w:rPr>
                <w:rFonts w:ascii="Arial" w:cs="Arial" w:eastAsia="Arial" w:hAnsi="Arial"/>
                <w:sz w:val="17"/>
                <w:szCs w:val="17"/>
                <w:color w:val="0000FF"/>
              </w:rPr>
            </w:pPr>
            <w:hyperlink w:anchor="page90">
              <w:r>
                <w:rPr>
                  <w:rFonts w:ascii="Arial" w:cs="Arial" w:eastAsia="Arial" w:hAnsi="Arial"/>
                  <w:sz w:val="17"/>
                  <w:szCs w:val="17"/>
                  <w:color w:val="0000FF"/>
                </w:rPr>
                <w:t>9.</w:t>
              </w:r>
            </w:hyperlink>
          </w:p>
        </w:tc>
        <w:tc>
          <w:tcPr>
            <w:tcW w:w="480" w:type="dxa"/>
            <w:vAlign w:val="bottom"/>
            <w:shd w:val="clear" w:color="auto" w:fill="CCEEFF"/>
          </w:tcPr>
          <w:p>
            <w:pPr>
              <w:spacing w:after="0"/>
              <w:rPr>
                <w:sz w:val="16"/>
                <w:szCs w:val="16"/>
                <w:color w:val="auto"/>
              </w:rPr>
            </w:pPr>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90">
              <w:r>
                <w:rPr>
                  <w:rFonts w:ascii="Arial" w:cs="Arial" w:eastAsia="Arial" w:hAnsi="Arial"/>
                  <w:sz w:val="17"/>
                  <w:szCs w:val="17"/>
                  <w:color w:val="0000FF"/>
                </w:rPr>
                <w:t>Changes in and Disagreements with Accountants on Accounting and Financial Disclosure</w:t>
              </w:r>
            </w:hyperlink>
          </w:p>
        </w:tc>
        <w:tc>
          <w:tcPr>
            <w:tcW w:w="160" w:type="dxa"/>
            <w:vAlign w:val="bottom"/>
            <w:gridSpan w:val="2"/>
            <w:shd w:val="clear" w:color="auto" w:fill="CCEEFF"/>
          </w:tcPr>
          <w:p>
            <w:pPr>
              <w:jc w:val="right"/>
              <w:spacing w:after="0" w:line="193" w:lineRule="exact"/>
              <w:rPr>
                <w:rFonts w:ascii="Arial" w:cs="Arial" w:eastAsia="Arial" w:hAnsi="Arial"/>
                <w:sz w:val="17"/>
                <w:szCs w:val="17"/>
                <w:color w:val="0000FF"/>
                <w:w w:val="73"/>
              </w:rPr>
            </w:pPr>
            <w:hyperlink w:anchor="page90">
              <w:r>
                <w:rPr>
                  <w:rFonts w:ascii="Arial" w:cs="Arial" w:eastAsia="Arial" w:hAnsi="Arial"/>
                  <w:sz w:val="17"/>
                  <w:szCs w:val="17"/>
                  <w:color w:val="0000FF"/>
                  <w:w w:val="73"/>
                </w:rPr>
                <w:t>90</w:t>
              </w:r>
            </w:hyperlink>
          </w:p>
        </w:tc>
        <w:tc>
          <w:tcPr>
            <w:tcW w:w="20" w:type="dxa"/>
            <w:vAlign w:val="bottom"/>
            <w:shd w:val="clear" w:color="auto" w:fill="CCEEFF"/>
          </w:tcPr>
          <w:p>
            <w:pPr>
              <w:spacing w:after="0"/>
              <w:rPr>
                <w:sz w:val="16"/>
                <w:szCs w:val="16"/>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6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3"/>
        </w:trPr>
        <w:tc>
          <w:tcPr>
            <w:tcW w:w="340" w:type="dxa"/>
            <w:vAlign w:val="bottom"/>
          </w:tcPr>
          <w:p>
            <w:pPr>
              <w:spacing w:after="0"/>
              <w:rPr>
                <w:sz w:val="16"/>
                <w:szCs w:val="16"/>
                <w:color w:val="auto"/>
              </w:rPr>
            </w:pPr>
          </w:p>
        </w:tc>
        <w:tc>
          <w:tcPr>
            <w:tcW w:w="340" w:type="dxa"/>
            <w:vAlign w:val="bottom"/>
            <w:tcBorders>
              <w:bottom w:val="single" w:sz="8" w:color="0000FF"/>
            </w:tcBorders>
            <w:gridSpan w:val="2"/>
          </w:tcPr>
          <w:p>
            <w:pPr>
              <w:spacing w:after="0" w:line="183" w:lineRule="exact"/>
              <w:rPr>
                <w:rFonts w:ascii="Arial" w:cs="Arial" w:eastAsia="Arial" w:hAnsi="Arial"/>
                <w:sz w:val="17"/>
                <w:szCs w:val="17"/>
                <w:color w:val="0000FF"/>
                <w:w w:val="96"/>
              </w:rPr>
            </w:pPr>
            <w:hyperlink w:anchor="page90">
              <w:r>
                <w:rPr>
                  <w:rFonts w:ascii="Arial" w:cs="Arial" w:eastAsia="Arial" w:hAnsi="Arial"/>
                  <w:sz w:val="17"/>
                  <w:szCs w:val="17"/>
                  <w:color w:val="0000FF"/>
                  <w:w w:val="96"/>
                </w:rPr>
                <w:t>Item</w:t>
              </w:r>
            </w:hyperlink>
          </w:p>
        </w:tc>
        <w:tc>
          <w:tcPr>
            <w:tcW w:w="280" w:type="dxa"/>
            <w:vAlign w:val="bottom"/>
            <w:tcBorders>
              <w:bottom w:val="single" w:sz="8" w:color="0000FF"/>
            </w:tcBorders>
            <w:gridSpan w:val="2"/>
          </w:tcPr>
          <w:p>
            <w:pPr>
              <w:ind w:left="20"/>
              <w:spacing w:after="0" w:line="183" w:lineRule="exact"/>
              <w:rPr>
                <w:rFonts w:ascii="Arial" w:cs="Arial" w:eastAsia="Arial" w:hAnsi="Arial"/>
                <w:sz w:val="17"/>
                <w:szCs w:val="17"/>
                <w:color w:val="0000FF"/>
                <w:w w:val="86"/>
              </w:rPr>
            </w:pPr>
            <w:hyperlink w:anchor="page90">
              <w:r>
                <w:rPr>
                  <w:rFonts w:ascii="Arial" w:cs="Arial" w:eastAsia="Arial" w:hAnsi="Arial"/>
                  <w:sz w:val="17"/>
                  <w:szCs w:val="17"/>
                  <w:color w:val="0000FF"/>
                  <w:w w:val="86"/>
                </w:rPr>
                <w:t>9A.</w:t>
              </w:r>
            </w:hyperlink>
          </w:p>
        </w:tc>
        <w:tc>
          <w:tcPr>
            <w:tcW w:w="480" w:type="dxa"/>
            <w:vAlign w:val="bottom"/>
          </w:tcPr>
          <w:p>
            <w:pPr>
              <w:spacing w:after="0"/>
              <w:rPr>
                <w:sz w:val="16"/>
                <w:szCs w:val="16"/>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90">
              <w:r>
                <w:rPr>
                  <w:rFonts w:ascii="Arial" w:cs="Arial" w:eastAsia="Arial" w:hAnsi="Arial"/>
                  <w:sz w:val="17"/>
                  <w:szCs w:val="17"/>
                  <w:color w:val="0000FF"/>
                </w:rPr>
                <w:t>Controls and Procedures</w:t>
              </w:r>
            </w:hyperlink>
          </w:p>
        </w:tc>
        <w:tc>
          <w:tcPr>
            <w:tcW w:w="16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73"/>
              </w:rPr>
            </w:pPr>
            <w:hyperlink w:anchor="page90">
              <w:r>
                <w:rPr>
                  <w:rFonts w:ascii="Arial" w:cs="Arial" w:eastAsia="Arial" w:hAnsi="Arial"/>
                  <w:sz w:val="17"/>
                  <w:szCs w:val="17"/>
                  <w:color w:val="0000FF"/>
                  <w:w w:val="73"/>
                </w:rPr>
                <w:t>91</w:t>
              </w:r>
            </w:hyperlink>
          </w:p>
        </w:tc>
        <w:tc>
          <w:tcPr>
            <w:tcW w:w="20" w:type="dxa"/>
            <w:vAlign w:val="bottom"/>
          </w:tcPr>
          <w:p>
            <w:pPr>
              <w:spacing w:after="0"/>
              <w:rPr>
                <w:sz w:val="16"/>
                <w:szCs w:val="16"/>
                <w:color w:val="auto"/>
              </w:rPr>
            </w:pPr>
          </w:p>
        </w:tc>
      </w:tr>
      <w:tr>
        <w:trPr>
          <w:trHeight w:val="212"/>
        </w:trPr>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spacing w:after="0" w:line="193" w:lineRule="exact"/>
              <w:rPr>
                <w:rFonts w:ascii="Arial" w:cs="Arial" w:eastAsia="Arial" w:hAnsi="Arial"/>
                <w:sz w:val="17"/>
                <w:szCs w:val="17"/>
                <w:color w:val="0000FF"/>
                <w:w w:val="96"/>
              </w:rPr>
            </w:pPr>
            <w:hyperlink w:anchor="page91">
              <w:r>
                <w:rPr>
                  <w:rFonts w:ascii="Arial" w:cs="Arial" w:eastAsia="Arial" w:hAnsi="Arial"/>
                  <w:sz w:val="17"/>
                  <w:szCs w:val="17"/>
                  <w:color w:val="0000FF"/>
                  <w:w w:val="96"/>
                </w:rPr>
                <w:t>Item</w:t>
              </w:r>
            </w:hyperlink>
          </w:p>
        </w:tc>
        <w:tc>
          <w:tcPr>
            <w:tcW w:w="760" w:type="dxa"/>
            <w:vAlign w:val="bottom"/>
            <w:gridSpan w:val="3"/>
            <w:shd w:val="clear" w:color="auto" w:fill="CCEEFF"/>
          </w:tcPr>
          <w:p>
            <w:pPr>
              <w:ind w:left="20"/>
              <w:spacing w:after="0" w:line="193" w:lineRule="exact"/>
              <w:rPr>
                <w:rFonts w:ascii="Arial" w:cs="Arial" w:eastAsia="Arial" w:hAnsi="Arial"/>
                <w:sz w:val="17"/>
                <w:szCs w:val="17"/>
                <w:color w:val="0000FF"/>
              </w:rPr>
            </w:pPr>
            <w:hyperlink w:anchor="page91">
              <w:r>
                <w:rPr>
                  <w:rFonts w:ascii="Arial" w:cs="Arial" w:eastAsia="Arial" w:hAnsi="Arial"/>
                  <w:sz w:val="17"/>
                  <w:szCs w:val="17"/>
                  <w:color w:val="0000FF"/>
                </w:rPr>
                <w:t>9B.</w:t>
              </w:r>
            </w:hyperlink>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91">
              <w:r>
                <w:rPr>
                  <w:rFonts w:ascii="Arial" w:cs="Arial" w:eastAsia="Arial" w:hAnsi="Arial"/>
                  <w:sz w:val="17"/>
                  <w:szCs w:val="17"/>
                  <w:color w:val="0000FF"/>
                </w:rPr>
                <w:t>Other Information</w:t>
              </w:r>
            </w:hyperlink>
          </w:p>
        </w:tc>
        <w:tc>
          <w:tcPr>
            <w:tcW w:w="160" w:type="dxa"/>
            <w:vAlign w:val="bottom"/>
            <w:gridSpan w:val="2"/>
            <w:shd w:val="clear" w:color="auto" w:fill="CCEEFF"/>
          </w:tcPr>
          <w:p>
            <w:pPr>
              <w:jc w:val="right"/>
              <w:spacing w:after="0" w:line="193" w:lineRule="exact"/>
              <w:rPr>
                <w:rFonts w:ascii="Arial" w:cs="Arial" w:eastAsia="Arial" w:hAnsi="Arial"/>
                <w:sz w:val="17"/>
                <w:szCs w:val="17"/>
                <w:color w:val="0000FF"/>
                <w:w w:val="73"/>
              </w:rPr>
            </w:pPr>
            <w:hyperlink w:anchor="page91">
              <w:r>
                <w:rPr>
                  <w:rFonts w:ascii="Arial" w:cs="Arial" w:eastAsia="Arial" w:hAnsi="Arial"/>
                  <w:sz w:val="17"/>
                  <w:szCs w:val="17"/>
                  <w:color w:val="0000FF"/>
                  <w:w w:val="73"/>
                </w:rPr>
                <w:t>91</w:t>
              </w:r>
            </w:hyperlink>
          </w:p>
        </w:tc>
        <w:tc>
          <w:tcPr>
            <w:tcW w:w="20" w:type="dxa"/>
            <w:vAlign w:val="bottom"/>
            <w:shd w:val="clear" w:color="auto" w:fill="CCEEFF"/>
          </w:tcPr>
          <w:p>
            <w:pPr>
              <w:spacing w:after="0"/>
              <w:rPr>
                <w:sz w:val="18"/>
                <w:szCs w:val="18"/>
                <w:color w:val="auto"/>
              </w:rPr>
            </w:pPr>
          </w:p>
        </w:tc>
      </w:tr>
      <w:tr>
        <w:trPr>
          <w:trHeight w:val="209"/>
        </w:trPr>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gridSpan w:val="2"/>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6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2"/>
        </w:trPr>
        <w:tc>
          <w:tcPr>
            <w:tcW w:w="1440" w:type="dxa"/>
            <w:vAlign w:val="bottom"/>
            <w:tcBorders>
              <w:left w:val="single" w:sz="8" w:color="CCEEFF"/>
              <w:bottom w:val="single" w:sz="8" w:color="CCEEFF"/>
            </w:tcBorders>
            <w:gridSpan w:val="6"/>
            <w:shd w:val="clear" w:color="auto" w:fill="CCEEFF"/>
          </w:tcPr>
          <w:p>
            <w:pPr>
              <w:ind w:left="20"/>
              <w:spacing w:after="0" w:line="183" w:lineRule="exact"/>
              <w:rPr>
                <w:rFonts w:ascii="Arial" w:cs="Arial" w:eastAsia="Arial" w:hAnsi="Arial"/>
                <w:sz w:val="17"/>
                <w:szCs w:val="17"/>
                <w:b w:val="1"/>
                <w:bCs w:val="1"/>
                <w:color w:val="0000FF"/>
              </w:rPr>
            </w:pPr>
            <w:hyperlink w:anchor="page92">
              <w:r>
                <w:rPr>
                  <w:rFonts w:ascii="Arial" w:cs="Arial" w:eastAsia="Arial" w:hAnsi="Arial"/>
                  <w:sz w:val="17"/>
                  <w:szCs w:val="17"/>
                  <w:b w:val="1"/>
                  <w:bCs w:val="1"/>
                  <w:color w:val="0000FF"/>
                </w:rPr>
                <w:t>PART III</w:t>
              </w:r>
            </w:hyperlink>
          </w:p>
        </w:tc>
        <w:tc>
          <w:tcPr>
            <w:tcW w:w="9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83" w:lineRule="exact"/>
              <w:rPr>
                <w:rFonts w:ascii="Arial" w:cs="Arial" w:eastAsia="Arial" w:hAnsi="Arial"/>
                <w:sz w:val="17"/>
                <w:szCs w:val="17"/>
                <w:color w:val="0000FF"/>
                <w:w w:val="73"/>
              </w:rPr>
            </w:pPr>
            <w:hyperlink w:anchor="page92">
              <w:r>
                <w:rPr>
                  <w:rFonts w:ascii="Arial" w:cs="Arial" w:eastAsia="Arial" w:hAnsi="Arial"/>
                  <w:sz w:val="17"/>
                  <w:szCs w:val="17"/>
                  <w:color w:val="0000FF"/>
                  <w:w w:val="73"/>
                </w:rPr>
                <w:t>93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3"/>
        </w:trPr>
        <w:tc>
          <w:tcPr>
            <w:tcW w:w="340" w:type="dxa"/>
            <w:vAlign w:val="bottom"/>
          </w:tcPr>
          <w:p>
            <w:pPr>
              <w:spacing w:after="0"/>
              <w:rPr>
                <w:sz w:val="16"/>
                <w:szCs w:val="16"/>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93">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w w:val="92"/>
              </w:rPr>
            </w:pPr>
            <w:hyperlink w:anchor="page93">
              <w:r>
                <w:rPr>
                  <w:rFonts w:ascii="Arial" w:cs="Arial" w:eastAsia="Arial" w:hAnsi="Arial"/>
                  <w:sz w:val="17"/>
                  <w:szCs w:val="17"/>
                  <w:color w:val="0000FF"/>
                  <w:w w:val="92"/>
                </w:rPr>
                <w:t>10.</w:t>
              </w:r>
            </w:hyperlink>
          </w:p>
        </w:tc>
        <w:tc>
          <w:tcPr>
            <w:tcW w:w="480" w:type="dxa"/>
            <w:vAlign w:val="bottom"/>
          </w:tcPr>
          <w:p>
            <w:pPr>
              <w:spacing w:after="0"/>
              <w:rPr>
                <w:sz w:val="16"/>
                <w:szCs w:val="16"/>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93">
              <w:r>
                <w:rPr>
                  <w:rFonts w:ascii="Arial" w:cs="Arial" w:eastAsia="Arial" w:hAnsi="Arial"/>
                  <w:sz w:val="17"/>
                  <w:szCs w:val="17"/>
                  <w:color w:val="0000FF"/>
                </w:rPr>
                <w:t>Directors, Executive Officers and Corporate Governance</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93</w:t>
              </w:r>
            </w:hyperlink>
          </w:p>
        </w:tc>
        <w:tc>
          <w:tcPr>
            <w:tcW w:w="20" w:type="dxa"/>
            <w:vAlign w:val="bottom"/>
          </w:tcPr>
          <w:p>
            <w:pPr>
              <w:spacing w:after="0"/>
              <w:rPr>
                <w:sz w:val="16"/>
                <w:szCs w:val="16"/>
                <w:color w:val="auto"/>
              </w:rPr>
            </w:pPr>
          </w:p>
        </w:tc>
      </w:tr>
      <w:tr>
        <w:trPr>
          <w:trHeight w:val="193"/>
        </w:trPr>
        <w:tc>
          <w:tcPr>
            <w:tcW w:w="340" w:type="dxa"/>
            <w:vAlign w:val="bottom"/>
            <w:tcBorders>
              <w:left w:val="single" w:sz="8" w:color="CCEEFF"/>
            </w:tcBorders>
            <w:shd w:val="clear" w:color="auto" w:fill="CCEEFF"/>
          </w:tcPr>
          <w:p>
            <w:pPr>
              <w:spacing w:after="0"/>
              <w:rPr>
                <w:sz w:val="16"/>
                <w:szCs w:val="16"/>
                <w:color w:val="auto"/>
              </w:rPr>
            </w:pPr>
          </w:p>
        </w:tc>
        <w:tc>
          <w:tcPr>
            <w:tcW w:w="340" w:type="dxa"/>
            <w:vAlign w:val="bottom"/>
            <w:tcBorders>
              <w:top w:val="single" w:sz="8" w:color="0000FF"/>
            </w:tcBorders>
            <w:gridSpan w:val="2"/>
            <w:shd w:val="clear" w:color="auto" w:fill="CCEEFF"/>
          </w:tcPr>
          <w:p>
            <w:pPr>
              <w:spacing w:after="0" w:line="193" w:lineRule="exact"/>
              <w:rPr>
                <w:rFonts w:ascii="Arial" w:cs="Arial" w:eastAsia="Arial" w:hAnsi="Arial"/>
                <w:sz w:val="17"/>
                <w:szCs w:val="17"/>
                <w:color w:val="0000FF"/>
                <w:w w:val="96"/>
              </w:rPr>
            </w:pPr>
            <w:hyperlink w:anchor="page93">
              <w:r>
                <w:rPr>
                  <w:rFonts w:ascii="Arial" w:cs="Arial" w:eastAsia="Arial" w:hAnsi="Arial"/>
                  <w:sz w:val="17"/>
                  <w:szCs w:val="17"/>
                  <w:color w:val="0000FF"/>
                  <w:w w:val="96"/>
                </w:rPr>
                <w:t>Item</w:t>
              </w:r>
            </w:hyperlink>
          </w:p>
        </w:tc>
        <w:tc>
          <w:tcPr>
            <w:tcW w:w="280" w:type="dxa"/>
            <w:vAlign w:val="bottom"/>
            <w:tcBorders>
              <w:top w:val="single" w:sz="8" w:color="0000FF"/>
              <w:right w:val="single" w:sz="8" w:color="CCEEFF"/>
            </w:tcBorders>
            <w:gridSpan w:val="2"/>
            <w:shd w:val="clear" w:color="auto" w:fill="CCEEFF"/>
          </w:tcPr>
          <w:p>
            <w:pPr>
              <w:ind w:left="20"/>
              <w:spacing w:after="0" w:line="193" w:lineRule="exact"/>
              <w:rPr>
                <w:rFonts w:ascii="Arial" w:cs="Arial" w:eastAsia="Arial" w:hAnsi="Arial"/>
                <w:sz w:val="17"/>
                <w:szCs w:val="17"/>
                <w:color w:val="0000FF"/>
                <w:w w:val="92"/>
              </w:rPr>
            </w:pPr>
            <w:hyperlink w:anchor="page93">
              <w:r>
                <w:rPr>
                  <w:rFonts w:ascii="Arial" w:cs="Arial" w:eastAsia="Arial" w:hAnsi="Arial"/>
                  <w:sz w:val="17"/>
                  <w:szCs w:val="17"/>
                  <w:color w:val="0000FF"/>
                  <w:w w:val="92"/>
                </w:rPr>
                <w:t>11.</w:t>
              </w:r>
            </w:hyperlink>
          </w:p>
        </w:tc>
        <w:tc>
          <w:tcPr>
            <w:tcW w:w="480" w:type="dxa"/>
            <w:vAlign w:val="bottom"/>
            <w:shd w:val="clear" w:color="auto" w:fill="CCEEFF"/>
          </w:tcPr>
          <w:p>
            <w:pPr>
              <w:spacing w:after="0"/>
              <w:rPr>
                <w:sz w:val="16"/>
                <w:szCs w:val="16"/>
                <w:color w:val="auto"/>
              </w:rPr>
            </w:pPr>
          </w:p>
        </w:tc>
        <w:tc>
          <w:tcPr>
            <w:tcW w:w="9620" w:type="dxa"/>
            <w:vAlign w:val="bottom"/>
            <w:shd w:val="clear" w:color="auto" w:fill="CCEEFF"/>
          </w:tcPr>
          <w:p>
            <w:pPr>
              <w:ind w:left="140"/>
              <w:spacing w:after="0" w:line="193" w:lineRule="exact"/>
              <w:rPr>
                <w:rFonts w:ascii="Arial" w:cs="Arial" w:eastAsia="Arial" w:hAnsi="Arial"/>
                <w:sz w:val="17"/>
                <w:szCs w:val="17"/>
                <w:color w:val="0000FF"/>
              </w:rPr>
            </w:pPr>
            <w:hyperlink w:anchor="page93">
              <w:r>
                <w:rPr>
                  <w:rFonts w:ascii="Arial" w:cs="Arial" w:eastAsia="Arial" w:hAnsi="Arial"/>
                  <w:sz w:val="17"/>
                  <w:szCs w:val="17"/>
                  <w:color w:val="0000FF"/>
                </w:rPr>
                <w:t>Executive Compensation</w:t>
              </w:r>
            </w:hyperlink>
          </w:p>
        </w:tc>
        <w:tc>
          <w:tcPr>
            <w:tcW w:w="160" w:type="dxa"/>
            <w:vAlign w:val="bottom"/>
            <w:tcBorders>
              <w:top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93</w:t>
              </w:r>
            </w:hyperlink>
          </w:p>
        </w:tc>
        <w:tc>
          <w:tcPr>
            <w:tcW w:w="20" w:type="dxa"/>
            <w:vAlign w:val="bottom"/>
            <w:shd w:val="clear" w:color="auto" w:fill="CCEEFF"/>
          </w:tcPr>
          <w:p>
            <w:pPr>
              <w:spacing w:after="0"/>
              <w:rPr>
                <w:sz w:val="16"/>
                <w:szCs w:val="16"/>
                <w:color w:val="auto"/>
              </w:rPr>
            </w:pPr>
          </w:p>
        </w:tc>
      </w:tr>
      <w:tr>
        <w:trPr>
          <w:trHeight w:val="39"/>
        </w:trPr>
        <w:tc>
          <w:tcPr>
            <w:tcW w:w="34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62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3"/>
        </w:trPr>
        <w:tc>
          <w:tcPr>
            <w:tcW w:w="340" w:type="dxa"/>
            <w:vAlign w:val="bottom"/>
          </w:tcPr>
          <w:p>
            <w:pPr>
              <w:spacing w:after="0"/>
              <w:rPr>
                <w:sz w:val="16"/>
                <w:szCs w:val="16"/>
                <w:color w:val="auto"/>
              </w:rPr>
            </w:pPr>
          </w:p>
        </w:tc>
        <w:tc>
          <w:tcPr>
            <w:tcW w:w="340" w:type="dxa"/>
            <w:vAlign w:val="bottom"/>
            <w:tcBorders>
              <w:bottom w:val="single" w:sz="8" w:color="0000FF"/>
            </w:tcBorders>
            <w:gridSpan w:val="2"/>
          </w:tcPr>
          <w:p>
            <w:pPr>
              <w:spacing w:after="0" w:line="183" w:lineRule="exact"/>
              <w:rPr>
                <w:rFonts w:ascii="Arial" w:cs="Arial" w:eastAsia="Arial" w:hAnsi="Arial"/>
                <w:sz w:val="17"/>
                <w:szCs w:val="17"/>
                <w:color w:val="0000FF"/>
                <w:w w:val="96"/>
              </w:rPr>
            </w:pPr>
            <w:hyperlink w:anchor="page93">
              <w:r>
                <w:rPr>
                  <w:rFonts w:ascii="Arial" w:cs="Arial" w:eastAsia="Arial" w:hAnsi="Arial"/>
                  <w:sz w:val="17"/>
                  <w:szCs w:val="17"/>
                  <w:color w:val="0000FF"/>
                  <w:w w:val="96"/>
                </w:rPr>
                <w:t>Item</w:t>
              </w:r>
            </w:hyperlink>
          </w:p>
        </w:tc>
        <w:tc>
          <w:tcPr>
            <w:tcW w:w="280" w:type="dxa"/>
            <w:vAlign w:val="bottom"/>
            <w:tcBorders>
              <w:bottom w:val="single" w:sz="8" w:color="0000FF"/>
            </w:tcBorders>
            <w:gridSpan w:val="2"/>
          </w:tcPr>
          <w:p>
            <w:pPr>
              <w:ind w:left="20"/>
              <w:spacing w:after="0" w:line="183" w:lineRule="exact"/>
              <w:rPr>
                <w:rFonts w:ascii="Arial" w:cs="Arial" w:eastAsia="Arial" w:hAnsi="Arial"/>
                <w:sz w:val="17"/>
                <w:szCs w:val="17"/>
                <w:color w:val="0000FF"/>
                <w:w w:val="92"/>
              </w:rPr>
            </w:pPr>
            <w:hyperlink w:anchor="page93">
              <w:r>
                <w:rPr>
                  <w:rFonts w:ascii="Arial" w:cs="Arial" w:eastAsia="Arial" w:hAnsi="Arial"/>
                  <w:sz w:val="17"/>
                  <w:szCs w:val="17"/>
                  <w:color w:val="0000FF"/>
                  <w:w w:val="92"/>
                </w:rPr>
                <w:t>12.</w:t>
              </w:r>
            </w:hyperlink>
          </w:p>
        </w:tc>
        <w:tc>
          <w:tcPr>
            <w:tcW w:w="480" w:type="dxa"/>
            <w:vAlign w:val="bottom"/>
          </w:tcPr>
          <w:p>
            <w:pPr>
              <w:spacing w:after="0"/>
              <w:rPr>
                <w:sz w:val="16"/>
                <w:szCs w:val="16"/>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93">
              <w:r>
                <w:rPr>
                  <w:rFonts w:ascii="Arial" w:cs="Arial" w:eastAsia="Arial" w:hAnsi="Arial"/>
                  <w:sz w:val="17"/>
                  <w:szCs w:val="17"/>
                  <w:color w:val="0000FF"/>
                </w:rPr>
                <w:t>Security Ownership of Certain Beneficial Owners and Management and Related Stockholder Matters</w:t>
              </w:r>
            </w:hyperlink>
          </w:p>
        </w:tc>
        <w:tc>
          <w:tcPr>
            <w:tcW w:w="16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93</w:t>
              </w:r>
            </w:hyperlink>
          </w:p>
        </w:tc>
        <w:tc>
          <w:tcPr>
            <w:tcW w:w="20" w:type="dxa"/>
            <w:vAlign w:val="bottom"/>
          </w:tcPr>
          <w:p>
            <w:pPr>
              <w:spacing w:after="0"/>
              <w:rPr>
                <w:sz w:val="16"/>
                <w:szCs w:val="16"/>
                <w:color w:val="auto"/>
              </w:rPr>
            </w:pPr>
          </w:p>
        </w:tc>
      </w:tr>
      <w:tr>
        <w:trPr>
          <w:trHeight w:val="212"/>
        </w:trPr>
        <w:tc>
          <w:tcPr>
            <w:tcW w:w="340" w:type="dxa"/>
            <w:vAlign w:val="bottom"/>
            <w:tcBorders>
              <w:left w:val="single" w:sz="8" w:color="CCEEFF"/>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spacing w:after="0" w:line="193" w:lineRule="exact"/>
              <w:rPr>
                <w:rFonts w:ascii="Arial" w:cs="Arial" w:eastAsia="Arial" w:hAnsi="Arial"/>
                <w:sz w:val="17"/>
                <w:szCs w:val="17"/>
                <w:color w:val="0000FF"/>
                <w:w w:val="96"/>
              </w:rPr>
            </w:pPr>
            <w:hyperlink w:anchor="page93">
              <w:r>
                <w:rPr>
                  <w:rFonts w:ascii="Arial" w:cs="Arial" w:eastAsia="Arial" w:hAnsi="Arial"/>
                  <w:sz w:val="17"/>
                  <w:szCs w:val="17"/>
                  <w:color w:val="0000FF"/>
                  <w:w w:val="96"/>
                </w:rPr>
                <w:t>Item</w:t>
              </w:r>
            </w:hyperlink>
          </w:p>
        </w:tc>
        <w:tc>
          <w:tcPr>
            <w:tcW w:w="280" w:type="dxa"/>
            <w:vAlign w:val="bottom"/>
            <w:tcBorders>
              <w:bottom w:val="single" w:sz="8" w:color="0000FF"/>
              <w:right w:val="single" w:sz="8" w:color="CCEEFF"/>
            </w:tcBorders>
            <w:gridSpan w:val="2"/>
            <w:shd w:val="clear" w:color="auto" w:fill="CCEEFF"/>
          </w:tcPr>
          <w:p>
            <w:pPr>
              <w:ind w:left="20"/>
              <w:spacing w:after="0" w:line="193" w:lineRule="exact"/>
              <w:rPr>
                <w:rFonts w:ascii="Arial" w:cs="Arial" w:eastAsia="Arial" w:hAnsi="Arial"/>
                <w:sz w:val="17"/>
                <w:szCs w:val="17"/>
                <w:color w:val="0000FF"/>
                <w:w w:val="92"/>
              </w:rPr>
            </w:pPr>
            <w:hyperlink w:anchor="page93">
              <w:r>
                <w:rPr>
                  <w:rFonts w:ascii="Arial" w:cs="Arial" w:eastAsia="Arial" w:hAnsi="Arial"/>
                  <w:sz w:val="17"/>
                  <w:szCs w:val="17"/>
                  <w:color w:val="0000FF"/>
                  <w:w w:val="92"/>
                </w:rPr>
                <w:t>13.</w:t>
              </w:r>
            </w:hyperlink>
          </w:p>
        </w:tc>
        <w:tc>
          <w:tcPr>
            <w:tcW w:w="480" w:type="dxa"/>
            <w:vAlign w:val="bottom"/>
            <w:tcBorders>
              <w:bottom w:val="single" w:sz="8" w:color="CCEEFF"/>
            </w:tcBorders>
            <w:shd w:val="clear" w:color="auto" w:fill="CCEEFF"/>
          </w:tcPr>
          <w:p>
            <w:pPr>
              <w:spacing w:after="0"/>
              <w:rPr>
                <w:sz w:val="18"/>
                <w:szCs w:val="18"/>
                <w:color w:val="auto"/>
              </w:rPr>
            </w:pPr>
          </w:p>
        </w:tc>
        <w:tc>
          <w:tcPr>
            <w:tcW w:w="9620" w:type="dxa"/>
            <w:vAlign w:val="bottom"/>
            <w:tcBorders>
              <w:bottom w:val="single" w:sz="8" w:color="CCEEFF"/>
            </w:tcBorders>
            <w:shd w:val="clear" w:color="auto" w:fill="CCEEFF"/>
          </w:tcPr>
          <w:p>
            <w:pPr>
              <w:ind w:left="140"/>
              <w:spacing w:after="0" w:line="193" w:lineRule="exact"/>
              <w:rPr>
                <w:rFonts w:ascii="Arial" w:cs="Arial" w:eastAsia="Arial" w:hAnsi="Arial"/>
                <w:sz w:val="17"/>
                <w:szCs w:val="17"/>
                <w:color w:val="0000FF"/>
              </w:rPr>
            </w:pPr>
            <w:hyperlink w:anchor="page93">
              <w:r>
                <w:rPr>
                  <w:rFonts w:ascii="Arial" w:cs="Arial" w:eastAsia="Arial" w:hAnsi="Arial"/>
                  <w:sz w:val="17"/>
                  <w:szCs w:val="17"/>
                  <w:color w:val="0000FF"/>
                </w:rPr>
                <w:t>Certain Relationships and Related Transactions, and Director Independence</w:t>
              </w:r>
            </w:hyperlink>
          </w:p>
        </w:tc>
        <w:tc>
          <w:tcPr>
            <w:tcW w:w="160" w:type="dxa"/>
            <w:vAlign w:val="bottom"/>
            <w:tcBorders>
              <w:bottom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93</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340" w:type="dxa"/>
            <w:vAlign w:val="bottom"/>
          </w:tcPr>
          <w:p>
            <w:pPr>
              <w:spacing w:after="0"/>
              <w:rPr>
                <w:sz w:val="16"/>
                <w:szCs w:val="16"/>
                <w:color w:val="auto"/>
              </w:rPr>
            </w:pPr>
          </w:p>
        </w:tc>
        <w:tc>
          <w:tcPr>
            <w:tcW w:w="340" w:type="dxa"/>
            <w:vAlign w:val="bottom"/>
            <w:gridSpan w:val="2"/>
          </w:tcPr>
          <w:p>
            <w:pPr>
              <w:spacing w:after="0" w:line="183" w:lineRule="exact"/>
              <w:rPr>
                <w:rFonts w:ascii="Arial" w:cs="Arial" w:eastAsia="Arial" w:hAnsi="Arial"/>
                <w:sz w:val="17"/>
                <w:szCs w:val="17"/>
                <w:color w:val="0000FF"/>
                <w:w w:val="96"/>
              </w:rPr>
            </w:pPr>
            <w:hyperlink w:anchor="page93">
              <w:r>
                <w:rPr>
                  <w:rFonts w:ascii="Arial" w:cs="Arial" w:eastAsia="Arial" w:hAnsi="Arial"/>
                  <w:sz w:val="17"/>
                  <w:szCs w:val="17"/>
                  <w:color w:val="0000FF"/>
                  <w:w w:val="96"/>
                </w:rPr>
                <w:t>Item</w:t>
              </w:r>
            </w:hyperlink>
          </w:p>
        </w:tc>
        <w:tc>
          <w:tcPr>
            <w:tcW w:w="280" w:type="dxa"/>
            <w:vAlign w:val="bottom"/>
            <w:gridSpan w:val="2"/>
          </w:tcPr>
          <w:p>
            <w:pPr>
              <w:ind w:left="20"/>
              <w:spacing w:after="0" w:line="183" w:lineRule="exact"/>
              <w:rPr>
                <w:rFonts w:ascii="Arial" w:cs="Arial" w:eastAsia="Arial" w:hAnsi="Arial"/>
                <w:sz w:val="17"/>
                <w:szCs w:val="17"/>
                <w:color w:val="0000FF"/>
                <w:w w:val="92"/>
              </w:rPr>
            </w:pPr>
            <w:hyperlink w:anchor="page93">
              <w:r>
                <w:rPr>
                  <w:rFonts w:ascii="Arial" w:cs="Arial" w:eastAsia="Arial" w:hAnsi="Arial"/>
                  <w:sz w:val="17"/>
                  <w:szCs w:val="17"/>
                  <w:color w:val="0000FF"/>
                  <w:w w:val="92"/>
                </w:rPr>
                <w:t>14.</w:t>
              </w:r>
            </w:hyperlink>
          </w:p>
        </w:tc>
        <w:tc>
          <w:tcPr>
            <w:tcW w:w="480" w:type="dxa"/>
            <w:vAlign w:val="bottom"/>
          </w:tcPr>
          <w:p>
            <w:pPr>
              <w:spacing w:after="0"/>
              <w:rPr>
                <w:sz w:val="16"/>
                <w:szCs w:val="16"/>
                <w:color w:val="auto"/>
              </w:rPr>
            </w:pPr>
          </w:p>
        </w:tc>
        <w:tc>
          <w:tcPr>
            <w:tcW w:w="9620" w:type="dxa"/>
            <w:vAlign w:val="bottom"/>
          </w:tcPr>
          <w:p>
            <w:pPr>
              <w:ind w:left="140"/>
              <w:spacing w:after="0" w:line="183" w:lineRule="exact"/>
              <w:rPr>
                <w:rFonts w:ascii="Arial" w:cs="Arial" w:eastAsia="Arial" w:hAnsi="Arial"/>
                <w:sz w:val="17"/>
                <w:szCs w:val="17"/>
                <w:color w:val="0000FF"/>
              </w:rPr>
            </w:pPr>
            <w:hyperlink w:anchor="page93">
              <w:r>
                <w:rPr>
                  <w:rFonts w:ascii="Arial" w:cs="Arial" w:eastAsia="Arial" w:hAnsi="Arial"/>
                  <w:sz w:val="17"/>
                  <w:szCs w:val="17"/>
                  <w:color w:val="0000FF"/>
                </w:rPr>
                <w:t>Principal Accountant Fees and Services</w:t>
              </w:r>
            </w:hyperlink>
          </w:p>
        </w:tc>
        <w:tc>
          <w:tcPr>
            <w:tcW w:w="160" w:type="dxa"/>
            <w:vAlign w:val="bottom"/>
            <w:gridSpan w:val="2"/>
          </w:tcPr>
          <w:p>
            <w:pPr>
              <w:jc w:val="right"/>
              <w:spacing w:after="0" w:line="18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93</w:t>
              </w:r>
            </w:hyperlink>
          </w:p>
        </w:tc>
        <w:tc>
          <w:tcPr>
            <w:tcW w:w="20" w:type="dxa"/>
            <w:vAlign w:val="bottom"/>
          </w:tcPr>
          <w:p>
            <w:pPr>
              <w:spacing w:after="0"/>
              <w:rPr>
                <w:sz w:val="16"/>
                <w:szCs w:val="16"/>
                <w:color w:val="auto"/>
              </w:rPr>
            </w:pPr>
          </w:p>
        </w:tc>
      </w:tr>
      <w:tr>
        <w:trPr>
          <w:trHeight w:val="219"/>
        </w:trPr>
        <w:tc>
          <w:tcPr>
            <w:tcW w:w="340" w:type="dxa"/>
            <w:vAlign w:val="bottom"/>
            <w:tcBorders>
              <w:left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0000FF"/>
            </w:tcBorders>
            <w:gridSpan w:val="2"/>
            <w:shd w:val="clear" w:color="auto" w:fill="CCEEFF"/>
          </w:tcPr>
          <w:p>
            <w:pPr>
              <w:spacing w:after="0"/>
              <w:rPr>
                <w:sz w:val="19"/>
                <w:szCs w:val="19"/>
                <w:color w:val="auto"/>
              </w:rPr>
            </w:pPr>
          </w:p>
        </w:tc>
        <w:tc>
          <w:tcPr>
            <w:tcW w:w="140" w:type="dxa"/>
            <w:vAlign w:val="bottom"/>
            <w:tcBorders>
              <w:top w:val="single" w:sz="8" w:color="0000FF"/>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2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3"/>
        </w:trPr>
        <w:tc>
          <w:tcPr>
            <w:tcW w:w="1440" w:type="dxa"/>
            <w:vAlign w:val="bottom"/>
            <w:gridSpan w:val="6"/>
          </w:tcPr>
          <w:p>
            <w:pPr>
              <w:ind w:left="20"/>
              <w:spacing w:after="0" w:line="183" w:lineRule="exact"/>
              <w:rPr>
                <w:rFonts w:ascii="Arial" w:cs="Arial" w:eastAsia="Arial" w:hAnsi="Arial"/>
                <w:sz w:val="17"/>
                <w:szCs w:val="17"/>
                <w:b w:val="1"/>
                <w:bCs w:val="1"/>
                <w:color w:val="0000FF"/>
              </w:rPr>
            </w:pPr>
            <w:hyperlink w:anchor="page93">
              <w:r>
                <w:rPr>
                  <w:rFonts w:ascii="Arial" w:cs="Arial" w:eastAsia="Arial" w:hAnsi="Arial"/>
                  <w:sz w:val="17"/>
                  <w:szCs w:val="17"/>
                  <w:b w:val="1"/>
                  <w:bCs w:val="1"/>
                  <w:color w:val="0000FF"/>
                </w:rPr>
                <w:t>PART IV</w:t>
              </w:r>
            </w:hyperlink>
          </w:p>
        </w:tc>
        <w:tc>
          <w:tcPr>
            <w:tcW w:w="962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73"/>
              </w:rPr>
            </w:pPr>
            <w:hyperlink w:anchor="page93">
              <w:r>
                <w:rPr>
                  <w:rFonts w:ascii="Arial" w:cs="Arial" w:eastAsia="Arial" w:hAnsi="Arial"/>
                  <w:sz w:val="17"/>
                  <w:szCs w:val="17"/>
                  <w:color w:val="0000FF"/>
                  <w:w w:val="73"/>
                </w:rPr>
                <w:t>94</w:t>
              </w:r>
            </w:hyperlink>
          </w:p>
        </w:tc>
        <w:tc>
          <w:tcPr>
            <w:tcW w:w="20" w:type="dxa"/>
            <w:vAlign w:val="bottom"/>
          </w:tcPr>
          <w:p>
            <w:pPr>
              <w:spacing w:after="0"/>
              <w:rPr>
                <w:sz w:val="16"/>
                <w:szCs w:val="16"/>
                <w:color w:val="auto"/>
              </w:rPr>
            </w:pPr>
          </w:p>
        </w:tc>
      </w:tr>
      <w:tr>
        <w:trPr>
          <w:trHeight w:val="212"/>
        </w:trPr>
        <w:tc>
          <w:tcPr>
            <w:tcW w:w="340" w:type="dxa"/>
            <w:vAlign w:val="bottom"/>
            <w:tcBorders>
              <w:left w:val="single" w:sz="8" w:color="CCEEFF"/>
              <w:bottom w:val="single" w:sz="8" w:color="CCEEFF"/>
            </w:tcBorders>
            <w:shd w:val="clear" w:color="auto" w:fill="CCEEFF"/>
          </w:tcPr>
          <w:p>
            <w:pPr>
              <w:spacing w:after="0"/>
              <w:rPr>
                <w:sz w:val="18"/>
                <w:szCs w:val="18"/>
                <w:color w:val="auto"/>
              </w:rPr>
            </w:pPr>
          </w:p>
        </w:tc>
        <w:tc>
          <w:tcPr>
            <w:tcW w:w="340" w:type="dxa"/>
            <w:vAlign w:val="bottom"/>
            <w:tcBorders>
              <w:bottom w:val="single" w:sz="8" w:color="0000FF"/>
            </w:tcBorders>
            <w:gridSpan w:val="2"/>
            <w:shd w:val="clear" w:color="auto" w:fill="CCEEFF"/>
          </w:tcPr>
          <w:p>
            <w:pPr>
              <w:spacing w:after="0" w:line="193" w:lineRule="exact"/>
              <w:rPr>
                <w:rFonts w:ascii="Arial" w:cs="Arial" w:eastAsia="Arial" w:hAnsi="Arial"/>
                <w:sz w:val="17"/>
                <w:szCs w:val="17"/>
                <w:color w:val="0000FF"/>
                <w:w w:val="96"/>
              </w:rPr>
            </w:pPr>
            <w:hyperlink w:anchor="page94">
              <w:r>
                <w:rPr>
                  <w:rFonts w:ascii="Arial" w:cs="Arial" w:eastAsia="Arial" w:hAnsi="Arial"/>
                  <w:sz w:val="17"/>
                  <w:szCs w:val="17"/>
                  <w:color w:val="0000FF"/>
                  <w:w w:val="96"/>
                </w:rPr>
                <w:t>Item</w:t>
              </w:r>
            </w:hyperlink>
          </w:p>
        </w:tc>
        <w:tc>
          <w:tcPr>
            <w:tcW w:w="280" w:type="dxa"/>
            <w:vAlign w:val="bottom"/>
            <w:tcBorders>
              <w:bottom w:val="single" w:sz="8" w:color="0000FF"/>
              <w:right w:val="single" w:sz="8" w:color="CCEEFF"/>
            </w:tcBorders>
            <w:gridSpan w:val="2"/>
            <w:shd w:val="clear" w:color="auto" w:fill="CCEEFF"/>
          </w:tcPr>
          <w:p>
            <w:pPr>
              <w:ind w:left="20"/>
              <w:spacing w:after="0" w:line="193" w:lineRule="exact"/>
              <w:rPr>
                <w:rFonts w:ascii="Arial" w:cs="Arial" w:eastAsia="Arial" w:hAnsi="Arial"/>
                <w:sz w:val="17"/>
                <w:szCs w:val="17"/>
                <w:color w:val="0000FF"/>
                <w:w w:val="92"/>
              </w:rPr>
            </w:pPr>
            <w:hyperlink w:anchor="page94">
              <w:r>
                <w:rPr>
                  <w:rFonts w:ascii="Arial" w:cs="Arial" w:eastAsia="Arial" w:hAnsi="Arial"/>
                  <w:sz w:val="17"/>
                  <w:szCs w:val="17"/>
                  <w:color w:val="0000FF"/>
                  <w:w w:val="92"/>
                </w:rPr>
                <w:t>15.</w:t>
              </w:r>
            </w:hyperlink>
          </w:p>
        </w:tc>
        <w:tc>
          <w:tcPr>
            <w:tcW w:w="480" w:type="dxa"/>
            <w:vAlign w:val="bottom"/>
            <w:tcBorders>
              <w:bottom w:val="single" w:sz="8" w:color="CCEEFF"/>
            </w:tcBorders>
            <w:shd w:val="clear" w:color="auto" w:fill="CCEEFF"/>
          </w:tcPr>
          <w:p>
            <w:pPr>
              <w:spacing w:after="0"/>
              <w:rPr>
                <w:sz w:val="18"/>
                <w:szCs w:val="18"/>
                <w:color w:val="auto"/>
              </w:rPr>
            </w:pPr>
          </w:p>
        </w:tc>
        <w:tc>
          <w:tcPr>
            <w:tcW w:w="9620" w:type="dxa"/>
            <w:vAlign w:val="bottom"/>
            <w:tcBorders>
              <w:bottom w:val="single" w:sz="8" w:color="CCEEFF"/>
            </w:tcBorders>
            <w:shd w:val="clear" w:color="auto" w:fill="CCEEFF"/>
          </w:tcPr>
          <w:p>
            <w:pPr>
              <w:ind w:left="140"/>
              <w:spacing w:after="0" w:line="193" w:lineRule="exact"/>
              <w:rPr>
                <w:rFonts w:ascii="Arial" w:cs="Arial" w:eastAsia="Arial" w:hAnsi="Arial"/>
                <w:sz w:val="17"/>
                <w:szCs w:val="17"/>
                <w:color w:val="0000FF"/>
              </w:rPr>
            </w:pPr>
            <w:hyperlink w:anchor="page94">
              <w:r>
                <w:rPr>
                  <w:rFonts w:ascii="Arial" w:cs="Arial" w:eastAsia="Arial" w:hAnsi="Arial"/>
                  <w:sz w:val="17"/>
                  <w:szCs w:val="17"/>
                  <w:color w:val="0000FF"/>
                </w:rPr>
                <w:t>Exhibits and Financial Statement Schedules</w:t>
              </w:r>
            </w:hyperlink>
          </w:p>
        </w:tc>
        <w:tc>
          <w:tcPr>
            <w:tcW w:w="160" w:type="dxa"/>
            <w:vAlign w:val="bottom"/>
            <w:tcBorders>
              <w:bottom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94">
              <w:r>
                <w:rPr>
                  <w:rFonts w:ascii="Arial" w:cs="Arial" w:eastAsia="Arial" w:hAnsi="Arial"/>
                  <w:sz w:val="17"/>
                  <w:szCs w:val="17"/>
                  <w:color w:val="0000FF"/>
                  <w:w w:val="73"/>
                </w:rPr>
                <w:t>94</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93"/>
        </w:trPr>
        <w:tc>
          <w:tcPr>
            <w:tcW w:w="340" w:type="dxa"/>
            <w:vAlign w:val="bottom"/>
          </w:tcPr>
          <w:p>
            <w:pPr>
              <w:spacing w:after="0"/>
              <w:rPr>
                <w:sz w:val="16"/>
                <w:szCs w:val="16"/>
                <w:color w:val="auto"/>
              </w:rPr>
            </w:pPr>
          </w:p>
        </w:tc>
        <w:tc>
          <w:tcPr>
            <w:tcW w:w="1100" w:type="dxa"/>
            <w:vAlign w:val="bottom"/>
            <w:gridSpan w:val="5"/>
          </w:tcPr>
          <w:p>
            <w:pPr>
              <w:spacing w:after="0" w:line="183" w:lineRule="exact"/>
              <w:rPr>
                <w:rFonts w:ascii="Arial" w:cs="Arial" w:eastAsia="Arial" w:hAnsi="Arial"/>
                <w:sz w:val="17"/>
                <w:szCs w:val="17"/>
                <w:color w:val="0000FF"/>
              </w:rPr>
            </w:pPr>
            <w:hyperlink w:anchor="page94">
              <w:r>
                <w:rPr>
                  <w:rFonts w:ascii="Arial" w:cs="Arial" w:eastAsia="Arial" w:hAnsi="Arial"/>
                  <w:sz w:val="17"/>
                  <w:szCs w:val="17"/>
                  <w:color w:val="0000FF"/>
                </w:rPr>
                <w:t>Signatures</w:t>
              </w:r>
            </w:hyperlink>
          </w:p>
        </w:tc>
        <w:tc>
          <w:tcPr>
            <w:tcW w:w="9620" w:type="dxa"/>
            <w:vAlign w:val="bottom"/>
          </w:tcPr>
          <w:p>
            <w:pPr>
              <w:spacing w:after="0"/>
              <w:rPr>
                <w:sz w:val="16"/>
                <w:szCs w:val="16"/>
                <w:color w:val="auto"/>
              </w:rPr>
            </w:pPr>
          </w:p>
        </w:tc>
        <w:tc>
          <w:tcPr>
            <w:tcW w:w="16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73"/>
              </w:rPr>
            </w:pPr>
            <w:hyperlink w:anchor="page94">
              <w:r>
                <w:rPr>
                  <w:rFonts w:ascii="Arial" w:cs="Arial" w:eastAsia="Arial" w:hAnsi="Arial"/>
                  <w:sz w:val="17"/>
                  <w:szCs w:val="17"/>
                  <w:color w:val="0000FF"/>
                  <w:w w:val="73"/>
                </w:rPr>
                <w:t>95</w:t>
              </w:r>
            </w:hyperlink>
          </w:p>
        </w:tc>
        <w:tc>
          <w:tcPr>
            <w:tcW w:w="20" w:type="dxa"/>
            <w:vAlign w:val="bottom"/>
          </w:tcPr>
          <w:p>
            <w:pPr>
              <w:spacing w:after="0"/>
              <w:rPr>
                <w:sz w:val="16"/>
                <w:szCs w:val="16"/>
                <w:color w:val="auto"/>
              </w:rPr>
            </w:pPr>
          </w:p>
        </w:tc>
      </w:tr>
      <w:tr>
        <w:trPr>
          <w:trHeight w:val="212"/>
        </w:trPr>
        <w:tc>
          <w:tcPr>
            <w:tcW w:w="340" w:type="dxa"/>
            <w:vAlign w:val="bottom"/>
            <w:tcBorders>
              <w:left w:val="single" w:sz="8" w:color="CCEEFF"/>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5"/>
            <w:shd w:val="clear" w:color="auto" w:fill="CCEEFF"/>
          </w:tcPr>
          <w:p>
            <w:pPr>
              <w:spacing w:after="0" w:line="193" w:lineRule="exact"/>
              <w:rPr>
                <w:rFonts w:ascii="Arial" w:cs="Arial" w:eastAsia="Arial" w:hAnsi="Arial"/>
                <w:sz w:val="17"/>
                <w:szCs w:val="17"/>
                <w:color w:val="0000FF"/>
              </w:rPr>
            </w:pPr>
            <w:hyperlink w:anchor="page95">
              <w:r>
                <w:rPr>
                  <w:rFonts w:ascii="Arial" w:cs="Arial" w:eastAsia="Arial" w:hAnsi="Arial"/>
                  <w:sz w:val="17"/>
                  <w:szCs w:val="17"/>
                  <w:color w:val="0000FF"/>
                </w:rPr>
                <w:t>Schedule II</w:t>
              </w:r>
            </w:hyperlink>
          </w:p>
        </w:tc>
        <w:tc>
          <w:tcPr>
            <w:tcW w:w="9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0000FF"/>
            </w:tcBorders>
            <w:gridSpan w:val="2"/>
            <w:shd w:val="clear" w:color="auto" w:fill="CCEEFF"/>
          </w:tcPr>
          <w:p>
            <w:pPr>
              <w:jc w:val="right"/>
              <w:spacing w:after="0" w:line="193" w:lineRule="exact"/>
              <w:rPr>
                <w:rFonts w:ascii="Arial" w:cs="Arial" w:eastAsia="Arial" w:hAnsi="Arial"/>
                <w:sz w:val="17"/>
                <w:szCs w:val="17"/>
                <w:color w:val="0000FF"/>
                <w:w w:val="73"/>
              </w:rPr>
            </w:pPr>
            <w:hyperlink w:anchor="page95">
              <w:r>
                <w:rPr>
                  <w:rFonts w:ascii="Arial" w:cs="Arial" w:eastAsia="Arial" w:hAnsi="Arial"/>
                  <w:sz w:val="17"/>
                  <w:szCs w:val="17"/>
                  <w:color w:val="0000FF"/>
                  <w:w w:val="73"/>
                </w:rPr>
                <w:t>96</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3"/>
        </w:trPr>
        <w:tc>
          <w:tcPr>
            <w:tcW w:w="340" w:type="dxa"/>
            <w:vAlign w:val="bottom"/>
          </w:tcPr>
          <w:p>
            <w:pPr>
              <w:spacing w:after="0"/>
              <w:rPr>
                <w:sz w:val="15"/>
                <w:szCs w:val="15"/>
                <w:color w:val="auto"/>
              </w:rPr>
            </w:pPr>
          </w:p>
        </w:tc>
        <w:tc>
          <w:tcPr>
            <w:tcW w:w="1100" w:type="dxa"/>
            <w:vAlign w:val="bottom"/>
            <w:gridSpan w:val="5"/>
          </w:tcPr>
          <w:p>
            <w:pPr>
              <w:spacing w:after="0" w:line="183" w:lineRule="exact"/>
              <w:rPr>
                <w:rFonts w:ascii="Arial" w:cs="Arial" w:eastAsia="Arial" w:hAnsi="Arial"/>
                <w:sz w:val="17"/>
                <w:szCs w:val="17"/>
                <w:color w:val="0000FF"/>
              </w:rPr>
            </w:pPr>
            <w:hyperlink w:anchor="page96">
              <w:r>
                <w:rPr>
                  <w:rFonts w:ascii="Arial" w:cs="Arial" w:eastAsia="Arial" w:hAnsi="Arial"/>
                  <w:sz w:val="17"/>
                  <w:szCs w:val="17"/>
                  <w:color w:val="0000FF"/>
                </w:rPr>
                <w:t>Exhibit Index</w:t>
              </w:r>
            </w:hyperlink>
          </w:p>
        </w:tc>
        <w:tc>
          <w:tcPr>
            <w:tcW w:w="962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83" w:lineRule="exact"/>
              <w:rPr>
                <w:rFonts w:ascii="Arial" w:cs="Arial" w:eastAsia="Arial" w:hAnsi="Arial"/>
                <w:sz w:val="17"/>
                <w:szCs w:val="17"/>
                <w:color w:val="0000FF"/>
                <w:w w:val="73"/>
              </w:rPr>
            </w:pPr>
            <w:hyperlink w:anchor="page96">
              <w:r>
                <w:rPr>
                  <w:rFonts w:ascii="Arial" w:cs="Arial" w:eastAsia="Arial" w:hAnsi="Arial"/>
                  <w:sz w:val="17"/>
                  <w:szCs w:val="17"/>
                  <w:color w:val="0000FF"/>
                  <w:w w:val="73"/>
                </w:rPr>
                <w:t>97</w:t>
              </w:r>
            </w:hyperlink>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7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127" w:lineRule="exact"/>
        <w:rPr>
          <w:sz w:val="20"/>
          <w:szCs w:val="20"/>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COVID-19 on our business, operations and cash flows;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continued price and margin erosion as a result of increased competition in the microwave transmission industry;</w:t>
      </w:r>
    </w:p>
    <w:p>
      <w:pPr>
        <w:spacing w:after="0" w:line="65" w:lineRule="exact"/>
        <w:rPr>
          <w:rFonts w:ascii="Arial" w:cs="Arial" w:eastAsia="Arial" w:hAnsi="Arial"/>
          <w:sz w:val="17"/>
          <w:szCs w:val="17"/>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volume, timing, and customer, product, and geographic mix of our product orders;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timing of our receipt of payment for products or services from our customers;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projected new product development dates or anticipated cost reductions of new products;</w:t>
      </w:r>
    </w:p>
    <w:p>
      <w:pPr>
        <w:spacing w:after="0" w:line="65" w:lineRule="exact"/>
        <w:rPr>
          <w:rFonts w:ascii="Arial" w:cs="Arial" w:eastAsia="Arial" w:hAnsi="Arial"/>
          <w:sz w:val="17"/>
          <w:szCs w:val="17"/>
          <w:i w:val="1"/>
          <w:iCs w:val="1"/>
          <w:color w:val="auto"/>
        </w:rPr>
      </w:pPr>
    </w:p>
    <w:p>
      <w:pPr>
        <w:ind w:left="860" w:hanging="307"/>
        <w:spacing w:after="0" w:line="288" w:lineRule="auto"/>
        <w:tabs>
          <w:tab w:leader="none" w:pos="85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suppliers’ inability to perform and deliver on time as a result of their financial condition, component shortages, the effects of COVID-19 or other supply chain constraints;</w:t>
      </w:r>
    </w:p>
    <w:p>
      <w:pPr>
        <w:spacing w:after="0" w:line="1"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customer acceptance of new products;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our subcontractors to timely perform;</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continued weakness in the global economy affecting customer spending;</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retention of our key personnel;</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manage and maintain key customer relationships;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uncertain economic conditions in the telecommunications sector combined with operator and supplier consolidation;</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failure to protect our intellectual property rights or defend against intellectual property infringement claims by others;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results of our restructuring efforts;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to preserve and use our net operating loss carryforwards;</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currency and interest rate risks;</w:t>
      </w:r>
    </w:p>
    <w:p>
      <w:pPr>
        <w:spacing w:after="0" w:line="65" w:lineRule="exact"/>
        <w:rPr>
          <w:rFonts w:ascii="Arial" w:cs="Arial" w:eastAsia="Arial" w:hAnsi="Arial"/>
          <w:sz w:val="17"/>
          <w:szCs w:val="17"/>
          <w:i w:val="1"/>
          <w:iCs w:val="1"/>
          <w:color w:val="auto"/>
        </w:rPr>
      </w:pPr>
    </w:p>
    <w:p>
      <w:pPr>
        <w:ind w:left="860" w:right="120" w:hanging="307"/>
        <w:spacing w:after="0" w:line="288" w:lineRule="auto"/>
        <w:tabs>
          <w:tab w:leader="none" w:pos="85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current and future government regulations, including the effects of current restrictions on various commercial and economic activities in response to the COVID-19 pandemic;</w:t>
      </w:r>
    </w:p>
    <w:p>
      <w:pPr>
        <w:spacing w:after="0" w:line="1" w:lineRule="exact"/>
        <w:rPr>
          <w:rFonts w:ascii="Arial" w:cs="Arial" w:eastAsia="Arial" w:hAnsi="Arial"/>
          <w:sz w:val="17"/>
          <w:szCs w:val="17"/>
          <w:i w:val="1"/>
          <w:iCs w:val="1"/>
          <w:color w:val="auto"/>
        </w:rPr>
      </w:pPr>
    </w:p>
    <w:p>
      <w:pPr>
        <w:ind w:left="860" w:right="240" w:hanging="307"/>
        <w:spacing w:after="0" w:line="288" w:lineRule="auto"/>
        <w:tabs>
          <w:tab w:leader="none" w:pos="85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general economic conditions, including uncertainty regarding the timing, pace and extent of an economic recovery in the United States and other countries where we conduct business;</w:t>
      </w:r>
    </w:p>
    <w:p>
      <w:pPr>
        <w:spacing w:after="0" w:line="1" w:lineRule="exact"/>
        <w:rPr>
          <w:rFonts w:ascii="Arial" w:cs="Arial" w:eastAsia="Arial" w:hAnsi="Arial"/>
          <w:sz w:val="17"/>
          <w:szCs w:val="17"/>
          <w:i w:val="1"/>
          <w:iCs w:val="1"/>
          <w:color w:val="auto"/>
        </w:rPr>
      </w:pPr>
    </w:p>
    <w:p>
      <w:pPr>
        <w:ind w:left="860" w:hanging="307"/>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conduct of unethical business practices in developing countries;</w:t>
      </w:r>
    </w:p>
    <w:p>
      <w:pPr>
        <w:spacing w:after="0" w:line="65" w:lineRule="exact"/>
        <w:rPr>
          <w:rFonts w:ascii="Arial" w:cs="Arial" w:eastAsia="Arial" w:hAnsi="Arial"/>
          <w:sz w:val="17"/>
          <w:szCs w:val="17"/>
          <w:color w:val="auto"/>
        </w:rPr>
      </w:pPr>
    </w:p>
    <w:p>
      <w:pPr>
        <w:ind w:left="860" w:hanging="307"/>
        <w:spacing w:after="0"/>
        <w:tabs>
          <w:tab w:leader="none" w:pos="8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political turmoil in countries where we have significant business;</w:t>
      </w:r>
    </w:p>
    <w:p>
      <w:pPr>
        <w:spacing w:after="0" w:line="65" w:lineRule="exact"/>
        <w:rPr>
          <w:rFonts w:ascii="Arial" w:cs="Arial" w:eastAsia="Arial" w:hAnsi="Arial"/>
          <w:sz w:val="17"/>
          <w:szCs w:val="17"/>
          <w:i w:val="1"/>
          <w:iCs w:val="1"/>
          <w:color w:val="auto"/>
        </w:rPr>
      </w:pPr>
    </w:p>
    <w:p>
      <w:pPr>
        <w:jc w:val="both"/>
        <w:ind w:left="860" w:hanging="307"/>
        <w:spacing w:after="0" w:line="272" w:lineRule="auto"/>
        <w:tabs>
          <w:tab w:leader="none" w:pos="856"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0" w:hanging="307"/>
        <w:spacing w:after="0"/>
        <w:tabs>
          <w:tab w:leader="none" w:pos="8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implement our stock repurchase program or that it will enhance long-term stockholder value.</w:t>
      </w:r>
    </w:p>
    <w:p>
      <w:pPr>
        <w:spacing w:after="0" w:line="65" w:lineRule="exact"/>
        <w:rPr>
          <w:rFonts w:ascii="Arial" w:cs="Arial" w:eastAsia="Arial" w:hAnsi="Arial"/>
          <w:sz w:val="17"/>
          <w:szCs w:val="17"/>
          <w:i w:val="1"/>
          <w:iCs w:val="1"/>
          <w:color w:val="auto"/>
        </w:rPr>
      </w:pPr>
    </w:p>
    <w:p>
      <w:pPr>
        <w:ind w:left="860" w:hanging="307"/>
        <w:spacing w:after="0"/>
        <w:tabs>
          <w:tab w:leader="none" w:pos="8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financial covenant requirements which could impact, among other things, our liquidity;</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19"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Aviat Networks, Inc., together with its subsidiaries, is a global supplier of microwave networking solutions, backed by an extensive suite of professional services and support. Aviat Networks, Inc. may be referred to as “the Company,” “AVNW,” “Aviat Networks,” “Aviat,” “we,” “us” and “our” in this Annual Report on Form 10-K.</w:t>
      </w:r>
    </w:p>
    <w:p>
      <w:pPr>
        <w:spacing w:after="0" w:line="11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8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principal executive offices are located at 200 Parker Dr., Suite C100A, Austin, Texas 78728, and our telephone number is (408) 941-7100. Our common stock is listed on the NASDAQ Global Select Market under the symbol AVNW. As of July 2, 2021, we had 687 employees compared with 674 employees as of July 3, 2020.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Description of the Business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design, manufacture and sell a range of wireless networking products, solutions and services to two principal customer types.</w:t>
      </w:r>
    </w:p>
    <w:p>
      <w:pPr>
        <w:spacing w:after="0" w:line="275" w:lineRule="exact"/>
        <w:rPr>
          <w:sz w:val="20"/>
          <w:szCs w:val="20"/>
          <w:color w:val="auto"/>
        </w:rPr>
      </w:pPr>
    </w:p>
    <w:p>
      <w:pPr>
        <w:ind w:left="940" w:firstLine="5"/>
        <w:spacing w:after="0" w:line="288" w:lineRule="auto"/>
        <w:tabs>
          <w:tab w:leader="none" w:pos="1254"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10" w:lineRule="exact"/>
        <w:rPr>
          <w:rFonts w:ascii="Arial" w:cs="Arial" w:eastAsia="Arial" w:hAnsi="Arial"/>
          <w:sz w:val="17"/>
          <w:szCs w:val="17"/>
          <w:color w:val="auto"/>
        </w:rPr>
      </w:pPr>
    </w:p>
    <w:p>
      <w:pPr>
        <w:jc w:val="both"/>
        <w:ind w:left="940" w:firstLine="5"/>
        <w:spacing w:after="0" w:line="267" w:lineRule="auto"/>
        <w:tabs>
          <w:tab w:leader="none" w:pos="1254"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Private network operators: These are customers which do not resell communications services but build networks for reasons of economics, autonomy, and/or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sell products and services directly to our customers, and, to a lesser extent, agents and resellers.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products utilize microwave and millimeter wave technologies to create point to point wireless links for short, medium and long-distance interconnections. Our products incorporate Ethernet switching and IP routing capabilities optimized for a microwave and millimeter wave environment and for hybrid applications of microwave and optical fiber transport, to form complete networking solutions. We provide software tools and applications to enable deployment, monitoring, network management and optimization of our systems as well as to automate network design and procurement. We also source, qualify, supply and support third party equipment such as antennas, routers,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Revenue from our North America and international regions represented approximately 67% and 33% of our revenue in fiscal 2021, respectively, 64% and 36% of our revenue in fiscal 2020, respectively, and 54% and 46% of our revenue in fiscal 2019, respectively. Information about our revenue attributable to our geographic regions is set forth in “Item 7. Management’s Discussion and Analysis of Financial Condition and Results of Operations” and in “Note 10. Segment and Geographic Information” of the accompanying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Market Overview</w:t>
      </w:r>
    </w:p>
    <w:p>
      <w:pPr>
        <w:spacing w:after="0" w:line="170"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We believe that future demand for microwave and millimeter wave transmission systems will be influenced by a number of factors across several market segments.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Mobile/5G Networks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mobile networks expand, add subscribers and increase the number of wirelessly connected devices, sensors and machines, they require ongoing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58" w:lineRule="exact"/>
        <w:rPr>
          <w:sz w:val="20"/>
          <w:szCs w:val="20"/>
          <w:color w:val="auto"/>
        </w:rPr>
      </w:pPr>
    </w:p>
    <w:p>
      <w:pPr>
        <w:jc w:val="both"/>
        <w:ind w:left="320" w:hanging="315"/>
        <w:spacing w:after="0" w:line="247" w:lineRule="auto"/>
        <w:tabs>
          <w:tab w:leader="none" w:pos="315"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5G Deployments. </w:t>
      </w:r>
      <w:r>
        <w:rPr>
          <w:rFonts w:ascii="Arial" w:cs="Arial" w:eastAsia="Arial" w:hAnsi="Arial"/>
          <w:sz w:val="17"/>
          <w:szCs w:val="17"/>
          <w:color w:val="auto"/>
        </w:rPr>
        <w:t>Mobile Radio Access Network (“RAN”) technologies are continually evolving. With the evolution from 4G (HSPA+ and LTE) to 5G,</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is continuously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36" w:lineRule="exact"/>
        <w:rPr>
          <w:rFonts w:ascii="Arial" w:cs="Arial" w:eastAsia="Arial" w:hAnsi="Arial"/>
          <w:sz w:val="21"/>
          <w:szCs w:val="21"/>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Subscriber Growth. </w:t>
      </w:r>
      <w:r>
        <w:rPr>
          <w:rFonts w:ascii="Arial" w:cs="Arial" w:eastAsia="Arial" w:hAnsi="Arial"/>
          <w:sz w:val="17"/>
          <w:szCs w:val="17"/>
          <w:color w:val="auto"/>
        </w:rPr>
        <w:t>Traffic on the backhaul infrastructure increases as the number of unique subscribers grows.</w:t>
      </w:r>
    </w:p>
    <w:p>
      <w:pPr>
        <w:spacing w:after="0" w:line="65"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Connected Devices. </w:t>
      </w:r>
      <w:r>
        <w:rPr>
          <w:rFonts w:ascii="Arial" w:cs="Arial" w:eastAsia="Arial" w:hAnsi="Arial"/>
          <w:sz w:val="17"/>
          <w:szCs w:val="17"/>
          <w:color w:val="auto"/>
        </w:rPr>
        <w:t>The number of devices such as smart phones and tablets connected to the mobile network is far greater than the number of unique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18"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IoT</w:t>
      </w:r>
      <w:r>
        <w:rPr>
          <w:rFonts w:ascii="Arial" w:cs="Arial" w:eastAsia="Arial" w:hAnsi="Arial"/>
          <w:sz w:val="17"/>
          <w:szCs w:val="17"/>
          <w:color w:val="auto"/>
        </w:rPr>
        <w:t>. The Internet of Things (“IoT”) brings the potential of massive deployment of wireless end points for sensing and reporting data and remotely</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machines and devices. The increase of data volume drives investment in network infrastructure.</w:t>
      </w:r>
    </w:p>
    <w:p>
      <w:pPr>
        <w:spacing w:after="0" w:line="1"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Network Densification. </w:t>
      </w:r>
      <w:r>
        <w:rPr>
          <w:rFonts w:ascii="Arial" w:cs="Arial" w:eastAsia="Arial" w:hAnsi="Arial"/>
          <w:sz w:val="17"/>
          <w:szCs w:val="17"/>
          <w:color w:val="auto"/>
        </w:rPr>
        <w:t>RAN frequency spectrum is a limited resource and shared between all of the devices and users within the coverage area of each base</w:t>
      </w:r>
      <w:r>
        <w:rPr>
          <w:rFonts w:ascii="Arial" w:cs="Arial" w:eastAsia="Arial" w:hAnsi="Arial"/>
          <w:sz w:val="17"/>
          <w:szCs w:val="17"/>
          <w:i w:val="1"/>
          <w:iCs w:val="1"/>
          <w:color w:val="auto"/>
        </w:rPr>
        <w:t xml:space="preserve"> </w:t>
      </w:r>
      <w:r>
        <w:rPr>
          <w:rFonts w:ascii="Arial" w:cs="Arial" w:eastAsia="Arial" w:hAnsi="Arial"/>
          <w:sz w:val="17"/>
          <w:szCs w:val="17"/>
          <w:color w:val="auto"/>
        </w:rPr>
        <w:t>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18" w:lineRule="exact"/>
        <w:rPr>
          <w:rFonts w:ascii="Arial" w:cs="Arial" w:eastAsia="Arial" w:hAnsi="Arial"/>
          <w:sz w:val="17"/>
          <w:szCs w:val="17"/>
          <w:i w:val="1"/>
          <w:iCs w:val="1"/>
          <w:color w:val="auto"/>
        </w:rPr>
      </w:pPr>
    </w:p>
    <w:p>
      <w:pPr>
        <w:ind w:left="320" w:hanging="315"/>
        <w:spacing w:after="0" w:line="288"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Geographic Coverage. </w:t>
      </w:r>
      <w:r>
        <w:rPr>
          <w:rFonts w:ascii="Arial" w:cs="Arial" w:eastAsia="Arial" w:hAnsi="Arial"/>
          <w:sz w:val="17"/>
          <w:szCs w:val="17"/>
          <w:color w:val="auto"/>
        </w:rPr>
        <w:t>Expanding the geographic area covered by a mobile network requires the deployment of additional cellular base station sites. Each</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base station site also needs to be connected to the core of the mobile network through expansion of the backhaul system.</w:t>
      </w:r>
    </w:p>
    <w:p>
      <w:pPr>
        <w:spacing w:after="0" w:line="1" w:lineRule="exact"/>
        <w:rPr>
          <w:rFonts w:ascii="Arial" w:cs="Arial" w:eastAsia="Arial" w:hAnsi="Arial"/>
          <w:sz w:val="17"/>
          <w:szCs w:val="17"/>
          <w:color w:val="auto"/>
        </w:rPr>
      </w:pPr>
    </w:p>
    <w:p>
      <w:pPr>
        <w:jc w:val="both"/>
        <w:ind w:left="320" w:hanging="315"/>
        <w:spacing w:after="0" w:line="272"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License Mandates</w:t>
      </w:r>
      <w:r>
        <w:rPr>
          <w:rFonts w:ascii="Arial" w:cs="Arial" w:eastAsia="Arial" w:hAnsi="Arial"/>
          <w:sz w:val="17"/>
          <w:szCs w:val="17"/>
          <w:color w:val="auto"/>
        </w:rPr>
        <w:t>. Mobile Operators are licensed telecommunications service providers. Licenses will typically mandate a minimum geographic footprint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 specific period of time and/or a minimum proportion of a national or regional population served. This can pace backhaul infrastructure investment and cause periodic spikes in demand.</w:t>
      </w:r>
    </w:p>
    <w:p>
      <w:pPr>
        <w:spacing w:after="0" w:line="19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Rural Broadband</w:t>
      </w:r>
    </w:p>
    <w:p>
      <w:pPr>
        <w:spacing w:after="0" w:line="65" w:lineRule="exact"/>
        <w:rPr>
          <w:rFonts w:ascii="Arial" w:cs="Arial" w:eastAsia="Arial" w:hAnsi="Arial"/>
          <w:sz w:val="17"/>
          <w:szCs w:val="17"/>
          <w:color w:val="auto"/>
        </w:rPr>
      </w:pPr>
    </w:p>
    <w:p>
      <w:pPr>
        <w:jc w:val="both"/>
        <w:ind w:left="320" w:hanging="315"/>
        <w:spacing w:after="0" w:line="272"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Middle Mile</w:t>
      </w:r>
      <w:r>
        <w:rPr>
          <w:rFonts w:ascii="Arial" w:cs="Arial" w:eastAsia="Arial" w:hAnsi="Arial"/>
          <w:sz w:val="17"/>
          <w:szCs w:val="17"/>
          <w:color w:val="auto"/>
        </w:rPr>
        <w:t>. Aviat transport equipment is used to deliver broadband connectivity to rural and suburban communities as an alternative to costly fiber. There</w:t>
      </w:r>
      <w:r>
        <w:rPr>
          <w:rFonts w:ascii="Arial" w:cs="Arial" w:eastAsia="Arial" w:hAnsi="Arial"/>
          <w:sz w:val="17"/>
          <w:szCs w:val="17"/>
          <w:i w:val="1"/>
          <w:iCs w:val="1"/>
          <w:color w:val="auto"/>
        </w:rPr>
        <w:t xml:space="preserve"> </w:t>
      </w:r>
      <w:r>
        <w:rPr>
          <w:rFonts w:ascii="Arial" w:cs="Arial" w:eastAsia="Arial" w:hAnsi="Arial"/>
          <w:sz w:val="17"/>
          <w:szCs w:val="17"/>
          <w:color w:val="auto"/>
        </w:rPr>
        <w:t>are significant investments being made to improve rural household and enterprise connectivity and many of these investments target middle mile infrastructure builds.</w:t>
      </w:r>
    </w:p>
    <w:p>
      <w:pPr>
        <w:spacing w:after="0" w:line="14" w:lineRule="exact"/>
        <w:rPr>
          <w:rFonts w:ascii="Arial" w:cs="Arial" w:eastAsia="Arial" w:hAnsi="Arial"/>
          <w:sz w:val="17"/>
          <w:szCs w:val="17"/>
          <w:color w:val="auto"/>
        </w:rPr>
      </w:pPr>
    </w:p>
    <w:p>
      <w:pPr>
        <w:jc w:val="both"/>
        <w:ind w:left="320" w:hanging="315"/>
        <w:spacing w:after="0" w:line="288"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Expansion of Offered Services. </w:t>
      </w:r>
      <w:r>
        <w:rPr>
          <w:rFonts w:ascii="Arial" w:cs="Arial" w:eastAsia="Arial" w:hAnsi="Arial"/>
          <w:sz w:val="16"/>
          <w:szCs w:val="16"/>
          <w:color w:val="auto"/>
        </w:rPr>
        <w:t>Internet service providers, especially those in emerging markets, now own and operate the most modern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Private Networks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In addition to mobile backhaul, we see demand for microwave technology in other vertical markets, including utility, public safety, financial institutions and broadcast.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hanging="315"/>
        <w:spacing w:after="0" w:line="28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Many utility companies around the world are actively investing in “Smart Grid” solutions and energy demand management, which drive the need for network modernization and increased capacity of networks.</w:t>
      </w:r>
    </w:p>
    <w:p>
      <w:pPr>
        <w:spacing w:after="0" w:line="1" w:lineRule="exact"/>
        <w:rPr>
          <w:rFonts w:ascii="Arial" w:cs="Arial" w:eastAsia="Arial" w:hAnsi="Arial"/>
          <w:sz w:val="17"/>
          <w:szCs w:val="17"/>
          <w:color w:val="auto"/>
        </w:rPr>
      </w:pPr>
    </w:p>
    <w:p>
      <w:pPr>
        <w:jc w:val="both"/>
        <w:ind w:left="320" w:hanging="315"/>
        <w:spacing w:after="0" w:line="284"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9" w:lineRule="exact"/>
        <w:rPr>
          <w:rFonts w:ascii="Arial" w:cs="Arial" w:eastAsia="Arial" w:hAnsi="Arial"/>
          <w:sz w:val="16"/>
          <w:szCs w:val="16"/>
          <w:color w:val="auto"/>
        </w:rPr>
      </w:pPr>
    </w:p>
    <w:p>
      <w:pPr>
        <w:jc w:val="both"/>
        <w:ind w:left="320" w:hanging="315"/>
        <w:spacing w:after="0" w:line="288" w:lineRule="auto"/>
        <w:tabs>
          <w:tab w:leader="none" w:pos="315" w:val="left"/>
        </w:tabs>
        <w:numPr>
          <w:ilvl w:val="0"/>
          <w:numId w:val="7"/>
        </w:numPr>
        <w:rPr>
          <w:rFonts w:ascii="Arial" w:cs="Arial" w:eastAsia="Arial" w:hAnsi="Arial"/>
          <w:sz w:val="16"/>
          <w:szCs w:val="16"/>
          <w:color w:val="auto"/>
        </w:rPr>
      </w:pPr>
      <w:r>
        <w:rPr>
          <w:rFonts w:ascii="Arial" w:cs="Arial" w:eastAsia="Arial" w:hAnsi="Arial"/>
          <w:sz w:val="16"/>
          <w:szCs w:val="16"/>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5" w:lineRule="exact"/>
        <w:rPr>
          <w:rFonts w:ascii="Arial" w:cs="Arial" w:eastAsia="Arial" w:hAnsi="Arial"/>
          <w:sz w:val="16"/>
          <w:szCs w:val="16"/>
          <w:color w:val="auto"/>
        </w:rPr>
      </w:pPr>
    </w:p>
    <w:p>
      <w:pPr>
        <w:jc w:val="both"/>
        <w:ind w:left="320" w:hanging="315"/>
        <w:spacing w:after="0" w:line="272"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Evolution to IP. Network Infrastructure capacity, efficiency and flexibility is greatly enhanced by transitioning from legacy SDH (synchronous 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14"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enhancement of border security and surveillance networks to counter terrorism and insurgency is aided by the use of wireless technologies including microwave backhaul.</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These factors are combining to create a range of opportunities for continued investment in backhaul and transport networks favoring microwave and millimeter wave technologies. As we focus on executing future generations of our technology, our goal is to make wireless technology a viable choice for an ever-broadening range of network types.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we continue executing our technology roadmap, we are engaging more deeply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strategy has three main elements aligned to deliver a compelling Total Cost of Ownership (“TCO”) value proposition. The first is our portfolio of wireless transport products allowing our customers increased capacity and flexibility with a much better total cost solution. We are expanding the data-carrying capacity of our wireless products to address the increasing data demand in networks of all types.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Second, in order to address the operational complexity of planning, deploying, owning and operating microwave networks, we are investing in a combination of software applications, tools and services where simplification, process automation and our unique expertise in wireless technology can make a significant difference for our customers and partners.</w:t>
      </w:r>
    </w:p>
    <w:p>
      <w:pPr>
        <w:spacing w:after="0" w:line="119" w:lineRule="exact"/>
        <w:rPr>
          <w:sz w:val="20"/>
          <w:szCs w:val="20"/>
          <w:color w:val="auto"/>
        </w:rPr>
      </w:pPr>
    </w:p>
    <w:p>
      <w:pPr>
        <w:jc w:val="both"/>
        <w:ind w:firstLine="470"/>
        <w:spacing w:after="0" w:line="309" w:lineRule="auto"/>
        <w:rPr>
          <w:sz w:val="20"/>
          <w:szCs w:val="20"/>
          <w:color w:val="auto"/>
        </w:rPr>
      </w:pPr>
      <w:r>
        <w:rPr>
          <w:rFonts w:ascii="Arial" w:cs="Arial" w:eastAsia="Arial" w:hAnsi="Arial"/>
          <w:sz w:val="15"/>
          <w:szCs w:val="15"/>
          <w:color w:val="auto"/>
        </w:rPr>
        <w:t>Finally, Aviat is investing in e-commerce through our Aviat Store platform and supporting supply chain capabilities. Aviat can better service customers buying through the Aviat Store with lower costs, faster lead times and a simpler purchasing experience. The Aviat Store, together with our supply chain, enables customers (including Tier 2 and mobile 5G operators) to purchase products as needed, thus avoiding lengthy and variable lead times that come with other vendor</w:t>
      </w:r>
    </w:p>
    <w:p>
      <w:pPr>
        <w:jc w:val="both"/>
        <w:spacing w:after="0" w:line="288" w:lineRule="auto"/>
        <w:rPr>
          <w:sz w:val="20"/>
          <w:szCs w:val="20"/>
          <w:color w:val="auto"/>
        </w:rPr>
      </w:pPr>
      <w:r>
        <w:rPr>
          <w:rFonts w:ascii="Arial" w:cs="Arial" w:eastAsia="Arial" w:hAnsi="Arial"/>
          <w:sz w:val="17"/>
          <w:szCs w:val="17"/>
          <w:color w:val="auto"/>
        </w:rPr>
        <w:t>solutions and allowing those customers to lower warehousing costs, reduce obsolete equipment, and lower the cost of capital by paying only when equipment is needed.</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Solutions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strong product and solutions portfolio is key to building and maintaining our marquee base of customers. We offer a comprehensive product and solutions portfolio that meets the needs of service providers and network operators in every region of the world and that addresses a broad range of applications, frequencies, capacities and network topologies.</w:t>
      </w:r>
    </w:p>
    <w:p>
      <w:pPr>
        <w:spacing w:after="0" w:line="15" w:lineRule="exact"/>
        <w:rPr>
          <w:sz w:val="20"/>
          <w:szCs w:val="20"/>
          <w:color w:val="auto"/>
        </w:rPr>
      </w:pPr>
    </w:p>
    <w:p>
      <w:pPr>
        <w:jc w:val="both"/>
        <w:ind w:left="320" w:hanging="315"/>
        <w:spacing w:after="0" w:line="259"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Broad product and solution portfolio. </w:t>
      </w:r>
      <w:r>
        <w:rPr>
          <w:rFonts w:ascii="Arial" w:cs="Arial" w:eastAsia="Arial" w:hAnsi="Arial"/>
          <w:sz w:val="17"/>
          <w:szCs w:val="17"/>
          <w:color w:val="auto"/>
        </w:rPr>
        <w:t>We offer a comprehensive suite of wireless transmission systems for microwave and millimeter wave networking</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These solutions utilize a wide range of transmission frequencies, ranging from 5 GHz to 90 GHz, and can deliver a wide range of transmission capacities, ranging up to 20 Gigabits per second (Gbps). The major product families included in these solutions are CTR 8000, WTM 4000 and AviatCloud. Our CTR 8000 platform merges the functionality of an indoor microwave modem unit and a cell site router into a single integrated solution, simplifying IP/MPLS deployments and creating a better performing network. The newest addition to our product portfolio is the WTM 4000, the highest capacity microwave radio ever produced, and purpose built for software-defined networks (“SDN.”) SDN technology is an approach to networking management that enables dynamic, programmatically efficient networking configuration in order to improve networking performance and monitoring, making it more like cloud computing than traditional networking management. We have now introduced multiple important variants to the WTM 4000 platform; WTM4100 &amp; 4200 providing single and dual frequency microwave links with advanced XPIC and MIMO capabilities; WTM4500 for multi-channel aggregation of microwave channels in long distance applications; WTM4800 is the latest addition to address 5G network requirements and is capable of operating in the 80GHz E Band at up to 20Gbps capacity, with a unique Multi-Band capability which simultaneously uses microwave and E Band frequencies for maximum robustness. WTM 4800 is the industry’s only single box multi-band solution for lowest total cost of ownership deployments. To address the issues of operational complexity in our customers’ networks, AviatCloud is a platform with secure hosted software and services to automate networks and their operations.</w:t>
      </w:r>
    </w:p>
    <w:p>
      <w:pPr>
        <w:spacing w:after="0" w:line="26" w:lineRule="exact"/>
        <w:rPr>
          <w:rFonts w:ascii="Arial" w:cs="Arial" w:eastAsia="Arial" w:hAnsi="Arial"/>
          <w:sz w:val="17"/>
          <w:szCs w:val="17"/>
          <w:color w:val="auto"/>
        </w:rPr>
      </w:pPr>
    </w:p>
    <w:p>
      <w:pPr>
        <w:jc w:val="both"/>
        <w:ind w:left="320" w:hanging="315"/>
        <w:spacing w:after="0" w:line="288"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are focused on achieving a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5" w:lineRule="exact"/>
        <w:rPr>
          <w:rFonts w:ascii="Arial" w:cs="Arial" w:eastAsia="Arial" w:hAnsi="Arial"/>
          <w:sz w:val="16"/>
          <w:szCs w:val="16"/>
          <w:color w:val="auto"/>
        </w:rPr>
      </w:pPr>
    </w:p>
    <w:p>
      <w:pPr>
        <w:jc w:val="both"/>
        <w:ind w:left="320" w:hanging="315"/>
        <w:spacing w:after="0" w:line="267"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Futureproof network. </w:t>
      </w:r>
      <w:r>
        <w:rPr>
          <w:rFonts w:ascii="Arial" w:cs="Arial" w:eastAsia="Arial" w:hAnsi="Arial"/>
          <w:sz w:val="17"/>
          <w:szCs w:val="17"/>
          <w:color w:val="auto"/>
        </w:rPr>
        <w:t>Our solutions are designed to protect the network operator’s investment by incorporating software-configurable capacity upgrades and</w:t>
      </w:r>
      <w:r>
        <w:rPr>
          <w:rFonts w:ascii="Arial" w:cs="Arial" w:eastAsia="Arial" w:hAnsi="Arial"/>
          <w:sz w:val="17"/>
          <w:szCs w:val="17"/>
          <w:i w:val="1"/>
          <w:iCs w:val="1"/>
          <w:color w:val="auto"/>
        </w:rPr>
        <w:t xml:space="preserve"> </w:t>
      </w:r>
      <w:r>
        <w:rPr>
          <w:rFonts w:ascii="Arial" w:cs="Arial" w:eastAsia="Arial" w:hAnsi="Arial"/>
          <w:sz w:val="17"/>
          <w:szCs w:val="17"/>
          <w:color w:val="auto"/>
        </w:rPr>
        <w:t>plug-in modules that provide a smooth migration path to Carrier Ethernet and IP/MPLS (multiprotocol label switching) based networking, without the need for costly equipment substitutions and additions. Our products include key technologies we believe will be needed by operators for their network evolution to support new broadband services.</w:t>
      </w:r>
    </w:p>
    <w:p>
      <w:pPr>
        <w:spacing w:after="0" w:line="18" w:lineRule="exact"/>
        <w:rPr>
          <w:rFonts w:ascii="Arial" w:cs="Arial" w:eastAsia="Arial" w:hAnsi="Arial"/>
          <w:sz w:val="17"/>
          <w:szCs w:val="17"/>
          <w:color w:val="auto"/>
        </w:rPr>
      </w:pPr>
    </w:p>
    <w:p>
      <w:pPr>
        <w:jc w:val="both"/>
        <w:ind w:left="320" w:hanging="315"/>
        <w:spacing w:after="0" w:line="267"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Flexible, easily configurable products. </w:t>
      </w:r>
      <w:r>
        <w:rPr>
          <w:rFonts w:ascii="Arial" w:cs="Arial" w:eastAsia="Arial" w:hAnsi="Arial"/>
          <w:sz w:val="17"/>
          <w:szCs w:val="17"/>
          <w:color w:val="auto"/>
        </w:rPr>
        <w:t>We use flexible architectures with a high level of software configurable features. This design approach produces</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18" w:lineRule="exact"/>
        <w:rPr>
          <w:rFonts w:ascii="Arial" w:cs="Arial" w:eastAsia="Arial" w:hAnsi="Arial"/>
          <w:sz w:val="17"/>
          <w:szCs w:val="17"/>
          <w:color w:val="auto"/>
        </w:rPr>
      </w:pPr>
    </w:p>
    <w:p>
      <w:pPr>
        <w:ind w:left="320" w:hanging="315"/>
        <w:spacing w:after="0" w:line="288"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network management. </w:t>
      </w:r>
      <w:r>
        <w:rPr>
          <w:rFonts w:ascii="Arial" w:cs="Arial" w:eastAsia="Arial" w:hAnsi="Arial"/>
          <w:sz w:val="17"/>
          <w:szCs w:val="17"/>
          <w:color w:val="auto"/>
        </w:rPr>
        <w:t>We offer a range of flexible network management solutions, from element management to enterprise-wide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service assurance that we can optimize to work with our wireless systems.</w:t>
      </w:r>
    </w:p>
    <w:p>
      <w:pPr>
        <w:spacing w:after="0" w:line="1" w:lineRule="exact"/>
        <w:rPr>
          <w:rFonts w:ascii="Arial" w:cs="Arial" w:eastAsia="Arial" w:hAnsi="Arial"/>
          <w:sz w:val="17"/>
          <w:szCs w:val="17"/>
          <w:color w:val="auto"/>
        </w:rPr>
      </w:pPr>
    </w:p>
    <w:p>
      <w:pPr>
        <w:jc w:val="both"/>
        <w:ind w:left="320" w:hanging="315"/>
        <w:spacing w:after="0" w:line="297"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Complete professional services. </w:t>
      </w:r>
      <w:r>
        <w:rPr>
          <w:rFonts w:ascii="Arial" w:cs="Arial" w:eastAsia="Arial" w:hAnsi="Arial"/>
          <w:sz w:val="16"/>
          <w:szCs w:val="16"/>
          <w:color w:val="auto"/>
        </w:rPr>
        <w:t>In addition to our product offerings, we provide network planning and design, site surveys and builds, systems integration,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47" w:lineRule="exact"/>
        <w:rPr>
          <w:sz w:val="20"/>
          <w:szCs w:val="20"/>
          <w:color w:val="auto"/>
        </w:rPr>
      </w:pPr>
    </w:p>
    <w:p>
      <w:pPr>
        <w:jc w:val="right"/>
        <w:ind w:right="9720"/>
        <w:spacing w:after="0"/>
        <w:rPr>
          <w:sz w:val="20"/>
          <w:szCs w:val="20"/>
          <w:color w:val="auto"/>
        </w:rPr>
      </w:pPr>
      <w:r>
        <w:rPr>
          <w:rFonts w:ascii="Arial" w:cs="Arial" w:eastAsia="Arial" w:hAnsi="Arial"/>
          <w:sz w:val="15"/>
          <w:szCs w:val="15"/>
          <w:b w:val="1"/>
          <w:bCs w:val="1"/>
          <w:color w:val="auto"/>
        </w:rPr>
        <w:t>Business Operations</w:t>
      </w:r>
    </w:p>
    <w:p>
      <w:pPr>
        <w:spacing w:after="0" w:line="199" w:lineRule="exact"/>
        <w:rPr>
          <w:sz w:val="20"/>
          <w:szCs w:val="20"/>
          <w:color w:val="auto"/>
        </w:rPr>
      </w:pPr>
    </w:p>
    <w:p>
      <w:pPr>
        <w:jc w:val="right"/>
        <w:ind w:right="9660"/>
        <w:spacing w:after="0"/>
        <w:rPr>
          <w:sz w:val="20"/>
          <w:szCs w:val="20"/>
          <w:color w:val="auto"/>
        </w:rPr>
      </w:pPr>
      <w:r>
        <w:rPr>
          <w:rFonts w:ascii="Arial" w:cs="Arial" w:eastAsia="Arial" w:hAnsi="Arial"/>
          <w:sz w:val="17"/>
          <w:szCs w:val="17"/>
          <w:b w:val="1"/>
          <w:bCs w:val="1"/>
          <w:i w:val="1"/>
          <w:iCs w:val="1"/>
          <w:color w:val="auto"/>
        </w:rPr>
        <w:t>Sales and Service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to our direct channel to market, we also have informal, and in some cases formal,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232" w:lineRule="exact"/>
        <w:rPr>
          <w:sz w:val="20"/>
          <w:szCs w:val="20"/>
          <w:color w:val="auto"/>
        </w:rPr>
      </w:pPr>
    </w:p>
    <w:p>
      <w:pPr>
        <w:jc w:val="both"/>
        <w:ind w:firstLine="392"/>
        <w:spacing w:after="0" w:line="267" w:lineRule="auto"/>
        <w:rPr>
          <w:sz w:val="20"/>
          <w:szCs w:val="20"/>
          <w:color w:val="auto"/>
        </w:rPr>
      </w:pPr>
      <w:r>
        <w:rPr>
          <w:rFonts w:ascii="Arial" w:cs="Arial" w:eastAsia="Arial" w:hAnsi="Arial"/>
          <w:sz w:val="17"/>
          <w:szCs w:val="17"/>
          <w:color w:val="auto"/>
        </w:rPr>
        <w:t>We have introduced a direct online sales option through our online “Aviat Store” for our WTM radio platform, initially in North America and targeted at wireless internet service providers delivering broadband services in rural and underserved areas. We provide online design tools for radio link planning and on-line ordering tools, which we fulfill directly from our Aviat Store with multiple options of product available for next day shipment. Shipments from Aviat Store commenced late in 2018.</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Manufacturing</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American Act.</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Backlog</w:t>
      </w:r>
    </w:p>
    <w:p>
      <w:pPr>
        <w:spacing w:after="0" w:line="170"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Our backlog was approximately $225 million at July 2, 2021 and $210 million at July 3, 2020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estimates are subject to change and are affected by several factors, including terminations, changes in the scope of contracts, periodic revalidation, adjustments for revenue not materialized and adjustments for currency.</w:t>
      </w:r>
    </w:p>
    <w:p>
      <w:pPr>
        <w:spacing w:after="0" w:line="1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expect to substantially deliver against the backlog as of July 2, 2021 during fiscal 2022, but we cannot be assured that this will occur. Product orders in our current backlog are subject to changes in delivery schedules or to cancellation at the option of the purchaser without significant penalty as well as long-term projects that could take more than a year to complete.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Customers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Although we have a large customer base, during any given fiscal year or quarter, a small number of customers may account for a significant portion of our revenue.</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Mobile Telephone Networks Group (“MTN Group”) in Africa accounted for 11% of fiscal 2019 total revenue. We have entered into separate and distinct contracts with MTN Group as well as separate arrangements with MTN Group subsidiaries. No customer was greater than 10% of total revenue for fiscal 2021 or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Competition</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microwave and millimeter wave wireless networking business is a specialized segment of the telecommunications industry that is sensitive to technological advancements and is extremely competitive. Our principal competitors include business units of large mobile and IP network infrastructure manufacturers such as Ericsson, Huawei, NEC Corporation and Nokia Corporation, as well as a number of smaller microwave specialist companies such as Ceragon Networks Ltd. and SIAE Microelectronica S.p.A.</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8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research and development expenditures totaled $21.8 million, or 7.9% of revenue, in fiscal 2021, $19.3 million, or 8.1% of revenue, in fiscal 2020, and $21.1 million, or 8.7% of revenue, in fiscal 2019.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120" w:lineRule="exact"/>
        <w:rPr>
          <w:sz w:val="20"/>
          <w:szCs w:val="20"/>
          <w:color w:val="auto"/>
        </w:rPr>
      </w:pPr>
    </w:p>
    <w:p>
      <w:pPr>
        <w:ind w:left="320" w:right="1540" w:firstLine="157"/>
        <w:spacing w:after="0" w:line="449" w:lineRule="auto"/>
        <w:rPr>
          <w:sz w:val="20"/>
          <w:szCs w:val="20"/>
          <w:color w:val="auto"/>
        </w:rPr>
      </w:pPr>
      <w:r>
        <w:rPr>
          <w:rFonts w:ascii="Arial" w:cs="Arial" w:eastAsia="Arial" w:hAnsi="Arial"/>
          <w:sz w:val="17"/>
          <w:szCs w:val="17"/>
          <w:color w:val="auto"/>
        </w:rPr>
        <w:t xml:space="preserve">Our product development teams totaled 154 employees as of July 2, 2021, and were located primarily in New Zealand and Slovenia. </w:t>
      </w:r>
      <w:r>
        <w:rPr>
          <w:rFonts w:ascii="Arial" w:cs="Arial" w:eastAsia="Arial" w:hAnsi="Arial"/>
          <w:sz w:val="17"/>
          <w:szCs w:val="17"/>
          <w:b w:val="1"/>
          <w:bCs w:val="1"/>
          <w:i w:val="1"/>
          <w:iCs w:val="1"/>
          <w:color w:val="auto"/>
        </w:rPr>
        <w:t>Raw Materials and Supplies</w:t>
      </w:r>
    </w:p>
    <w:p>
      <w:pPr>
        <w:jc w:val="both"/>
        <w:ind w:firstLine="470"/>
        <w:spacing w:after="0" w:line="288"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1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ASIC’s and MMICs (types of integrated circuit used in manufacturing microwave radios), which we procure at volume discount from a single source. Our supply chain plan includes mitigation plans for alternative manufacturing sites which would also mitigate COVID-19 risks.</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currently experienced by high-tech manufacturing companies and are due primarily to the highly technical nature of many of our purchased components.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Patents and Other Intellectual Property</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July 2, 2021, we held 434 U.S. patents and 462 international patents and had 14 U.S. patent applications pending and 19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Environmental and Other Regulations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3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a comprehensive policy and procedures in effect concerning conflict minerals compliance.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Employees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July 2, 2021, we had 687 employees, compared with 674 employees at the end of fiscal 2020, and 708 employees at the end of fiscal 2019. As of July 2, 2021, of the 687 employees, 661 were full-time employees with 278 located in the U.S. None of our employees in the U.S. are represented by a labor union. In certain international subsidiaries, our employees are represented by workers’ councils or statutory labor unions. In general, we believe that our employee relations are good.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Executive Officers of the Registrant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August 25,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Name and Age</w:t>
            </w:r>
          </w:p>
        </w:tc>
        <w:tc>
          <w:tcPr>
            <w:tcW w:w="8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Position Currently Held and Past Business Experience</w:t>
            </w:r>
          </w:p>
        </w:tc>
        <w:tc>
          <w:tcPr>
            <w:tcW w:w="2120" w:type="dxa"/>
            <w:vAlign w:val="bottom"/>
          </w:tcPr>
          <w:p>
            <w:pPr>
              <w:spacing w:after="0"/>
              <w:rPr>
                <w:sz w:val="17"/>
                <w:szCs w:val="17"/>
                <w:color w:val="auto"/>
              </w:rPr>
            </w:pPr>
          </w:p>
        </w:tc>
      </w:tr>
      <w:tr>
        <w:trPr>
          <w:trHeight w:val="180"/>
        </w:trPr>
        <w:tc>
          <w:tcPr>
            <w:tcW w:w="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Peter A. Smith, 55</w:t>
            </w:r>
          </w:p>
        </w:tc>
        <w:tc>
          <w:tcPr>
            <w:tcW w:w="8820" w:type="dxa"/>
            <w:vAlign w:val="bottom"/>
            <w:gridSpan w:val="3"/>
            <w:shd w:val="clear" w:color="auto" w:fill="CCEEFF"/>
          </w:tcPr>
          <w:p>
            <w:pPr>
              <w:ind w:left="560"/>
              <w:spacing w:after="0" w:line="180" w:lineRule="exact"/>
              <w:rPr>
                <w:sz w:val="20"/>
                <w:szCs w:val="20"/>
                <w:color w:val="auto"/>
              </w:rPr>
            </w:pPr>
            <w:r>
              <w:rPr>
                <w:rFonts w:ascii="Arial" w:cs="Arial" w:eastAsia="Arial" w:hAnsi="Arial"/>
                <w:sz w:val="17"/>
                <w:szCs w:val="17"/>
                <w:color w:val="auto"/>
                <w:w w:val="94"/>
              </w:rPr>
              <w:t>Mr. Smith was appointed President and Chief Executive Officer in January 2020. Prior to joining Aviat Networks, Mr.</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3"/>
              </w:rPr>
              <w:t>Smith served as Senior Vice President, US Windows and Canada for Jeld-Wen from March 2017 to December 2019.</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7"/>
              </w:rPr>
              <w:t>Prior to Jeld-Wen, he served as President of Polypore International’s Transportation and Industrial segment from</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7"/>
              </w:rPr>
              <w:t>October 2013 to March 2017. Previously, he served as Chief Executive Officer and a director of Voltaix Inc. from</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8"/>
              </w:rPr>
              <w:t>September 2011 to October 2013. Earlier in his career, Mr. Smith held various executive leadership positions at</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6"/>
              </w:rPr>
              <w:t>Fortune 100 and Fortune 500 companies, including Cooper Industries, Dover Knowles Electronics and Honeywell</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4"/>
              </w:rPr>
              <w:t>Specialty Materials. Mr. Smith also served on the board of Soleras Advanced Coatings from August 2015 to October</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3"/>
              </w:rPr>
              <w:t>2018. He has both a Bachelor of Science degree in Material (Ceramics) Engineering and PhD in Material Science and</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8"/>
              </w:rPr>
              <w:t>Engineering from Rutgers University, and holds a Master of Business Administration degree from Arizona State</w:t>
            </w:r>
          </w:p>
        </w:tc>
      </w:tr>
      <w:tr>
        <w:trPr>
          <w:trHeight w:val="221"/>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2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University.</w:t>
            </w: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71"/>
        </w:trPr>
        <w:tc>
          <w:tcPr>
            <w:tcW w:w="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Eric Chang, 48</w:t>
            </w:r>
          </w:p>
        </w:tc>
        <w:tc>
          <w:tcPr>
            <w:tcW w:w="8820" w:type="dxa"/>
            <w:vAlign w:val="bottom"/>
            <w:gridSpan w:val="3"/>
            <w:shd w:val="clear" w:color="auto" w:fill="CCEEFF"/>
          </w:tcPr>
          <w:p>
            <w:pPr>
              <w:ind w:left="560"/>
              <w:spacing w:after="0" w:line="171" w:lineRule="exact"/>
              <w:rPr>
                <w:sz w:val="20"/>
                <w:szCs w:val="20"/>
                <w:color w:val="auto"/>
              </w:rPr>
            </w:pPr>
            <w:r>
              <w:rPr>
                <w:rFonts w:ascii="Arial" w:cs="Arial" w:eastAsia="Arial" w:hAnsi="Arial"/>
                <w:sz w:val="17"/>
                <w:szCs w:val="17"/>
                <w:color w:val="auto"/>
                <w:w w:val="97"/>
              </w:rPr>
              <w:t>Mr. Chang was appointed Senior Vice President and Chief Financial Officer in April 2020. Mr. Chang joined Aviat</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7"/>
              </w:rPr>
              <w:t>Networks in February 2016 as our Vice President, Corporate Controller and Principal Accounting Officer. Prior to</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rPr>
              <w:t>joining Aviat Networks, from 2013 to 2016, Mr. Chang was the Senior Director, Corporate Controller at Micrel,</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4"/>
              </w:rPr>
              <w:t>Incorporated. From 2007 to 2013, he served as Senior Director, Assistant Controller and Business Unit Controller at</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7"/>
              </w:rPr>
              <w:t>Atmel Corporation. From 2003 to 2007, he was at Ernst &amp; Young LLP, most recent as Senior Audit Manager. Mr.</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9"/>
              </w:rPr>
              <w:t>Chang is a Certified Public Accountant in California and holds a Bachelor of Science degree in Accounting and</w:t>
            </w:r>
          </w:p>
        </w:tc>
      </w:tr>
      <w:tr>
        <w:trPr>
          <w:trHeight w:val="221"/>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2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Computer Information Systems from Indiana University Kelley School of Business.</w:t>
            </w: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71"/>
        </w:trPr>
        <w:tc>
          <w:tcPr>
            <w:tcW w:w="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spacing w:after="0" w:line="171" w:lineRule="exact"/>
              <w:rPr>
                <w:sz w:val="20"/>
                <w:szCs w:val="20"/>
                <w:color w:val="auto"/>
              </w:rPr>
            </w:pPr>
            <w:r>
              <w:rPr>
                <w:rFonts w:ascii="Arial" w:cs="Arial" w:eastAsia="Arial" w:hAnsi="Arial"/>
                <w:sz w:val="17"/>
                <w:szCs w:val="17"/>
                <w:color w:val="auto"/>
              </w:rPr>
              <w:t>Bryan C. Tucker, 53</w:t>
            </w:r>
          </w:p>
        </w:tc>
        <w:tc>
          <w:tcPr>
            <w:tcW w:w="8820" w:type="dxa"/>
            <w:vAlign w:val="bottom"/>
            <w:gridSpan w:val="3"/>
            <w:shd w:val="clear" w:color="auto" w:fill="CCEEFF"/>
          </w:tcPr>
          <w:p>
            <w:pPr>
              <w:ind w:left="560"/>
              <w:spacing w:after="0" w:line="171" w:lineRule="exact"/>
              <w:rPr>
                <w:sz w:val="20"/>
                <w:szCs w:val="20"/>
                <w:color w:val="auto"/>
              </w:rPr>
            </w:pPr>
            <w:r>
              <w:rPr>
                <w:rFonts w:ascii="Arial" w:cs="Arial" w:eastAsia="Arial" w:hAnsi="Arial"/>
                <w:sz w:val="17"/>
                <w:szCs w:val="17"/>
                <w:color w:val="auto"/>
                <w:w w:val="97"/>
              </w:rPr>
              <w:t>As Senior Vice President Americas, Mr. Tucker is responsible for sales and services in the Americas. Mr. Tucker</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8"/>
              </w:rPr>
              <w:t>joined the Company in 2005, and since, has served in a number of roles for Aviat Networks and its predecessor</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9"/>
              </w:rPr>
              <w:t>companies Harris Stratex Networks and Harris Microwave Communications Division (“MCD”). For example, as</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7"/>
              </w:rPr>
              <w:t>senior director for North America Operations, Mr. Tucker spearheaded major transitions in ERP systems, product</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4"/>
              </w:rPr>
              <w:t>lines and operational locations. He also led the company’s post-merger systems unification with Harris MCD in 2007.</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9"/>
              </w:rPr>
              <w:t>Before joining Aviat Networks, Mr. Tucker worked for Sony Corp. as director of Manufacturing Engineering and</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6"/>
              </w:rPr>
              <w:t>Maintenance for two production facilities. Overall, Mr. Tucker has more than 24 years of experience in engineering</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2"/>
              </w:rPr>
              <w:t>and manufacturing operations with high-tech companies. He has a bachelor’s degree in electrical engineering from the</w:t>
            </w:r>
          </w:p>
        </w:tc>
      </w:tr>
      <w:tr>
        <w:trPr>
          <w:trHeight w:val="170"/>
        </w:trPr>
        <w:tc>
          <w:tcPr>
            <w:tcW w:w="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20" w:type="dxa"/>
            <w:vAlign w:val="bottom"/>
            <w:gridSpan w:val="3"/>
            <w:shd w:val="clear" w:color="auto" w:fill="CCEEFF"/>
          </w:tcPr>
          <w:p>
            <w:pPr>
              <w:ind w:left="560"/>
              <w:spacing w:after="0" w:line="170" w:lineRule="exact"/>
              <w:rPr>
                <w:sz w:val="20"/>
                <w:szCs w:val="20"/>
                <w:color w:val="auto"/>
              </w:rPr>
            </w:pPr>
            <w:r>
              <w:rPr>
                <w:rFonts w:ascii="Arial" w:cs="Arial" w:eastAsia="Arial" w:hAnsi="Arial"/>
                <w:sz w:val="17"/>
                <w:szCs w:val="17"/>
                <w:color w:val="auto"/>
                <w:w w:val="93"/>
              </w:rPr>
              <w:t>University of Florida, is Six Sigma Certified and has pursued postgraduate studies/research in semiconductor physics</w:t>
            </w:r>
          </w:p>
        </w:tc>
      </w:tr>
      <w:tr>
        <w:trPr>
          <w:trHeight w:val="221"/>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2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at Georgia Tech.</w:t>
            </w: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Website Access to Aviat Networks’ Reports; Available Information</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maintain a website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will also provide the reports in electronic or paper form, free of charge upon request. All reports we file with or furnish to the SEC are also available free of charge via EDGAR through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Additional information relating to our business and operations is set forth in “Item 7. Management’s Discussion and Analysis of Financial Condition and Results of Operations”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 investors are strongly urged to carefully consider the various cautionary statements and risks set forth in this Annual Report on Form 10-K and in our other public filings.</w:t>
      </w:r>
    </w:p>
    <w:p>
      <w:pPr>
        <w:spacing w:after="0" w:line="11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face many business risks, including those related to our financial performance, investments in our common stock, operating our business and legal matters. The risks and uncertainties described below are not the only ones facing us. Additional risks and uncertainties not currently known to us or that we currently deem immaterial may also impair our business operations. If any of these risks occur, our financial condition and results of operations could be materially and adversely affected. In that case, the market price of the Company’s common stock could decline.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2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and Operational Risk Factors</w:t>
      </w:r>
    </w:p>
    <w:p>
      <w:pPr>
        <w:spacing w:after="0" w:line="26" w:lineRule="exact"/>
        <w:rPr>
          <w:sz w:val="20"/>
          <w:szCs w:val="20"/>
          <w:color w:val="auto"/>
        </w:rPr>
      </w:pPr>
    </w:p>
    <w:p>
      <w:pPr>
        <w:ind w:left="640" w:hanging="322"/>
        <w:spacing w:after="0" w:line="272"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difficult to predict.</w:t>
      </w:r>
    </w:p>
    <w:p>
      <w:pPr>
        <w:spacing w:after="0" w:line="1" w:lineRule="exact"/>
        <w:rPr>
          <w:rFonts w:ascii="Arial" w:cs="Arial" w:eastAsia="Arial" w:hAnsi="Arial"/>
          <w:sz w:val="16"/>
          <w:szCs w:val="16"/>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ongoing global COVID-19 pandemic could adversely affect our business, financial condition and results of operations.</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continue to increase our revenues and/or reduce costs if we hope to maintain profitability.</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quarterly results may be volatile, which can adversely affect the trading price of our common stock.</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success will depend on new products introduced to the marketplace in a timely manner, successfully completing product transitioning and achieving customer acceptance.</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must respond to rapid technological change and comply with evolving industry standards and requirements for our products to be successful.</w:t>
      </w:r>
    </w:p>
    <w:p>
      <w:pPr>
        <w:spacing w:after="0" w:line="25" w:lineRule="exact"/>
        <w:rPr>
          <w:rFonts w:ascii="Arial" w:cs="Arial" w:eastAsia="Arial" w:hAnsi="Arial"/>
          <w:sz w:val="16"/>
          <w:szCs w:val="16"/>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average sales prices may decline in the future.</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Credit and commercial risks and exposures could increase if the financial condition of our customers declines.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restructuring actions could harm our relationships with our employees and impact our ability to recruit new employees.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could be adversely affected if we are unable to attract and retain key personnel.</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face strong competition for maintaining and improving our position in the market, which can adversely affect our revenue growth and operating results.</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Product performance problems, including undetected errors in our hardware or software, or deployment delays could harm our business and reputation.</w:t>
      </w:r>
    </w:p>
    <w:p>
      <w:pPr>
        <w:spacing w:after="0" w:line="36" w:lineRule="exact"/>
        <w:rPr>
          <w:rFonts w:ascii="Arial" w:cs="Arial" w:eastAsia="Arial" w:hAnsi="Arial"/>
          <w:sz w:val="15"/>
          <w:szCs w:val="15"/>
          <w:color w:val="auto"/>
        </w:rPr>
      </w:pPr>
    </w:p>
    <w:p>
      <w:pPr>
        <w:ind w:left="640" w:hanging="322"/>
        <w:spacing w:after="0" w:line="273" w:lineRule="auto"/>
        <w:tabs>
          <w:tab w:leader="none" w:pos="63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accurately forecast our manufacturing requirements or customer demand, we could incur additional costs, which would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left="640" w:hanging="322"/>
        <w:spacing w:after="0" w:line="261"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depend on sole or limited sources for some key components and failure to receive timely delivery of any of these components could result in deferred or lost sales.</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Because a significant amount of our revenue may come from a limited number of customers, the termination of any of these customer relationships may adversely affect our business.</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continually evaluate strategic transaction opportunities which could involve merger, divestiture, sale and/or acquisition activities that could disrupt our operations and harm our operating results.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develop and maintain distribution and licensing relationships, our revenue may decrease.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and Macroeconomic Risk Factors</w:t>
      </w:r>
    </w:p>
    <w:p>
      <w:pPr>
        <w:spacing w:after="0" w:line="26" w:lineRule="exact"/>
        <w:rPr>
          <w:sz w:val="20"/>
          <w:szCs w:val="20"/>
          <w:color w:val="auto"/>
        </w:rPr>
      </w:pPr>
    </w:p>
    <w:p>
      <w:pPr>
        <w:ind w:left="640" w:hanging="322"/>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Due to the volume of our international sales, we may be susceptible to a number of political, economic and geographic risks that could harm our business.</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be able to obtain capital when desired on favorable terms, if at all, or without dilution to our stockholders.</w:t>
      </w:r>
    </w:p>
    <w:p>
      <w:pPr>
        <w:spacing w:after="0" w:line="13" w:lineRule="exact"/>
        <w:rPr>
          <w:rFonts w:ascii="Arial" w:cs="Arial" w:eastAsia="Arial" w:hAnsi="Arial"/>
          <w:sz w:val="17"/>
          <w:szCs w:val="17"/>
          <w:color w:val="auto"/>
        </w:rPr>
      </w:pPr>
    </w:p>
    <w:p>
      <w:pPr>
        <w:jc w:val="both"/>
        <w:ind w:left="640" w:hanging="322"/>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effects of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 w:lineRule="exact"/>
        <w:rPr>
          <w:rFonts w:ascii="Arial" w:cs="Arial" w:eastAsia="Arial" w:hAnsi="Arial"/>
          <w:sz w:val="17"/>
          <w:szCs w:val="17"/>
          <w:color w:val="auto"/>
        </w:rPr>
      </w:pPr>
    </w:p>
    <w:p>
      <w:pPr>
        <w:jc w:val="both"/>
        <w:ind w:left="640" w:hanging="322"/>
        <w:spacing w:after="0" w:line="272"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 w:lineRule="exact"/>
        <w:rPr>
          <w:rFonts w:ascii="Arial" w:cs="Arial" w:eastAsia="Arial" w:hAnsi="Arial"/>
          <w:sz w:val="16"/>
          <w:szCs w:val="16"/>
          <w:color w:val="auto"/>
        </w:rPr>
      </w:pPr>
    </w:p>
    <w:p>
      <w:pPr>
        <w:ind w:left="640" w:hanging="322"/>
        <w:spacing w:after="0" w:line="256"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7"/>
          <w:szCs w:val="17"/>
          <w:color w:val="212121"/>
        </w:rPr>
        <w:t>ur ability to use net operating loss carryforwards to offset future taxable income for U.S. federal income tax purposes and other tax benefits may be</w:t>
      </w:r>
      <w:r>
        <w:rPr>
          <w:rFonts w:ascii="Arial" w:cs="Arial" w:eastAsia="Arial" w:hAnsi="Arial"/>
          <w:sz w:val="17"/>
          <w:szCs w:val="17"/>
          <w:color w:val="auto"/>
        </w:rPr>
        <w:t xml:space="preserve"> </w:t>
      </w:r>
      <w:r>
        <w:rPr>
          <w:rFonts w:ascii="Arial" w:cs="Arial" w:eastAsia="Arial" w:hAnsi="Arial"/>
          <w:sz w:val="17"/>
          <w:szCs w:val="17"/>
          <w:color w:val="212121"/>
        </w:rPr>
        <w:t>limited.</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be adversely affected by fluctuations in currency exchange rates.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Risk Factors</w:t>
      </w:r>
    </w:p>
    <w:p>
      <w:pPr>
        <w:spacing w:after="0" w:line="26" w:lineRule="exact"/>
        <w:rPr>
          <w:sz w:val="20"/>
          <w:szCs w:val="20"/>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Continued tension in U.S.-China trade relations may adversely impact our supply chain operations and business.</w:t>
      </w:r>
    </w:p>
    <w:p>
      <w:pPr>
        <w:spacing w:after="0" w:line="13" w:lineRule="exact"/>
        <w:rPr>
          <w:rFonts w:ascii="Arial" w:cs="Arial" w:eastAsia="Arial" w:hAnsi="Arial"/>
          <w:sz w:val="17"/>
          <w:szCs w:val="17"/>
          <w:color w:val="auto"/>
        </w:rPr>
      </w:pPr>
    </w:p>
    <w:p>
      <w:pPr>
        <w:ind w:left="640" w:hanging="322"/>
        <w:spacing w:after="0" w:line="272"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1" w:lineRule="exact"/>
        <w:rPr>
          <w:rFonts w:ascii="Arial" w:cs="Arial" w:eastAsia="Arial" w:hAnsi="Arial"/>
          <w:sz w:val="16"/>
          <w:szCs w:val="16"/>
          <w:color w:val="auto"/>
        </w:rPr>
      </w:pPr>
    </w:p>
    <w:p>
      <w:pPr>
        <w:ind w:left="640" w:hanging="322"/>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adequately protect our intellectual property rights, we may be deprived of legal recourse against those who misappropriate our intellectual property.</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sufficient radio frequency spectrum is not allocated for use by our products, or we fail to obtain regulatory approval for our products, our ability to market our products may be restricted.</w:t>
      </w:r>
    </w:p>
    <w:p>
      <w:pPr>
        <w:spacing w:after="0" w:line="1"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inherent limitations on the effectiveness of our controls.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products are used in critical communications networks which may subject us to significant liability claims.</w:t>
      </w:r>
    </w:p>
    <w:p>
      <w:pPr>
        <w:spacing w:after="0" w:line="13" w:lineRule="exact"/>
        <w:rPr>
          <w:rFonts w:ascii="Arial" w:cs="Arial" w:eastAsia="Arial" w:hAnsi="Arial"/>
          <w:sz w:val="17"/>
          <w:szCs w:val="17"/>
          <w:color w:val="auto"/>
        </w:rPr>
      </w:pPr>
    </w:p>
    <w:p>
      <w:pPr>
        <w:ind w:left="640" w:hanging="322"/>
        <w:spacing w:after="0" w:line="256"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subject to litigation regarding our intellectual property. This litigation could be costly to defend and resolve and could prevent us from using or selling the challenged technology.</w:t>
      </w:r>
    </w:p>
    <w:p>
      <w:pPr>
        <w:spacing w:after="0" w:line="1" w:lineRule="exact"/>
        <w:rPr>
          <w:rFonts w:ascii="Arial" w:cs="Arial" w:eastAsia="Arial" w:hAnsi="Arial"/>
          <w:sz w:val="17"/>
          <w:szCs w:val="17"/>
          <w:color w:val="auto"/>
        </w:rPr>
      </w:pPr>
    </w:p>
    <w:p>
      <w:pPr>
        <w:ind w:left="640" w:hanging="322"/>
        <w:spacing w:after="0" w:line="305"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26" w:lineRule="exact"/>
        <w:rPr>
          <w:sz w:val="20"/>
          <w:szCs w:val="20"/>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Natural disasters or other catastrophic events could have an adverse effect on our business.</w:t>
      </w:r>
    </w:p>
    <w:p>
      <w:pPr>
        <w:spacing w:after="0" w:line="13" w:lineRule="exact"/>
        <w:rPr>
          <w:rFonts w:ascii="Arial" w:cs="Arial" w:eastAsia="Arial" w:hAnsi="Arial"/>
          <w:sz w:val="17"/>
          <w:szCs w:val="17"/>
          <w:color w:val="auto"/>
        </w:rPr>
      </w:pPr>
    </w:p>
    <w:p>
      <w:pPr>
        <w:ind w:left="620" w:hanging="30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cannot guarantee that our stock repurchase program will be fully implemented or that it will enhance long-term stockholder value.</w:t>
      </w:r>
    </w:p>
    <w:p>
      <w:pPr>
        <w:spacing w:after="0" w:line="13" w:lineRule="exact"/>
        <w:rPr>
          <w:rFonts w:ascii="Arial" w:cs="Arial" w:eastAsia="Arial" w:hAnsi="Arial"/>
          <w:sz w:val="17"/>
          <w:szCs w:val="17"/>
          <w:color w:val="auto"/>
        </w:rPr>
      </w:pPr>
    </w:p>
    <w:p>
      <w:pPr>
        <w:ind w:left="640" w:hanging="322"/>
        <w:spacing w:after="0" w:line="273" w:lineRule="auto"/>
        <w:tabs>
          <w:tab w:leader="none" w:pos="6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Anti-takeover provisions of Delaware law, the Plan, and provisions in our Amended and Restated Certificate of Incorporation, as amended, and Amended and Restated Bylaws could make a third-party acquisition of us difficult.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complete discussion of the material risks facing our business, see below.</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and Operational Risk Factors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difficult to predict.</w:t>
      </w:r>
    </w:p>
    <w:p>
      <w:pPr>
        <w:spacing w:after="0" w:line="161"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and the design process required to integrate our products into our customers’ networks.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9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Due to the challenges from our lengthy sales cycle, our recognition of revenue from our selling efforts may be substantially delayed, our ability to forecast our future revenue may be more limited and our revenue may fluctuate significantly from quarter to quarter.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global COVID-19 pandemic could adversely affect our business, financial condition and results of operations.</w:t>
      </w:r>
    </w:p>
    <w:p>
      <w:pPr>
        <w:spacing w:after="0" w:line="24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and is expected to continue to have, an impact on our operations, supply chains and distribution systems. The extent to which the COVID-19 pandemic continues to affect our business, prospects and results of operations will depend on future developments, many of which are highly uncertain, including, but not limited to, the duration and spread of the pandemic, its severity, the actions to contain the virus or treat its impact, including ongoing vaccination efforts, any new variant strains of the underlying virus and how quickly and to what extent normal economic and operating activities can resume. Management continues to monitor the impact of COVID-19 on the Company’s financial condition, liquidity, operations, suppliers, industry, and workforce.</w:t>
      </w:r>
    </w:p>
    <w:p>
      <w:pPr>
        <w:spacing w:after="0" w:line="19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sites support essential businesses and remain operational. We are maintaining social distancing for workers on-site and have enhanced cleaning protocols and usage of personal protective equipment, where appropriate. There is no certainty that such measures will be sufficient to mitigate the risks posed by COVID-19, and our ability to perform critical functions could be harmed as a result.</w:t>
      </w:r>
    </w:p>
    <w:p>
      <w:pPr>
        <w:spacing w:after="0" w:line="20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Depending on pandemic-related factors like the uncertain duration of temporary manufacturing restrictions as well as our ability to perform field services during shelter in place orders, we could/may continue to experience constraints and delays in fulfilling customer orders in future periods.</w:t>
      </w:r>
    </w:p>
    <w:p>
      <w:pPr>
        <w:spacing w:after="0" w:line="18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While the ultimate effects of the pandemic on our business are uncertain, the pandemic and related government actions, including restrictions on travel, temporary closure of businesses and stay at home orders have, and are likely to continue to have, an adverse impact on global economic conditions and consumer confidence and spending, which could materially affect demand for our products. Our customers could become more conservative in response to the pandemic and economic conditions and may seek to reduce their purchases. Our results of operations depend upon, among other things, our ability to maintain and increase sales volume with existing customers, our ability to attract new customers and the financial condition of our customers. Decreases in demand for our products without a corresponding decrease in costs would negatively impact our operating margins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are monitoring, assessing and adapting to the situation and have prepared for implications to our business, supply chain and customer demand. We expect these challenges to continue until business and economic activities return to more normal levels. The financial results for the fiscal year reflect some of the reduced activity experienced during the period in various locations around the world and are not necessary indicative of the results for the next fiscal period or fiscal year.</w:t>
      </w:r>
    </w:p>
    <w:p>
      <w:pPr>
        <w:spacing w:after="0" w:line="202"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business and operating results are affected by the global business environment and economic conditions, including changes in interest rates, availability of capital from credit providers, consumer confidence, rates of inflation, geopolitical issues and other macro-economic factors. The United States and global economies continue to experience a period of economic and financial uncertainty, in part due to COVID-19 and the related public health actions taken by many governments and businesses. An economic downturn, whether related to COVID-19 or otherwise, could lead to decreased customer demand, inability to execute installs and/or service, or the inability of our customers to pay for our products, the inability of suppliers to deliver the components necessary to manufacture our products, and reduced access to capital from credit providers and through the capital markets, among other things, which could adversely affect our business, results of operations and financial condition.</w:t>
      </w:r>
    </w:p>
    <w:p>
      <w:pPr>
        <w:spacing w:after="0" w:line="21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To the extent the COVID-19 pandemic adversely affects the global economy moving forward, and/or adversely affects our business, operations or financial performance, it may also have the effect of increasing the likelihood and/or magnitude of other risks described in the “Risk Factors” set forth in this Item 1A.</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84"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$2.3 million, $4.0 million and $0.7 million in fiscal 2021, 2020 and 2019, respectively.</w:t>
      </w:r>
    </w:p>
    <w:p>
      <w:pPr>
        <w:spacing w:after="0" w:line="172"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continue to increase our revenues and/or reduce costs if we hope to maintain profitability.</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measured under U.S. generally accepted accounting principles (“U.S. GAAP”), we recorded net income of $110.1 million in fiscal 2021, compared to $0.3 million in fiscal 2020 and $9.7 million in fiscal 2019. We generated cash from operations of $17.3 million, $17.5 million and $2.9 million in fiscal 2021, 2020 and 2019, respectively.</w:t>
      </w:r>
    </w:p>
    <w:p>
      <w:pPr>
        <w:spacing w:after="0" w:line="119"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Throughout fiscal 2021, we experienced strong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maintain profitability.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cannot be certain that these actions or others that we may take will allow us to maintain operating profitability or net income as determined under 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GAAP in the future.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be volatile, which can adversely affect the trading price of our common stock.</w:t>
      </w:r>
    </w:p>
    <w:p>
      <w:pPr>
        <w:spacing w:after="0" w:line="200" w:lineRule="exact"/>
        <w:rPr>
          <w:sz w:val="20"/>
          <w:szCs w:val="20"/>
          <w:color w:val="auto"/>
        </w:rPr>
      </w:pPr>
    </w:p>
    <w:p>
      <w:pPr>
        <w:spacing w:after="0" w:line="20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Our quarterly operating results may vary significantly for a variety of reasons, many of which are outside our control. These factors could harm our business and include, among others:</w:t>
      </w:r>
    </w:p>
    <w:p>
      <w:pPr>
        <w:spacing w:after="0" w:line="106" w:lineRule="exact"/>
        <w:rPr>
          <w:sz w:val="20"/>
          <w:szCs w:val="20"/>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seasonality in the purchasing habits of our customers;</w:t>
      </w:r>
    </w:p>
    <w:p>
      <w:pPr>
        <w:spacing w:after="0" w:line="25"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volume and timing of product orders and the timing of completion of our product deliveries and installations;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and the ability of our key suppliers to respond to changes on demand as needed;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margin variability based on geographic and product mix;</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suppliers’ inability to perform and deliver on time as a result of their financial condition, component shortages or other supply chain constraints;</w:t>
      </w:r>
    </w:p>
    <w:p>
      <w:pPr>
        <w:spacing w:after="0" w:line="25" w:lineRule="exact"/>
        <w:rPr>
          <w:rFonts w:ascii="Arial" w:cs="Arial" w:eastAsia="Arial" w:hAnsi="Arial"/>
          <w:sz w:val="16"/>
          <w:szCs w:val="16"/>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retention of key personnel;</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length of our sales cycle;</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 costs and expenses;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continued timely rollout of new product functionality and features;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competition resulting in downward pressure on the price of our products and services;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unexpected delays in the schedule for shipments of existing products and new generations of the existing platforms;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appropriate inventory levels and purchase commitments;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realize expected cost improvement throughout our supply chain;</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order cancellations or postponements in product deliveries, including due to the COVID-19 pandemic, resulting in delayed revenue recognition;</w:t>
      </w:r>
    </w:p>
    <w:p>
      <w:pPr>
        <w:spacing w:after="0" w:line="25" w:lineRule="exact"/>
        <w:rPr>
          <w:rFonts w:ascii="Arial" w:cs="Arial" w:eastAsia="Arial" w:hAnsi="Arial"/>
          <w:sz w:val="16"/>
          <w:szCs w:val="16"/>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restructuring and streamlining of our operations;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diseases or pandemics, such as the COVID-19 pandemic, and corresponding governmental actions;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customers to obtain financing to enable their purchase of our products;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international currency exchange rates;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developments including denial of export and import licenses;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economic conditions worldwide that affect demand and financing for microwave and millimeter wave telecommunications networks; and</w:t>
      </w:r>
    </w:p>
    <w:p>
      <w:pPr>
        <w:spacing w:after="0" w:line="25" w:lineRule="exact"/>
        <w:rPr>
          <w:rFonts w:ascii="Arial" w:cs="Arial" w:eastAsia="Arial" w:hAnsi="Arial"/>
          <w:sz w:val="16"/>
          <w:szCs w:val="16"/>
          <w:color w:val="auto"/>
        </w:rPr>
      </w:pPr>
    </w:p>
    <w:p>
      <w:pPr>
        <w:ind w:left="780" w:hanging="305"/>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size of future restructuring plans and write-offs.</w:t>
      </w:r>
    </w:p>
    <w:p>
      <w:pPr>
        <w:spacing w:after="0" w:line="237"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success will depend on new products introduced to the marketplace in a timely manner, successfully completing product transitioning and achieving customer acceptance.</w:t>
      </w:r>
    </w:p>
    <w:p>
      <w:pPr>
        <w:spacing w:after="0" w:line="18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211"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84"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We rely on a number of third-party service partners, both domestic and international, to complement our global operations. We rely upon these partners for certain installation, maintenance, logistics and support functions. In addition, as our customers increasingly seek to rely on vendors to perform additional services relating to the design, construction and operation of their networks, the scope of work performed by our service partners is likely to increase and may include areas where we have less experience providing or managing such services. We must successfully identify, assess, train and certify qualified service partners in order to ensure the proper installation, deployment and maintenance of our products. The vetting and certification of these partners can be costly and time-consuming, and certain partners may not have the same operational history, financial resources and scale as we have. Moreover, certain service partners may provide similar services for other companies, including our competitors. We may not be able to manage our relationships with our service partners effectively, and we cannot be certain that they will be able to deliver services in the manner or time required, that we will be able to maintain the continuity of their services, or that they will adhere to our approach to ethical business practices. Our service partners may also experience challenges in providing services to us as a result of the impact of the COVID-19 pandemic. We may also be exposed to a number of risks or challenges relating to the performance of our service partners, including:</w:t>
      </w:r>
    </w:p>
    <w:p>
      <w:pPr>
        <w:spacing w:after="0" w:line="215" w:lineRule="exact"/>
        <w:rPr>
          <w:sz w:val="20"/>
          <w:szCs w:val="20"/>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in recognizing revenue;</w:t>
      </w:r>
    </w:p>
    <w:p>
      <w:pPr>
        <w:spacing w:after="0" w:line="25"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liability for injuries to persons, damage to property or other claims relating to the actions or omissions of our service partners;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services revenue and gross margin may be adversely affected; and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relationships with customers could suffer.</w:t>
      </w:r>
    </w:p>
    <w:p>
      <w:pPr>
        <w:spacing w:after="0" w:line="23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If we do not effectively manage our relationships with third-party service partners, or if they fail to perform these services in the manner or time required, our financial results and relationships with our customers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respond to rapid technological change and comply with evolving industry standards and requirements for our products to be successful.</w:t>
      </w:r>
    </w:p>
    <w:p>
      <w:pPr>
        <w:spacing w:after="0" w:line="26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 optical transport networking equipment market is characterized by rapid technological change, changes in customer requirements and evolving industry standards. We continually invest in research and development to sustain or enhance our existing products, but the introduction of new communications technologies and the emergence of new industry standards or requirements could render our products obsolete. Further, in developing our products, we have made, and will continue to make, assumptions with respect to which standards or requirements will be adopted by our customers and competitors. If the standards or requirements adopted by our prospective customers are different from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those on which we have focused our efforts, market acceptance of our products would be reduced or delayed, and our business would be harmed.</w:t>
      </w:r>
    </w:p>
    <w:p>
      <w:pPr>
        <w:spacing w:after="0" w:line="24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are continuing to invest a significant portion of our research and development efforts in the development of our next-generation products. We expect our competitors will continue to improve the performance of their existing products and introduce new products and technologies and to influence customers’ buying criteria so as to emphasize product capabilities that we do not, or may not, possess. To be competitive, we must anticipate future customer requirements and continue to invest significant resources in research and development, sales and marketing, and customer support. If we do not anticipate these future customer requirements and invest in the technologies necessary to enable us to have and to sell the appropriate solutions, it may limit our competitive position and future sales, which would have an adverse effect on our business and financial condition. We may not have sufficient resources to make these investments and we may not be able to make the technological advances necessary to be competitive.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average sales prices may decline in the future.</w:t>
      </w:r>
    </w:p>
    <w:p>
      <w:pPr>
        <w:spacing w:after="0" w:line="24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have experienced, and could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and commercial risks and exposures could increase if the financial condition of our customers declines.</w:t>
      </w:r>
    </w:p>
    <w:p>
      <w:pPr>
        <w:spacing w:after="0" w:line="249"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and, more broadly, by the COVID-19 pandemic and related economic effects. If customers fail to meet their obligations to us, we may experience reduced cash flows and losses in excess of reserves, which could materially adversely impact our results of operations and financial position.</w:t>
      </w:r>
    </w:p>
    <w:p>
      <w:pPr>
        <w:spacing w:after="0" w:line="199"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“Risk Factors - Business and Operational Risk Factors - Because a significant amount of our revenue may come from a limited number of customers, the termination of any of these customer relationships may adversely affect our business.”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restructuring actions could harm our relationships with our employees and impact our ability to recruit new employees.</w:t>
      </w:r>
    </w:p>
    <w:p>
      <w:pPr>
        <w:spacing w:after="0" w:line="249"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Employees, whether or not directly affected by any restructuring actions that we undertake, may seek employment with our business partners, customers or competitors. We cannot assure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if we are unable to attract and retain key personnel.</w:t>
      </w:r>
    </w:p>
    <w:p>
      <w:pPr>
        <w:spacing w:after="0" w:line="24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strong competition for maintaining and improving our position in the market, which can adversely affect our revenue growth and operating results.</w:t>
      </w:r>
    </w:p>
    <w:p>
      <w:pPr>
        <w:spacing w:after="0" w:line="272"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9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98"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8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performance problems, including undetected errors in our hardware or software, or deployment delays could harm our business and reputation.</w:t>
      </w:r>
    </w:p>
    <w:p>
      <w:pPr>
        <w:spacing w:after="0" w:line="272"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development and production of products with high technology content is complicated and often involves problems with hardware, software, components and manufacturing methods. Complex hardware and software systems, such as our products, can often contain undetected errors or bugs when first introduced or as new versions are released. In addition, errors associated with components we purchase from third parties, including customized components, may be difficult to resolve. We have experienced issues in the past in connection with our products, including failures due to the receipt of faulty components from our suppliers and performance issues related to software updates. From time to time we have had to replace certain components or provide software remedies or other remediation in response to errors or bugs, and we may have to do so again in the future. In addition, performance issues can be heightened during periods where we are developing and introducing multiple new products to the market, as any performance issues we encounter in one technology or product could impact the performance or timing of delivery of other products. Our products may also suffer degradation of performance and reliability over time.</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If reliability, quality, security or network monitoring problems develop, a number of negative effects on our business could result, including:</w:t>
      </w:r>
    </w:p>
    <w:p>
      <w:pPr>
        <w:spacing w:after="0" w:line="249" w:lineRule="exact"/>
        <w:rPr>
          <w:sz w:val="20"/>
          <w:szCs w:val="20"/>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reduced orders from existing customers;</w:t>
      </w:r>
    </w:p>
    <w:p>
      <w:pPr>
        <w:spacing w:after="0" w:line="25"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declining interest from potential customers;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our ability to recognize revenue or in collecting accounts receivables;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costs associated with fixing hardware or software defects or replacing products;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 service and warranty expenses;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shipments;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 inventory excess and obsolescence expense;</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 levels of product returns;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our engineering personnel from our product development efforts; and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payment of liquidated damages, performance guarantees or similar penalties.</w:t>
      </w:r>
    </w:p>
    <w:p>
      <w:pPr>
        <w:spacing w:after="0" w:line="23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Because we outsource the manufacturing of certain components of our products, we may also be subject to product performance problems as a result of the acts or omissions of third parties, and we may not have adequate compensating remedies against such third parties.</w:t>
      </w:r>
    </w:p>
    <w:p>
      <w:pPr>
        <w:spacing w:after="0" w:line="18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encounter interruptions or delays in the activation of our products at a customer’s site. These interruptions or delays may result from product performance problems or from issues with installation and activation, some of which are outside our control. If we experience significant interruptions or delays that we cannot promptly resolve, the associated revenue for these installations may be delayed or confidence in our products could be undermined, which could cause us to lose customers, fail to add new customers, and consequently harm our financial results.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8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 assurance that we will not encounter problems with our contract manufacturer related to these manufacturing services or that we will be able to replace a contract manufacturer that is not able to meet our demand.</w:t>
      </w:r>
    </w:p>
    <w:p>
      <w:pPr>
        <w:spacing w:after="0" w:line="17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depend on sole or limited sources for some key components and failure to receive timely delivery of any of these components could result in deferred or lost sales.</w:t>
      </w:r>
    </w:p>
    <w:p>
      <w:pPr>
        <w:spacing w:after="0" w:line="184"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6"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2019 we had one customer in Africa, MTN Group, that accounted for 11% of our total revenue, respectively. No customer accounted for more than 10% of our total revenue in fiscal 2021 or 2020. Although we have a large customer base, during any given quarter a small number of customers may account for a significant portion of our revenue.</w:t>
      </w:r>
    </w:p>
    <w:p>
      <w:pPr>
        <w:spacing w:after="0" w:line="178"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21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continually evaluate strategic transaction opportunities which could involve merger, divestiture, sale and/or acquisition activities that could disrupt our operations and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19" w:lineRule="exact"/>
        <w:rPr>
          <w:sz w:val="20"/>
          <w:szCs w:val="20"/>
          <w:color w:val="auto"/>
        </w:rPr>
      </w:pPr>
    </w:p>
    <w:p>
      <w:pPr>
        <w:ind w:left="780" w:hanging="305"/>
        <w:spacing w:after="0" w:line="264"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integrating the operations, systems, technologies, products, and personnel of the combined companies, particularly companies with large and widespread operations and/or complex products;</w:t>
      </w:r>
    </w:p>
    <w:p>
      <w:pPr>
        <w:ind w:left="780" w:hanging="305"/>
        <w:spacing w:after="0" w:line="256"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diversion of management’s attention from normal daily operations of the business and the challenges of managing larger and more widespread operations resulting from business combinations, sales, divestitures and /or restructurings;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difficulties in completing projects associated with in-process research and development intangibles;</w:t>
      </w:r>
    </w:p>
    <w:p>
      <w:pPr>
        <w:spacing w:after="0" w:line="13"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entering markets in which we have no or limited direct prior experience and where competitors in each market have stronger market positions;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initial dependence on unfamiliar supply chains or relatively small supply partners;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insufficient revenue to offset increased expenses associated with acquisitions; and</w:t>
      </w:r>
    </w:p>
    <w:p>
      <w:pPr>
        <w:spacing w:after="0" w:line="13" w:lineRule="exact"/>
        <w:rPr>
          <w:rFonts w:ascii="Arial" w:cs="Arial" w:eastAsia="Arial" w:hAnsi="Arial"/>
          <w:sz w:val="17"/>
          <w:szCs w:val="17"/>
          <w:color w:val="auto"/>
        </w:rPr>
      </w:pPr>
    </w:p>
    <w:p>
      <w:pPr>
        <w:ind w:left="780" w:hanging="305"/>
        <w:spacing w:after="0" w:line="273" w:lineRule="auto"/>
        <w:tabs>
          <w:tab w:leader="none" w:pos="7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35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Strategic transactions may also cause us to:</w:t>
      </w:r>
    </w:p>
    <w:p>
      <w:pPr>
        <w:spacing w:after="0" w:line="170" w:lineRule="exact"/>
        <w:rPr>
          <w:sz w:val="20"/>
          <w:szCs w:val="20"/>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 common stock that would dilute our current stockholders or cause a change in control of the combined company;</w:t>
      </w:r>
    </w:p>
    <w:p>
      <w:pPr>
        <w:spacing w:after="0" w:line="25"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use a substantial portion of our cash resources, or incur debt;</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assume material liabilities;</w:t>
      </w:r>
    </w:p>
    <w:p>
      <w:pPr>
        <w:spacing w:after="0" w:line="13"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record goodwill and non-amortizable intangible assets that are subject to impairment testing on a regular basis and potential periodic impairment charges;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incur amortization expenses related to certain intangible assets;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incur tax expenses related to the effect of acquisitions on our intercompany R&amp;D cost sharing arrangement and legal structure;</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incur large and immediate write-offs and restructuring and other related expenses; and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become subject to intellectual property or other litigation.</w:t>
      </w:r>
    </w:p>
    <w:p>
      <w:pPr>
        <w:spacing w:after="0" w:line="237"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and maintain distribution and licensing relationships, our revenue may decrease.</w:t>
      </w:r>
    </w:p>
    <w:p>
      <w:pPr>
        <w:spacing w:after="0" w:line="24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and Macroeconomic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to the volume of our international sales, we may be susceptible to a number of political, economic and geographic risks that could harm our business.</w:t>
      </w:r>
    </w:p>
    <w:p>
      <w:pPr>
        <w:spacing w:after="0" w:line="19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are highly dependent on sales to customers outside the U.S. In fiscal 2021, our sales to international customers accounted for 34%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35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Some of the risks and challenges of doing business internationally include:</w:t>
      </w:r>
    </w:p>
    <w:p>
      <w:pPr>
        <w:spacing w:after="0" w:line="170" w:lineRule="exact"/>
        <w:rPr>
          <w:sz w:val="20"/>
          <w:szCs w:val="20"/>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unexpected changes in regulatory requirements;</w:t>
      </w:r>
    </w:p>
    <w:p>
      <w:pPr>
        <w:spacing w:after="0" w:line="25"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international currency exchange rates including its impact on unhedgeable currencies and our forecast variations for hedgeable currencies;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imposition of tariffs and other barriers and restrictions;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management and operation of an enterprise spread over various countries;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burden of complying with a variety of laws and regulations in various countries;</w:t>
      </w:r>
    </w:p>
    <w:p>
      <w:pPr>
        <w:spacing w:after="0" w:line="13"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conduct of unethical business practices in developing countries;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and geopolitical conditions, including inflation and trade relationships;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restrictions on travel to locations where we conduct business, including those imposed due to COVID-19;</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war and acts of terrorism;</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kidnapping and high crime rate;</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natural disasters;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U.S. dollars especially in countries with economies highly dependent on resource exports, particularly oil; and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export regulations.</w:t>
      </w:r>
    </w:p>
    <w:p>
      <w:pPr>
        <w:spacing w:after="0" w:line="23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While these factors and the impacts of these factors are difficult to predict, any one or more of them could adversely affect our business, financial condition and results of operations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capital when desired on favorable terms, if at all, or without dilution to our stockholders.</w:t>
      </w:r>
    </w:p>
    <w:p>
      <w:pPr>
        <w:spacing w:after="0" w:line="24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184" w:lineRule="exact"/>
        <w:rPr>
          <w:sz w:val="20"/>
          <w:szCs w:val="20"/>
          <w:color w:val="auto"/>
        </w:rPr>
      </w:pPr>
    </w:p>
    <w:p>
      <w:pPr>
        <w:jc w:val="both"/>
        <w:spacing w:after="0" w:line="358" w:lineRule="auto"/>
        <w:rPr>
          <w:sz w:val="20"/>
          <w:szCs w:val="20"/>
          <w:color w:val="auto"/>
        </w:rPr>
      </w:pPr>
      <w:r>
        <w:rPr>
          <w:rFonts w:ascii="Arial" w:cs="Arial" w:eastAsia="Arial" w:hAnsi="Arial"/>
          <w:sz w:val="15"/>
          <w:szCs w:val="15"/>
          <w:b w:val="1"/>
          <w:bCs w:val="1"/>
          <w:i w:val="1"/>
          <w:iCs w:val="1"/>
          <w:color w:val="auto"/>
        </w:rPr>
        <w:t>The effects of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3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effects of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18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20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2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Further, with respect to our credit facility discussed under “Liquidity, Capital Resources and Financial Strategies” in Item 7 of this Annual Report on Form 10-K, our ability to access the funds available under our credit facility could be materially adversely affected.</w:t>
      </w:r>
    </w:p>
    <w:p>
      <w:pPr>
        <w:spacing w:after="0" w:line="20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7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jurisdictions in which profits are determined to be earned and taxed;</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adjustments to estimated taxes upon finalization of various tax returns;</w:t>
      </w:r>
    </w:p>
    <w:p>
      <w:pPr>
        <w:spacing w:after="0" w:line="13"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in expenses not deductible for tax purposes, including write-offs of acquired in-process research and development and impairment of goodwill in connection with acquisitions;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utilize net operating loss;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available tax credits;</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share-based compensation expense;</w:t>
      </w:r>
    </w:p>
    <w:p>
      <w:pPr>
        <w:spacing w:after="0" w:line="13" w:lineRule="exact"/>
        <w:rPr>
          <w:rFonts w:ascii="Arial" w:cs="Arial" w:eastAsia="Arial" w:hAnsi="Arial"/>
          <w:sz w:val="17"/>
          <w:szCs w:val="17"/>
          <w:color w:val="auto"/>
        </w:rPr>
      </w:pPr>
    </w:p>
    <w:p>
      <w:pPr>
        <w:ind w:left="780" w:hanging="305"/>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w:t>
      </w:r>
    </w:p>
    <w:p>
      <w:pPr>
        <w:spacing w:after="0" w:line="13" w:lineRule="exact"/>
        <w:rPr>
          <w:rFonts w:ascii="Arial" w:cs="Arial" w:eastAsia="Arial" w:hAnsi="Arial"/>
          <w:sz w:val="17"/>
          <w:szCs w:val="17"/>
          <w:color w:val="auto"/>
        </w:rPr>
      </w:pPr>
    </w:p>
    <w:p>
      <w:pPr>
        <w:ind w:left="780" w:hanging="305"/>
        <w:spacing w:after="0" w:line="273"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domestic or international tax laws, treaties, rulings, regulations or agreements or the interpretation of such tax laws, treaties, rulings, regulations or agreements, including the impact of the Tax Cuts and Jobs Act of 2017 and any new administrations;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ind w:left="780" w:hanging="305"/>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resolution of issues arising from tax audits with various tax authorities, including the loss of a major tax dispute;</w:t>
      </w:r>
    </w:p>
    <w:p>
      <w:pPr>
        <w:spacing w:after="0" w:line="25" w:lineRule="exact"/>
        <w:rPr>
          <w:rFonts w:ascii="Arial" w:cs="Arial" w:eastAsia="Arial" w:hAnsi="Arial"/>
          <w:sz w:val="17"/>
          <w:szCs w:val="17"/>
          <w:color w:val="auto"/>
        </w:rPr>
      </w:pPr>
    </w:p>
    <w:p>
      <w:pPr>
        <w:ind w:left="780" w:hanging="305"/>
        <w:spacing w:after="0" w:line="256" w:lineRule="auto"/>
        <w:tabs>
          <w:tab w:leader="none" w:pos="776"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local tax authority challenging our operating structure, intercompany pricing policies or the taxable presence of our key subsidiaries in certain countries;</w:t>
      </w:r>
    </w:p>
    <w:p>
      <w:pPr>
        <w:spacing w:after="0" w:line="1" w:lineRule="exact"/>
        <w:rPr>
          <w:rFonts w:ascii="Arial" w:cs="Arial" w:eastAsia="Arial" w:hAnsi="Arial"/>
          <w:sz w:val="17"/>
          <w:szCs w:val="17"/>
          <w:color w:val="auto"/>
        </w:rPr>
      </w:pPr>
    </w:p>
    <w:p>
      <w:pPr>
        <w:ind w:left="780" w:hanging="305"/>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25" w:lineRule="exact"/>
        <w:rPr>
          <w:rFonts w:ascii="Arial" w:cs="Arial" w:eastAsia="Arial" w:hAnsi="Arial"/>
          <w:sz w:val="16"/>
          <w:szCs w:val="16"/>
          <w:color w:val="auto"/>
        </w:rPr>
      </w:pPr>
    </w:p>
    <w:p>
      <w:pPr>
        <w:ind w:left="780" w:hanging="305"/>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taxes that may be incurred upon a repatriation of cash from foreign operations.</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Any significant increase in our future effective tax rates could impact our results of operations for future periods adversely.</w:t>
      </w:r>
    </w:p>
    <w:p>
      <w:pPr>
        <w:spacing w:after="0" w:line="24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w:t>
      </w:r>
      <w:r>
        <w:rPr>
          <w:rFonts w:ascii="Arial" w:cs="Arial" w:eastAsia="Arial" w:hAnsi="Arial"/>
          <w:sz w:val="17"/>
          <w:szCs w:val="17"/>
          <w:b w:val="1"/>
          <w:bCs w:val="1"/>
          <w:i w:val="1"/>
          <w:iCs w:val="1"/>
          <w:color w:val="212121"/>
        </w:rPr>
        <w:t>ur ability to use net operating loss carryforwards to offset future taxable income for U.S. federal income tax purposes and other tax benefits may be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color w:val="212121"/>
        </w:rPr>
        <w:t>limited.</w:t>
      </w:r>
    </w:p>
    <w:p>
      <w:pPr>
        <w:spacing w:after="0" w:line="18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8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believe that these Tax Benefits are a valuable asset for us. On September 6, 2016, the Board adopted certain amendments to our Amended and</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Restated Certificate of Incorporation, as amended (the “Charter Amendments”), to protect our tax benefits. In addition, on March 3, 2020, the Board approved a Tax Benefit Preservation Plan (as amended and restated on August 27, 2020, the “Plan”) in an effort to protect our Tax Benefits during the effective period of the Plan. We submitted the Plan to a stockholder vote and our stockholders approved the plan at the 2020 Annual Meeting of Stockholders.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19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20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fluctuations in currency exchange rates.</w:t>
      </w:r>
    </w:p>
    <w:p>
      <w:pPr>
        <w:spacing w:after="0" w:line="24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A portion of our sales and expenses stem from countries outside of the United States, and are in currencies other than U.S. dollars, and therefore subject to foreign currency fluctuation. Accordingly, fluctuations in foreign currency rates could have a material impact on our financial results in future periods. We currently enter into foreign currency exchange forward contracts to reduce the impact of foreign currency fluctuations on certain non-functional currency account balances, and also to reduce the volatility of cash flows primarily related to forecasted foreign currency revenue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and expenses. These forward contracts reduce the impact of currency exchange rate movements on certain transactions, but do not cover all foreign-denominated transactions and therefore do not entirely eliminate the impact of fluctuations in exchange rates on our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Regulatory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tension in U.S.-China trade relations may adversely impact our supply chain operations and business.</w:t>
      </w:r>
    </w:p>
    <w:p>
      <w:pPr>
        <w:spacing w:after="0" w:line="200" w:lineRule="exact"/>
        <w:rPr>
          <w:sz w:val="20"/>
          <w:szCs w:val="20"/>
          <w:color w:val="auto"/>
        </w:rPr>
      </w:pPr>
    </w:p>
    <w:p>
      <w:pPr>
        <w:spacing w:after="0" w:line="206"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U.S. government has taken certain actions that change U.S. trade policies, including tariffs that affect certain products manufactured in China. Some components manufactured by our Chinese suppliers are subject to tariffs if imported into the United States. The Chinese government has taken certain reciprocal actions, including recently imposed tariffs affecting certain products manufactured in the United States. Certain of our products manufactured in our U.S. operations have been included in the tariffs imposed on imports into China from the United States. Although some of the products and components we import are affected by the tariffs, at this time, we do not expect these tariffs to have a material impact on our business, financial condition or results of operations.</w:t>
      </w:r>
    </w:p>
    <w:p>
      <w:pPr>
        <w:spacing w:after="0" w:line="99"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It is unknown whether and to what extent additional new tariffs (or other new laws or regulations) will be adopted that increase the cost or feasibility of importing and/or exporting products and components from China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20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161"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accounting and financial reporting policies conform to U.S.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New financial accounting standards which may be adopted by FASB could result in significant changes to our accounting and/or financial reporting practices that could adversely affect our financial condition and results of operations.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we are unable to adequately protect our intellectual property rights, we may be deprived of legal recourse against those who misappropriate our intellectual property.</w:t>
      </w:r>
    </w:p>
    <w:p>
      <w:pPr>
        <w:spacing w:after="0" w:line="184"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84"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communications.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8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21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inherent limitations on the effectiveness of our controls.</w:t>
      </w:r>
    </w:p>
    <w:p>
      <w:pPr>
        <w:spacing w:after="0" w:line="249"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products are used in critical communications networks which may subject us to significant liability claims.</w:t>
      </w:r>
    </w:p>
    <w:p>
      <w:pPr>
        <w:spacing w:after="0" w:line="24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8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b w:val="1"/>
          <w:bCs w:val="1"/>
          <w:i w:val="1"/>
          <w:iCs w:val="1"/>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spacing w:after="0" w:line="16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Due to the COVID-19 pandemic, an increased number of our employees are working from home and connecting to our networks remotely, which we believe may further increase the risk of, and our vulnerability to, a cyber-attack or breach on our network.</w:t>
      </w:r>
    </w:p>
    <w:p>
      <w:pPr>
        <w:spacing w:after="0" w:line="215"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9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cyber-attacks become more sophisticated, the need to develop our infrastructure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20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to our customers or otherwise fulfill our contractual obligations to our customers could be delayed or impaired which would adversely affect our business, financial results and customer relationships.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Natural disasters or other catastrophic events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Natural disasters, such as hurricanes, earthquakes, fires, extreme weather conditions and floods, could adversely affect our operations and financial performance. Such events could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a temporary disruption in the transport of goods from overseas, and delays in the delivery of goods.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4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May 2018, the board of directors of the Company (the (“Board of Directors” or “Board”)) approved a stock repurchase program for the repurchase of up to $7.5 million. Our repurchase program even if fully implemented, may not enhance long-term stockholder value. During fiscal 2021, 2020 and 2019 we repurchased $0.8 million, $1.8 million and $2.3 million of our common stock in the open market respectively. As of July 2, 2021, $2.6 million remained available for repurchase under our stock repurchase program.</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84"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9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76"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of July 2, 2021, we leased approximately 164,000 square feet of facilities worldwide, with approximately 37% in the United States, mostly in California and Texas. Our corporate headquarters is located in Austin, Texas, and consists of approximately 18,000 square feet of office space. We also lease approximately 24,000 square feet of office, assembly facilities and warehouse in multiple locations in Texas and 19,000 square feet of office space in Milpitas, California. Internationally, we lease approximately 103,000 square feet of facilities throughout Europe, North America, Africa and Asia regions, including offices in Singapore, Slovenia, Philippine Islands, India, Mexico, Canada, South Africa, Ghana, Ivory Coast, Kenya, Nigeria, Algeria, Congo, France, Netherlands, Russia, Australia, Dubai, Saudi Arabia, Lebanon, China, and Thailand. In addition, we own approximately 108,000 square feet of facilities in Wellington, New Zealand and Lanarkshire, Scotland.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more information about our leases, see “Note 4. Leases” of the notes to consolidated financial statements, which are included in Item 8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76"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are subject from time to time to disputes with customers concerning our products and services. In May 2016, we received notification of a claim for damages from a customer alleging that certain of our products were defective which we settled for an immaterial amount during the third quarter of 2021.</w:t>
      </w:r>
    </w:p>
    <w:p>
      <w:pPr>
        <w:spacing w:after="0" w:line="8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("FEMA").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3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significant accrual for loss contingencies associated with such legal claims or litigation discussed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0"/>
        <w:spacing w:after="0" w:line="485"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 on Common Stock</w:t>
      </w:r>
    </w:p>
    <w:p>
      <w:pPr>
        <w:jc w:val="both"/>
        <w:ind w:firstLine="470"/>
        <w:spacing w:after="0" w:line="272" w:lineRule="auto"/>
        <w:rPr>
          <w:sz w:val="20"/>
          <w:szCs w:val="20"/>
          <w:color w:val="auto"/>
        </w:rPr>
      </w:pPr>
      <w:r>
        <w:rPr>
          <w:rFonts w:ascii="Arial" w:cs="Arial" w:eastAsia="Arial" w:hAnsi="Arial"/>
          <w:sz w:val="17"/>
          <w:szCs w:val="17"/>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According to the records of our transfer agent, as of August 20, 2021, there were 2,057 holders of record of our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April 7, 2021, we effected a two-for-one split in the form of a stock dividend to shareholders of record as of April 1, 2021.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Unregistered Securities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April 13, 2021, we filed a registration statement on Form S-3 with the SEC using a “shelf” registration process. When we utilize the shelf registration we will be able to, from time to time, offer and sell, either individually or in combination, in one or more offerings, up to a total dollar amount of $200 million of any combination of the securities described in the shelf registration statement or a related prospectus supplement. During fiscal 2021, we did not issue or sell any unregistered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Equity Securities</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May 2018, our Board of Directors approved a stock repurchase program, which does not have an expiration date, for the repurchase of up to $7.5 million of our common stock. The stock repurchase program was suspended temporarily between February 2020 and February 2021. During fiscal 2021, our Board of Directors voted to re-instate our stock repurchase program and we repurchased 19,587 shares of our common stock in the open market for an aggregate purchase price, including commissions, of $0.8 million. These shares were recorded as treasury stock and we do not anticipate retiring them. Treasury stock did not participate in the two-for-one stock split in the form of a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dividend paid on April 7, 2021. As of July 2, 2021, $2.6 million remained available for repurchases under our stock repurchase program.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8"/>
              </w:rPr>
              <w:t>Total Number of Shares</w:t>
            </w:r>
          </w:p>
        </w:tc>
        <w:tc>
          <w:tcPr>
            <w:tcW w:w="140" w:type="dxa"/>
            <w:vAlign w:val="bottom"/>
          </w:tcPr>
          <w:p>
            <w:pPr>
              <w:spacing w:after="0"/>
              <w:rPr>
                <w:sz w:val="16"/>
                <w:szCs w:val="16"/>
                <w:color w:val="auto"/>
              </w:rPr>
            </w:pPr>
          </w:p>
        </w:tc>
        <w:tc>
          <w:tcPr>
            <w:tcW w:w="2040" w:type="dxa"/>
            <w:vAlign w:val="bottom"/>
          </w:tcPr>
          <w:p>
            <w:pPr>
              <w:jc w:val="center"/>
              <w:ind w:right="46"/>
              <w:spacing w:after="0"/>
              <w:rPr>
                <w:sz w:val="20"/>
                <w:szCs w:val="20"/>
                <w:color w:val="auto"/>
              </w:rPr>
            </w:pPr>
            <w:r>
              <w:rPr>
                <w:rFonts w:ascii="Arial" w:cs="Arial" w:eastAsia="Arial" w:hAnsi="Arial"/>
                <w:sz w:val="16"/>
                <w:szCs w:val="16"/>
                <w:color w:val="auto"/>
                <w:w w:val="91"/>
              </w:rPr>
              <w:t>Approximate dollar Value of</w:t>
            </w:r>
          </w:p>
        </w:tc>
        <w:tc>
          <w:tcPr>
            <w:tcW w:w="0" w:type="dxa"/>
            <w:vAlign w:val="bottom"/>
          </w:tcPr>
          <w:p>
            <w:pPr>
              <w:spacing w:after="0"/>
              <w:rPr>
                <w:sz w:val="1"/>
                <w:szCs w:val="1"/>
                <w:color w:val="auto"/>
              </w:rPr>
            </w:pPr>
          </w:p>
        </w:tc>
      </w:tr>
      <w:tr>
        <w:trPr>
          <w:trHeight w:val="91"/>
        </w:trPr>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040" w:type="dxa"/>
            <w:vAlign w:val="bottom"/>
            <w:vMerge w:val="restart"/>
          </w:tcPr>
          <w:p>
            <w:pPr>
              <w:jc w:val="center"/>
              <w:ind w:right="66"/>
              <w:spacing w:after="0" w:line="157" w:lineRule="exact"/>
              <w:rPr>
                <w:sz w:val="20"/>
                <w:szCs w:val="20"/>
                <w:color w:val="auto"/>
              </w:rPr>
            </w:pPr>
            <w:r>
              <w:rPr>
                <w:rFonts w:ascii="Arial" w:cs="Arial" w:eastAsia="Arial" w:hAnsi="Arial"/>
                <w:sz w:val="16"/>
                <w:szCs w:val="16"/>
                <w:color w:val="auto"/>
                <w:w w:val="87"/>
              </w:rPr>
              <w:t>Shares that May Yet be</w:t>
            </w:r>
          </w:p>
        </w:tc>
        <w:tc>
          <w:tcPr>
            <w:tcW w:w="0" w:type="dxa"/>
            <w:vAlign w:val="bottom"/>
          </w:tcPr>
          <w:p>
            <w:pPr>
              <w:spacing w:after="0"/>
              <w:rPr>
                <w:sz w:val="1"/>
                <w:szCs w:val="1"/>
                <w:color w:val="auto"/>
              </w:rPr>
            </w:pPr>
          </w:p>
        </w:tc>
      </w:tr>
      <w:tr>
        <w:trPr>
          <w:trHeight w:val="65"/>
        </w:trPr>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vMerge w:val="restart"/>
          </w:tcPr>
          <w:p>
            <w:pPr>
              <w:jc w:val="right"/>
              <w:ind w:right="262"/>
              <w:spacing w:after="0"/>
              <w:rPr>
                <w:sz w:val="20"/>
                <w:szCs w:val="20"/>
                <w:color w:val="auto"/>
              </w:rPr>
            </w:pPr>
            <w:r>
              <w:rPr>
                <w:rFonts w:ascii="Arial" w:cs="Arial" w:eastAsia="Arial" w:hAnsi="Arial"/>
                <w:sz w:val="16"/>
                <w:szCs w:val="16"/>
                <w:color w:val="auto"/>
              </w:rPr>
              <w:t>Total Number of Shares</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7"/>
              </w:rPr>
              <w:t>Repurchased as Part of Publicly</w:t>
            </w:r>
          </w:p>
        </w:tc>
        <w:tc>
          <w:tcPr>
            <w:tcW w:w="1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260" w:type="dxa"/>
            <w:vAlign w:val="bottom"/>
            <w:gridSpan w:val="2"/>
            <w:vMerge w:val="restart"/>
          </w:tcPr>
          <w:p>
            <w:pPr>
              <w:ind w:left="20"/>
              <w:spacing w:after="0"/>
              <w:rPr>
                <w:sz w:val="20"/>
                <w:szCs w:val="20"/>
                <w:color w:val="auto"/>
              </w:rPr>
            </w:pPr>
            <w:r>
              <w:rPr>
                <w:rFonts w:ascii="Arial" w:cs="Arial" w:eastAsia="Arial" w:hAnsi="Arial"/>
                <w:sz w:val="16"/>
                <w:szCs w:val="16"/>
                <w:color w:val="auto"/>
              </w:rPr>
              <w:t>Period</w:t>
            </w:r>
          </w:p>
        </w:tc>
        <w:tc>
          <w:tcPr>
            <w:tcW w:w="2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2"/>
            <w:vMerge w:val="restart"/>
          </w:tcPr>
          <w:p>
            <w:pPr>
              <w:ind w:left="40"/>
              <w:spacing w:after="0"/>
              <w:rPr>
                <w:sz w:val="20"/>
                <w:szCs w:val="20"/>
                <w:color w:val="auto"/>
              </w:rPr>
            </w:pPr>
            <w:r>
              <w:rPr>
                <w:rFonts w:ascii="Arial" w:cs="Arial" w:eastAsia="Arial" w:hAnsi="Arial"/>
                <w:sz w:val="16"/>
                <w:szCs w:val="16"/>
                <w:color w:val="auto"/>
                <w:w w:val="97"/>
              </w:rPr>
              <w:t>Average Price Paid per Share</w:t>
            </w:r>
          </w:p>
        </w:tc>
        <w:tc>
          <w:tcPr>
            <w:tcW w:w="2280" w:type="dxa"/>
            <w:vAlign w:val="bottom"/>
            <w:gridSpan w:val="2"/>
            <w:vMerge w:val="continue"/>
          </w:tcPr>
          <w:p>
            <w:pPr>
              <w:spacing w:after="0"/>
              <w:rPr>
                <w:sz w:val="13"/>
                <w:szCs w:val="13"/>
                <w:color w:val="auto"/>
              </w:rPr>
            </w:pPr>
          </w:p>
        </w:tc>
        <w:tc>
          <w:tcPr>
            <w:tcW w:w="2180" w:type="dxa"/>
            <w:vAlign w:val="bottom"/>
            <w:gridSpan w:val="2"/>
          </w:tcPr>
          <w:p>
            <w:pPr>
              <w:jc w:val="center"/>
              <w:spacing w:after="0" w:line="154" w:lineRule="exact"/>
              <w:rPr>
                <w:sz w:val="20"/>
                <w:szCs w:val="20"/>
                <w:color w:val="auto"/>
              </w:rPr>
            </w:pPr>
            <w:r>
              <w:rPr>
                <w:rFonts w:ascii="Arial" w:cs="Arial" w:eastAsia="Arial" w:hAnsi="Arial"/>
                <w:sz w:val="16"/>
                <w:szCs w:val="16"/>
                <w:color w:val="auto"/>
                <w:w w:val="87"/>
              </w:rPr>
              <w:t>Repurchased Under the Program</w:t>
            </w:r>
          </w:p>
        </w:tc>
        <w:tc>
          <w:tcPr>
            <w:tcW w:w="0" w:type="dxa"/>
            <w:vAlign w:val="bottom"/>
          </w:tcPr>
          <w:p>
            <w:pPr>
              <w:spacing w:after="0"/>
              <w:rPr>
                <w:sz w:val="1"/>
                <w:szCs w:val="1"/>
                <w:color w:val="auto"/>
              </w:rPr>
            </w:pPr>
          </w:p>
        </w:tc>
      </w:tr>
      <w:tr>
        <w:trPr>
          <w:trHeight w:val="144"/>
        </w:trPr>
        <w:tc>
          <w:tcPr>
            <w:tcW w:w="2260" w:type="dxa"/>
            <w:vAlign w:val="bottom"/>
            <w:gridSpan w:val="2"/>
            <w:vMerge w:val="continue"/>
          </w:tcPr>
          <w:p>
            <w:pPr>
              <w:spacing w:after="0"/>
              <w:rPr>
                <w:sz w:val="12"/>
                <w:szCs w:val="12"/>
                <w:color w:val="auto"/>
              </w:rPr>
            </w:pPr>
          </w:p>
        </w:tc>
        <w:tc>
          <w:tcPr>
            <w:tcW w:w="2180" w:type="dxa"/>
            <w:vAlign w:val="bottom"/>
          </w:tcPr>
          <w:p>
            <w:pPr>
              <w:jc w:val="right"/>
              <w:ind w:right="622"/>
              <w:spacing w:after="0" w:line="144" w:lineRule="exact"/>
              <w:rPr>
                <w:sz w:val="20"/>
                <w:szCs w:val="20"/>
                <w:color w:val="auto"/>
              </w:rPr>
            </w:pPr>
            <w:r>
              <w:rPr>
                <w:rFonts w:ascii="Arial" w:cs="Arial" w:eastAsia="Arial" w:hAnsi="Arial"/>
                <w:sz w:val="16"/>
                <w:szCs w:val="16"/>
                <w:color w:val="auto"/>
              </w:rPr>
              <w:t>Repurchased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280" w:type="dxa"/>
            <w:vAlign w:val="bottom"/>
            <w:gridSpan w:val="2"/>
          </w:tcPr>
          <w:p>
            <w:pPr>
              <w:jc w:val="center"/>
              <w:ind w:right="100"/>
              <w:spacing w:after="0" w:line="144" w:lineRule="exact"/>
              <w:rPr>
                <w:sz w:val="20"/>
                <w:szCs w:val="20"/>
                <w:color w:val="auto"/>
              </w:rPr>
            </w:pPr>
            <w:r>
              <w:rPr>
                <w:rFonts w:ascii="Arial" w:cs="Arial" w:eastAsia="Arial" w:hAnsi="Arial"/>
                <w:sz w:val="16"/>
                <w:szCs w:val="16"/>
                <w:color w:val="auto"/>
                <w:w w:val="88"/>
              </w:rPr>
              <w:t>Announced Program</w:t>
            </w:r>
          </w:p>
        </w:tc>
        <w:tc>
          <w:tcPr>
            <w:tcW w:w="140" w:type="dxa"/>
            <w:vAlign w:val="bottom"/>
          </w:tcPr>
          <w:p>
            <w:pPr>
              <w:spacing w:after="0"/>
              <w:rPr>
                <w:sz w:val="12"/>
                <w:szCs w:val="12"/>
                <w:color w:val="auto"/>
              </w:rPr>
            </w:pPr>
          </w:p>
        </w:tc>
        <w:tc>
          <w:tcPr>
            <w:tcW w:w="2040" w:type="dxa"/>
            <w:vAlign w:val="bottom"/>
          </w:tcPr>
          <w:p>
            <w:pPr>
              <w:jc w:val="center"/>
              <w:ind w:right="46"/>
              <w:spacing w:after="0"/>
              <w:rPr>
                <w:sz w:val="20"/>
                <w:szCs w:val="20"/>
                <w:color w:val="auto"/>
              </w:rPr>
            </w:pPr>
            <w:r>
              <w:rPr>
                <w:rFonts w:ascii="Arial" w:cs="Arial" w:eastAsia="Arial" w:hAnsi="Arial"/>
                <w:sz w:val="10"/>
                <w:szCs w:val="10"/>
                <w:color w:val="auto"/>
                <w:w w:val="97"/>
              </w:rPr>
              <w:t>(1)</w:t>
            </w:r>
          </w:p>
        </w:tc>
        <w:tc>
          <w:tcPr>
            <w:tcW w:w="0" w:type="dxa"/>
            <w:vAlign w:val="bottom"/>
          </w:tcPr>
          <w:p>
            <w:pPr>
              <w:spacing w:after="0"/>
              <w:rPr>
                <w:sz w:val="1"/>
                <w:szCs w:val="1"/>
                <w:color w:val="auto"/>
              </w:rPr>
            </w:pPr>
          </w:p>
        </w:tc>
      </w:tr>
      <w:tr>
        <w:trPr>
          <w:trHeight w:val="199"/>
        </w:trPr>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center"/>
              <w:ind w:right="66"/>
              <w:spacing w:after="0"/>
              <w:rPr>
                <w:sz w:val="20"/>
                <w:szCs w:val="20"/>
                <w:color w:val="auto"/>
              </w:rPr>
            </w:pPr>
            <w:r>
              <w:rPr>
                <w:rFonts w:ascii="Arial" w:cs="Arial" w:eastAsia="Arial" w:hAnsi="Arial"/>
                <w:sz w:val="16"/>
                <w:szCs w:val="16"/>
                <w:color w:val="auto"/>
                <w:w w:val="88"/>
              </w:rPr>
              <w:t>(in thousands)</w:t>
            </w: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April 3, 2021 through April 30,</w:t>
            </w:r>
          </w:p>
        </w:tc>
        <w:tc>
          <w:tcPr>
            <w:tcW w:w="2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gridSpan w:val="2"/>
            <w:vMerge w:val="continue"/>
            <w:shd w:val="clear" w:color="auto" w:fill="CCEEFF"/>
          </w:tcPr>
          <w:p>
            <w:pPr>
              <w:spacing w:after="0"/>
              <w:rPr>
                <w:sz w:val="17"/>
                <w:szCs w:val="17"/>
                <w:color w:val="auto"/>
              </w:rPr>
            </w:pPr>
          </w:p>
        </w:tc>
        <w:tc>
          <w:tcPr>
            <w:tcW w:w="22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tcPr>
          <w:p>
            <w:pPr>
              <w:ind w:left="20"/>
              <w:spacing w:after="0" w:line="160" w:lineRule="exact"/>
              <w:rPr>
                <w:sz w:val="20"/>
                <w:szCs w:val="20"/>
                <w:color w:val="auto"/>
              </w:rPr>
            </w:pPr>
            <w:r>
              <w:rPr>
                <w:rFonts w:ascii="Arial" w:cs="Arial" w:eastAsia="Arial" w:hAnsi="Arial"/>
                <w:sz w:val="16"/>
                <w:szCs w:val="16"/>
                <w:color w:val="auto"/>
              </w:rPr>
              <w:t>May 1, 2021 through May 28,</w:t>
            </w:r>
          </w:p>
        </w:tc>
        <w:tc>
          <w:tcPr>
            <w:tcW w:w="2180" w:type="dxa"/>
            <w:vAlign w:val="bottom"/>
            <w:vMerge w:val="restart"/>
          </w:tcPr>
          <w:p>
            <w:pPr>
              <w:jc w:val="right"/>
              <w:ind w:right="2"/>
              <w:spacing w:after="0"/>
              <w:rPr>
                <w:sz w:val="20"/>
                <w:szCs w:val="20"/>
                <w:color w:val="auto"/>
              </w:rPr>
            </w:pPr>
            <w:r>
              <w:rPr>
                <w:rFonts w:ascii="Arial" w:cs="Arial" w:eastAsia="Arial" w:hAnsi="Arial"/>
                <w:sz w:val="16"/>
                <w:szCs w:val="16"/>
                <w:color w:val="auto"/>
              </w:rPr>
              <w:t>11,287</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Pr>
          <w:p>
            <w:pPr>
              <w:spacing w:after="0"/>
              <w:rPr>
                <w:sz w:val="13"/>
                <w:szCs w:val="13"/>
                <w:color w:val="auto"/>
              </w:rPr>
            </w:pPr>
          </w:p>
        </w:tc>
        <w:tc>
          <w:tcPr>
            <w:tcW w:w="2180" w:type="dxa"/>
            <w:vAlign w:val="bottom"/>
            <w:vMerge w:val="restart"/>
          </w:tcPr>
          <w:p>
            <w:pPr>
              <w:jc w:val="right"/>
              <w:spacing w:after="0"/>
              <w:rPr>
                <w:sz w:val="20"/>
                <w:szCs w:val="20"/>
                <w:color w:val="auto"/>
              </w:rPr>
            </w:pPr>
            <w:r>
              <w:rPr>
                <w:rFonts w:ascii="Arial" w:cs="Arial" w:eastAsia="Arial" w:hAnsi="Arial"/>
                <w:sz w:val="16"/>
                <w:szCs w:val="16"/>
                <w:color w:val="auto"/>
              </w:rPr>
              <w:t>11,287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vMerge w:val="restart"/>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May 29, 2021 through July 2,</w:t>
            </w:r>
          </w:p>
        </w:tc>
        <w:tc>
          <w:tcPr>
            <w:tcW w:w="2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7"/>
                <w:szCs w:val="17"/>
                <w:color w:val="auto"/>
              </w:rPr>
            </w:pPr>
          </w:p>
        </w:tc>
        <w:tc>
          <w:tcPr>
            <w:tcW w:w="2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gridSpan w:val="2"/>
            <w:vMerge w:val="continue"/>
            <w:shd w:val="clear" w:color="auto" w:fill="CCEEFF"/>
          </w:tcPr>
          <w:p>
            <w:pPr>
              <w:spacing w:after="0"/>
              <w:rPr>
                <w:sz w:val="17"/>
                <w:szCs w:val="17"/>
                <w:color w:val="auto"/>
              </w:rPr>
            </w:pPr>
          </w:p>
        </w:tc>
        <w:tc>
          <w:tcPr>
            <w:tcW w:w="228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23" w:lineRule="exact"/>
        <w:rPr>
          <w:sz w:val="20"/>
          <w:szCs w:val="20"/>
          <w:color w:val="auto"/>
        </w:rPr>
      </w:pPr>
    </w:p>
    <w:p>
      <w:pPr>
        <w:ind w:firstLine="5"/>
        <w:spacing w:after="0" w:line="288" w:lineRule="auto"/>
        <w:tabs>
          <w:tab w:leader="none" w:pos="246"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In May 2018, our Board of Directors approved a stock repurchase program, which does not have an expiration date, for the repurchase of up to $7.5 million of our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graph and accompanying data compare the cumulative total return on our common stock with the cumulative total return of the Total Return Index for The NASDAQ Composite Market (U.S. Companies) and the NASDAQ Telecommunications Index for the five-year period ended July 2, 2021. The stock price performance shown on the graph below is not necessarily indicative of future price performance. Note that this graph and accompanying data is “furnished,” not “filed,” with the SEC.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Aviat Networks, Inc., the NASDAQ Composite Index</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182245</wp:posOffset>
            </wp:positionV>
            <wp:extent cx="5278120" cy="35185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78120" cy="351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9"/>
              </w:rPr>
              <w:t>7/1/2016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8"/>
              </w:rPr>
              <w:t>6/30/2017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8"/>
              </w:rPr>
              <w:t>6/29/2018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8"/>
              </w:rPr>
              <w:t>6/28/2019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7/3/2020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7/2/2021</w:t>
            </w:r>
          </w:p>
        </w:tc>
      </w:tr>
      <w:tr>
        <w:trPr>
          <w:trHeight w:val="20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Aviat Networks, Inc.</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216.15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792.05</w:t>
            </w:r>
          </w:p>
        </w:tc>
      </w:tr>
      <w:tr>
        <w:trPr>
          <w:trHeight w:val="206"/>
        </w:trPr>
        <w:tc>
          <w:tcPr>
            <w:tcW w:w="3760" w:type="dxa"/>
            <w:vAlign w:val="bottom"/>
          </w:tcPr>
          <w:p>
            <w:pPr>
              <w:ind w:left="20"/>
              <w:spacing w:after="0"/>
              <w:rPr>
                <w:sz w:val="20"/>
                <w:szCs w:val="20"/>
                <w:color w:val="auto"/>
              </w:rPr>
            </w:pPr>
            <w:r>
              <w:rPr>
                <w:rFonts w:ascii="Arial" w:cs="Arial" w:eastAsia="Arial" w:hAnsi="Arial"/>
                <w:sz w:val="16"/>
                <w:szCs w:val="16"/>
                <w:color w:val="auto"/>
              </w:rPr>
              <w:t>NASDAQ Composite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157.91</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170.20</w:t>
            </w:r>
          </w:p>
        </w:tc>
        <w:tc>
          <w:tcPr>
            <w:tcW w:w="12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219.27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316.73</w:t>
            </w: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Telecommunications</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235.38</w:t>
            </w:r>
          </w:p>
        </w:tc>
      </w:tr>
    </w:tbl>
    <w:p>
      <w:pPr>
        <w:spacing w:after="0" w:line="3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____________________________</w:t>
      </w:r>
    </w:p>
    <w:p>
      <w:pPr>
        <w:spacing w:after="0" w:line="131" w:lineRule="exact"/>
        <w:rPr>
          <w:sz w:val="20"/>
          <w:szCs w:val="20"/>
          <w:color w:val="auto"/>
        </w:rPr>
      </w:pPr>
    </w:p>
    <w:p>
      <w:pPr>
        <w:ind w:left="500" w:right="20" w:hanging="478"/>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(i) $100 invested on July 1, 2016 in Aviat Networks, Inc. common stock, the Total Return Index for The NASDAQ Composite Market (U.S. companies) and the NASDAQ Telecommunications Index; and (ii) immediate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Data presented for fiscal years 2021, 2020 and 2019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 2020</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June 28, 2019</w:t>
            </w: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2018</w:t>
            </w:r>
          </w:p>
        </w:tc>
        <w:tc>
          <w:tcPr>
            <w:tcW w:w="180" w:type="dxa"/>
            <w:vAlign w:val="bottom"/>
          </w:tcPr>
          <w:p>
            <w:pPr>
              <w:spacing w:after="0"/>
              <w:rPr>
                <w:sz w:val="15"/>
                <w:szCs w:val="15"/>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July 1, 2017</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 from product sales and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241,874</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Cost of product sales and services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172,296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153,946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164,588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162,003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166,402</w:t>
            </w:r>
          </w:p>
        </w:tc>
      </w:tr>
      <w:tr>
        <w:trPr>
          <w:trHeight w:val="222"/>
        </w:trPr>
        <w:tc>
          <w:tcPr>
            <w:tcW w:w="46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Income (loss) from continuing operations </w:t>
            </w:r>
            <w:r>
              <w:rPr>
                <w:rFonts w:ascii="Arial" w:cs="Arial" w:eastAsia="Arial" w:hAnsi="Arial"/>
                <w:sz w:val="22"/>
                <w:szCs w:val="22"/>
                <w:color w:val="auto"/>
                <w:vertAlign w:val="superscript"/>
              </w:rPr>
              <w:t>(1) (2)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r>
      <w:tr>
        <w:trPr>
          <w:trHeight w:val="222"/>
        </w:trPr>
        <w:tc>
          <w:tcPr>
            <w:tcW w:w="468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Net income (loss) </w:t>
            </w:r>
            <w:r>
              <w:rPr>
                <w:rFonts w:ascii="Arial" w:cs="Arial" w:eastAsia="Arial" w:hAnsi="Arial"/>
                <w:sz w:val="22"/>
                <w:szCs w:val="22"/>
                <w:color w:val="auto"/>
                <w:vertAlign w:val="superscript"/>
              </w:rPr>
              <w:t>(1), (2), (3)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(621)</w:t>
            </w:r>
          </w:p>
        </w:tc>
      </w:tr>
      <w:tr>
        <w:trPr>
          <w:trHeight w:val="222"/>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interests, net of tax</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Net income (loss) attributable to Aviat Networks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(823)</w:t>
            </w:r>
          </w:p>
        </w:tc>
      </w:tr>
      <w:tr>
        <w:trPr>
          <w:trHeight w:val="222"/>
        </w:trPr>
        <w:tc>
          <w:tcPr>
            <w:tcW w:w="468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Basic and diluted net income (loss) per common share</w:t>
            </w:r>
            <w:r>
              <w:rPr>
                <w:rFonts w:ascii="Arial" w:cs="Arial" w:eastAsia="Arial" w:hAnsi="Arial"/>
                <w:sz w:val="22"/>
                <w:szCs w:val="22"/>
                <w:color w:val="auto"/>
                <w:vertAlign w:val="superscript"/>
              </w:rPr>
              <w:t>(4)</w:t>
            </w: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4680" w:type="dxa"/>
            <w:vAlign w:val="bottom"/>
          </w:tcPr>
          <w:p>
            <w:pPr>
              <w:ind w:left="340"/>
              <w:spacing w:after="0"/>
              <w:rPr>
                <w:sz w:val="20"/>
                <w:szCs w:val="20"/>
                <w:color w:val="auto"/>
              </w:rPr>
            </w:pPr>
            <w:r>
              <w:rPr>
                <w:rFonts w:ascii="Arial" w:cs="Arial" w:eastAsia="Arial" w:hAnsi="Arial"/>
                <w:sz w:val="17"/>
                <w:szCs w:val="17"/>
                <w:color w:val="auto"/>
              </w:rPr>
              <w:t>Net income (loss) - basic</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(0.08)</w:t>
            </w:r>
          </w:p>
        </w:tc>
      </w:tr>
      <w:tr>
        <w:trPr>
          <w:trHeight w:val="222"/>
        </w:trPr>
        <w:tc>
          <w:tcPr>
            <w:tcW w:w="4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(loss)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353" w:lineRule="exact"/>
        <w:rPr>
          <w:sz w:val="20"/>
          <w:szCs w:val="20"/>
          <w:color w:val="auto"/>
        </w:rPr>
      </w:pPr>
    </w:p>
    <w:p>
      <w:pPr>
        <w:ind w:left="320" w:hanging="315"/>
        <w:spacing w:after="0" w:line="288" w:lineRule="auto"/>
        <w:tabs>
          <w:tab w:leader="none" w:pos="3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share-based compensation expense of $2.9 million, $1.7 million, $1.7 million, $2.4 million, and $2.1 million for fiscal 2021, 2020, 2019, 2018, and 2017, respectively.</w:t>
      </w:r>
    </w:p>
    <w:p>
      <w:pPr>
        <w:spacing w:after="0" w:line="1" w:lineRule="exact"/>
        <w:rPr>
          <w:rFonts w:ascii="Arial" w:cs="Arial" w:eastAsia="Arial" w:hAnsi="Arial"/>
          <w:sz w:val="17"/>
          <w:szCs w:val="17"/>
          <w:color w:val="auto"/>
        </w:rPr>
      </w:pPr>
    </w:p>
    <w:p>
      <w:pPr>
        <w:ind w:left="320" w:hanging="315"/>
        <w:spacing w:after="0" w:line="264" w:lineRule="auto"/>
        <w:tabs>
          <w:tab w:leader="none" w:pos="3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restructuring charges of $2.3 million, $4.0 million, $0.7 million, $1.3 million, and $0.6 million for fiscal 2021, 2020, 2019, 2018, and 2017, respectively.</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U.S. valuation allowance release of $92.2 million related to U.S. federal and state deferred tax assets for fiscal 2021.</w:t>
      </w:r>
    </w:p>
    <w:p>
      <w:pPr>
        <w:spacing w:after="0" w:line="53" w:lineRule="exact"/>
        <w:rPr>
          <w:rFonts w:ascii="Arial" w:cs="Arial" w:eastAsia="Arial" w:hAnsi="Arial"/>
          <w:sz w:val="17"/>
          <w:szCs w:val="17"/>
          <w:color w:val="auto"/>
        </w:rPr>
      </w:pPr>
    </w:p>
    <w:p>
      <w:pPr>
        <w:jc w:val="both"/>
        <w:ind w:left="320" w:hanging="315"/>
        <w:spacing w:after="0" w:line="272" w:lineRule="auto"/>
        <w:tabs>
          <w:tab w:leader="none" w:pos="3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April 7, 2021, we effected a stock split in the form of a stock dividend of all of the outstanding shares of our common stock at a ratio of two-for-one (“Stock Split”). The authorized number of shares of 300 million and par value per share of our common stock of $0.01 per share remained unchanged after the Stock Split.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 2020</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28, 2019</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 2018</w:t>
            </w:r>
          </w:p>
        </w:tc>
        <w:tc>
          <w:tcPr>
            <w:tcW w:w="180" w:type="dxa"/>
            <w:vAlign w:val="bottom"/>
          </w:tcPr>
          <w:p>
            <w:pPr>
              <w:spacing w:after="0"/>
              <w:rPr>
                <w:sz w:val="15"/>
                <w:szCs w:val="15"/>
                <w:color w:val="auto"/>
              </w:rPr>
            </w:pPr>
          </w:p>
        </w:tc>
        <w:tc>
          <w:tcPr>
            <w:tcW w:w="108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July 1, 2017</w:t>
            </w: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152,576</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12,218</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Business; Operating Environment and Key Factors Impacting Fiscal 2021 and 2020 Results</w:t>
      </w:r>
    </w:p>
    <w:p>
      <w:pPr>
        <w:spacing w:after="0" w:line="17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1, 2022 is referred to as “fiscal 2022” or “2022”; our fiscal year ended July 2, 2021 is referred to as “fiscal 2021” or “2021”; our fiscal year ended July 3, 2020 is referred to as “fiscal 2020” or “2020”; and our fiscal year ended June 28, 2019 is referred to as “fiscal 2019” or “2019.” Our fiscal year ends on the Friday nearest to June 30. Fiscal 2021 presented included 52 weeks while fiscal 2020 included 53 weeks and fiscal 2019 included 52 weeks. This one week difference between fiscal 2021 and fiscal 2020 impacts the comparison of both revenue and expenses.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achieved revenue growth of 15.2% in fiscal 2021. We anticipate further revenue growth in fiscal 2022. We continue to have a strong backlog entering fiscal 2022 and we anticipate continuing our strong momentum across all verticals. We have made inroads into the U.S. rural broadband and wireless internet service provider areas and there is now further evidence of investment to support 5G deployments with our U.S. service provider customers. Our international sales grew in fiscal 2021.</w:t>
      </w:r>
    </w:p>
    <w:p>
      <w:pPr>
        <w:spacing w:after="0" w:line="202"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5"/>
          <w:szCs w:val="15"/>
          <w:color w:val="auto"/>
        </w:rPr>
        <w:t>In March 2020, the World Health Organization characterized the current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pandemic. The COVID-19 pandemic has had and is likely to continue to have an impact on our operations, supply chains and distribution systems. The COVID-19 pandemic has led to an increase in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and cannot be predicted with certainty, including, but not limited to, the duration and spread of the pandemic, its severity, the actions to contain the virus or treat its impact, including ongoing vaccination efforts, any new variant strains of the underlying virus and how quickly and to what extent normal economic and operating activities can resume. Management is actively monitoring the impact of the COVID-19 pandemic on our financial condition, liquidity, operations, suppliers, industry, and workforce.</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19"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impact to our supply chain lead times and ability to fulfill orders was minimal for the year ended July 2, 2021. However, depending on pandemic-related factors such as constraints of supply of certain component parts, uncertain duration of temporary manufacturing restrictions and our ability to perform field services during shelter in place orders, we could experience constraints and delays in fulfilling customer orders in future periods. We are monitoring, assessing and adapting to the situation and preparing for possible implications to our business, supply chain and customer demand. We expect the potential for these challenges to continue until business and economic activities return to more normal levels. The financial results for the year ended July 2, 2021 reflect some of the reduced activity experienced during the period in various locations around the world and are not necessarily indicative of the results for the next fiscal period 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Review</w:t>
      </w:r>
    </w:p>
    <w:p>
      <w:pPr>
        <w:spacing w:after="0" w:line="176"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The market for mobile backhaul continued to be our primary addressable market segment globally in fiscal 2021.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3G deployments, 5G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in “Overview”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(1) Africa and the Middle East, (2) Europe and Russia and (3) Latin America and Asia Pacific. Revenue by region for fiscal 2021, 2020 and 2019 and the related changes are shown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tcBorders>
              <w:bottom w:val="single" w:sz="8" w:color="auto"/>
            </w:tcBorders>
          </w:tcPr>
          <w:p>
            <w:pPr>
              <w:spacing w:after="0"/>
              <w:rPr>
                <w:sz w:val="16"/>
                <w:szCs w:val="16"/>
                <w:color w:val="auto"/>
              </w:rPr>
            </w:pPr>
          </w:p>
        </w:tc>
      </w:tr>
      <w:tr>
        <w:trPr>
          <w:trHeight w:val="18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2021/2020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2020/2019</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7"/>
              </w:rPr>
              <w:t>2020/2019</w:t>
            </w: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14.2 %</w:t>
            </w:r>
          </w:p>
        </w:tc>
      </w:tr>
      <w:tr>
        <w:trPr>
          <w:trHeight w:val="222"/>
        </w:trPr>
        <w:tc>
          <w:tcPr>
            <w:tcW w:w="2940" w:type="dxa"/>
            <w:vAlign w:val="bottom"/>
          </w:tcPr>
          <w:p>
            <w:pPr>
              <w:ind w:left="20"/>
              <w:spacing w:after="0"/>
              <w:rPr>
                <w:sz w:val="20"/>
                <w:szCs w:val="20"/>
                <w:color w:val="auto"/>
              </w:rPr>
            </w:pPr>
            <w:r>
              <w:rPr>
                <w:rFonts w:ascii="Arial" w:cs="Arial" w:eastAsia="Arial" w:hAnsi="Arial"/>
                <w:sz w:val="17"/>
                <w:szCs w:val="17"/>
                <w:color w:val="auto"/>
              </w:rPr>
              <w:t>Africa and the Middle East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37,595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48,305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(10,710)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17.1 %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w:t>
            </w:r>
          </w:p>
        </w:tc>
      </w:tr>
      <w:tr>
        <w:trPr>
          <w:trHeight w:val="22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 and Russia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22"/>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(7,555)</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2.1 %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(16.5)%</w:t>
            </w: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8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revenue from North America increased by $31.4 million, or 20.7%, in fiscal 2021 compared with fiscal 2020. The increase in North America revenue during fiscal 2021 was due to revenue growth with private network customers, as well as increased sales to mobile operators. Revenue from North America increased $18.8 million, or 14.2%, in fiscal 2020 compared with fiscal 2019. The increase in North America revenue during fiscal 2020 was due to stronger order flow from private network customers, as well as increased sales to mobile operators.</w:t>
      </w:r>
    </w:p>
    <w:p>
      <w:pPr>
        <w:spacing w:after="0" w:line="202"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revenue from Africa and the Middle East increased by $6.4 million, or 17.1%, in fiscal 2021 compared with fiscal 2020. The increase in revenue was primarily due to increased sales to mobile operators in the region. Revenue from Africa and the Middle East decreased $10.7 million, or 22.2%, in fiscal 2020 compared with fiscal 2019. The decrease in revenue was primarily due to decreased sales to our mobile operator customers in the region.</w:t>
      </w:r>
    </w:p>
    <w:p>
      <w:pPr>
        <w:spacing w:after="0" w:line="2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Revenue from Europe and Russia decreased by $2.3 million, or 20.9%, in fiscal 2021 compared with fiscal 2020. The decrease in revenue was due to lower sales to mobile operator customers. Revenue in Europe and Russia decreased $5.8 million, or 34.1%, in fiscal 2020 compared with fiscal 2019. The decrease was due to lower sales to mobile operator customers.</w:t>
      </w:r>
    </w:p>
    <w:p>
      <w:pPr>
        <w:spacing w:after="0" w:line="198"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Revenue in Latin America and Asia Pacific increased by $0.8 million, or 2.1%, in fiscal 2021 compared with fiscal 2020. The increase in revenue was primarily due to higher sales to mobile operator customers in Asia Pacific offset in part by decreased revenue in Latin America. Revenue from Latin America and Asia-Pacific decreased $7.6 million, or 16.5%, in fiscal 2020 compared with fiscal 2019. The decrease was primarily due to lower sales volume from certain mobile operator customers in Asia Pacific offset in part by increased revenue in Latin America.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tcBorders>
              <w:bottom w:val="single" w:sz="8" w:color="auto"/>
            </w:tcBorders>
          </w:tcPr>
          <w:p>
            <w:pPr>
              <w:spacing w:after="0"/>
              <w:rPr>
                <w:sz w:val="16"/>
                <w:szCs w:val="16"/>
                <w:color w:val="auto"/>
              </w:rPr>
            </w:pPr>
          </w:p>
        </w:tc>
      </w:tr>
      <w:tr>
        <w:trPr>
          <w:trHeight w:val="19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percentages)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6"/>
              </w:rPr>
              <w:t>2021/2020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2020/2019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7"/>
              </w:rPr>
              <w:t>2020/2019</w:t>
            </w:r>
          </w:p>
        </w:tc>
      </w:tr>
      <w:tr>
        <w:trPr>
          <w:trHeight w:val="258"/>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sales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185,787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61"/>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Services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87,134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(2,285)</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5.0 %</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revenue from product sales increased by $32.0 million, or 20.8%, in fiscal 2021 compared with fiscal 2020. Product volume increased with customers in North America and Middle East Africa, offset in part by small declines in the other international markets. Our services revenue increased by $4.3 million, or 5.0%, in fiscal 2021 compared with fiscal 2020 from increased sales in North America.</w:t>
      </w:r>
    </w:p>
    <w:p>
      <w:pPr>
        <w:spacing w:after="0" w:line="12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revenue from product sales decreased $2.9 million, or 1.9%, in fiscal 2020 compared with fiscal 2019. Product volume decreased with customers in international markets and was offset in part by increased product sales in North America. Our services revenue decreased by $2.3 million, or 2.6%, in fiscal 2020 compared with fiscal 2019. Decreased sales in international markets were offset in part by increased sales in North America.</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2020/2019</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2021/2020</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2020/2019</w:t>
            </w: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274,911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238,642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243,858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172,296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153,946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164,588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(10,642)</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11.9 %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(6.5)%</w:t>
            </w:r>
          </w:p>
        </w:tc>
      </w:tr>
      <w:tr>
        <w:trPr>
          <w:trHeight w:val="24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102,615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84,696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79,270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21.2 %</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6.8 %</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1960" w:type="dxa"/>
            <w:vAlign w:val="bottom"/>
          </w:tcPr>
          <w:p>
            <w:pPr>
              <w:jc w:val="right"/>
              <w:ind w:right="393"/>
              <w:spacing w:after="0"/>
              <w:rPr>
                <w:sz w:val="20"/>
                <w:szCs w:val="20"/>
                <w:color w:val="auto"/>
              </w:rPr>
            </w:pPr>
            <w:r>
              <w:rPr>
                <w:rFonts w:ascii="Arial" w:cs="Arial" w:eastAsia="Arial" w:hAnsi="Arial"/>
                <w:sz w:val="17"/>
                <w:szCs w:val="17"/>
                <w:color w:val="auto"/>
              </w:rPr>
              <w:t>37.3 %</w:t>
            </w:r>
          </w:p>
        </w:tc>
        <w:tc>
          <w:tcPr>
            <w:tcW w:w="1420" w:type="dxa"/>
            <w:vAlign w:val="bottom"/>
          </w:tcPr>
          <w:p>
            <w:pPr>
              <w:jc w:val="right"/>
              <w:ind w:right="353"/>
              <w:spacing w:after="0"/>
              <w:rPr>
                <w:sz w:val="20"/>
                <w:szCs w:val="20"/>
                <w:color w:val="auto"/>
              </w:rPr>
            </w:pPr>
            <w:r>
              <w:rPr>
                <w:rFonts w:ascii="Arial" w:cs="Arial" w:eastAsia="Arial" w:hAnsi="Arial"/>
                <w:sz w:val="17"/>
                <w:szCs w:val="17"/>
                <w:color w:val="auto"/>
              </w:rPr>
              <w:t>35.5 %</w:t>
            </w:r>
          </w:p>
        </w:tc>
        <w:tc>
          <w:tcPr>
            <w:tcW w:w="5580" w:type="dxa"/>
            <w:vAlign w:val="bottom"/>
          </w:tcPr>
          <w:p>
            <w:pPr>
              <w:jc w:val="right"/>
              <w:ind w:right="4533"/>
              <w:spacing w:after="0"/>
              <w:rPr>
                <w:sz w:val="20"/>
                <w:szCs w:val="20"/>
                <w:color w:val="auto"/>
              </w:rPr>
            </w:pPr>
            <w:r>
              <w:rPr>
                <w:rFonts w:ascii="Arial" w:cs="Arial" w:eastAsia="Arial" w:hAnsi="Arial"/>
                <w:sz w:val="17"/>
                <w:szCs w:val="17"/>
                <w:color w:val="auto"/>
              </w:rPr>
              <w:t>32.5 %</w:t>
            </w:r>
          </w:p>
        </w:tc>
      </w:tr>
      <w:tr>
        <w:trPr>
          <w:trHeight w:val="222"/>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margin %</w:t>
            </w:r>
          </w:p>
        </w:tc>
        <w:tc>
          <w:tcPr>
            <w:tcW w:w="196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39.1 %</w:t>
            </w:r>
          </w:p>
        </w:tc>
        <w:tc>
          <w:tcPr>
            <w:tcW w:w="14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38.0 %</w:t>
            </w:r>
          </w:p>
        </w:tc>
        <w:tc>
          <w:tcPr>
            <w:tcW w:w="5580" w:type="dxa"/>
            <w:vAlign w:val="bottom"/>
            <w:shd w:val="clear" w:color="auto" w:fill="CCEEFF"/>
          </w:tcPr>
          <w:p>
            <w:pPr>
              <w:jc w:val="right"/>
              <w:ind w:right="4533"/>
              <w:spacing w:after="0"/>
              <w:rPr>
                <w:sz w:val="20"/>
                <w:szCs w:val="20"/>
                <w:color w:val="auto"/>
              </w:rPr>
            </w:pPr>
            <w:r>
              <w:rPr>
                <w:rFonts w:ascii="Arial" w:cs="Arial" w:eastAsia="Arial" w:hAnsi="Arial"/>
                <w:sz w:val="17"/>
                <w:szCs w:val="17"/>
                <w:color w:val="auto"/>
              </w:rPr>
              <w:t>33.9 %</w:t>
            </w:r>
          </w:p>
        </w:tc>
      </w:tr>
      <w:tr>
        <w:trPr>
          <w:trHeight w:val="222"/>
        </w:trPr>
        <w:tc>
          <w:tcPr>
            <w:tcW w:w="2280" w:type="dxa"/>
            <w:vAlign w:val="bottom"/>
          </w:tcPr>
          <w:p>
            <w:pPr>
              <w:ind w:left="20"/>
              <w:spacing w:after="0"/>
              <w:rPr>
                <w:sz w:val="20"/>
                <w:szCs w:val="20"/>
                <w:color w:val="auto"/>
              </w:rPr>
            </w:pPr>
            <w:r>
              <w:rPr>
                <w:rFonts w:ascii="Arial" w:cs="Arial" w:eastAsia="Arial" w:hAnsi="Arial"/>
                <w:sz w:val="17"/>
                <w:szCs w:val="17"/>
                <w:color w:val="auto"/>
              </w:rPr>
              <w:t>Service margin %</w:t>
            </w:r>
          </w:p>
        </w:tc>
        <w:tc>
          <w:tcPr>
            <w:tcW w:w="1960" w:type="dxa"/>
            <w:vAlign w:val="bottom"/>
          </w:tcPr>
          <w:p>
            <w:pPr>
              <w:jc w:val="right"/>
              <w:ind w:right="393"/>
              <w:spacing w:after="0"/>
              <w:rPr>
                <w:sz w:val="20"/>
                <w:szCs w:val="20"/>
                <w:color w:val="auto"/>
              </w:rPr>
            </w:pPr>
            <w:r>
              <w:rPr>
                <w:rFonts w:ascii="Arial" w:cs="Arial" w:eastAsia="Arial" w:hAnsi="Arial"/>
                <w:sz w:val="17"/>
                <w:szCs w:val="17"/>
                <w:color w:val="auto"/>
              </w:rPr>
              <w:t>33.5 %</w:t>
            </w:r>
          </w:p>
        </w:tc>
        <w:tc>
          <w:tcPr>
            <w:tcW w:w="1420" w:type="dxa"/>
            <w:vAlign w:val="bottom"/>
          </w:tcPr>
          <w:p>
            <w:pPr>
              <w:jc w:val="right"/>
              <w:ind w:right="353"/>
              <w:spacing w:after="0"/>
              <w:rPr>
                <w:sz w:val="20"/>
                <w:szCs w:val="20"/>
                <w:color w:val="auto"/>
              </w:rPr>
            </w:pPr>
            <w:r>
              <w:rPr>
                <w:rFonts w:ascii="Arial" w:cs="Arial" w:eastAsia="Arial" w:hAnsi="Arial"/>
                <w:sz w:val="17"/>
                <w:szCs w:val="17"/>
                <w:color w:val="auto"/>
              </w:rPr>
              <w:t>30.9 %</w:t>
            </w:r>
          </w:p>
        </w:tc>
        <w:tc>
          <w:tcPr>
            <w:tcW w:w="5580" w:type="dxa"/>
            <w:vAlign w:val="bottom"/>
          </w:tcPr>
          <w:p>
            <w:pPr>
              <w:jc w:val="right"/>
              <w:ind w:right="4533"/>
              <w:spacing w:after="0"/>
              <w:rPr>
                <w:sz w:val="20"/>
                <w:szCs w:val="20"/>
                <w:color w:val="auto"/>
              </w:rPr>
            </w:pPr>
            <w:r>
              <w:rPr>
                <w:rFonts w:ascii="Arial" w:cs="Arial" w:eastAsia="Arial" w:hAnsi="Arial"/>
                <w:sz w:val="17"/>
                <w:szCs w:val="17"/>
                <w:color w:val="auto"/>
              </w:rPr>
              <w:t>29.9 %</w:t>
            </w:r>
          </w:p>
        </w:tc>
      </w:tr>
    </w:tbl>
    <w:p>
      <w:pPr>
        <w:spacing w:after="0" w:line="38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Gross margin for fiscal 2021 increased by $17.9 million, or 21.2%, compared with fiscal 2020. Gross margin as a percentage of revenue for fiscal 2021 increased to 37.3%, compared with 35.5% in fiscal 2020, primarily due to higher volume of Private Network business, increased sales through Aviat Store which serves primarily the Rural Broadband, and wins with our multiband products and software sales.</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Gross margin for fiscal 2020 increased $5.4 million, or 6.8%, compared with fiscal 2019. Gross margin as a percentage of revenue for fiscal 2020 increased to 35.5%, compared with 32.5% in fiscal 2019, primarily due to higher margin rates for product sales and implementation of cost savings initiatives. The increased volume of product sales in North America, which generally has a higher gross margin compared to international, contributed most of the overall gross margin improvement in fiscal 2020.</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ind w:left="600"/>
              <w:spacing w:after="0"/>
              <w:rPr>
                <w:sz w:val="20"/>
                <w:szCs w:val="20"/>
                <w:color w:val="auto"/>
              </w:rPr>
            </w:pPr>
            <w:r>
              <w:rPr>
                <w:rFonts w:ascii="Arial" w:cs="Arial" w:eastAsia="Arial" w:hAnsi="Arial"/>
                <w:sz w:val="14"/>
                <w:szCs w:val="14"/>
                <w:b w:val="1"/>
                <w:bCs w:val="1"/>
                <w:color w:val="auto"/>
              </w:rPr>
              <w:t>$ Change</w:t>
            </w:r>
          </w:p>
        </w:tc>
        <w:tc>
          <w:tcPr>
            <w:tcW w:w="2340" w:type="dxa"/>
            <w:vAlign w:val="bottom"/>
            <w:gridSpan w:val="3"/>
          </w:tcPr>
          <w:p>
            <w:pPr>
              <w:jc w:val="right"/>
              <w:ind w:right="782"/>
              <w:spacing w:after="0"/>
              <w:rPr>
                <w:sz w:val="20"/>
                <w:szCs w:val="20"/>
                <w:color w:val="auto"/>
              </w:rPr>
            </w:pPr>
            <w:r>
              <w:rPr>
                <w:rFonts w:ascii="Arial" w:cs="Arial" w:eastAsia="Arial" w:hAnsi="Arial"/>
                <w:sz w:val="14"/>
                <w:szCs w:val="14"/>
                <w:b w:val="1"/>
                <w:bCs w:val="1"/>
                <w:color w:val="auto"/>
              </w:rPr>
              <w:t>% Change</w:t>
            </w:r>
          </w:p>
        </w:tc>
      </w:tr>
      <w:tr>
        <w:trPr>
          <w:trHeight w:val="181"/>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3"/>
              </w:rPr>
              <w:t>2021/2020</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3"/>
              </w:rPr>
              <w:t>2020/2019</w:t>
            </w:r>
          </w:p>
        </w:tc>
        <w:tc>
          <w:tcPr>
            <w:tcW w:w="10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2021/2020</w:t>
            </w:r>
          </w:p>
        </w:tc>
        <w:tc>
          <w:tcPr>
            <w:tcW w:w="10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2020/2019</w:t>
            </w:r>
          </w:p>
        </w:tc>
      </w:tr>
      <w:tr>
        <w:trPr>
          <w:trHeight w:val="21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Research and development expenses   $</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21,810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19,284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21,111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22"/>
        </w:trPr>
        <w:tc>
          <w:tcPr>
            <w:tcW w:w="3060" w:type="dxa"/>
            <w:vAlign w:val="bottom"/>
            <w:gridSpan w:val="2"/>
          </w:tcPr>
          <w:p>
            <w:pPr>
              <w:ind w:left="20"/>
              <w:spacing w:after="0"/>
              <w:rPr>
                <w:sz w:val="20"/>
                <w:szCs w:val="20"/>
                <w:color w:val="auto"/>
              </w:rPr>
            </w:pPr>
            <w:r>
              <w:rPr>
                <w:rFonts w:ascii="Arial" w:cs="Arial" w:eastAsia="Arial" w:hAnsi="Arial"/>
                <w:sz w:val="17"/>
                <w:szCs w:val="17"/>
                <w:color w:val="auto"/>
              </w:rPr>
              <w:t>% of revenue</w:t>
            </w:r>
          </w:p>
        </w:tc>
        <w:tc>
          <w:tcPr>
            <w:tcW w:w="940" w:type="dxa"/>
            <w:vAlign w:val="bottom"/>
          </w:tcPr>
          <w:p>
            <w:pPr>
              <w:jc w:val="right"/>
              <w:spacing w:after="0"/>
              <w:rPr>
                <w:sz w:val="20"/>
                <w:szCs w:val="20"/>
                <w:color w:val="auto"/>
              </w:rPr>
            </w:pPr>
            <w:r>
              <w:rPr>
                <w:rFonts w:ascii="Arial" w:cs="Arial" w:eastAsia="Arial" w:hAnsi="Arial"/>
                <w:sz w:val="17"/>
                <w:szCs w:val="17"/>
                <w:color w:val="auto"/>
              </w:rPr>
              <w:t>7.9 %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38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research and development (“R&amp;D”) expenses increased by $2.5 million, or 13.1%, in fiscal 2021 compared with fiscal 2020. The increase was due to additional investments to support new product offerings.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R&amp;D expenses decreased $1.8 million, or 8.7%, in fiscal 2020 compared with fiscal 2019. The decrease was primarily due to consolidation of product development, lower variable compensation and costs reduction initiatives associated with COVID-19, offset in part by expenses associated with one extra week in our fiscal 2020 calendar.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Administrative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ind w:left="600"/>
              <w:spacing w:after="0"/>
              <w:rPr>
                <w:sz w:val="20"/>
                <w:szCs w:val="20"/>
                <w:color w:val="auto"/>
              </w:rPr>
            </w:pPr>
            <w:r>
              <w:rPr>
                <w:rFonts w:ascii="Arial" w:cs="Arial" w:eastAsia="Arial" w:hAnsi="Arial"/>
                <w:sz w:val="14"/>
                <w:szCs w:val="14"/>
                <w:b w:val="1"/>
                <w:bCs w:val="1"/>
                <w:color w:val="auto"/>
              </w:rPr>
              <w:t>$ Change</w:t>
            </w:r>
          </w:p>
        </w:tc>
        <w:tc>
          <w:tcPr>
            <w:tcW w:w="2320" w:type="dxa"/>
            <w:vAlign w:val="bottom"/>
            <w:gridSpan w:val="3"/>
          </w:tcPr>
          <w:p>
            <w:pPr>
              <w:jc w:val="right"/>
              <w:ind w:right="762"/>
              <w:spacing w:after="0"/>
              <w:rPr>
                <w:sz w:val="20"/>
                <w:szCs w:val="20"/>
                <w:color w:val="auto"/>
              </w:rPr>
            </w:pPr>
            <w:r>
              <w:rPr>
                <w:rFonts w:ascii="Arial" w:cs="Arial" w:eastAsia="Arial" w:hAnsi="Arial"/>
                <w:sz w:val="14"/>
                <w:szCs w:val="14"/>
                <w:b w:val="1"/>
                <w:bCs w:val="1"/>
                <w:color w:val="auto"/>
              </w:rPr>
              <w:t>% Change</w:t>
            </w:r>
          </w:p>
        </w:tc>
      </w:tr>
      <w:tr>
        <w:trPr>
          <w:trHeight w:val="18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0"/>
              </w:rPr>
              <w:t>2020/2019</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2021/2020</w:t>
            </w:r>
          </w:p>
        </w:tc>
        <w:tc>
          <w:tcPr>
            <w:tcW w:w="120" w:type="dxa"/>
            <w:vAlign w:val="bottom"/>
            <w:tcBorders>
              <w:top w:val="single" w:sz="8" w:color="auto"/>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2020/2019</w:t>
            </w: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administrative expenses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56,324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57,985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56,055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1,930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222"/>
        </w:trPr>
        <w:tc>
          <w:tcPr>
            <w:tcW w:w="2780" w:type="dxa"/>
            <w:vAlign w:val="bottom"/>
          </w:tcPr>
          <w:p>
            <w:pPr>
              <w:ind w:left="20"/>
              <w:spacing w:after="0"/>
              <w:rPr>
                <w:sz w:val="20"/>
                <w:szCs w:val="20"/>
                <w:color w:val="auto"/>
              </w:rPr>
            </w:pPr>
            <w:r>
              <w:rPr>
                <w:rFonts w:ascii="Arial" w:cs="Arial" w:eastAsia="Arial" w:hAnsi="Arial"/>
                <w:sz w:val="17"/>
                <w:szCs w:val="17"/>
                <w:color w:val="auto"/>
              </w:rPr>
              <w:t>% of revenue</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selling and administrative expenses decreased by $1.7 million, or 2.9%, in fiscal 2021 compared with fiscal 2020. The decrease was primarily due to lower travel expenses and restructuring savings offset in part by higher sales-related expenses.</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selling and administrative expenses increased $1.9 million, or 3.4%, in fiscal 2020 compared with fiscal 2019. The increase was primarily due to higher variable compensation and expenses associated with one extra week in our fiscal 2020 calendar, partially offset by cost reductions initiatives associated with COVID-19.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third and fourth quarters of fiscal 2021, our Board of Directors approved restructuring plans (the “Fiscal 2021 Plan”) to continue to reduce our</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operating costs and improve profitability. We recorded restructuring charges of $2.4 million related to the Fiscal 2021 Plan in fiscal 2021. Payments related to the accrued restructuring balances for this plan are expected to be fully paid in fiscal 2022.</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During the fourth quarter of fiscal 2020, our Board of Directors approved a restructuring plan (the “Q4 2020 Plan”) in order to continue to reduce our operating costs and improve profitability to optimize our business model and increase efficiencies. We recorded restructuring charges of $1.9 million related to the Q4 2020 Plan in fiscal 2020. Payments related to the accrued restructuring liability balance for this plan are expected to be fully paid in fiscal 2022.</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third quarter of fiscal 2020, our Board of Directors approved a restructuring plan (the “Q3 2020 Plan”) in order to reduce our operating costs and improve profitability to optimize our business model and increase efficiencies. We recorded restructuring charges of $0.6 million related to the Q3 2020 Plan in fiscal 2020. Payments related to the accrued restructuring liability balance for this plan were fully paid in fiscal 2021.</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were fully paid in fiscal 2021.</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were fully paid in fiscal 2021.</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restructuring charges by plan for fiscal 2021, 2020 and 2019 are summarized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88"/>
              </w:rPr>
              <w:t>% Change</w:t>
            </w:r>
          </w:p>
        </w:tc>
        <w:tc>
          <w:tcPr>
            <w:tcW w:w="880" w:type="dxa"/>
            <w:vAlign w:val="bottom"/>
            <w:tcBorders>
              <w:bottom w:val="single" w:sz="8" w:color="auto"/>
            </w:tcBorders>
          </w:tcPr>
          <w:p>
            <w:pPr>
              <w:spacing w:after="0"/>
              <w:rPr>
                <w:sz w:val="16"/>
                <w:szCs w:val="16"/>
                <w:color w:val="auto"/>
              </w:rPr>
            </w:pPr>
          </w:p>
        </w:tc>
      </w:tr>
      <w:tr>
        <w:trPr>
          <w:trHeight w:val="18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2020/2019</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2021/2020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7"/>
              </w:rPr>
              <w:t>2020/2019</w:t>
            </w: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Fiscal 2021 Plan</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center"/>
              <w:ind w:left="219"/>
              <w:spacing w:after="0"/>
              <w:rPr>
                <w:sz w:val="20"/>
                <w:szCs w:val="20"/>
                <w:color w:val="auto"/>
              </w:rPr>
            </w:pPr>
            <w:r>
              <w:rPr>
                <w:rFonts w:ascii="Arial" w:cs="Arial" w:eastAsia="Arial" w:hAnsi="Arial"/>
                <w:sz w:val="17"/>
                <w:szCs w:val="17"/>
                <w:color w:val="auto"/>
                <w:w w:val="89"/>
              </w:rPr>
              <w:t>2,414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22"/>
        </w:trPr>
        <w:tc>
          <w:tcPr>
            <w:tcW w:w="2980" w:type="dxa"/>
            <w:vAlign w:val="bottom"/>
          </w:tcPr>
          <w:p>
            <w:pPr>
              <w:ind w:left="20"/>
              <w:spacing w:after="0"/>
              <w:rPr>
                <w:sz w:val="20"/>
                <w:szCs w:val="20"/>
                <w:color w:val="auto"/>
              </w:rPr>
            </w:pPr>
            <w:r>
              <w:rPr>
                <w:rFonts w:ascii="Arial" w:cs="Arial" w:eastAsia="Arial" w:hAnsi="Arial"/>
                <w:sz w:val="17"/>
                <w:szCs w:val="17"/>
                <w:color w:val="auto"/>
              </w:rPr>
              <w:t>Q4 2020 Plan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tcPr>
          <w:p>
            <w:pPr>
              <w:jc w:val="center"/>
              <w:ind w:left="199"/>
              <w:spacing w:after="0"/>
              <w:rPr>
                <w:sz w:val="20"/>
                <w:szCs w:val="20"/>
                <w:color w:val="auto"/>
              </w:rPr>
            </w:pPr>
            <w:r>
              <w:rPr>
                <w:rFonts w:ascii="Arial" w:cs="Arial" w:eastAsia="Arial" w:hAnsi="Arial"/>
                <w:sz w:val="17"/>
                <w:szCs w:val="17"/>
                <w:color w:val="auto"/>
                <w:w w:val="96"/>
              </w:rPr>
              <w:t>(1,787)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1,879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2"/>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Years' Plan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7"/>
                <w:szCs w:val="17"/>
                <w:color w:val="auto"/>
                <w:w w:val="96"/>
              </w:rPr>
              <w:t>(2,405)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194.8 %</w:t>
            </w:r>
          </w:p>
        </w:tc>
      </w:tr>
      <w:tr>
        <w:trPr>
          <w:trHeight w:val="215"/>
        </w:trPr>
        <w:tc>
          <w:tcPr>
            <w:tcW w:w="2980" w:type="dxa"/>
            <w:vAlign w:val="bottom"/>
          </w:tcPr>
          <w:p>
            <w:pPr>
              <w:ind w:left="140"/>
              <w:spacing w:after="0"/>
              <w:rPr>
                <w:sz w:val="20"/>
                <w:szCs w:val="20"/>
                <w:color w:val="auto"/>
              </w:rPr>
            </w:pPr>
            <w:r>
              <w:rPr>
                <w:rFonts w:ascii="Arial" w:cs="Arial" w:eastAsia="Arial" w:hAnsi="Arial"/>
                <w:sz w:val="17"/>
                <w:szCs w:val="17"/>
                <w:color w:val="auto"/>
              </w:rPr>
              <w:t>Restructuring charges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center"/>
              <w:ind w:left="199"/>
              <w:spacing w:after="0"/>
              <w:rPr>
                <w:sz w:val="20"/>
                <w:szCs w:val="20"/>
                <w:color w:val="auto"/>
              </w:rPr>
            </w:pPr>
            <w:r>
              <w:rPr>
                <w:rFonts w:ascii="Arial" w:cs="Arial" w:eastAsia="Arial" w:hAnsi="Arial"/>
                <w:sz w:val="17"/>
                <w:szCs w:val="17"/>
                <w:color w:val="auto"/>
                <w:w w:val="96"/>
              </w:rPr>
              <w:t>(1,778)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3,313</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450.1 %</w:t>
            </w: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Restructuring charges for fiscal 2021 included employee severance and benefits of $2.4 million the Fiscal 2021 Plan and a reduction in the previously estimated accrual of $0.2 million in Prior Years' Plan. Restructuring charges for fiscal 2020 included employee severance and benefits costs of $1.9 million for the Q4 2020 Plan, $2.2 million for the Prior Years' Plan. Restructuring charges for fiscal 2019 included $0.7 million of employee severance and benefits costs related to the Prior Years' Plan.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Interest Expense and Other Income (Expense),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5"/>
          </w:tcPr>
          <w:p>
            <w:pPr>
              <w:ind w:left="62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3"/>
          </w:tcPr>
          <w:p>
            <w:pPr>
              <w:ind w:left="880"/>
              <w:spacing w:after="0"/>
              <w:rPr>
                <w:sz w:val="20"/>
                <w:szCs w:val="20"/>
                <w:color w:val="auto"/>
              </w:rPr>
            </w:pPr>
            <w:r>
              <w:rPr>
                <w:rFonts w:ascii="Arial" w:cs="Arial" w:eastAsia="Arial" w:hAnsi="Arial"/>
                <w:sz w:val="14"/>
                <w:szCs w:val="14"/>
                <w:b w:val="1"/>
                <w:bCs w:val="1"/>
                <w:color w:val="auto"/>
                <w:w w:val="91"/>
              </w:rPr>
              <w:t>% Change</w:t>
            </w:r>
          </w:p>
        </w:tc>
        <w:tc>
          <w:tcPr>
            <w:tcW w:w="880" w:type="dxa"/>
            <w:vAlign w:val="bottom"/>
          </w:tcPr>
          <w:p>
            <w:pPr>
              <w:spacing w:after="0"/>
              <w:rPr>
                <w:sz w:val="16"/>
                <w:szCs w:val="16"/>
                <w:color w:val="auto"/>
              </w:rPr>
            </w:pPr>
          </w:p>
        </w:tc>
      </w:tr>
      <w:tr>
        <w:trPr>
          <w:trHeight w:val="18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2020/2019</w:t>
            </w: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2021/2020</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7"/>
              </w:rPr>
              <w:t>2020/2019</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22"/>
        </w:trPr>
        <w:tc>
          <w:tcPr>
            <w:tcW w:w="29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954"/>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716"/>
              <w:spacing w:after="0"/>
              <w:rPr>
                <w:sz w:val="20"/>
                <w:szCs w:val="20"/>
                <w:color w:val="auto"/>
              </w:rPr>
            </w:pPr>
            <w:r>
              <w:rPr>
                <w:rFonts w:ascii="Arial" w:cs="Arial" w:eastAsia="Arial" w:hAnsi="Arial"/>
                <w:sz w:val="17"/>
                <w:szCs w:val="17"/>
                <w:color w:val="auto"/>
                <w:w w:val="94"/>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1"/>
        </w:trPr>
        <w:tc>
          <w:tcPr>
            <w:tcW w:w="2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income reflected interest earned on our cash equivalents which were comprised of money market funds and bank certificates of deposit.</w:t>
      </w:r>
    </w:p>
    <w:p>
      <w:pPr>
        <w:spacing w:after="0" w:line="182"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Interest expense was primarily related to interest associated with borrowings under our Silicon Valley Bank (“SVB”) credit facility and discounts on customer letters of credit.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percentages)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2021/2020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3"/>
              </w:rPr>
              <w:t>2020/2019</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22,440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3,709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18,731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w:t>
            </w: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32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(87,699)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40"/>
              <w:spacing w:after="0"/>
              <w:rPr>
                <w:sz w:val="20"/>
                <w:szCs w:val="20"/>
                <w:color w:val="auto"/>
              </w:rPr>
            </w:pPr>
            <w:r>
              <w:rPr>
                <w:rFonts w:ascii="Arial" w:cs="Arial" w:eastAsia="Arial" w:hAnsi="Arial"/>
                <w:sz w:val="17"/>
                <w:szCs w:val="17"/>
                <w:color w:val="auto"/>
              </w:rPr>
              <w:t>3,452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ind w:left="300"/>
              <w:spacing w:after="0"/>
              <w:rPr>
                <w:sz w:val="20"/>
                <w:szCs w:val="20"/>
                <w:color w:val="auto"/>
              </w:rPr>
            </w:pPr>
            <w:r>
              <w:rPr>
                <w:rFonts w:ascii="Arial" w:cs="Arial" w:eastAsia="Arial" w:hAnsi="Arial"/>
                <w:sz w:val="17"/>
                <w:szCs w:val="17"/>
                <w:color w:val="auto"/>
              </w:rPr>
              <w:t>(8,188)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(91,151)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11,640</w:t>
            </w: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 of income before income taxes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5"/>
              </w:rPr>
              <w:t>(528.3)%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Our (benefit from) provision for income taxes was $87.7 million of benefit for fiscal 2021, $3.5 million of expense for fiscal 2020 and $8.2 million of benefit for fiscal 2019. Our tax benefit for fiscal 2021 was primarily due to the release of $92.2 million in valuation allowance on our U.S. federal and state deferred tax assets, offset by tax expenses related to profitable foreign subsidiaries and an increase in our reserve for uncertain tax positions.</w:t>
      </w:r>
    </w:p>
    <w:p>
      <w:pPr>
        <w:spacing w:after="0" w:line="17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tax expense for fiscal 2020 was primarily due to tax expense related to profitable foreign subsidiaries and an increase in our reserve for uncertain tax positions.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Strategies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July 2, 2021, our cash and cash equivalents and short-term investments totaled $47.9 million. Approximately $27.9 million, or 58.2%, was held in the United States. The remaining balance of $20.0 million, or 41.8%, was held by entities outside the United States. Of the amount of cash and cash equivalents held by our foreign subsidiaries at July 2, 2021, $18.8 million was held in jurisdictions where our undistributed earnings are indefinitely reinvested, and if repatriated, would be subject to foreign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Cash provided by operating activities is presented as net income adjusted for certain non-cash items and changes in assets and liabilities. Net cash provided by operating activities was $17.3 million for fiscal 2021, $17.5 million for fiscal 2020 and $2.9 million for fiscal 2019.</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fiscal 2021 compared to fiscal 2020, cash provided by operating activities decreased by $0.2 million. The net contribution of non-cash items to cash provided by operating activities decreased by $92.3 million and the net contribution of changes in operating assets and liabilities to cash provided by operating activities decreased by $17.7 million in fiscal 2021 as compared to fiscal 2020.</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$92.3 million decrease in the net contribution of non-cash items to cash provided by operating activities was primarily attributable to a $90.4 million net change in deferred tax assets.</w:t>
      </w:r>
    </w:p>
    <w:p>
      <w:pPr>
        <w:spacing w:after="0" w:line="106"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Net changes in operating assets and liabilities resulted in a decrease of $17.7 million to cash used by operating activities for fiscal 2021 compared to fiscal 2020. Accounts receivable and unbilled costs fluctuate from period to period, depending on the amount and timing of sales and billing activities and cash collections. The fluctuations in accounts payable and accrued expenses during fiscal 2021 were primarily due to the timing of liabilities incurred and vendor payments. The change in inventories and in customer service inventories during fiscal 2021 were primarily driven by forecasted demand and to secure component parts in shortage. The increase in customer advance payments and unearned revenue during fiscal 2021 was due to the timing of payment from customers and revenue recognition. We used $2.3 million in cash during fiscal 2021 on expenses related to restructuring liabilities.</w:t>
      </w:r>
    </w:p>
    <w:p>
      <w:pPr>
        <w:spacing w:after="0" w:line="11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fiscal 2020 compared to fiscal 2019, cash provided by operating activities increased by $14.5 million. The net contribution of non-cash items to cash provided by operating activities increased by $9.3 million and the net changes in operating assets and liabilities to cash provided by operating activities increased by $10.3 million in fiscal 2020 as compared to fiscal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$9.3 million increase in the net contribution of non-cash items to cash provided by operating activities was primarily attributable to a $8.6 million net change in deferred tax assets.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cash used in investing activities was $2.8 million for fiscal year 2021, $4.6 million for fiscal 2020 and $5.2 million for fiscal 2019, which consisted of capital expenditures.</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fiscal 2022, we expect to spend between $5.0 million to $6.0 million for capital expenditures, primarily on equipment for development and manufacturing of new products and IT infrastructure.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Financing cash flows consist primarily of proceeds and repayments of short-term debt, repurchase of stock and proceeds from the sale of shares of common stock through employee equity plans. Net cash used in financing activities was $8.0 million for fiscal year 2021, which was attributable to $9.0 million for the repayment of borrowings, $0.8 million for repurchase of common stock, $0.2 million payments for taxes related to net settlement of equity awards, offset by $1.9 million proceeds from the issuance of common stock from employee stock plans. Net cash used by financing activities was $2.5 million for fiscal 2020 and $3.0 million for fiscal 2019.</w:t>
      </w:r>
    </w:p>
    <w:p>
      <w:pPr>
        <w:spacing w:after="0" w:line="127"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July 2, 2021, our principal sources of liquidity consisted of the $47.9 million in cash and cash equivalents, $22.7 million of available credit under our $25.0 million credit facility with Silicon Valley Bank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27"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On May 17, 2021 we entered into Amendment No. 4 to Third Amended and Restated Loan and Security Agreement, which extended the expiration date to June 28, 2024. While we intend to continue to renew the SVB Credit Facility in the future,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7" w:lineRule="exact"/>
        <w:rPr>
          <w:sz w:val="20"/>
          <w:szCs w:val="20"/>
          <w:color w:val="auto"/>
        </w:rPr>
      </w:pPr>
    </w:p>
    <w:p>
      <w:pPr>
        <w:jc w:val="both"/>
        <w:ind w:firstLine="470"/>
        <w:spacing w:after="0" w:line="298" w:lineRule="auto"/>
        <w:rPr>
          <w:sz w:val="20"/>
          <w:szCs w:val="20"/>
          <w:color w:val="auto"/>
        </w:rPr>
      </w:pPr>
      <w:r>
        <w:rPr>
          <w:rFonts w:ascii="Arial" w:cs="Arial" w:eastAsia="Arial" w:hAnsi="Arial"/>
          <w:sz w:val="16"/>
          <w:szCs w:val="16"/>
          <w:color w:val="auto"/>
        </w:rPr>
        <w:t>On April 13, 2021, we filed a registration statement on Form S-3 with the SEC using a “shelf” registration process. If and when we utilize the shelf registration, we will be able to, from time to time, offer and sell, either individually or in combination, in one or more offerings, up to a total dollar amount of</w:t>
      </w:r>
    </w:p>
    <w:p>
      <w:pPr>
        <w:jc w:val="both"/>
        <w:spacing w:after="0" w:line="288" w:lineRule="auto"/>
        <w:rPr>
          <w:sz w:val="20"/>
          <w:szCs w:val="20"/>
          <w:color w:val="auto"/>
        </w:rPr>
      </w:pPr>
      <w:r>
        <w:rPr>
          <w:rFonts w:ascii="Arial" w:cs="Arial" w:eastAsia="Arial" w:hAnsi="Arial"/>
          <w:sz w:val="17"/>
          <w:szCs w:val="17"/>
          <w:color w:val="auto"/>
        </w:rPr>
        <w:t>$200 million of any combination of the securities described in the shelf registration statement. Each time we offer securities under this shelf registration, we will provide a prospectus supplement that will contain more specific information about the terms of that offering.</w:t>
      </w:r>
    </w:p>
    <w:p>
      <w:pPr>
        <w:spacing w:after="0" w:line="106"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Credit Facility, Borrowings and Repayment of Debt</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receivable formula-based revolving credit facility can also be utilized to issue letters of credit with a $12.0 million sub-limit. We may prepay loans under the SVB Credit Facility in whole or in part at any time without premium or penalty. As of July 2, 2021, available credit under the SVB Credit Facility was $22.7 million reflecting the calculated borrowing base of $25.0 million less outstanding letters of credit of $2.3 million. We did not borrow against the SVB Credit Facility during fiscal 2021 and there was no borrowing outstanding as of July 2, 2021.</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subsidiary-borrowed loans shall bear interest at an additional 2.00% above the applicable prime or LIBOR rate.</w:t>
      </w:r>
    </w:p>
    <w:p>
      <w:pPr>
        <w:spacing w:after="0" w:line="123"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SVB Credit Facility contains monthly and quarterly financial covenants for minimum adjusted quick ratio and minimum profitability (EBITDA) requirements, respectively.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enter into a transaction resulting in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July 2, 2021, we were in compliance with the quarterly financial covenants, as amended, contained in the SVB Credit Facility.</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Due to the current economic uncertainty stemming from the impact of the COVID-19 pandemic, on April 21, 2020, we entered into a Paycheck Protection Program Note (the “Note”) with Silicon Valley Bank as the lender (“Lender”) in an aggregate principal amount of $5.9 million pursuant to the Paycheck Protection Program under the CARES Act (the “PPP Loan”). On April 22, 2020, we received proceeds of $5.9 million from the PPP Loan. At the time when we applied for the PPP Loan, we had qualified to receive the funds pursuant to the then-published qualification requirements. On April 23, 2020, the SBA, in consultation with the Department of Treasury, issued new guidance regarding qualification requirements for public companies. Based on our assessment of the new guidance, on May 5, 2020, we repaid the principal and interest on the PPP Loan.</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July 2, 2021. The line of credit also provides for the issuance of standby letters of credit and company credit cards, of which $0.1 million was outstanding as of July 2, 2021. This facility may be terminated upon notice, is reviewed annually for renewal or modification, and is supported by a corporate guarantee.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Payments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had liabilities for restructuring activities totaling $2.7 million as of July 2, 2021, which was classified as current liability and expected to be paid in cash over the next 12 months. We expect to fund these future payments with available cash and cash provided by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contractual obligations and commitments as of July 2, 2021: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Obligations Due by Fiscal Year</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9"/>
              </w:rPr>
              <w:t>1 - 3 years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3 - 5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&gt; 5 years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Other</w:t>
            </w:r>
          </w:p>
        </w:tc>
      </w:tr>
      <w:tr>
        <w:trPr>
          <w:trHeight w:val="216"/>
        </w:trPr>
        <w:tc>
          <w:tcPr>
            <w:tcW w:w="37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2"/>
                <w:szCs w:val="22"/>
                <w:color w:val="auto"/>
                <w:vertAlign w:val="superscript"/>
              </w:rPr>
              <w:t>(1)(4)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37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Other purchase obligations </w:t>
            </w:r>
            <w:r>
              <w:rPr>
                <w:rFonts w:ascii="Arial" w:cs="Arial" w:eastAsia="Arial" w:hAnsi="Arial"/>
                <w:sz w:val="22"/>
                <w:szCs w:val="22"/>
                <w:color w:val="auto"/>
                <w:vertAlign w:val="superscript"/>
              </w:rPr>
              <w:t>(3)(4)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3760" w:type="dxa"/>
            <w:vAlign w:val="bottom"/>
            <w:shd w:val="clear" w:color="auto" w:fill="CCEEFF"/>
          </w:tcPr>
          <w:p>
            <w:pPr>
              <w:ind w:left="20"/>
              <w:spacing w:after="0" w:line="222"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3760" w:type="dxa"/>
            <w:vAlign w:val="bottom"/>
          </w:tcPr>
          <w:p>
            <w:pPr>
              <w:ind w:left="20"/>
              <w:spacing w:after="0" w:line="222" w:lineRule="exact"/>
              <w:rPr>
                <w:sz w:val="20"/>
                <w:szCs w:val="20"/>
                <w:color w:val="auto"/>
              </w:rPr>
            </w:pPr>
            <w:r>
              <w:rPr>
                <w:rFonts w:ascii="Arial" w:cs="Arial" w:eastAsia="Arial" w:hAnsi="Arial"/>
                <w:sz w:val="17"/>
                <w:szCs w:val="17"/>
                <w:color w:val="auto"/>
              </w:rPr>
              <w:t xml:space="preserve">Reserve for uncertain tax positions </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5,164</w:t>
            </w:r>
          </w:p>
        </w:tc>
      </w:tr>
      <w:tr>
        <w:trPr>
          <w:trHeight w:val="240"/>
        </w:trPr>
        <w:tc>
          <w:tcPr>
            <w:tcW w:w="3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contractual cash obligations</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5,164</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___________________________</w:t>
      </w:r>
    </w:p>
    <w:p>
      <w:pPr>
        <w:spacing w:after="0" w:line="66" w:lineRule="exact"/>
        <w:rPr>
          <w:sz w:val="20"/>
          <w:szCs w:val="20"/>
          <w:color w:val="auto"/>
        </w:rPr>
      </w:pPr>
    </w:p>
    <w:p>
      <w:pPr>
        <w:jc w:val="both"/>
        <w:ind w:left="320" w:hanging="315"/>
        <w:spacing w:after="0" w:line="284" w:lineRule="auto"/>
        <w:tabs>
          <w:tab w:leader="none" w:pos="3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9" w:lineRule="exact"/>
        <w:rPr>
          <w:rFonts w:ascii="Arial" w:cs="Arial" w:eastAsia="Arial" w:hAnsi="Arial"/>
          <w:sz w:val="16"/>
          <w:szCs w:val="16"/>
          <w:color w:val="auto"/>
        </w:rPr>
      </w:pPr>
    </w:p>
    <w:p>
      <w:pPr>
        <w:ind w:left="320" w:hanging="315"/>
        <w:spacing w:after="0" w:line="306" w:lineRule="auto"/>
        <w:tabs>
          <w:tab w:leader="none" w:pos="3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Liabilities for uncertain tax positions of $5.2 million were included in long-term liabilities in the consolidated balance sheets. At this time, we are unable to make a reasonably reliable estimate of the timing of payments related to this amount due to uncertainties in the timing of tax audit outcomes.</w:t>
      </w:r>
    </w:p>
    <w:p>
      <w:pPr>
        <w:spacing w:after="0" w:line="1" w:lineRule="exact"/>
        <w:rPr>
          <w:rFonts w:ascii="Arial" w:cs="Arial" w:eastAsia="Arial" w:hAnsi="Arial"/>
          <w:sz w:val="16"/>
          <w:szCs w:val="16"/>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Contractual obligation related to software as a service and software maintenance support.</w:t>
      </w:r>
    </w:p>
    <w:p>
      <w:pPr>
        <w:spacing w:after="0" w:line="65" w:lineRule="exact"/>
        <w:rPr>
          <w:rFonts w:ascii="Arial" w:cs="Arial" w:eastAsia="Arial" w:hAnsi="Arial"/>
          <w:sz w:val="17"/>
          <w:szCs w:val="17"/>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These items are not recorded on our consolidated balance sheets.</w:t>
      </w:r>
    </w:p>
    <w:p>
      <w:pPr>
        <w:spacing w:after="0" w:line="65" w:lineRule="exact"/>
        <w:rPr>
          <w:rFonts w:ascii="Arial" w:cs="Arial" w:eastAsia="Arial" w:hAnsi="Arial"/>
          <w:sz w:val="17"/>
          <w:szCs w:val="17"/>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operating leases with terms less than 1 year that are not recorded on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Commitments</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July 2, 2021, we had commercial commitments on outstanding surety bonds and standby letters of credit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Expiration of Commitments by Fiscal Year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After 2024</w:t>
            </w:r>
          </w:p>
        </w:tc>
      </w:tr>
      <w:tr>
        <w:trPr>
          <w:trHeight w:val="20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Standby letters of credit used for:</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Bids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guarantees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Performance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36,629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r>
      <w:tr>
        <w:trPr>
          <w:trHeight w:val="202"/>
        </w:trPr>
        <w:tc>
          <w:tcPr>
            <w:tcW w:w="5000" w:type="dxa"/>
            <w:vAlign w:val="bottom"/>
          </w:tcPr>
          <w:p>
            <w:pPr>
              <w:ind w:left="20"/>
              <w:spacing w:after="0"/>
              <w:rPr>
                <w:sz w:val="20"/>
                <w:szCs w:val="20"/>
                <w:color w:val="auto"/>
              </w:rPr>
            </w:pPr>
            <w:r>
              <w:rPr>
                <w:rFonts w:ascii="Arial" w:cs="Arial" w:eastAsia="Arial" w:hAnsi="Arial"/>
                <w:sz w:val="17"/>
                <w:szCs w:val="17"/>
                <w:b w:val="1"/>
                <w:bCs w:val="1"/>
                <w:color w:val="auto"/>
              </w:rPr>
              <w:t>Surety bonds used for:</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Payment guarantees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bonds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544,454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535,039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5,871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commercial commitments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583,279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571,668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Historically, we have not paid out any significant amount of our performance guarantees. As such, the outstanding commercial commitments have not been recorded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accordance with the definition under SEC rules (Item 303(a)(4)(ii) of Regulation S-K), any of the following qualify as off-balance sheet arrangements:</w:t>
      </w:r>
    </w:p>
    <w:p>
      <w:pPr>
        <w:spacing w:after="0" w:line="77" w:lineRule="exact"/>
        <w:rPr>
          <w:sz w:val="20"/>
          <w:szCs w:val="20"/>
          <w:color w:val="auto"/>
        </w:rPr>
      </w:pPr>
    </w:p>
    <w:p>
      <w:pPr>
        <w:ind w:left="940" w:hanging="308"/>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obligation under certain guarantee contracts;</w:t>
      </w:r>
    </w:p>
    <w:p>
      <w:pPr>
        <w:spacing w:after="0" w:line="65" w:lineRule="exact"/>
        <w:rPr>
          <w:rFonts w:ascii="Arial" w:cs="Arial" w:eastAsia="Arial" w:hAnsi="Arial"/>
          <w:sz w:val="17"/>
          <w:szCs w:val="17"/>
          <w:color w:val="auto"/>
        </w:rPr>
      </w:pPr>
    </w:p>
    <w:p>
      <w:pPr>
        <w:ind w:left="940" w:hanging="308"/>
        <w:spacing w:after="0" w:line="28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retained or contingent interest in assets transferred to an unconsolidated entity or similar entity or similar arrangement that serves as credit, liquidity or market risk support to that entity for such assets;</w:t>
      </w:r>
    </w:p>
    <w:p>
      <w:pPr>
        <w:spacing w:after="0" w:line="1" w:lineRule="exact"/>
        <w:rPr>
          <w:rFonts w:ascii="Arial" w:cs="Arial" w:eastAsia="Arial" w:hAnsi="Arial"/>
          <w:sz w:val="17"/>
          <w:szCs w:val="17"/>
          <w:color w:val="auto"/>
        </w:rPr>
      </w:pPr>
    </w:p>
    <w:p>
      <w:pPr>
        <w:ind w:left="940" w:hanging="308"/>
        <w:spacing w:after="0"/>
        <w:tabs>
          <w:tab w:leader="none" w:pos="9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obligation, including a contingent obligation, under certain derivative instruments; and</w:t>
      </w:r>
    </w:p>
    <w:p>
      <w:pPr>
        <w:spacing w:after="0" w:line="65" w:lineRule="exact"/>
        <w:rPr>
          <w:rFonts w:ascii="Arial" w:cs="Arial" w:eastAsia="Arial" w:hAnsi="Arial"/>
          <w:sz w:val="17"/>
          <w:szCs w:val="17"/>
          <w:color w:val="auto"/>
        </w:rPr>
      </w:pPr>
    </w:p>
    <w:p>
      <w:pPr>
        <w:ind w:left="940" w:hanging="308"/>
        <w:spacing w:after="0" w:line="321" w:lineRule="auto"/>
        <w:tabs>
          <w:tab w:leader="none" w:pos="9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obligation, including a contingent obligation, arising out of a material variable interest held by us in an unconsolidated entity that provides financing, liquidity, market risk or credit risk support to us, or engages in leasing, hedging or research and development services with us.</w:t>
      </w:r>
    </w:p>
    <w:p>
      <w:pPr>
        <w:spacing w:after="0" w:line="8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July 2, 2021,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Risk Management</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Risk</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also enter into foreign exchange forward contracts to mitigate the change in fair value of specific non-functional currency assets and liabilities on the consolidated balance sheets. All balance sheet hedges are marked to market through earnings every period. Changes in the fair value of these derivatives are largely offset by re-measurement of the underlying assets and liabilities.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July 2, 2021, we had no foreign currency forward contracts outstanding.</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foreign exchange gain (loss) recorded in our consolidated statements of operations during fiscal 2021, 2020 and 2019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included in costs of revenues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r>
      <w:tr>
        <w:trPr>
          <w:trHeight w:val="215"/>
        </w:trPr>
        <w:tc>
          <w:tcPr>
            <w:tcW w:w="6660" w:type="dxa"/>
            <w:vAlign w:val="bottom"/>
          </w:tcPr>
          <w:p>
            <w:pPr>
              <w:ind w:left="340"/>
              <w:spacing w:after="0"/>
              <w:rPr>
                <w:sz w:val="20"/>
                <w:szCs w:val="20"/>
                <w:color w:val="auto"/>
              </w:rPr>
            </w:pPr>
            <w:r>
              <w:rPr>
                <w:rFonts w:ascii="Arial" w:cs="Arial" w:eastAsia="Arial" w:hAnsi="Arial"/>
                <w:sz w:val="17"/>
                <w:szCs w:val="17"/>
                <w:color w:val="auto"/>
              </w:rPr>
              <w:t>Total foreign exchange gain (loss), net</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adverse change in currency exchange rates for our foreign currency derivatives held as of July 2, 2021 would have an no impact as we held no foreign currency derivatives as of July 2, 2021.</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July 2, 2021 and July 3, 2020, the cumulative translation adjustment decreased our stockholders’ equity by $14.3 million and $15.0 million,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exposure to market risk for changes in interest rates relates primarily to our cash equivalents, short-term investments and borrowings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Exposure on Cash Equivalents and Short-term Investments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had $47.9 million in total cash and cash equivalents and short-term investments as of July 2, 2021. Cash equivalents and short-term investments totaled $30.1 million as of July 2, 2021 and were comprised of money market funds and certificates of deposit. Cash equivalents and short-term investments have been recorded at fair value on our consolidated balance sheets.</w:t>
      </w:r>
    </w:p>
    <w:p>
      <w:pPr>
        <w:spacing w:after="0" w:line="12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27" w:lineRule="exact"/>
        <w:rPr>
          <w:sz w:val="20"/>
          <w:szCs w:val="20"/>
          <w:color w:val="auto"/>
        </w:rPr>
      </w:pPr>
    </w:p>
    <w:p>
      <w:pPr>
        <w:jc w:val="both"/>
        <w:ind w:firstLine="470"/>
        <w:spacing w:after="0" w:line="307" w:lineRule="auto"/>
        <w:rPr>
          <w:sz w:val="20"/>
          <w:szCs w:val="20"/>
          <w:color w:val="auto"/>
        </w:rPr>
      </w:pPr>
      <w:r>
        <w:rPr>
          <w:rFonts w:ascii="Arial" w:cs="Arial" w:eastAsia="Arial" w:hAnsi="Arial"/>
          <w:sz w:val="15"/>
          <w:szCs w:val="15"/>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July 2, 2021, had weighted-average days to maturity of 28 days, and an average yield of 3.39% per annum. A 10% change in interest rates on our cash equivalents and short-term investments is not expected to have a material impact on our financial position, results of operations or cash flows.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Exposure on Borrowings</w:t>
      </w:r>
    </w:p>
    <w:p>
      <w:pPr>
        <w:spacing w:after="0" w:line="170"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During fiscal 2021, we had no demand borrowings outstanding under our credit facility. The interest would have been at the prime rate plus a spread of 0.50% to 1.50%, with such spread determined based on our adjusted quick ratio. During fiscal 2021, our weighted average interest rate would have been 3.75%.</w:t>
      </w:r>
    </w:p>
    <w:p>
      <w:pPr>
        <w:spacing w:after="0" w:line="6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 w:lineRule="exact"/>
        <w:rPr>
          <w:sz w:val="20"/>
          <w:szCs w:val="20"/>
          <w:color w:val="auto"/>
        </w:rPr>
      </w:pPr>
    </w:p>
    <w:p>
      <w:pPr>
        <w:ind w:left="940" w:hanging="308"/>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revenue recognition for estimated costs to complete overtime services;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inventory valuation and provision for excess and obsolete inventory losses;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income taxes valuation.</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20"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0"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Effective June 30, 2018, we adopted Financial Accounting Standards Board (“FASB”) Accounting Standards Codification (“ASC”) 606, using the modified retrospective method applied to those contracts that were not completed as of June 29, 2018. Results for the reporting periods after June 29, 2018 are presented under ASC 606, while prior period amounts are not adjusted and continue to be reported in accordance with our historical accounting under ASC 605.</w:t>
      </w:r>
    </w:p>
    <w:p>
      <w:pPr>
        <w:spacing w:after="0" w:line="8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Under Financial Accounting Standards Board (“FASB”) Accounting Standards Codification (“ASC”) 606, 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3" w:lineRule="exact"/>
        <w:rPr>
          <w:sz w:val="20"/>
          <w:szCs w:val="20"/>
          <w:color w:val="auto"/>
        </w:rPr>
      </w:pPr>
    </w:p>
    <w:p>
      <w:pPr>
        <w:jc w:val="both"/>
        <w:ind w:firstLine="470"/>
        <w:spacing w:after="0" w:line="277" w:lineRule="auto"/>
        <w:rPr>
          <w:sz w:val="20"/>
          <w:szCs w:val="20"/>
          <w:color w:val="auto"/>
        </w:rPr>
      </w:pPr>
      <w:r>
        <w:rPr>
          <w:rFonts w:ascii="Arial" w:cs="Arial" w:eastAsia="Arial" w:hAnsi="Arial"/>
          <w:sz w:val="16"/>
          <w:szCs w:val="16"/>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In rare circumstances if these estimates indicate that the contract will be unprofitable, the entire estimated loss for the remainder of the contract is recorded immediately.</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Valuation and Provisions for Excess and Obsolete Losses</w:t>
      </w:r>
    </w:p>
    <w:p>
      <w:pPr>
        <w:spacing w:after="0" w:line="170"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Our inventories have been valued at the lower of cost and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statements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1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Valuation</w:t>
      </w:r>
    </w:p>
    <w:p>
      <w:pPr>
        <w:spacing w:after="0" w:line="170" w:lineRule="exact"/>
        <w:rPr>
          <w:sz w:val="20"/>
          <w:szCs w:val="20"/>
          <w:color w:val="auto"/>
        </w:rPr>
      </w:pPr>
    </w:p>
    <w:p>
      <w:pPr>
        <w:jc w:val="both"/>
        <w:ind w:firstLine="470"/>
        <w:spacing w:after="0" w:line="304" w:lineRule="auto"/>
        <w:rPr>
          <w:sz w:val="20"/>
          <w:szCs w:val="20"/>
          <w:color w:val="auto"/>
        </w:rPr>
      </w:pPr>
      <w:r>
        <w:rPr>
          <w:rFonts w:ascii="Arial" w:cs="Arial" w:eastAsia="Arial" w:hAnsi="Arial"/>
          <w:sz w:val="15"/>
          <w:szCs w:val="15"/>
          <w:color w:val="auto"/>
        </w:rPr>
        <w:t>We record the estimated future tax effects of temporary differences between the tax basis of assets and liabilities of amounts reported in our consolidated balance sheets, as well as operating loss and tax credit carryforwards. Certain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01"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consolidated balance sheets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9"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Realization of deferred tax assets is dependent upon future earnings in applicable tax jurisdictions. At each reporting date, management considers new evidence, both positive and negative, that could affect its view of the future realization of deferred tax assets on a more likely than not basis. During fiscal 2021, we recorded a valuation allowance release of $92.2 million as a discrete item based on management’s reassessment of the amount of its U.S. federal and state deferred tax assets that are more likely than not to be realized, primarily as a result of increases in U.S. profitability in the current period and expectations of continued profitability in future periods. In performing our analysis, we used the most updated plans and estimates that we currently use to manage the underlying business and calculated the utilization of our deferred tax assets. We continue to maintain a valuation allowance of $1.4 million on certain U.S. federal and state deferred tax assets that we believe is not more likely than not to be realized in future periods.</w:t>
      </w:r>
    </w:p>
    <w:p>
      <w:pPr>
        <w:spacing w:after="0" w:line="118"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quarterly based on factors such as change in facts or circumstances, changes in tax law, new audit activity, and effectively settled issues.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Accounting Pronouncements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Index to Financial Statements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181"/>
        </w:trPr>
        <w:tc>
          <w:tcPr>
            <w:tcW w:w="20" w:type="dxa"/>
            <w:vAlign w:val="bottom"/>
            <w:shd w:val="clear" w:color="auto" w:fill="CCEEFF"/>
          </w:tcPr>
          <w:p>
            <w:pPr>
              <w:spacing w:after="0"/>
              <w:rPr>
                <w:sz w:val="15"/>
                <w:szCs w:val="15"/>
                <w:color w:val="auto"/>
              </w:rPr>
            </w:pPr>
          </w:p>
        </w:tc>
        <w:tc>
          <w:tcPr>
            <w:tcW w:w="10580" w:type="dxa"/>
            <w:vAlign w:val="bottom"/>
            <w:gridSpan w:val="17"/>
            <w:shd w:val="clear" w:color="auto" w:fill="CCEEFF"/>
          </w:tcPr>
          <w:p>
            <w:pPr>
              <w:spacing w:after="0" w:line="181" w:lineRule="exact"/>
              <w:rPr>
                <w:rFonts w:ascii="Arial" w:cs="Arial" w:eastAsia="Arial" w:hAnsi="Arial"/>
                <w:sz w:val="17"/>
                <w:szCs w:val="17"/>
                <w:color w:val="0000FF"/>
              </w:rPr>
            </w:pPr>
            <w:hyperlink w:anchor="page52">
              <w:r>
                <w:rPr>
                  <w:rFonts w:ascii="Arial" w:cs="Arial" w:eastAsia="Arial" w:hAnsi="Arial"/>
                  <w:sz w:val="17"/>
                  <w:szCs w:val="17"/>
                  <w:color w:val="0000FF"/>
                </w:rPr>
                <w:t>Report of Independent Registered Public Accounting Firm</w:t>
              </w:r>
            </w:hyperlink>
          </w:p>
        </w:tc>
        <w:tc>
          <w:tcPr>
            <w:tcW w:w="640" w:type="dxa"/>
            <w:vAlign w:val="bottom"/>
            <w:gridSpan w:val="3"/>
            <w:shd w:val="clear" w:color="auto" w:fill="CCEEFF"/>
          </w:tcPr>
          <w:p>
            <w:pPr>
              <w:jc w:val="right"/>
              <w:ind w:right="20"/>
              <w:spacing w:after="0" w:line="181" w:lineRule="exact"/>
              <w:rPr>
                <w:rFonts w:ascii="Arial" w:cs="Arial" w:eastAsia="Arial" w:hAnsi="Arial"/>
                <w:sz w:val="17"/>
                <w:szCs w:val="17"/>
                <w:color w:val="0000FF"/>
              </w:rPr>
            </w:pPr>
            <w:hyperlink w:anchor="page52">
              <w:r>
                <w:rPr>
                  <w:rFonts w:ascii="Arial" w:cs="Arial" w:eastAsia="Arial" w:hAnsi="Arial"/>
                  <w:sz w:val="17"/>
                  <w:szCs w:val="17"/>
                  <w:color w:val="0000FF"/>
                </w:rPr>
                <w:t>53</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100" w:type="dxa"/>
            <w:vAlign w:val="bottom"/>
            <w:gridSpan w:val="14"/>
          </w:tcPr>
          <w:p>
            <w:pPr>
              <w:spacing w:after="0" w:line="183" w:lineRule="exact"/>
              <w:rPr>
                <w:rFonts w:ascii="Arial" w:cs="Arial" w:eastAsia="Arial" w:hAnsi="Arial"/>
                <w:sz w:val="17"/>
                <w:szCs w:val="17"/>
                <w:color w:val="0000FF"/>
              </w:rPr>
            </w:pPr>
            <w:hyperlink w:anchor="page55">
              <w:r>
                <w:rPr>
                  <w:rFonts w:ascii="Arial" w:cs="Arial" w:eastAsia="Arial" w:hAnsi="Arial"/>
                  <w:sz w:val="17"/>
                  <w:szCs w:val="17"/>
                  <w:color w:val="0000FF"/>
                </w:rPr>
                <w:t>Consolidated Statements of Operations</w:t>
              </w:r>
            </w:hyperlink>
          </w:p>
        </w:tc>
        <w:tc>
          <w:tcPr>
            <w:tcW w:w="6480" w:type="dxa"/>
            <w:vAlign w:val="bottom"/>
            <w:gridSpan w:val="3"/>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55">
              <w:r>
                <w:rPr>
                  <w:rFonts w:ascii="Arial" w:cs="Arial" w:eastAsia="Arial" w:hAnsi="Arial"/>
                  <w:sz w:val="17"/>
                  <w:szCs w:val="17"/>
                  <w:color w:val="0000FF"/>
                </w:rPr>
                <w:t>56</w:t>
              </w:r>
            </w:hyperlink>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580" w:type="dxa"/>
            <w:vAlign w:val="bottom"/>
            <w:gridSpan w:val="17"/>
            <w:shd w:val="clear" w:color="auto" w:fill="CCEEFF"/>
          </w:tcPr>
          <w:p>
            <w:pPr>
              <w:spacing w:after="0" w:line="193" w:lineRule="exact"/>
              <w:rPr>
                <w:rFonts w:ascii="Arial" w:cs="Arial" w:eastAsia="Arial" w:hAnsi="Arial"/>
                <w:sz w:val="17"/>
                <w:szCs w:val="17"/>
                <w:color w:val="0000FF"/>
              </w:rPr>
            </w:pPr>
            <w:hyperlink w:anchor="page56">
              <w:r>
                <w:rPr>
                  <w:rFonts w:ascii="Arial" w:cs="Arial" w:eastAsia="Arial" w:hAnsi="Arial"/>
                  <w:sz w:val="17"/>
                  <w:szCs w:val="17"/>
                  <w:color w:val="0000FF"/>
                </w:rPr>
                <w:t>Consolidated Statements of Comprehensive (Loss) Income</w:t>
              </w:r>
            </w:hyperlink>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56">
              <w:r>
                <w:rPr>
                  <w:rFonts w:ascii="Arial" w:cs="Arial" w:eastAsia="Arial" w:hAnsi="Arial"/>
                  <w:sz w:val="17"/>
                  <w:szCs w:val="17"/>
                  <w:color w:val="0000FF"/>
                </w:rPr>
                <w:t>57</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100" w:type="dxa"/>
            <w:vAlign w:val="bottom"/>
            <w:gridSpan w:val="14"/>
          </w:tcPr>
          <w:p>
            <w:pPr>
              <w:spacing w:after="0" w:line="183" w:lineRule="exact"/>
              <w:rPr>
                <w:rFonts w:ascii="Arial" w:cs="Arial" w:eastAsia="Arial" w:hAnsi="Arial"/>
                <w:sz w:val="17"/>
                <w:szCs w:val="17"/>
                <w:color w:val="0000FF"/>
              </w:rPr>
            </w:pPr>
            <w:hyperlink w:anchor="page57">
              <w:r>
                <w:rPr>
                  <w:rFonts w:ascii="Arial" w:cs="Arial" w:eastAsia="Arial" w:hAnsi="Arial"/>
                  <w:sz w:val="17"/>
                  <w:szCs w:val="17"/>
                  <w:color w:val="0000FF"/>
                </w:rPr>
                <w:t>Consolidated Balance Sheets</w:t>
              </w:r>
            </w:hyperlink>
          </w:p>
        </w:tc>
        <w:tc>
          <w:tcPr>
            <w:tcW w:w="6480" w:type="dxa"/>
            <w:vAlign w:val="bottom"/>
            <w:gridSpan w:val="3"/>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57">
              <w:r>
                <w:rPr>
                  <w:rFonts w:ascii="Arial" w:cs="Arial" w:eastAsia="Arial" w:hAnsi="Arial"/>
                  <w:sz w:val="17"/>
                  <w:szCs w:val="17"/>
                  <w:color w:val="0000FF"/>
                </w:rPr>
                <w:t>58</w:t>
              </w:r>
            </w:hyperlink>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2780" w:type="dxa"/>
            <w:vAlign w:val="bottom"/>
            <w:gridSpan w:val="8"/>
            <w:shd w:val="clear" w:color="auto" w:fill="CCEEFF"/>
          </w:tcPr>
          <w:p>
            <w:pPr>
              <w:spacing w:after="0" w:line="193" w:lineRule="exact"/>
              <w:rPr>
                <w:rFonts w:ascii="Arial" w:cs="Arial" w:eastAsia="Arial" w:hAnsi="Arial"/>
                <w:sz w:val="17"/>
                <w:szCs w:val="17"/>
                <w:color w:val="0000FF"/>
                <w:w w:val="91"/>
              </w:rPr>
            </w:pPr>
            <w:hyperlink w:anchor="page58">
              <w:r>
                <w:rPr>
                  <w:rFonts w:ascii="Arial" w:cs="Arial" w:eastAsia="Arial" w:hAnsi="Arial"/>
                  <w:sz w:val="17"/>
                  <w:szCs w:val="17"/>
                  <w:color w:val="0000FF"/>
                  <w:w w:val="91"/>
                </w:rPr>
                <w:t>Consolidated Statements of Cash Flows</w:t>
              </w:r>
            </w:hyperlink>
          </w:p>
        </w:tc>
        <w:tc>
          <w:tcPr>
            <w:tcW w:w="7800" w:type="dxa"/>
            <w:vAlign w:val="bottom"/>
            <w:gridSpan w:val="9"/>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780" w:type="dxa"/>
            <w:vAlign w:val="bottom"/>
            <w:gridSpan w:val="8"/>
          </w:tcPr>
          <w:p>
            <w:pPr>
              <w:spacing w:after="0" w:line="183" w:lineRule="exact"/>
              <w:rPr>
                <w:rFonts w:ascii="Arial" w:cs="Arial" w:eastAsia="Arial" w:hAnsi="Arial"/>
                <w:sz w:val="17"/>
                <w:szCs w:val="17"/>
                <w:color w:val="0000FF"/>
              </w:rPr>
            </w:pPr>
            <w:hyperlink w:anchor="page60">
              <w:r>
                <w:rPr>
                  <w:rFonts w:ascii="Arial" w:cs="Arial" w:eastAsia="Arial" w:hAnsi="Arial"/>
                  <w:sz w:val="17"/>
                  <w:szCs w:val="17"/>
                  <w:color w:val="0000FF"/>
                </w:rPr>
                <w:t>Consolidated Statements of Equity</w:t>
              </w:r>
            </w:hyperlink>
          </w:p>
        </w:tc>
        <w:tc>
          <w:tcPr>
            <w:tcW w:w="7800" w:type="dxa"/>
            <w:vAlign w:val="bottom"/>
            <w:gridSpan w:val="9"/>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r>
      <w:tr>
        <w:trPr>
          <w:trHeight w:val="30"/>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10580" w:type="dxa"/>
            <w:vAlign w:val="bottom"/>
            <w:gridSpan w:val="17"/>
            <w:shd w:val="clear" w:color="auto" w:fill="CCEEFF"/>
          </w:tcPr>
          <w:p>
            <w:pPr>
              <w:spacing w:after="0" w:line="193" w:lineRule="exact"/>
              <w:rPr>
                <w:rFonts w:ascii="Arial" w:cs="Arial" w:eastAsia="Arial" w:hAnsi="Arial"/>
                <w:sz w:val="17"/>
                <w:szCs w:val="17"/>
                <w:color w:val="0000FF"/>
              </w:rPr>
            </w:pPr>
            <w:hyperlink w:anchor="page61">
              <w:r>
                <w:rPr>
                  <w:rFonts w:ascii="Arial" w:cs="Arial" w:eastAsia="Arial" w:hAnsi="Arial"/>
                  <w:sz w:val="17"/>
                  <w:szCs w:val="17"/>
                  <w:color w:val="0000FF"/>
                </w:rPr>
                <w:t>Notes to Consolidated Financial Statements</w:t>
              </w:r>
            </w:hyperlink>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61">
              <w:r>
                <w:rPr>
                  <w:rFonts w:ascii="Arial" w:cs="Arial" w:eastAsia="Arial" w:hAnsi="Arial"/>
                  <w:sz w:val="17"/>
                  <w:szCs w:val="17"/>
                  <w:color w:val="0000FF"/>
                </w:rPr>
                <w:t>62</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40" w:type="dxa"/>
            <w:vAlign w:val="bottom"/>
            <w:gridSpan w:val="16"/>
          </w:tcPr>
          <w:p>
            <w:pPr>
              <w:spacing w:after="0" w:line="183" w:lineRule="exact"/>
              <w:rPr>
                <w:rFonts w:ascii="Arial" w:cs="Arial" w:eastAsia="Arial" w:hAnsi="Arial"/>
                <w:sz w:val="17"/>
                <w:szCs w:val="17"/>
                <w:color w:val="0000FF"/>
              </w:rPr>
            </w:pPr>
            <w:hyperlink w:anchor="page62">
              <w:r>
                <w:rPr>
                  <w:rFonts w:ascii="Arial" w:cs="Arial" w:eastAsia="Arial" w:hAnsi="Arial"/>
                  <w:sz w:val="17"/>
                  <w:szCs w:val="17"/>
                  <w:color w:val="0000FF"/>
                </w:rPr>
                <w:t>Note 1. The Company and Summary of Significant Accounting Policies</w:t>
              </w:r>
            </w:hyperlink>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62">
              <w:r>
                <w:rPr>
                  <w:rFonts w:ascii="Arial" w:cs="Arial" w:eastAsia="Arial" w:hAnsi="Arial"/>
                  <w:sz w:val="17"/>
                  <w:szCs w:val="17"/>
                  <w:color w:val="0000FF"/>
                </w:rPr>
                <w:t>62</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0" w:type="dxa"/>
            <w:vAlign w:val="bottom"/>
            <w:gridSpan w:val="12"/>
            <w:shd w:val="clear" w:color="auto" w:fill="CCEEFF"/>
          </w:tcPr>
          <w:p>
            <w:pPr>
              <w:spacing w:after="0" w:line="193" w:lineRule="exact"/>
              <w:rPr>
                <w:rFonts w:ascii="Arial" w:cs="Arial" w:eastAsia="Arial" w:hAnsi="Arial"/>
                <w:sz w:val="17"/>
                <w:szCs w:val="17"/>
                <w:color w:val="0000FF"/>
                <w:w w:val="92"/>
              </w:rPr>
            </w:pPr>
            <w:hyperlink w:anchor="page69">
              <w:r>
                <w:rPr>
                  <w:rFonts w:ascii="Arial" w:cs="Arial" w:eastAsia="Arial" w:hAnsi="Arial"/>
                  <w:sz w:val="17"/>
                  <w:szCs w:val="17"/>
                  <w:color w:val="0000FF"/>
                  <w:w w:val="92"/>
                </w:rPr>
                <w:t>Note 2. Net Income per Share of Common Stock</w:t>
              </w:r>
            </w:hyperlink>
          </w:p>
        </w:tc>
        <w:tc>
          <w:tcPr>
            <w:tcW w:w="1600" w:type="dxa"/>
            <w:vAlign w:val="bottom"/>
            <w:gridSpan w:val="3"/>
            <w:shd w:val="clear" w:color="auto" w:fill="CCEEFF"/>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gridSpan w:val="5"/>
          </w:tcPr>
          <w:p>
            <w:pPr>
              <w:spacing w:after="0" w:line="183" w:lineRule="exact"/>
              <w:rPr>
                <w:rFonts w:ascii="Arial" w:cs="Arial" w:eastAsia="Arial" w:hAnsi="Arial"/>
                <w:sz w:val="17"/>
                <w:szCs w:val="17"/>
                <w:color w:val="0000FF"/>
                <w:w w:val="91"/>
              </w:rPr>
            </w:pPr>
            <w:hyperlink w:anchor="page69">
              <w:r>
                <w:rPr>
                  <w:rFonts w:ascii="Arial" w:cs="Arial" w:eastAsia="Arial" w:hAnsi="Arial"/>
                  <w:sz w:val="17"/>
                  <w:szCs w:val="17"/>
                  <w:color w:val="0000FF"/>
                  <w:w w:val="91"/>
                </w:rPr>
                <w:t>Note 3. Revenue Recognition</w:t>
              </w:r>
            </w:hyperlink>
          </w:p>
        </w:tc>
        <w:tc>
          <w:tcPr>
            <w:tcW w:w="1340" w:type="dxa"/>
            <w:vAlign w:val="bottom"/>
            <w:gridSpan w:val="7"/>
          </w:tcPr>
          <w:p>
            <w:pPr>
              <w:spacing w:after="0"/>
              <w:rPr>
                <w:sz w:val="15"/>
                <w:szCs w:val="15"/>
                <w:color w:val="auto"/>
              </w:rPr>
            </w:pPr>
          </w:p>
        </w:tc>
        <w:tc>
          <w:tcPr>
            <w:tcW w:w="6740" w:type="dxa"/>
            <w:vAlign w:val="bottom"/>
            <w:gridSpan w:val="4"/>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60" w:type="dxa"/>
            <w:vAlign w:val="bottom"/>
            <w:gridSpan w:val="5"/>
            <w:shd w:val="clear" w:color="auto" w:fill="CCEEFF"/>
          </w:tcPr>
          <w:p>
            <w:pPr>
              <w:spacing w:after="0" w:line="193" w:lineRule="exact"/>
              <w:rPr>
                <w:rFonts w:ascii="Arial" w:cs="Arial" w:eastAsia="Arial" w:hAnsi="Arial"/>
                <w:sz w:val="17"/>
                <w:szCs w:val="17"/>
                <w:color w:val="0000FF"/>
              </w:rPr>
            </w:pPr>
            <w:hyperlink w:anchor="page72">
              <w:r>
                <w:rPr>
                  <w:rFonts w:ascii="Arial" w:cs="Arial" w:eastAsia="Arial" w:hAnsi="Arial"/>
                  <w:sz w:val="17"/>
                  <w:szCs w:val="17"/>
                  <w:color w:val="0000FF"/>
                </w:rPr>
                <w:t>Note 4. Leases</w:t>
              </w:r>
            </w:hyperlink>
          </w:p>
        </w:tc>
        <w:tc>
          <w:tcPr>
            <w:tcW w:w="8080" w:type="dxa"/>
            <w:vAlign w:val="bottom"/>
            <w:gridSpan w:val="11"/>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72">
              <w:r>
                <w:rPr>
                  <w:rFonts w:ascii="Arial" w:cs="Arial" w:eastAsia="Arial" w:hAnsi="Arial"/>
                  <w:sz w:val="17"/>
                  <w:szCs w:val="17"/>
                  <w:color w:val="0000FF"/>
                </w:rPr>
                <w:t>64</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140" w:type="dxa"/>
            <w:vAlign w:val="bottom"/>
            <w:gridSpan w:val="16"/>
          </w:tcPr>
          <w:p>
            <w:pPr>
              <w:spacing w:after="0" w:line="183" w:lineRule="exact"/>
              <w:rPr>
                <w:rFonts w:ascii="Arial" w:cs="Arial" w:eastAsia="Arial" w:hAnsi="Arial"/>
                <w:sz w:val="17"/>
                <w:szCs w:val="17"/>
                <w:color w:val="0000FF"/>
              </w:rPr>
            </w:pPr>
            <w:hyperlink w:anchor="page74">
              <w:r>
                <w:rPr>
                  <w:rFonts w:ascii="Arial" w:cs="Arial" w:eastAsia="Arial" w:hAnsi="Arial"/>
                  <w:sz w:val="17"/>
                  <w:szCs w:val="17"/>
                  <w:color w:val="0000FF"/>
                </w:rPr>
                <w:t>Note 5. Balance Sheet Components</w:t>
              </w:r>
            </w:hyperlink>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74">
              <w:r>
                <w:rPr>
                  <w:rFonts w:ascii="Arial" w:cs="Arial" w:eastAsia="Arial" w:hAnsi="Arial"/>
                  <w:sz w:val="17"/>
                  <w:szCs w:val="17"/>
                  <w:color w:val="0000FF"/>
                </w:rPr>
                <w:t>74</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140" w:type="dxa"/>
            <w:vAlign w:val="bottom"/>
            <w:gridSpan w:val="16"/>
            <w:shd w:val="clear" w:color="auto" w:fill="CCEEFF"/>
          </w:tcPr>
          <w:p>
            <w:pPr>
              <w:spacing w:after="0" w:line="193" w:lineRule="exact"/>
              <w:rPr>
                <w:rFonts w:ascii="Arial" w:cs="Arial" w:eastAsia="Arial" w:hAnsi="Arial"/>
                <w:sz w:val="17"/>
                <w:szCs w:val="17"/>
                <w:color w:val="0000FF"/>
              </w:rPr>
            </w:pPr>
            <w:hyperlink w:anchor="page75">
              <w:r>
                <w:rPr>
                  <w:rFonts w:ascii="Arial" w:cs="Arial" w:eastAsia="Arial" w:hAnsi="Arial"/>
                  <w:sz w:val="17"/>
                  <w:szCs w:val="17"/>
                  <w:color w:val="0000FF"/>
                </w:rPr>
                <w:t>Note 6. Fair Value Measurements of Assets and Liabilities</w:t>
              </w:r>
            </w:hyperlink>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75">
              <w:r>
                <w:rPr>
                  <w:rFonts w:ascii="Arial" w:cs="Arial" w:eastAsia="Arial" w:hAnsi="Arial"/>
                  <w:sz w:val="17"/>
                  <w:szCs w:val="17"/>
                  <w:color w:val="0000FF"/>
                </w:rPr>
                <w:t>76</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6"/>
          </w:tcPr>
          <w:p>
            <w:pPr>
              <w:spacing w:after="0" w:line="183" w:lineRule="exact"/>
              <w:rPr>
                <w:rFonts w:ascii="Arial" w:cs="Arial" w:eastAsia="Arial" w:hAnsi="Arial"/>
                <w:sz w:val="17"/>
                <w:szCs w:val="17"/>
                <w:color w:val="0000FF"/>
                <w:w w:val="93"/>
              </w:rPr>
            </w:pPr>
            <w:hyperlink w:anchor="page76">
              <w:r>
                <w:rPr>
                  <w:rFonts w:ascii="Arial" w:cs="Arial" w:eastAsia="Arial" w:hAnsi="Arial"/>
                  <w:sz w:val="17"/>
                  <w:szCs w:val="17"/>
                  <w:color w:val="0000FF"/>
                  <w:w w:val="93"/>
                </w:rPr>
                <w:t>Note 7. Credit Facility and Debt</w:t>
              </w:r>
            </w:hyperlink>
          </w:p>
        </w:tc>
        <w:tc>
          <w:tcPr>
            <w:tcW w:w="1820" w:type="dxa"/>
            <w:vAlign w:val="bottom"/>
            <w:gridSpan w:val="8"/>
          </w:tcPr>
          <w:p>
            <w:pPr>
              <w:spacing w:after="0"/>
              <w:rPr>
                <w:sz w:val="15"/>
                <w:szCs w:val="15"/>
                <w:color w:val="auto"/>
              </w:rPr>
            </w:pPr>
          </w:p>
        </w:tc>
        <w:tc>
          <w:tcPr>
            <w:tcW w:w="6080" w:type="dxa"/>
            <w:vAlign w:val="bottom"/>
            <w:gridSpan w:val="2"/>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76">
              <w:r>
                <w:rPr>
                  <w:rFonts w:ascii="Arial" w:cs="Arial" w:eastAsia="Arial" w:hAnsi="Arial"/>
                  <w:sz w:val="17"/>
                  <w:szCs w:val="17"/>
                  <w:color w:val="0000FF"/>
                </w:rPr>
                <w:t>76</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40" w:type="dxa"/>
            <w:vAlign w:val="bottom"/>
            <w:tcBorders>
              <w:right w:val="single" w:sz="8" w:color="CCEEFF"/>
            </w:tcBorders>
            <w:gridSpan w:val="6"/>
            <w:shd w:val="clear" w:color="auto" w:fill="CCEEFF"/>
          </w:tcPr>
          <w:p>
            <w:pPr>
              <w:spacing w:after="0" w:line="193" w:lineRule="exact"/>
              <w:rPr>
                <w:rFonts w:ascii="Arial" w:cs="Arial" w:eastAsia="Arial" w:hAnsi="Arial"/>
                <w:sz w:val="17"/>
                <w:szCs w:val="17"/>
                <w:color w:val="0000FF"/>
                <w:w w:val="94"/>
              </w:rPr>
            </w:pPr>
            <w:hyperlink w:anchor="page77">
              <w:r>
                <w:rPr>
                  <w:rFonts w:ascii="Arial" w:cs="Arial" w:eastAsia="Arial" w:hAnsi="Arial"/>
                  <w:sz w:val="17"/>
                  <w:szCs w:val="17"/>
                  <w:color w:val="0000FF"/>
                  <w:w w:val="94"/>
                </w:rPr>
                <w:t>Note 8. Restructuring Activities</w:t>
              </w:r>
            </w:hyperlink>
          </w:p>
        </w:tc>
        <w:tc>
          <w:tcPr>
            <w:tcW w:w="7900" w:type="dxa"/>
            <w:vAlign w:val="bottom"/>
            <w:tcBorders>
              <w:left w:val="single" w:sz="8" w:color="CCEEFF"/>
            </w:tcBorders>
            <w:gridSpan w:val="10"/>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77">
              <w:r>
                <w:rPr>
                  <w:rFonts w:ascii="Arial" w:cs="Arial" w:eastAsia="Arial" w:hAnsi="Arial"/>
                  <w:sz w:val="17"/>
                  <w:szCs w:val="17"/>
                  <w:color w:val="0000FF"/>
                </w:rPr>
                <w:t>77</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40" w:type="dxa"/>
            <w:vAlign w:val="bottom"/>
            <w:gridSpan w:val="6"/>
          </w:tcPr>
          <w:p>
            <w:pPr>
              <w:spacing w:after="0" w:line="183" w:lineRule="exact"/>
              <w:rPr>
                <w:rFonts w:ascii="Arial" w:cs="Arial" w:eastAsia="Arial" w:hAnsi="Arial"/>
                <w:sz w:val="17"/>
                <w:szCs w:val="17"/>
                <w:color w:val="0000FF"/>
              </w:rPr>
            </w:pPr>
            <w:hyperlink w:anchor="page78">
              <w:r>
                <w:rPr>
                  <w:rFonts w:ascii="Arial" w:cs="Arial" w:eastAsia="Arial" w:hAnsi="Arial"/>
                  <w:sz w:val="17"/>
                  <w:szCs w:val="17"/>
                  <w:color w:val="0000FF"/>
                </w:rPr>
                <w:t>Note 9. Stockholders’ Equity</w:t>
              </w:r>
            </w:hyperlink>
          </w:p>
        </w:tc>
        <w:tc>
          <w:tcPr>
            <w:tcW w:w="7900" w:type="dxa"/>
            <w:vAlign w:val="bottom"/>
            <w:gridSpan w:val="10"/>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78">
              <w:r>
                <w:rPr>
                  <w:rFonts w:ascii="Arial" w:cs="Arial" w:eastAsia="Arial" w:hAnsi="Arial"/>
                  <w:sz w:val="17"/>
                  <w:szCs w:val="17"/>
                  <w:color w:val="0000FF"/>
                </w:rPr>
                <w:t>78</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80" w:type="dxa"/>
            <w:vAlign w:val="bottom"/>
            <w:tcBorders>
              <w:right w:val="single" w:sz="8" w:color="CCEEFF"/>
            </w:tcBorders>
            <w:gridSpan w:val="11"/>
            <w:shd w:val="clear" w:color="auto" w:fill="CCEEFF"/>
          </w:tcPr>
          <w:p>
            <w:pPr>
              <w:spacing w:after="0" w:line="193" w:lineRule="exact"/>
              <w:rPr>
                <w:rFonts w:ascii="Arial" w:cs="Arial" w:eastAsia="Arial" w:hAnsi="Arial"/>
                <w:sz w:val="17"/>
                <w:szCs w:val="17"/>
                <w:color w:val="0000FF"/>
                <w:w w:val="91"/>
              </w:rPr>
            </w:pPr>
            <w:hyperlink w:anchor="page82">
              <w:r>
                <w:rPr>
                  <w:rFonts w:ascii="Arial" w:cs="Arial" w:eastAsia="Arial" w:hAnsi="Arial"/>
                  <w:sz w:val="17"/>
                  <w:szCs w:val="17"/>
                  <w:color w:val="0000FF"/>
                  <w:w w:val="91"/>
                </w:rPr>
                <w:t>Note 10. Segment and Geographic Information</w:t>
              </w:r>
            </w:hyperlink>
          </w:p>
        </w:tc>
        <w:tc>
          <w:tcPr>
            <w:tcW w:w="6860" w:type="dxa"/>
            <w:vAlign w:val="bottom"/>
            <w:gridSpan w:val="5"/>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82">
              <w:r>
                <w:rPr>
                  <w:rFonts w:ascii="Arial" w:cs="Arial" w:eastAsia="Arial" w:hAnsi="Arial"/>
                  <w:sz w:val="17"/>
                  <w:szCs w:val="17"/>
                  <w:color w:val="0000FF"/>
                </w:rPr>
                <w:t>82</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2"/>
          </w:tcPr>
          <w:p>
            <w:pPr>
              <w:spacing w:after="0" w:line="183" w:lineRule="exact"/>
              <w:rPr>
                <w:rFonts w:ascii="Arial" w:cs="Arial" w:eastAsia="Arial" w:hAnsi="Arial"/>
                <w:sz w:val="17"/>
                <w:szCs w:val="17"/>
                <w:color w:val="0000FF"/>
                <w:w w:val="87"/>
              </w:rPr>
            </w:pPr>
            <w:hyperlink w:anchor="page83">
              <w:r>
                <w:rPr>
                  <w:rFonts w:ascii="Arial" w:cs="Arial" w:eastAsia="Arial" w:hAnsi="Arial"/>
                  <w:sz w:val="17"/>
                  <w:szCs w:val="17"/>
                  <w:color w:val="0000FF"/>
                  <w:w w:val="87"/>
                </w:rPr>
                <w:t>Note 11. Income Taxes</w:t>
              </w:r>
            </w:hyperlink>
          </w:p>
        </w:tc>
        <w:tc>
          <w:tcPr>
            <w:tcW w:w="1700" w:type="dxa"/>
            <w:vAlign w:val="bottom"/>
            <w:gridSpan w:val="9"/>
          </w:tcPr>
          <w:p>
            <w:pPr>
              <w:spacing w:after="0"/>
              <w:rPr>
                <w:sz w:val="15"/>
                <w:szCs w:val="15"/>
                <w:color w:val="auto"/>
              </w:rPr>
            </w:pPr>
          </w:p>
        </w:tc>
        <w:tc>
          <w:tcPr>
            <w:tcW w:w="6860" w:type="dxa"/>
            <w:vAlign w:val="bottom"/>
            <w:gridSpan w:val="5"/>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83">
              <w:r>
                <w:rPr>
                  <w:rFonts w:ascii="Arial" w:cs="Arial" w:eastAsia="Arial" w:hAnsi="Arial"/>
                  <w:sz w:val="17"/>
                  <w:szCs w:val="17"/>
                  <w:color w:val="0000FF"/>
                </w:rPr>
                <w:t>83</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960" w:type="dxa"/>
            <w:vAlign w:val="bottom"/>
            <w:gridSpan w:val="10"/>
            <w:shd w:val="clear" w:color="auto" w:fill="CCEEFF"/>
          </w:tcPr>
          <w:p>
            <w:pPr>
              <w:spacing w:after="0" w:line="193" w:lineRule="exact"/>
              <w:rPr>
                <w:rFonts w:ascii="Arial" w:cs="Arial" w:eastAsia="Arial" w:hAnsi="Arial"/>
                <w:sz w:val="17"/>
                <w:szCs w:val="17"/>
                <w:color w:val="0000FF"/>
                <w:w w:val="92"/>
              </w:rPr>
            </w:pPr>
            <w:hyperlink w:anchor="page87">
              <w:r>
                <w:rPr>
                  <w:rFonts w:ascii="Arial" w:cs="Arial" w:eastAsia="Arial" w:hAnsi="Arial"/>
                  <w:sz w:val="17"/>
                  <w:szCs w:val="17"/>
                  <w:color w:val="0000FF"/>
                  <w:w w:val="92"/>
                </w:rPr>
                <w:t>Note 12. Commitments and Contingencies</w:t>
              </w:r>
            </w:hyperlink>
          </w:p>
        </w:tc>
        <w:tc>
          <w:tcPr>
            <w:tcW w:w="7180" w:type="dxa"/>
            <w:vAlign w:val="bottom"/>
            <w:gridSpan w:val="6"/>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87">
              <w:r>
                <w:rPr>
                  <w:rFonts w:ascii="Arial" w:cs="Arial" w:eastAsia="Arial" w:hAnsi="Arial"/>
                  <w:sz w:val="17"/>
                  <w:szCs w:val="17"/>
                  <w:color w:val="0000FF"/>
                </w:rPr>
                <w:t>87</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60" w:type="dxa"/>
            <w:vAlign w:val="bottom"/>
            <w:gridSpan w:val="10"/>
          </w:tcPr>
          <w:p>
            <w:pPr>
              <w:spacing w:after="0" w:line="183" w:lineRule="exact"/>
              <w:rPr>
                <w:rFonts w:ascii="Arial" w:cs="Arial" w:eastAsia="Arial" w:hAnsi="Arial"/>
                <w:sz w:val="17"/>
                <w:szCs w:val="17"/>
                <w:color w:val="0000FF"/>
              </w:rPr>
            </w:pPr>
            <w:hyperlink w:anchor="page89">
              <w:r>
                <w:rPr>
                  <w:rFonts w:ascii="Arial" w:cs="Arial" w:eastAsia="Arial" w:hAnsi="Arial"/>
                  <w:sz w:val="17"/>
                  <w:szCs w:val="17"/>
                  <w:color w:val="0000FF"/>
                </w:rPr>
                <w:t>Note 13 Subsequent Event</w:t>
              </w:r>
            </w:hyperlink>
          </w:p>
        </w:tc>
        <w:tc>
          <w:tcPr>
            <w:tcW w:w="7180" w:type="dxa"/>
            <w:vAlign w:val="bottom"/>
            <w:gridSpan w:val="6"/>
          </w:tcPr>
          <w:p>
            <w:pPr>
              <w:spacing w:after="0"/>
              <w:rPr>
                <w:sz w:val="15"/>
                <w:szCs w:val="15"/>
                <w:color w:val="auto"/>
              </w:rPr>
            </w:pPr>
          </w:p>
        </w:tc>
        <w:tc>
          <w:tcPr>
            <w:tcW w:w="640" w:type="dxa"/>
            <w:vAlign w:val="bottom"/>
            <w:gridSpan w:val="3"/>
          </w:tcPr>
          <w:p>
            <w:pPr>
              <w:jc w:val="right"/>
              <w:ind w:right="20"/>
              <w:spacing w:after="0" w:line="183" w:lineRule="exact"/>
              <w:rPr>
                <w:rFonts w:ascii="Arial" w:cs="Arial" w:eastAsia="Arial" w:hAnsi="Arial"/>
                <w:sz w:val="17"/>
                <w:szCs w:val="17"/>
                <w:color w:val="0000FF"/>
              </w:rPr>
            </w:pPr>
            <w:hyperlink w:anchor="page89">
              <w:r>
                <w:rPr>
                  <w:rFonts w:ascii="Arial" w:cs="Arial" w:eastAsia="Arial" w:hAnsi="Arial"/>
                  <w:sz w:val="17"/>
                  <w:szCs w:val="17"/>
                  <w:color w:val="0000FF"/>
                </w:rPr>
                <w:t>89</w:t>
              </w:r>
            </w:hyperlink>
          </w:p>
        </w:tc>
      </w:tr>
      <w:tr>
        <w:trPr>
          <w:trHeight w:val="30"/>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80" w:type="dxa"/>
            <w:vAlign w:val="bottom"/>
            <w:tcBorders>
              <w:right w:val="single" w:sz="8" w:color="CCEEFF"/>
            </w:tcBorders>
            <w:gridSpan w:val="11"/>
            <w:shd w:val="clear" w:color="auto" w:fill="CCEEFF"/>
          </w:tcPr>
          <w:p>
            <w:pPr>
              <w:spacing w:after="0" w:line="193" w:lineRule="exact"/>
              <w:rPr>
                <w:rFonts w:ascii="Arial" w:cs="Arial" w:eastAsia="Arial" w:hAnsi="Arial"/>
                <w:sz w:val="17"/>
                <w:szCs w:val="17"/>
                <w:color w:val="0000FF"/>
                <w:w w:val="93"/>
              </w:rPr>
            </w:pPr>
            <w:hyperlink w:anchor="page89">
              <w:r>
                <w:rPr>
                  <w:rFonts w:ascii="Arial" w:cs="Arial" w:eastAsia="Arial" w:hAnsi="Arial"/>
                  <w:sz w:val="17"/>
                  <w:szCs w:val="17"/>
                  <w:color w:val="0000FF"/>
                  <w:w w:val="93"/>
                </w:rPr>
                <w:t xml:space="preserve">Note </w:t>
              </w:r>
            </w:hyperlink>
            <w:r>
              <w:rPr>
                <w:rFonts w:ascii="Arial" w:cs="Arial" w:eastAsia="Arial" w:hAnsi="Arial"/>
                <w:sz w:val="17"/>
                <w:szCs w:val="17"/>
                <w:color w:val="0000FF"/>
                <w:w w:val="93"/>
              </w:rPr>
              <w:t xml:space="preserve">14. </w:t>
            </w:r>
            <w:hyperlink w:anchor="page89">
              <w:r>
                <w:rPr>
                  <w:rFonts w:ascii="Arial" w:cs="Arial" w:eastAsia="Arial" w:hAnsi="Arial"/>
                  <w:sz w:val="17"/>
                  <w:szCs w:val="17"/>
                  <w:color w:val="0000FF"/>
                  <w:w w:val="93"/>
                </w:rPr>
                <w:t>Quarterly Financial Data (Unaudited)</w:t>
              </w:r>
            </w:hyperlink>
          </w:p>
        </w:tc>
        <w:tc>
          <w:tcPr>
            <w:tcW w:w="6860" w:type="dxa"/>
            <w:vAlign w:val="bottom"/>
            <w:gridSpan w:val="5"/>
            <w:shd w:val="clear" w:color="auto" w:fill="CCEEFF"/>
          </w:tcPr>
          <w:p>
            <w:pPr>
              <w:spacing w:after="0"/>
              <w:rPr>
                <w:sz w:val="16"/>
                <w:szCs w:val="16"/>
                <w:color w:val="auto"/>
              </w:rPr>
            </w:pPr>
          </w:p>
        </w:tc>
        <w:tc>
          <w:tcPr>
            <w:tcW w:w="640" w:type="dxa"/>
            <w:vAlign w:val="bottom"/>
            <w:gridSpan w:val="3"/>
            <w:shd w:val="clear" w:color="auto" w:fill="CCEEFF"/>
          </w:tcPr>
          <w:p>
            <w:pPr>
              <w:jc w:val="right"/>
              <w:ind w:right="20"/>
              <w:spacing w:after="0" w:line="193" w:lineRule="exact"/>
              <w:rPr>
                <w:rFonts w:ascii="Arial" w:cs="Arial" w:eastAsia="Arial" w:hAnsi="Arial"/>
                <w:sz w:val="17"/>
                <w:szCs w:val="17"/>
                <w:color w:val="0000FF"/>
              </w:rPr>
            </w:pPr>
            <w:hyperlink w:anchor="page89">
              <w:r>
                <w:rPr>
                  <w:rFonts w:ascii="Arial" w:cs="Arial" w:eastAsia="Arial" w:hAnsi="Arial"/>
                  <w:sz w:val="17"/>
                  <w:szCs w:val="17"/>
                  <w:color w:val="0000FF"/>
                </w:rPr>
                <w:t>90</w:t>
              </w:r>
            </w:hyperlink>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Aviat Networks,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audited the accompanying consolidated balance sheets of Aviat Networks, Inc. (the “Company”) as of July 2, 2021 and July 3, 2020, the related consolidated statements of operations, comprehensive (loss) income, equity, and cash flows for each of the three fiscal years in the period ended July 2, 2021,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July 2, 2021 and July 3, 2020, and the results of its operations and its cash flows for each of the three fiscal years in the period ended July 2, 2021, in conformity with accounting principles generally accepted in the United States of America.</w:t>
      </w:r>
    </w:p>
    <w:p>
      <w:pPr>
        <w:spacing w:after="0" w:line="126" w:lineRule="exact"/>
        <w:rPr>
          <w:sz w:val="20"/>
          <w:szCs w:val="20"/>
          <w:color w:val="auto"/>
        </w:rPr>
      </w:pPr>
    </w:p>
    <w:p>
      <w:pPr>
        <w:jc w:val="both"/>
        <w:spacing w:after="0" w:line="32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July 2, 2021, based on criteria established in Internal Control – Integrated Framework (2013) issued by the Committee of Sponsoring Organizations of the Treadway Commission (“COSO”) and our report dated August 25, 2021 expressed an unqualified opinion thereon.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7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5"/>
        <w:spacing w:after="0" w:line="265" w:lineRule="auto"/>
        <w:tabs>
          <w:tab w:leader="none" w:pos="2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 Estimated Costs to Complete</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described in Note 3 to the consolidated financial statements, revenues from network planning and design, engineering and installation-related services are recognized based on an overtime recognition model using the cost-input method.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identified estimated costs to complete for open and ongoing over-time revenue contracts at year end as a critical audit matter. The determination of the total estimated cost and progress toward completion requires management to make significant estimates and assumptions. Changes in these estimates or timing of when the costs occur can have a significant impact on the revenue recognized each period. Auditing these elements involved especially challenging and subjective auditor judgment in evaluating the reasonableness of management’s assumptions and estimates over the duration of these contracts.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184" w:lineRule="exact"/>
        <w:rPr>
          <w:sz w:val="20"/>
          <w:szCs w:val="20"/>
          <w:color w:val="auto"/>
        </w:rPr>
      </w:pPr>
    </w:p>
    <w:p>
      <w:pPr>
        <w:ind w:left="640" w:hanging="322"/>
        <w:spacing w:after="0" w:line="260" w:lineRule="auto"/>
        <w:tabs>
          <w:tab w:leader="none" w:pos="629" w:val="left"/>
        </w:tabs>
        <w:numPr>
          <w:ilvl w:val="0"/>
          <w:numId w:val="29"/>
        </w:numPr>
        <w:rPr>
          <w:rFonts w:ascii="Arial" w:cs="Arial" w:eastAsia="Arial" w:hAnsi="Arial"/>
          <w:sz w:val="19"/>
          <w:szCs w:val="19"/>
          <w:color w:val="auto"/>
        </w:rPr>
      </w:pPr>
      <w:r>
        <w:rPr>
          <w:rFonts w:ascii="Arial" w:cs="Arial" w:eastAsia="Arial" w:hAnsi="Arial"/>
          <w:sz w:val="17"/>
          <w:szCs w:val="17"/>
          <w:color w:val="auto"/>
        </w:rPr>
        <w:t>Testing the design and operating effectiveness of certain controls related to estimated costs to complete, including controls over management’s review of cost estimates.</w:t>
      </w:r>
    </w:p>
    <w:p>
      <w:pPr>
        <w:spacing w:after="0" w:line="139" w:lineRule="exact"/>
        <w:rPr>
          <w:rFonts w:ascii="Arial" w:cs="Arial" w:eastAsia="Arial" w:hAnsi="Arial"/>
          <w:sz w:val="19"/>
          <w:szCs w:val="19"/>
          <w:color w:val="auto"/>
        </w:rPr>
      </w:pPr>
    </w:p>
    <w:p>
      <w:pPr>
        <w:ind w:left="640" w:hanging="322"/>
        <w:spacing w:after="0" w:line="260" w:lineRule="auto"/>
        <w:tabs>
          <w:tab w:leader="none" w:pos="640" w:val="left"/>
        </w:tabs>
        <w:numPr>
          <w:ilvl w:val="0"/>
          <w:numId w:val="29"/>
        </w:numPr>
        <w:rPr>
          <w:rFonts w:ascii="Arial" w:cs="Arial" w:eastAsia="Arial" w:hAnsi="Arial"/>
          <w:sz w:val="19"/>
          <w:szCs w:val="19"/>
          <w:color w:val="auto"/>
        </w:rPr>
      </w:pPr>
      <w:r>
        <w:rPr>
          <w:rFonts w:ascii="Arial" w:cs="Arial" w:eastAsia="Arial" w:hAnsi="Arial"/>
          <w:sz w:val="17"/>
          <w:szCs w:val="17"/>
          <w:color w:val="auto"/>
        </w:rPr>
        <w:t>Evaluating the reasonableness of a sample of project budgets for projects completed during the year through a retrospective review against actual performance at project completion.</w:t>
      </w:r>
    </w:p>
    <w:p>
      <w:pPr>
        <w:spacing w:after="0" w:line="139" w:lineRule="exact"/>
        <w:rPr>
          <w:rFonts w:ascii="Arial" w:cs="Arial" w:eastAsia="Arial" w:hAnsi="Arial"/>
          <w:sz w:val="19"/>
          <w:szCs w:val="19"/>
          <w:color w:val="auto"/>
        </w:rPr>
      </w:pPr>
    </w:p>
    <w:p>
      <w:pPr>
        <w:jc w:val="both"/>
        <w:ind w:left="640" w:hanging="322"/>
        <w:spacing w:after="0" w:line="257" w:lineRule="auto"/>
        <w:tabs>
          <w:tab w:leader="none" w:pos="629" w:val="left"/>
        </w:tabs>
        <w:numPr>
          <w:ilvl w:val="0"/>
          <w:numId w:val="29"/>
        </w:numPr>
        <w:rPr>
          <w:rFonts w:ascii="Arial" w:cs="Arial" w:eastAsia="Arial" w:hAnsi="Arial"/>
          <w:sz w:val="19"/>
          <w:szCs w:val="19"/>
          <w:color w:val="auto"/>
        </w:rPr>
      </w:pPr>
      <w:r>
        <w:rPr>
          <w:rFonts w:ascii="Arial" w:cs="Arial" w:eastAsia="Arial" w:hAnsi="Arial"/>
          <w:sz w:val="17"/>
          <w:szCs w:val="17"/>
          <w:color w:val="auto"/>
        </w:rPr>
        <w:t>Assessing the reasonableness of the estimated costs to complete for a sample of open projects through: (i) evaluating the reasonableness of project budgets and the nature of costs required to complete open projects, (ii) assessing the status of completion of respective projects through testing of a sample of project costs incurred to date, (iii) evaluating the reasonableness of project status by performing inquiries of project managers and assessing the nature of activities required to complete open projects, and (iv) performing retrospective review on closed projects and investigating budget to actual variances (if any).</w:t>
      </w:r>
    </w:p>
    <w:p>
      <w:pPr>
        <w:spacing w:after="0" w:line="144" w:lineRule="exact"/>
        <w:rPr>
          <w:rFonts w:ascii="Arial" w:cs="Arial" w:eastAsia="Arial" w:hAnsi="Arial"/>
          <w:sz w:val="19"/>
          <w:szCs w:val="19"/>
          <w:color w:val="auto"/>
        </w:rPr>
      </w:pPr>
    </w:p>
    <w:p>
      <w:pPr>
        <w:ind w:left="640" w:hanging="322"/>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5"/>
          <w:szCs w:val="15"/>
          <w:color w:val="auto"/>
        </w:rPr>
        <w:t>Assessing the reasonableness of changes in estimated costs to complete and investigating reasons for changes in expected costs and project margins.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Aviat Networks,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Austin, Texas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audited Aviat Networks, Inc.’s (the “Company’s”) internal control over financial reporting as of July 2, 2021,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(the “COSO criteria”). In our</w:t>
      </w:r>
      <w:r>
        <w:rPr>
          <w:rFonts w:ascii="Arial" w:cs="Arial" w:eastAsia="Arial" w:hAnsi="Arial"/>
          <w:sz w:val="16"/>
          <w:szCs w:val="16"/>
          <w:i w:val="1"/>
          <w:iCs w:val="1"/>
          <w:color w:val="auto"/>
        </w:rPr>
        <w:t xml:space="preserve"> </w:t>
      </w:r>
      <w:r>
        <w:rPr>
          <w:rFonts w:ascii="Arial" w:cs="Arial" w:eastAsia="Arial" w:hAnsi="Arial"/>
          <w:sz w:val="16"/>
          <w:szCs w:val="16"/>
          <w:color w:val="auto"/>
        </w:rPr>
        <w:t>opinion, the Company maintained, in all material respects, effective internal control over financial reporting as of August 25, 2021, based on the COSO criteria</w:t>
      </w:r>
      <w:r>
        <w:rPr>
          <w:rFonts w:ascii="Arial" w:cs="Arial" w:eastAsia="Arial" w:hAnsi="Arial"/>
          <w:sz w:val="16"/>
          <w:szCs w:val="16"/>
          <w:i w:val="1"/>
          <w:iCs w:val="1"/>
          <w:color w:val="auto"/>
        </w:rPr>
        <w:t>.</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July 2, 2021 and July 3, 2020, the related consolidated statements of operations, comprehensive (loss) income, equity, and cash flows for each of the three fiscal years in the period ended July 2, 2021, the related notes and the financial statement schedule - Valuation and Qualifying Accounts and our report dated August 25, 2021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5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August 25, 2021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170"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6"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4"/>
                <w:szCs w:val="14"/>
                <w:b w:val="1"/>
                <w:bCs w:val="1"/>
                <w:color w:val="auto"/>
                <w:w w:val="89"/>
              </w:rPr>
              <w:t>Fiscal Year Ended</w:t>
            </w:r>
          </w:p>
        </w:tc>
        <w:tc>
          <w:tcPr>
            <w:tcW w:w="6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960" w:type="dxa"/>
            <w:vAlign w:val="bottom"/>
            <w:vMerge w:val="restart"/>
          </w:tcPr>
          <w:p>
            <w:pPr>
              <w:ind w:left="480"/>
              <w:spacing w:after="0"/>
              <w:rPr>
                <w:sz w:val="20"/>
                <w:szCs w:val="20"/>
                <w:color w:val="auto"/>
              </w:rPr>
            </w:pPr>
            <w:r>
              <w:rPr>
                <w:rFonts w:ascii="Arial" w:cs="Arial" w:eastAsia="Arial" w:hAnsi="Arial"/>
                <w:sz w:val="14"/>
                <w:szCs w:val="14"/>
                <w:color w:val="auto"/>
              </w:rPr>
              <w:t>(In thousands, except per share amounts)</w:t>
            </w:r>
          </w:p>
        </w:tc>
        <w:tc>
          <w:tcPr>
            <w:tcW w:w="640" w:type="dxa"/>
            <w:vAlign w:val="bottom"/>
          </w:tcPr>
          <w:p>
            <w:pPr>
              <w:spacing w:after="0"/>
              <w:rPr>
                <w:sz w:val="11"/>
                <w:szCs w:val="11"/>
                <w:color w:val="auto"/>
              </w:rPr>
            </w:pPr>
          </w:p>
        </w:tc>
        <w:tc>
          <w:tcPr>
            <w:tcW w:w="116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July 2,</w:t>
            </w:r>
          </w:p>
        </w:tc>
        <w:tc>
          <w:tcPr>
            <w:tcW w:w="6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July 3,</w:t>
            </w:r>
          </w:p>
        </w:tc>
        <w:tc>
          <w:tcPr>
            <w:tcW w:w="6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3"/>
        </w:trPr>
        <w:tc>
          <w:tcPr>
            <w:tcW w:w="596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Revenues:</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color w:val="auto"/>
              </w:rPr>
              <w:t>Revenue from product sales</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185,787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153,793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Revenue from services</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89,124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84,849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revenues</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274,911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238,642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0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Cost of revenues:</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color w:val="auto"/>
              </w:rPr>
              <w:t>Cost of product sales</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113,055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95,321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Cost of services</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58,625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cost of revenues</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172,296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153,946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Gross margin</w:t>
            </w:r>
          </w:p>
        </w:tc>
        <w:tc>
          <w:tcPr>
            <w:tcW w:w="6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102,615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84,696</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2"/>
        </w:trPr>
        <w:tc>
          <w:tcPr>
            <w:tcW w:w="5960" w:type="dxa"/>
            <w:vAlign w:val="bottom"/>
          </w:tcPr>
          <w:p>
            <w:pPr>
              <w:ind w:left="480"/>
              <w:spacing w:after="0"/>
              <w:rPr>
                <w:sz w:val="20"/>
                <w:szCs w:val="20"/>
                <w:color w:val="auto"/>
              </w:rPr>
            </w:pPr>
            <w:r>
              <w:rPr>
                <w:rFonts w:ascii="Arial" w:cs="Arial" w:eastAsia="Arial" w:hAnsi="Arial"/>
                <w:sz w:val="17"/>
                <w:szCs w:val="17"/>
                <w:b w:val="1"/>
                <w:bCs w:val="1"/>
                <w:color w:val="auto"/>
              </w:rPr>
              <w:t>Operating expenses:</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Research and development expenses</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color w:val="auto"/>
              </w:rPr>
              <w:t>Selling and administrative expenses</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56,324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57,985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Restructuring charges</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operating expenses</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80,405</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81,318</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5"/>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Operating income</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color w:val="auto"/>
              </w:rPr>
              <w:t>Interest income</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Interest expense</w:t>
            </w:r>
          </w:p>
        </w:tc>
        <w:tc>
          <w:tcPr>
            <w:tcW w:w="6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color w:val="auto"/>
              </w:rPr>
              <w:t>Other income (expense), net</w:t>
            </w:r>
          </w:p>
        </w:tc>
        <w:tc>
          <w:tcPr>
            <w:tcW w:w="6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Income before income taxes</w:t>
            </w:r>
          </w:p>
        </w:tc>
        <w:tc>
          <w:tcPr>
            <w:tcW w:w="6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22,440</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59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(Benefit from) provision for income taxes</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(87,699)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4"/>
        </w:trPr>
        <w:tc>
          <w:tcPr>
            <w:tcW w:w="596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7"/>
                <w:szCs w:val="17"/>
                <w:b w:val="1"/>
                <w:bCs w:val="1"/>
                <w:color w:val="auto"/>
              </w:rPr>
              <w:t>Net income</w:t>
            </w: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110,139</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Net income per share:</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680"/>
              <w:spacing w:after="0"/>
              <w:rPr>
                <w:sz w:val="20"/>
                <w:szCs w:val="20"/>
                <w:color w:val="auto"/>
              </w:rPr>
            </w:pPr>
            <w:r>
              <w:rPr>
                <w:rFonts w:ascii="Arial" w:cs="Arial" w:eastAsia="Arial" w:hAnsi="Arial"/>
                <w:sz w:val="17"/>
                <w:szCs w:val="17"/>
                <w:color w:val="auto"/>
              </w:rPr>
              <w:t>Basic</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480"/>
              <w:spacing w:after="0"/>
              <w:rPr>
                <w:sz w:val="20"/>
                <w:szCs w:val="20"/>
                <w:color w:val="auto"/>
              </w:rPr>
            </w:pPr>
            <w:r>
              <w:rPr>
                <w:rFonts w:ascii="Arial" w:cs="Arial" w:eastAsia="Arial" w:hAnsi="Arial"/>
                <w:sz w:val="17"/>
                <w:szCs w:val="17"/>
                <w:b w:val="1"/>
                <w:bCs w:val="1"/>
                <w:color w:val="auto"/>
              </w:rPr>
              <w:t>Weighted average shares outstanding:</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2"/>
        </w:trPr>
        <w:tc>
          <w:tcPr>
            <w:tcW w:w="5960" w:type="dxa"/>
            <w:vAlign w:val="bottom"/>
          </w:tcPr>
          <w:p>
            <w:pPr>
              <w:ind w:left="68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11,688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1"/>
                <w:szCs w:val="11"/>
                <w:color w:val="auto"/>
              </w:rPr>
            </w:pPr>
          </w:p>
        </w:tc>
        <w:tc>
          <w:tcPr>
            <w:tcW w:w="10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940" w:type="dxa"/>
            <w:vAlign w:val="bottom"/>
          </w:tcPr>
          <w:p>
            <w:pPr>
              <w:jc w:val="right"/>
              <w:ind w:right="259"/>
              <w:spacing w:after="0" w:line="12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Net change in cumulative translation adjustment,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4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0" w:type="dxa"/>
            <w:vAlign w:val="bottom"/>
          </w:tcPr>
          <w:p>
            <w:pPr>
              <w:ind w:left="20"/>
              <w:spacing w:after="0"/>
              <w:rPr>
                <w:sz w:val="20"/>
                <w:szCs w:val="20"/>
                <w:color w:val="auto"/>
              </w:rPr>
            </w:pPr>
            <w:r>
              <w:rPr>
                <w:rFonts w:ascii="Arial" w:cs="Arial" w:eastAsia="Arial" w:hAnsi="Arial"/>
                <w:sz w:val="14"/>
                <w:szCs w:val="14"/>
                <w:color w:val="auto"/>
              </w:rPr>
              <w:t>(In thousands, except share and par value amounts)</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2021</w:t>
            </w:r>
          </w:p>
        </w:tc>
        <w:tc>
          <w:tcPr>
            <w:tcW w:w="18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July 3, 2020</w:t>
            </w:r>
          </w:p>
        </w:tc>
        <w:tc>
          <w:tcPr>
            <w:tcW w:w="0" w:type="dxa"/>
            <w:vAlign w:val="bottom"/>
          </w:tcPr>
          <w:p>
            <w:pPr>
              <w:spacing w:after="0"/>
              <w:rPr>
                <w:sz w:val="1"/>
                <w:szCs w:val="1"/>
                <w:color w:val="auto"/>
              </w:rPr>
            </w:pPr>
          </w:p>
        </w:tc>
      </w:tr>
      <w:tr>
        <w:trPr>
          <w:trHeight w:val="207"/>
        </w:trPr>
        <w:tc>
          <w:tcPr>
            <w:tcW w:w="8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41,618</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44,661</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28,085</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13,997</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service inventories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Asset held for sale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10,355</w:t>
            </w:r>
          </w:p>
        </w:tc>
        <w:tc>
          <w:tcPr>
            <w:tcW w:w="0" w:type="dxa"/>
            <w:vAlign w:val="bottom"/>
          </w:tcPr>
          <w:p>
            <w:pPr>
              <w:spacing w:after="0"/>
              <w:rPr>
                <w:sz w:val="1"/>
                <w:szCs w:val="1"/>
                <w:color w:val="auto"/>
              </w:rPr>
            </w:pPr>
          </w:p>
        </w:tc>
      </w:tr>
      <w:tr>
        <w:trPr>
          <w:trHeight w:val="215"/>
        </w:trPr>
        <w:tc>
          <w:tcPr>
            <w:tcW w:w="880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170,239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139,950</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16,911</w:t>
            </w:r>
          </w:p>
        </w:tc>
        <w:tc>
          <w:tcPr>
            <w:tcW w:w="0" w:type="dxa"/>
            <w:vAlign w:val="bottom"/>
          </w:tcPr>
          <w:p>
            <w:pPr>
              <w:spacing w:after="0"/>
              <w:rPr>
                <w:sz w:val="1"/>
                <w:szCs w:val="1"/>
                <w:color w:val="auto"/>
              </w:rPr>
            </w:pP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12,799</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3,474</w:t>
            </w:r>
          </w:p>
        </w:tc>
        <w:tc>
          <w:tcPr>
            <w:tcW w:w="0" w:type="dxa"/>
            <w:vAlign w:val="bottom"/>
          </w:tcPr>
          <w:p>
            <w:pPr>
              <w:spacing w:after="0"/>
              <w:rPr>
                <w:sz w:val="1"/>
                <w:szCs w:val="1"/>
                <w:color w:val="auto"/>
              </w:rPr>
            </w:pPr>
          </w:p>
        </w:tc>
      </w:tr>
      <w:tr>
        <w:trPr>
          <w:trHeight w:val="222"/>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6,667</w:t>
            </w:r>
          </w:p>
        </w:tc>
        <w:tc>
          <w:tcPr>
            <w:tcW w:w="0" w:type="dxa"/>
            <w:vAlign w:val="bottom"/>
          </w:tcPr>
          <w:p>
            <w:pPr>
              <w:spacing w:after="0"/>
              <w:rPr>
                <w:sz w:val="1"/>
                <w:szCs w:val="1"/>
                <w:color w:val="auto"/>
              </w:rPr>
            </w:pPr>
          </w:p>
        </w:tc>
      </w:tr>
      <w:tr>
        <w:trPr>
          <w:trHeight w:val="240"/>
        </w:trPr>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297,653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179,801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Short-term debt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31,995</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26,920</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Short-term lease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Advance payments and unearned revenue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32,304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21,872</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0" w:type="dxa"/>
            <w:vAlign w:val="bottom"/>
          </w:tcPr>
          <w:p>
            <w:pPr>
              <w:spacing w:after="0"/>
              <w:rPr>
                <w:sz w:val="1"/>
                <w:szCs w:val="1"/>
                <w:color w:val="auto"/>
              </w:rPr>
            </w:pPr>
          </w:p>
        </w:tc>
      </w:tr>
      <w:tr>
        <w:trPr>
          <w:trHeight w:val="215"/>
        </w:trPr>
        <w:tc>
          <w:tcPr>
            <w:tcW w:w="8800" w:type="dxa"/>
            <w:vAlign w:val="bottom"/>
          </w:tcPr>
          <w:p>
            <w:pPr>
              <w:ind w:left="46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93,970</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Unearned revenue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8,142</w:t>
            </w:r>
          </w:p>
        </w:tc>
        <w:tc>
          <w:tcPr>
            <w:tcW w:w="0" w:type="dxa"/>
            <w:vAlign w:val="bottom"/>
          </w:tcPr>
          <w:p>
            <w:pPr>
              <w:spacing w:after="0"/>
              <w:rPr>
                <w:sz w:val="1"/>
                <w:szCs w:val="1"/>
                <w:color w:val="auto"/>
              </w:rPr>
            </w:pP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Long-term lease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2,303</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Reserve for uncertain tax positions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5,759</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15"/>
        </w:trPr>
        <w:tc>
          <w:tcPr>
            <w:tcW w:w="8800" w:type="dxa"/>
            <w:vAlign w:val="bottom"/>
          </w:tcPr>
          <w:p>
            <w:pPr>
              <w:ind w:left="4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114,318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111,120</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0" w:type="dxa"/>
            <w:vAlign w:val="bottom"/>
          </w:tcPr>
          <w:p>
            <w:pPr>
              <w:ind w:left="20"/>
              <w:spacing w:after="0"/>
              <w:rPr>
                <w:sz w:val="20"/>
                <w:szCs w:val="20"/>
                <w:color w:val="auto"/>
              </w:rPr>
            </w:pPr>
            <w:r>
              <w:rPr>
                <w:rFonts w:ascii="Arial" w:cs="Arial" w:eastAsia="Arial" w:hAnsi="Arial"/>
                <w:sz w:val="17"/>
                <w:szCs w:val="17"/>
                <w:color w:val="auto"/>
              </w:rPr>
              <w:t>Equity: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$0.01 par value; 50,000,000 shares authorized; none issued</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800" w:type="dxa"/>
            <w:vAlign w:val="bottom"/>
          </w:tcPr>
          <w:p>
            <w:pPr>
              <w:ind w:left="220"/>
              <w:spacing w:after="0" w:line="171" w:lineRule="exact"/>
              <w:rPr>
                <w:sz w:val="20"/>
                <w:szCs w:val="20"/>
                <w:color w:val="auto"/>
              </w:rPr>
            </w:pPr>
            <w:r>
              <w:rPr>
                <w:rFonts w:ascii="Arial" w:cs="Arial" w:eastAsia="Arial" w:hAnsi="Arial"/>
                <w:sz w:val="17"/>
                <w:szCs w:val="17"/>
                <w:color w:val="auto"/>
                <w:w w:val="91"/>
              </w:rPr>
              <w:t>Common stock, $0.01 par value; 300,000,000 shares authorized; 11,153,445 and 10,800,974 shares issued and outstanding</w:t>
            </w: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1"/>
        </w:trPr>
        <w:tc>
          <w:tcPr>
            <w:tcW w:w="8800" w:type="dxa"/>
            <w:vAlign w:val="bottom"/>
          </w:tcPr>
          <w:p>
            <w:pPr>
              <w:ind w:left="220"/>
              <w:spacing w:after="0"/>
              <w:rPr>
                <w:sz w:val="20"/>
                <w:szCs w:val="20"/>
                <w:color w:val="auto"/>
              </w:rPr>
            </w:pPr>
            <w:r>
              <w:rPr>
                <w:rFonts w:ascii="Arial" w:cs="Arial" w:eastAsia="Arial" w:hAnsi="Arial"/>
                <w:sz w:val="17"/>
                <w:szCs w:val="17"/>
                <w:color w:val="auto"/>
              </w:rPr>
              <w:t>as of July 2, 2021 and July 3, 2020, respectively</w:t>
            </w: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19,587 and 0 shares as of July 2, 2021 and July 3, 2020, respectively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800" w:type="dxa"/>
            <w:vAlign w:val="bottom"/>
          </w:tcPr>
          <w:p>
            <w:pPr>
              <w:ind w:left="220"/>
              <w:spacing w:after="0"/>
              <w:rPr>
                <w:sz w:val="20"/>
                <w:szCs w:val="20"/>
                <w:color w:val="auto"/>
              </w:rPr>
            </w:pPr>
            <w:r>
              <w:rPr>
                <w:rFonts w:ascii="Arial" w:cs="Arial" w:eastAsia="Arial" w:hAnsi="Arial"/>
                <w:sz w:val="17"/>
                <w:szCs w:val="17"/>
                <w:color w:val="auto"/>
              </w:rPr>
              <w:t>Additional paid-in-capital</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818,939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814,283</w:t>
            </w:r>
          </w:p>
        </w:tc>
        <w:tc>
          <w:tcPr>
            <w:tcW w:w="0" w:type="dxa"/>
            <w:vAlign w:val="bottom"/>
          </w:tcPr>
          <w:p>
            <w:pPr>
              <w:spacing w:after="0"/>
              <w:rPr>
                <w:sz w:val="1"/>
                <w:szCs w:val="1"/>
                <w:color w:val="auto"/>
              </w:rPr>
            </w:pPr>
          </w:p>
        </w:tc>
      </w:tr>
      <w:tr>
        <w:trPr>
          <w:trHeight w:val="222"/>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(730,741)</w:t>
            </w:r>
          </w:p>
        </w:tc>
        <w:tc>
          <w:tcPr>
            <w:tcW w:w="0" w:type="dxa"/>
            <w:vAlign w:val="bottom"/>
          </w:tcPr>
          <w:p>
            <w:pPr>
              <w:spacing w:after="0"/>
              <w:rPr>
                <w:sz w:val="1"/>
                <w:szCs w:val="1"/>
                <w:color w:val="auto"/>
              </w:rPr>
            </w:pPr>
          </w:p>
        </w:tc>
      </w:tr>
      <w:tr>
        <w:trPr>
          <w:trHeight w:val="222"/>
        </w:trPr>
        <w:tc>
          <w:tcPr>
            <w:tcW w:w="88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(14,969)</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68,681</w:t>
            </w:r>
          </w:p>
        </w:tc>
        <w:tc>
          <w:tcPr>
            <w:tcW w:w="0" w:type="dxa"/>
            <w:vAlign w:val="bottom"/>
          </w:tcPr>
          <w:p>
            <w:pPr>
              <w:spacing w:after="0"/>
              <w:rPr>
                <w:sz w:val="1"/>
                <w:szCs w:val="1"/>
                <w:color w:val="auto"/>
              </w:rPr>
            </w:pPr>
          </w:p>
        </w:tc>
      </w:tr>
      <w:tr>
        <w:trPr>
          <w:trHeight w:val="215"/>
        </w:trPr>
        <w:tc>
          <w:tcPr>
            <w:tcW w:w="8800" w:type="dxa"/>
            <w:vAlign w:val="bottom"/>
          </w:tcPr>
          <w:p>
            <w:pPr>
              <w:ind w:left="64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1"/>
                <w:szCs w:val="11"/>
                <w:color w:val="auto"/>
              </w:rPr>
            </w:pPr>
          </w:p>
        </w:tc>
        <w:tc>
          <w:tcPr>
            <w:tcW w:w="10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94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110,139</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9,738</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Depreciation and amortization of property, plant and equipment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4,468</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(recovery from) uncollectible receivables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Share-based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(8,760)</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Charges for inventory and customer service inventory write-downs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disposition of property, plant and equipment,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(6,395)</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(4,976)</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service inventories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5,074</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4,170</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payable or receivable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assets and liabilities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acquisition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0" w:type="dxa"/>
            <w:vAlign w:val="bottom"/>
          </w:tcPr>
          <w:p>
            <w:pPr>
              <w:spacing w:after="0"/>
              <w:rPr>
                <w:sz w:val="1"/>
                <w:szCs w:val="1"/>
                <w:color w:val="auto"/>
              </w:rPr>
            </w:pPr>
          </w:p>
        </w:tc>
      </w:tr>
      <w:tr>
        <w:trPr>
          <w:trHeight w:val="215"/>
        </w:trPr>
        <w:tc>
          <w:tcPr>
            <w:tcW w:w="754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(5,246)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Proceeds from borrowings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36,000</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borrowings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Payments for repurchase of common stock</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(2,316)</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repurchase of common stock - treasury shares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540" w:type="dxa"/>
            <w:vAlign w:val="bottom"/>
          </w:tcPr>
          <w:p>
            <w:pPr>
              <w:ind w:left="220"/>
              <w:spacing w:after="0"/>
              <w:rPr>
                <w:sz w:val="20"/>
                <w:szCs w:val="20"/>
                <w:color w:val="auto"/>
              </w:rPr>
            </w:pPr>
            <w:r>
              <w:rPr>
                <w:rFonts w:ascii="Arial" w:cs="Arial" w:eastAsia="Arial" w:hAnsi="Arial"/>
                <w:sz w:val="17"/>
                <w:szCs w:val="17"/>
                <w:color w:val="auto"/>
              </w:rPr>
              <w:t>Payments for taxes related to net settlement of equity awards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5"/>
              </w:rPr>
              <w:t>Proceeds from issuance of common stock under employee stock plans and exercises of 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5"/>
        </w:trPr>
        <w:tc>
          <w:tcPr>
            <w:tcW w:w="7540" w:type="dxa"/>
            <w:vAlign w:val="bottom"/>
          </w:tcPr>
          <w:p>
            <w:pPr>
              <w:ind w:left="460"/>
              <w:spacing w:after="0"/>
              <w:rPr>
                <w:sz w:val="20"/>
                <w:szCs w:val="20"/>
                <w:color w:val="auto"/>
              </w:rPr>
            </w:pPr>
            <w:r>
              <w:rPr>
                <w:rFonts w:ascii="Arial" w:cs="Arial" w:eastAsia="Arial" w:hAnsi="Arial"/>
                <w:sz w:val="17"/>
                <w:szCs w:val="17"/>
                <w:color w:val="auto"/>
              </w:rPr>
              <w:t>Net cash used in financing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(2,952)</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(5,563)</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37,764</w:t>
            </w:r>
          </w:p>
        </w:tc>
        <w:tc>
          <w:tcPr>
            <w:tcW w:w="0" w:type="dxa"/>
            <w:vAlign w:val="bottom"/>
          </w:tcPr>
          <w:p>
            <w:pPr>
              <w:spacing w:after="0"/>
              <w:rPr>
                <w:sz w:val="1"/>
                <w:szCs w:val="1"/>
                <w:color w:val="auto"/>
              </w:rPr>
            </w:pPr>
          </w:p>
        </w:tc>
      </w:tr>
      <w:tr>
        <w:trPr>
          <w:trHeight w:val="215"/>
        </w:trPr>
        <w:tc>
          <w:tcPr>
            <w:tcW w:w="75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year</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41,872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32,201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Fiscal Year Ended</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1"/>
                <w:szCs w:val="11"/>
                <w:color w:val="auto"/>
              </w:rPr>
            </w:pPr>
          </w:p>
        </w:tc>
        <w:tc>
          <w:tcPr>
            <w:tcW w:w="10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94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Non-cash investing activities: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140"/>
              <w:spacing w:after="0"/>
              <w:rPr>
                <w:sz w:val="20"/>
                <w:szCs w:val="20"/>
                <w:color w:val="auto"/>
              </w:rPr>
            </w:pPr>
            <w:r>
              <w:rPr>
                <w:rFonts w:ascii="Arial" w:cs="Arial" w:eastAsia="Arial" w:hAnsi="Arial"/>
                <w:sz w:val="17"/>
                <w:szCs w:val="17"/>
                <w:color w:val="auto"/>
              </w:rPr>
              <w:t>Unpaid property, plant and equipment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228</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40" w:type="dxa"/>
            <w:vAlign w:val="bottom"/>
          </w:tcPr>
          <w:p>
            <w:pPr>
              <w:ind w:left="140"/>
              <w:spacing w:after="0"/>
              <w:rPr>
                <w:sz w:val="20"/>
                <w:szCs w:val="20"/>
                <w:color w:val="auto"/>
              </w:rPr>
            </w:pPr>
            <w:r>
              <w:rPr>
                <w:rFonts w:ascii="Arial" w:cs="Arial" w:eastAsia="Arial" w:hAnsi="Arial"/>
                <w:sz w:val="17"/>
                <w:szCs w:val="17"/>
                <w:color w:val="auto"/>
              </w:rPr>
              <w:t>Cash paid for interest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(received) paid for income taxes, net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AVIAT NETWORKS, INC.</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227965</wp:posOffset>
            </wp:positionV>
            <wp:extent cx="5144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4770" cy="825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1"/>
              </w:rPr>
              <w:t>Additional</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3"/>
                <w:szCs w:val="13"/>
                <w:color w:val="auto"/>
              </w:rPr>
            </w:pPr>
          </w:p>
        </w:tc>
        <w:tc>
          <w:tcPr>
            <w:tcW w:w="94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share amounts)</w:t>
            </w:r>
          </w:p>
        </w:tc>
        <w:tc>
          <w:tcPr>
            <w:tcW w:w="114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Shares</w:t>
            </w:r>
          </w:p>
        </w:tc>
        <w:tc>
          <w:tcPr>
            <w:tcW w:w="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 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0"/>
                <w:szCs w:val="10"/>
                <w:color w:val="auto"/>
              </w:rPr>
            </w:pPr>
          </w:p>
        </w:tc>
        <w:tc>
          <w:tcPr>
            <w:tcW w:w="940" w:type="dxa"/>
            <w:vAlign w:val="bottom"/>
          </w:tcPr>
          <w:p>
            <w:pPr>
              <w:jc w:val="center"/>
              <w:ind w:right="51"/>
              <w:spacing w:after="0" w:line="118"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65"/>
        </w:trPr>
        <w:tc>
          <w:tcPr>
            <w:tcW w:w="300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Pr>
          <w:p>
            <w:pPr>
              <w:spacing w:after="0"/>
              <w:rPr>
                <w:sz w:val="14"/>
                <w:szCs w:val="14"/>
                <w:color w:val="auto"/>
              </w:rPr>
            </w:pPr>
          </w:p>
        </w:tc>
        <w:tc>
          <w:tcPr>
            <w:tcW w:w="940" w:type="dxa"/>
            <w:vAlign w:val="bottom"/>
          </w:tcPr>
          <w:p>
            <w:pPr>
              <w:jc w:val="center"/>
              <w:ind w:right="5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1"/>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29,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10,702,310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816,372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(746,359)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57,516</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w w:val="98"/>
              </w:rPr>
              <w:t>Cumulative-effect adjustment for ASC Topic 606</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5,623</w:t>
            </w: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9,738</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33"/>
        </w:trPr>
        <w:tc>
          <w:tcPr>
            <w:tcW w:w="3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6"/>
              </w:rPr>
              <w:t>Issuance of common stock under employee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345,406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line="131" w:lineRule="exact"/>
              <w:rPr>
                <w:sz w:val="20"/>
                <w:szCs w:val="20"/>
                <w:color w:val="auto"/>
              </w:rPr>
            </w:pPr>
            <w:r>
              <w:rPr>
                <w:rFonts w:ascii="Arial" w:cs="Arial" w:eastAsia="Arial" w:hAnsi="Arial"/>
                <w:sz w:val="14"/>
                <w:szCs w:val="14"/>
                <w:color w:val="auto"/>
                <w:w w:val="91"/>
              </w:rPr>
              <w:t>Shares withheld for taxes related to vesting of equity</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(15,788)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awards</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181"/>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78"/>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28, 2019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10,719,390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815,142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(730,998)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71,516</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line="131" w:lineRule="exact"/>
              <w:rPr>
                <w:sz w:val="20"/>
                <w:szCs w:val="20"/>
                <w:color w:val="auto"/>
              </w:rPr>
            </w:pPr>
            <w:r>
              <w:rPr>
                <w:rFonts w:ascii="Arial" w:cs="Arial" w:eastAsia="Arial" w:hAnsi="Arial"/>
                <w:sz w:val="14"/>
                <w:szCs w:val="14"/>
                <w:color w:val="auto"/>
                <w:w w:val="96"/>
              </w:rPr>
              <w:t>Issuance of common stock under employee stock</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450,112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plans</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1"/>
              </w:rPr>
              <w:t>Shares withheld for taxes related to vesting of equity</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(112,482)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Stock repurchase</w:t>
            </w:r>
          </w:p>
        </w:tc>
        <w:tc>
          <w:tcPr>
            <w:tcW w:w="1020" w:type="dxa"/>
            <w:vAlign w:val="bottom"/>
          </w:tcPr>
          <w:p>
            <w:pPr>
              <w:jc w:val="right"/>
              <w:spacing w:after="0"/>
              <w:rPr>
                <w:sz w:val="20"/>
                <w:szCs w:val="20"/>
                <w:color w:val="auto"/>
              </w:rPr>
            </w:pPr>
            <w:r>
              <w:rPr>
                <w:rFonts w:ascii="Arial" w:cs="Arial" w:eastAsia="Arial" w:hAnsi="Arial"/>
                <w:sz w:val="14"/>
                <w:szCs w:val="14"/>
                <w:color w:val="auto"/>
              </w:rPr>
              <w:t>(256,046)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Balance as of July 3,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10,800,974</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814,283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(730,741)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(14,969)</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68,681</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110,139</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33"/>
        </w:trPr>
        <w:tc>
          <w:tcPr>
            <w:tcW w:w="30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6"/>
              </w:rPr>
              <w:t>Issuance of common stock under employee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393,724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000" w:type="dxa"/>
            <w:vAlign w:val="bottom"/>
          </w:tcPr>
          <w:p>
            <w:pPr>
              <w:ind w:left="20"/>
              <w:spacing w:after="0" w:line="131" w:lineRule="exact"/>
              <w:rPr>
                <w:sz w:val="20"/>
                <w:szCs w:val="20"/>
                <w:color w:val="auto"/>
              </w:rPr>
            </w:pPr>
            <w:r>
              <w:rPr>
                <w:rFonts w:ascii="Arial" w:cs="Arial" w:eastAsia="Arial" w:hAnsi="Arial"/>
                <w:sz w:val="14"/>
                <w:szCs w:val="14"/>
                <w:color w:val="auto"/>
                <w:w w:val="91"/>
              </w:rPr>
              <w:t>Shares withheld for taxes related to vesting of equity</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(13,366)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awards</w:t>
            </w: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1"/>
              </w:rPr>
              <w:t>(787)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81"/>
        </w:trPr>
        <w:tc>
          <w:tcPr>
            <w:tcW w:w="30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2,921</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2,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11,153,445</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19,587</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w w:val="91"/>
              </w:rPr>
              <w:t>(787)</w:t>
            </w:r>
          </w:p>
        </w:tc>
        <w:tc>
          <w:tcPr>
            <w:tcW w:w="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818,939</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(620,602)</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183,335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388" w:right="47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The Company and Summary of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1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consolidated financial statements include the accounts of Aviat Networks and its wholly-owned and majority owned subsidiaries. Significant intercompany transactions and accounts have been eliminated.</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fiscal year ends on the Friday nearest June 30. This was July 2, for fiscal 2021, July 3, for fiscal 2020 and June 28, for fiscal 2019. Fiscal 2021 presented 52 weeks while fiscal 2020 included 53 weeks and fiscal 2019 included 52 weeks. In these notes to consolidated financial statements, we refer to our fiscal years as “fiscal 2021”, “fiscal 2020” and “fiscal 2019.”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Split</w:t>
      </w:r>
    </w:p>
    <w:p>
      <w:pPr>
        <w:spacing w:after="0" w:line="24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April 7, 2021 we effected a two-for-one stock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and uncertainties in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19"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July 2, 2021 and July 3, 2020, all of our high-quality marketable debt securities were invested in prime money market funds.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Cash and cash equivalents that are restricted as to withdrawal or usage under the terms of contractual agreements are recorded as restricted cash. Our long-term restricted cash included the cash balance in our disability insurance voluntary plan account that cannot be used by us for any operating purposes other than to pay benefits to the insured employees and was recorded in other assets on our consolidated balance sheets and the corresponding liabilities were included in other long-term liabilities on our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Concentrations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regularly require letters of credit from certain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fiscal 2021 and 2020 there were no customers that accounted for more than 10% of our total revenue. During fiscal 2019, Mobile Telephone Networks Group (“MTN Group”) in Africa accounted for 11% of our total revenue. As of July 2, 2021 and July 3, 2020, MTN Group accounted for approximately 14% and 21%, respectively, of our accounts receivable.</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Risks associated with cash and cash equivalents, and investments are mitigated by banking with, and investing in, creditworthy institutions.</w:t>
      </w:r>
    </w:p>
    <w:p>
      <w:pPr>
        <w:spacing w:after="0" w:line="11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2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rely on third parties to manufacture our products and we purchase raw materials from third-party vendors.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Inventories are valued at the lower of cost and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Service Inventories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440" w:type="dxa"/>
            <w:vAlign w:val="bottom"/>
            <w:shd w:val="clear" w:color="auto" w:fill="CCEEFF"/>
          </w:tcPr>
          <w:p>
            <w:pPr>
              <w:ind w:left="3860"/>
              <w:spacing w:after="0"/>
              <w:rPr>
                <w:sz w:val="20"/>
                <w:szCs w:val="20"/>
                <w:color w:val="auto"/>
              </w:rPr>
            </w:pPr>
            <w:r>
              <w:rPr>
                <w:rFonts w:ascii="Arial" w:cs="Arial" w:eastAsia="Arial" w:hAnsi="Arial"/>
                <w:sz w:val="17"/>
                <w:szCs w:val="17"/>
                <w:color w:val="auto"/>
              </w:rPr>
              <w:t>40 years</w:t>
            </w:r>
          </w:p>
        </w:tc>
      </w:tr>
      <w:tr>
        <w:trPr>
          <w:trHeight w:val="222"/>
        </w:trPr>
        <w:tc>
          <w:tcPr>
            <w:tcW w:w="572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5440" w:type="dxa"/>
            <w:vAlign w:val="bottom"/>
          </w:tcPr>
          <w:p>
            <w:pPr>
              <w:ind w:left="3860"/>
              <w:spacing w:after="0"/>
              <w:rPr>
                <w:sz w:val="20"/>
                <w:szCs w:val="20"/>
                <w:color w:val="auto"/>
              </w:rPr>
            </w:pPr>
            <w:r>
              <w:rPr>
                <w:rFonts w:ascii="Arial" w:cs="Arial" w:eastAsia="Arial" w:hAnsi="Arial"/>
                <w:sz w:val="17"/>
                <w:szCs w:val="17"/>
                <w:color w:val="auto"/>
              </w:rPr>
              <w:t>2 to 10 years</w:t>
            </w:r>
          </w:p>
        </w:tc>
      </w:tr>
      <w:tr>
        <w:trPr>
          <w:trHeight w:val="222"/>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5440" w:type="dxa"/>
            <w:vAlign w:val="bottom"/>
            <w:shd w:val="clear" w:color="auto" w:fill="CCEEFF"/>
          </w:tcPr>
          <w:p>
            <w:pPr>
              <w:ind w:left="3860"/>
              <w:spacing w:after="0"/>
              <w:rPr>
                <w:sz w:val="20"/>
                <w:szCs w:val="20"/>
                <w:color w:val="auto"/>
              </w:rPr>
            </w:pPr>
            <w:r>
              <w:rPr>
                <w:rFonts w:ascii="Arial" w:cs="Arial" w:eastAsia="Arial" w:hAnsi="Arial"/>
                <w:sz w:val="17"/>
                <w:szCs w:val="17"/>
                <w:color w:val="auto"/>
              </w:rPr>
              <w:t>3 to 5 years</w:t>
            </w:r>
          </w:p>
        </w:tc>
      </w:tr>
      <w:tr>
        <w:trPr>
          <w:trHeight w:val="222"/>
        </w:trPr>
        <w:tc>
          <w:tcPr>
            <w:tcW w:w="572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5440" w:type="dxa"/>
            <w:vAlign w:val="bottom"/>
          </w:tcPr>
          <w:p>
            <w:pPr>
              <w:ind w:left="3860"/>
              <w:spacing w:after="0"/>
              <w:rPr>
                <w:sz w:val="20"/>
                <w:szCs w:val="20"/>
                <w:color w:val="auto"/>
              </w:rPr>
            </w:pPr>
            <w:r>
              <w:rPr>
                <w:rFonts w:ascii="Arial" w:cs="Arial" w:eastAsia="Arial" w:hAnsi="Arial"/>
                <w:sz w:val="17"/>
                <w:szCs w:val="17"/>
                <w:color w:val="auto"/>
              </w:rPr>
              <w:t>2 to 5 years</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1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Warranties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On product sales, we provide for future warranty costs upon product delivery. The specific terms and conditions of those warranties vary depending upon the product sold and the country in which we do business. In the case of products sold by us, our warranties generally start from the delivery date and continue for one to three years, depending on the terms.</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On June 29, 2019, the first day of our fiscal 2020, we adopted ASC 842 using the modified retrospective transition method, which requires a cumulative-effect adjustment, if any, to the opening balance of accumulated deficit to be recognized on the date of adoption with prior periods not restated.</w:t>
      </w:r>
    </w:p>
    <w:p>
      <w:pPr>
        <w:spacing w:after="0" w:line="8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8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(ROU assets) on our July 2, 2021 consolidated balance sheets and represent our right to use the underlying asset for the lease term. Our obligation to make lease payments are included in "Short-term lease liabilities" and "Long-term lease liabilities" on our July 2, 2021 consolidated balance sheets. We have not entered into any financing leases during fiscal 2021.</w:t>
      </w:r>
    </w:p>
    <w:p>
      <w:pPr>
        <w:spacing w:after="0" w:line="123"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Leases with an initial term of 12 months or less are not recorded on our consolidated balance sheets. We recognize lease expense for these leases on a straight-line basis over the lease term.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Gains and losses resulting from foreign exchange transactions and revaluation of monetary assets and liabilities in non-functional currencies are included in cost of product sales and services in the accompanying consolidated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of operations, based on the nature of the transactions. Net foreign exchange gain (loss) recorded in our consolidated statements of operations during fiscal 2021, 2020 and 2019 was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included in costs of revenues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r>
      <w:tr>
        <w:trPr>
          <w:trHeight w:val="215"/>
        </w:trPr>
        <w:tc>
          <w:tcPr>
            <w:tcW w:w="6660" w:type="dxa"/>
            <w:vAlign w:val="bottom"/>
          </w:tcPr>
          <w:p>
            <w:pPr>
              <w:ind w:left="340"/>
              <w:spacing w:after="0"/>
              <w:rPr>
                <w:sz w:val="20"/>
                <w:szCs w:val="20"/>
                <w:color w:val="auto"/>
              </w:rPr>
            </w:pPr>
            <w:r>
              <w:rPr>
                <w:rFonts w:ascii="Arial" w:cs="Arial" w:eastAsia="Arial" w:hAnsi="Arial"/>
                <w:sz w:val="17"/>
                <w:szCs w:val="17"/>
                <w:color w:val="auto"/>
              </w:rPr>
              <w:t>Total foreign exchange gain (loss), net</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July 2, 2021,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$1.8 million, $1.7 million and $2.0 million in fiscal 2021, 2020 and 2019,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Under Financial Accounting Standards Board (“FASB”) Accounting Standards Codification (“ASC”) 606, we recognize revenue by applying the following five-step approach: (1) identification of the contract with a customer; (2) identification of the performance obligations in the contract;</w:t>
      </w:r>
    </w:p>
    <w:p>
      <w:pPr>
        <w:ind w:firstLine="5"/>
        <w:spacing w:after="0" w:line="273" w:lineRule="auto"/>
        <w:tabs>
          <w:tab w:leader="none" w:pos="2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determination of the transaction price; (4) allocation of the transaction price to the performance obligations in the contract; and (5) recognition of revenue when, or as, we satisfy a performance obligation. See Note 3 for additional discussion on revenue recognition.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 and Services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Shipping and handling costs are included as a component of costs of product sales in our consolidated statements of operations because they are also included in revenue that we bill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expense all advertising costs as incurred. Advertising costs were immaterial during fiscal 2021,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Presentation of Transactional Taxes Collected from Customers and Remitted to Government Authorities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Our research and development costs, which include costs in connection with new product development, improvement of existing products, process improvement, and product use technologies, are generally charged to operations in the period in which they are incurred. For certain software projects under development, we capitalize the development costs during the period between determining technological feasibility of the product and commercial release and are included in Other assets on the consolidated balance sheet. We amortize the capitalized development cost upon commercial release, generally over three years. To date, the amount of development costs capitalized and amount amortized have not been material.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0" w:lineRule="exact"/>
        <w:rPr>
          <w:sz w:val="20"/>
          <w:szCs w:val="20"/>
          <w:color w:val="auto"/>
        </w:rPr>
      </w:pPr>
    </w:p>
    <w:p>
      <w:pPr>
        <w:jc w:val="both"/>
        <w:ind w:firstLine="470"/>
        <w:spacing w:after="0" w:line="299" w:lineRule="auto"/>
        <w:rPr>
          <w:sz w:val="20"/>
          <w:szCs w:val="20"/>
          <w:color w:val="auto"/>
        </w:rPr>
      </w:pPr>
      <w:r>
        <w:rPr>
          <w:rFonts w:ascii="Arial" w:cs="Arial" w:eastAsia="Arial" w:hAnsi="Arial"/>
          <w:sz w:val="15"/>
          <w:szCs w:val="15"/>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 We elected to account for forfeitures as they occur.</w:t>
      </w:r>
    </w:p>
    <w:p>
      <w:pPr>
        <w:spacing w:after="0" w:line="10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Related Uncertainties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2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32"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70"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This guidance aligns the requirements for capitalizing implementation costs incurred in a hosting arrangement that is a service contract with the requirements for capitalizing implementation costs incurred to develop or obtain internal-use software. ASU 2018-15 will be effective for us in our first quarter of fiscal 2021, with early adoption permitted. The standard can be adopted either using the prospective or retrospective transition approach. We adopted this amendment on July 4, 2020. We have assessed the amendments of ASU 2018-15 and determined the amendments to have an immaterial impact on our consolidated financial statements and related disclosures.</w:t>
      </w:r>
    </w:p>
    <w:p>
      <w:pPr>
        <w:spacing w:after="0" w:line="114"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(ASU 2018-13). The update eliminates, adds, and modifies certain disclosure requirements for fair value measurements. ASU 2018-13 will be effective for us in our first quarter of fiscal 2021 and early adoption is permitted of the entire standard or only the provisions that eliminate or modify disclosure requirements. We adopted this amendment on July 4, 2020. We have assessed the amendments of ASU 2018-13 and determined the amendments to have an immaterial impact on our consolidated financial statements and related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Not Yet Adopted</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December 2019, the FASB issued ASU 2019-12, Income Taxes (Topic 740). This guidance simplifies the accounting for income taxes by removing certain exceptions to the general principles and also simplifies areas such as franchise taxes, step-up in tax basis goodwill, separate entity financial statements and interim recognition of enactment of tax laws and rate changes. ASU 2019-12 will be effective for us in our first quarter of fiscal 2022. We are currently evaluating the potential impact of ASU 2019-12 will have on our consolidated financial statements..</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In March 2020, the FASB issued ASU 2020-04, Reference Rate Reform (Topic 848).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will be effective through December 31, 2022. We are currently evaluating the potential impact of ASU 2020-04 will have on our consolidated financial statements.</w:t>
      </w:r>
    </w:p>
    <w:p>
      <w:pPr>
        <w:spacing w:after="0" w:line="11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fiscal 2024, and earlier adoption is permitted. We are evaluating the impact adopting Topic 326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Net Income per Share of Common Stock</w:t>
      </w:r>
    </w:p>
    <w:p>
      <w:pPr>
        <w:spacing w:after="0" w:line="176"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Net income per share is computed using the two-class method, by dividing net income attributable to us by the weighted 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because the unvested restricted shares are not contractually obligated to share our losses. The impact on earnings per share of the participating securities under the two-class method was immaterial.</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per share attributable to our common stockholders: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2"/>
        </w:trPr>
        <w:tc>
          <w:tcPr>
            <w:tcW w:w="664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9,738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Weighted average shares outstanding, basic</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10,754</w:t>
            </w:r>
          </w:p>
        </w:tc>
      </w:tr>
      <w:tr>
        <w:trPr>
          <w:trHeight w:val="222"/>
        </w:trPr>
        <w:tc>
          <w:tcPr>
            <w:tcW w:w="664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Effect of potentially dilutive equivalent shares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r>
      <w:tr>
        <w:trPr>
          <w:trHeight w:val="24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Weighted average shares outstanding, diluted</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2"/>
        </w:trPr>
        <w:tc>
          <w:tcPr>
            <w:tcW w:w="6640" w:type="dxa"/>
            <w:vAlign w:val="bottom"/>
          </w:tcPr>
          <w:p>
            <w:pPr>
              <w:ind w:left="260"/>
              <w:spacing w:after="0"/>
              <w:rPr>
                <w:sz w:val="20"/>
                <w:szCs w:val="20"/>
                <w:color w:val="auto"/>
              </w:rPr>
            </w:pPr>
            <w:r>
              <w:rPr>
                <w:rFonts w:ascii="Arial" w:cs="Arial" w:eastAsia="Arial" w:hAnsi="Arial"/>
                <w:sz w:val="17"/>
                <w:szCs w:val="17"/>
                <w:color w:val="auto"/>
              </w:rPr>
              <w:t>Basic</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0.91</w:t>
            </w:r>
          </w:p>
        </w:tc>
      </w:tr>
      <w:tr>
        <w:trPr>
          <w:trHeight w:val="222"/>
        </w:trPr>
        <w:tc>
          <w:tcPr>
            <w:tcW w:w="6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 since they were antidilutive:</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6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2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and performance stock units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40"/>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shares of common stock excluded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 Recognition</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Contracts and customer purchase orders are used to determine the existence of an arrangement.</w:t>
      </w:r>
    </w:p>
    <w:p>
      <w:pPr>
        <w:spacing w:after="0" w:line="170"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Many of the Company’s arrangements with customers contain multiple performance obligations and therefore promises to provide multiple goods and services. The Company evaluates each promised good and service in a contract to determine whether it represents a distinct performance obligation or should be accounted for as a combined performance obligation. For goods and services determined to be distinct we have concluded that they provide a benefit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to the customer either on their own or together with other resources that are readily available to the customer, without having the need for significant integration or customization.</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Revenue from services includes certain network planning and design, engineering, installation and commissioning (“field services”),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w:t>
      </w:r>
    </w:p>
    <w:p>
      <w:pPr>
        <w:jc w:val="both"/>
        <w:spacing w:after="0" w:line="279" w:lineRule="auto"/>
        <w:rPr>
          <w:sz w:val="20"/>
          <w:szCs w:val="20"/>
          <w:color w:val="auto"/>
        </w:rPr>
      </w:pPr>
      <w:r>
        <w:rPr>
          <w:rFonts w:ascii="Arial" w:cs="Arial" w:eastAsia="Arial" w:hAnsi="Arial"/>
          <w:sz w:val="16"/>
          <w:szCs w:val="16"/>
          <w:color w:val="auto"/>
        </w:rPr>
        <w:t>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in order to determine whether the latest estimates of revenues, costs, and profits require updating. In rare circumstances if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and if invoicing is ahead of revenue recognized it is classified as an unearned liability on the consolidated balance sheets.</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Revenue recognition does not necessarily follow payment terms as there are a number of scenarios where they would be different. Recognition follows contractual terms and those vary depending on the nature of the performance obligation being satisfied. These timing differences result in contract assets and liabilities as discussed below. We assess our ability to collect from our customers based primarily on the creditworthiness and past payment history of the customer.</w:t>
      </w:r>
    </w:p>
    <w:p>
      <w:pPr>
        <w:spacing w:after="0" w:line="12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19" w:lineRule="exact"/>
        <w:rPr>
          <w:sz w:val="20"/>
          <w:szCs w:val="20"/>
          <w:color w:val="auto"/>
        </w:rPr>
      </w:pPr>
    </w:p>
    <w:p>
      <w:pPr>
        <w:ind w:right="1300" w:firstLine="470"/>
        <w:spacing w:after="0" w:line="449" w:lineRule="auto"/>
        <w:rPr>
          <w:sz w:val="20"/>
          <w:szCs w:val="20"/>
          <w:color w:val="auto"/>
        </w:rPr>
      </w:pPr>
      <w:r>
        <w:rPr>
          <w:rFonts w:ascii="Arial" w:cs="Arial" w:eastAsia="Arial" w:hAnsi="Arial"/>
          <w:sz w:val="17"/>
          <w:szCs w:val="17"/>
          <w:color w:val="auto"/>
        </w:rPr>
        <w:t xml:space="preserve">We present transactional taxes such as sales and use tax collected from customers and remitted to government authorities on a net basis. </w:t>
      </w:r>
      <w:r>
        <w:rPr>
          <w:rFonts w:ascii="Arial" w:cs="Arial" w:eastAsia="Arial" w:hAnsi="Arial"/>
          <w:sz w:val="17"/>
          <w:szCs w:val="17"/>
          <w:b w:val="1"/>
          <w:bCs w:val="1"/>
          <w:i w:val="1"/>
          <w:iCs w:val="1"/>
          <w:color w:val="auto"/>
        </w:rPr>
        <w:t>Bill-and-Hold Sales</w:t>
      </w:r>
    </w:p>
    <w:p>
      <w:pPr>
        <w:jc w:val="both"/>
        <w:ind w:firstLine="470"/>
        <w:spacing w:after="0" w:line="272" w:lineRule="auto"/>
        <w:rPr>
          <w:sz w:val="20"/>
          <w:szCs w:val="20"/>
          <w:color w:val="auto"/>
        </w:rPr>
      </w:pPr>
      <w:r>
        <w:rPr>
          <w:rFonts w:ascii="Arial" w:cs="Arial" w:eastAsia="Arial" w:hAnsi="Arial"/>
          <w:sz w:val="17"/>
          <w:szCs w:val="17"/>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Rights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Stand-alone Selling Price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When allocating on a relative stand-alone selling price basis, any discount provided in the contract is allocated proportionately to all of the performance obligations in the contract.</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Shipping and handling costs are included as a component of costs of product sales in our consolidated statements of operations because they are also included in revenue that we bill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to Obtain a Contract</w:t>
      </w:r>
    </w:p>
    <w:p>
      <w:pPr>
        <w:spacing w:after="0" w:line="170" w:lineRule="exact"/>
        <w:rPr>
          <w:sz w:val="20"/>
          <w:szCs w:val="20"/>
          <w:color w:val="auto"/>
        </w:rPr>
      </w:pPr>
    </w:p>
    <w:p>
      <w:pPr>
        <w:jc w:val="both"/>
        <w:ind w:firstLine="470"/>
        <w:spacing w:after="0" w:line="313" w:lineRule="auto"/>
        <w:rPr>
          <w:sz w:val="20"/>
          <w:szCs w:val="20"/>
          <w:color w:val="auto"/>
        </w:rPr>
      </w:pPr>
      <w:r>
        <w:rPr>
          <w:rFonts w:ascii="Arial" w:cs="Arial" w:eastAsia="Arial" w:hAnsi="Arial"/>
          <w:sz w:val="15"/>
          <w:szCs w:val="15"/>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 We have not identified any impairments during the periods presented.</w:t>
      </w:r>
    </w:p>
    <w:p>
      <w:pPr>
        <w:spacing w:after="0" w:line="9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elected the practical expedient to expense sales commissions as incurred when the amortization period of the related asset is one year or less. These costs are recorded as sales and marketing expense and included in our consolidated balance sheet as accrued expenses until paid. Our amortization expense was not material for the fiscal years ended July 2, 2021, July 3, 2020 and June 28,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Performance Obligations, and Backlog</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receivables and liabilities from contracts with customers (in thousands):</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2021</w:t>
            </w:r>
          </w:p>
        </w:tc>
        <w:tc>
          <w:tcPr>
            <w:tcW w:w="6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July 3, 202</w:t>
            </w:r>
          </w:p>
        </w:tc>
      </w:tr>
      <w:tr>
        <w:trPr>
          <w:trHeight w:val="209"/>
        </w:trPr>
        <w:tc>
          <w:tcPr>
            <w:tcW w:w="7600" w:type="dxa"/>
            <w:vAlign w:val="bottom"/>
          </w:tcPr>
          <w:p>
            <w:pPr>
              <w:ind w:left="480"/>
              <w:spacing w:after="0"/>
              <w:rPr>
                <w:sz w:val="20"/>
                <w:szCs w:val="20"/>
                <w:color w:val="auto"/>
              </w:rPr>
            </w:pPr>
            <w:r>
              <w:rPr>
                <w:rFonts w:ascii="Arial" w:cs="Arial" w:eastAsia="Arial" w:hAnsi="Arial"/>
                <w:sz w:val="17"/>
                <w:szCs w:val="17"/>
                <w:b w:val="1"/>
                <w:bCs w:val="1"/>
                <w:color w:val="auto"/>
              </w:rPr>
              <w:t>Contract Assets</w:t>
            </w:r>
          </w:p>
        </w:tc>
        <w:tc>
          <w:tcPr>
            <w:tcW w:w="6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22"/>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receivable, net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7600" w:type="dxa"/>
            <w:vAlign w:val="bottom"/>
          </w:tcPr>
          <w:p>
            <w:pPr>
              <w:ind w:left="680"/>
              <w:spacing w:after="0"/>
              <w:rPr>
                <w:sz w:val="20"/>
                <w:szCs w:val="20"/>
                <w:color w:val="auto"/>
              </w:rPr>
            </w:pPr>
            <w:r>
              <w:rPr>
                <w:rFonts w:ascii="Arial" w:cs="Arial" w:eastAsia="Arial" w:hAnsi="Arial"/>
                <w:sz w:val="17"/>
                <w:szCs w:val="17"/>
                <w:color w:val="auto"/>
              </w:rPr>
              <w:t>Unbilled receivables</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37,521</w:t>
            </w:r>
          </w:p>
        </w:tc>
        <w:tc>
          <w:tcPr>
            <w:tcW w:w="1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2"/>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Capitalized commissions</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7600" w:type="dxa"/>
            <w:vAlign w:val="bottom"/>
          </w:tcPr>
          <w:p>
            <w:pPr>
              <w:ind w:left="480"/>
              <w:spacing w:after="0"/>
              <w:rPr>
                <w:sz w:val="20"/>
                <w:szCs w:val="20"/>
                <w:color w:val="auto"/>
              </w:rPr>
            </w:pPr>
            <w:r>
              <w:rPr>
                <w:rFonts w:ascii="Arial" w:cs="Arial" w:eastAsia="Arial" w:hAnsi="Arial"/>
                <w:sz w:val="17"/>
                <w:szCs w:val="17"/>
                <w:b w:val="1"/>
                <w:bCs w:val="1"/>
                <w:color w:val="auto"/>
              </w:rPr>
              <w:t>Contract Liabilities</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2"/>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Advance payments and unearned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7600" w:type="dxa"/>
            <w:vAlign w:val="bottom"/>
          </w:tcPr>
          <w:p>
            <w:pPr>
              <w:ind w:left="680"/>
              <w:spacing w:after="0"/>
              <w:rPr>
                <w:sz w:val="20"/>
                <w:szCs w:val="20"/>
                <w:color w:val="auto"/>
              </w:rPr>
            </w:pPr>
            <w:r>
              <w:rPr>
                <w:rFonts w:ascii="Arial" w:cs="Arial" w:eastAsia="Arial" w:hAnsi="Arial"/>
                <w:sz w:val="17"/>
                <w:szCs w:val="17"/>
                <w:color w:val="auto"/>
              </w:rPr>
              <w:t>Unearned revenue, long-term</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8,592</w:t>
            </w:r>
          </w:p>
        </w:tc>
        <w:tc>
          <w:tcPr>
            <w:tcW w:w="1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w:t>
            </w:r>
          </w:p>
        </w:tc>
      </w:tr>
    </w:tbl>
    <w:p>
      <w:pPr>
        <w:spacing w:after="0" w:line="23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Significant changes in contract balances may arise as a result of recognition over time for services, transfer of control for equipment, and periodic payments (both in arrears and in advance).</w:t>
      </w:r>
    </w:p>
    <w:p>
      <w:pPr>
        <w:spacing w:after="0" w:line="106"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3" w:lineRule="exact"/>
        <w:rPr>
          <w:sz w:val="20"/>
          <w:szCs w:val="20"/>
          <w:color w:val="auto"/>
        </w:rPr>
      </w:pPr>
    </w:p>
    <w:p>
      <w:pPr>
        <w:jc w:val="both"/>
        <w:ind w:right="100" w:firstLine="470"/>
        <w:spacing w:after="0" w:line="297" w:lineRule="auto"/>
        <w:rPr>
          <w:sz w:val="20"/>
          <w:szCs w:val="20"/>
          <w:color w:val="auto"/>
        </w:rPr>
      </w:pPr>
      <w:r>
        <w:rPr>
          <w:rFonts w:ascii="Arial" w:cs="Arial" w:eastAsia="Arial" w:hAnsi="Arial"/>
          <w:sz w:val="16"/>
          <w:szCs w:val="16"/>
          <w:color w:val="auto"/>
        </w:rPr>
        <w:t>As of July 2, 2021, we had $40.9 million in advance payments and unearned revenue and long-term unearned revenue, of which approximately 80% is expected to be recognized as revenue in fiscal 2022 and the remainder thereafter. During fiscal years 2021 and 2020, we recognized approximately $21.9 million and $14.0 million respectively, that was included in advance payments and unearned revenue at the beginning of each reporting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0" w:lineRule="exact"/>
        <w:rPr>
          <w:sz w:val="20"/>
          <w:szCs w:val="20"/>
          <w:color w:val="auto"/>
        </w:rPr>
      </w:pPr>
    </w:p>
    <w:p>
      <w:pPr>
        <w:jc w:val="both"/>
        <w:ind w:right="100" w:firstLine="470"/>
        <w:spacing w:after="0" w:line="282" w:lineRule="auto"/>
        <w:rPr>
          <w:sz w:val="20"/>
          <w:szCs w:val="20"/>
          <w:color w:val="auto"/>
        </w:rPr>
      </w:pPr>
      <w:r>
        <w:rPr>
          <w:rFonts w:ascii="Arial" w:cs="Arial" w:eastAsia="Arial" w:hAnsi="Arial"/>
          <w:sz w:val="16"/>
          <w:szCs w:val="16"/>
          <w:color w:val="auto"/>
        </w:rPr>
        <w:t>We elect the practical consideration to exclude performance obligations that relate to contracts with original expected durations of one year or less. As our product purchase orders are generally delivered within one year or less and our maintenance and support service contracts can be terminated without substantive termination penalties resulting in contracts with less than one year of duration, these performance obligations have been excluded from the remaining performance obligation amounts. The aggregate amount of transaction price allocated to the remaining unsatisfied performance obligations (or partially unsatisfied) was approximately $70.4 million at July 2, 2021 relating to our long-term field service projects. Of this amount, we expect to recognize approximately 60% as revenue during fiscal 2022, with the remaining amount to be recognized as revenue beyond 12 months.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176"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 We lease approximately 18,000 square feet of office space in Austin, Texas as our corporate headquarters with an original term of 36 months.</w:t>
      </w:r>
    </w:p>
    <w:p>
      <w:pPr>
        <w:spacing w:after="0" w:line="119"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(ROU assets) on our July 2, 2021 consolidated balance sheet and represent our right to use the underlying asset for the lease term. Our obligation to make lease payments are included in "Short-term lease liabilities" and "Long-term lease liabilities" on our July 2, 2021 consolidated balance sheet. We have not entered into any financing leases during fiscal 2021.</w:t>
      </w:r>
    </w:p>
    <w:p>
      <w:pPr>
        <w:spacing w:after="0" w:line="123"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6"/>
          <w:szCs w:val="16"/>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358" w:lineRule="auto"/>
        <w:rPr>
          <w:sz w:val="20"/>
          <w:szCs w:val="20"/>
          <w:color w:val="auto"/>
        </w:rPr>
      </w:pPr>
      <w:r>
        <w:rPr>
          <w:rFonts w:ascii="Arial" w:cs="Arial" w:eastAsia="Arial" w:hAnsi="Arial"/>
          <w:sz w:val="15"/>
          <w:szCs w:val="15"/>
          <w:color w:val="auto"/>
        </w:rPr>
        <w:t>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60" w:lineRule="exact"/>
        <w:rPr>
          <w:sz w:val="20"/>
          <w:szCs w:val="20"/>
          <w:color w:val="auto"/>
        </w:rPr>
      </w:pPr>
    </w:p>
    <w:p>
      <w:pPr>
        <w:ind w:right="340" w:firstLine="470"/>
        <w:spacing w:after="0" w:line="288" w:lineRule="auto"/>
        <w:rPr>
          <w:sz w:val="20"/>
          <w:szCs w:val="20"/>
          <w:color w:val="auto"/>
        </w:rPr>
      </w:pPr>
      <w:r>
        <w:rPr>
          <w:rFonts w:ascii="Arial" w:cs="Arial" w:eastAsia="Arial" w:hAnsi="Arial"/>
          <w:sz w:val="17"/>
          <w:szCs w:val="17"/>
          <w:color w:val="auto"/>
        </w:rPr>
        <w:t>Leases with an initial term of 12 months or less are not recorded on our consolidated balance sheets. We recognize lease expense for these leases on a straight-line basis over the lease term.</w:t>
      </w:r>
    </w:p>
    <w:p>
      <w:pPr>
        <w:spacing w:after="0" w:line="10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As of July 2, 2021, total ROU assets were approximately $3.8 million, and short-term lease liabilities and long-term lease liabilities were approximately $0.8 million and $3.2 million, respectively. Cash paid for lease liabilities was $1.3 million for fiscal 2021.</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our lease costs, lease term and discount rate for fiscal 2021 and 2020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7"/>
                <w:szCs w:val="17"/>
                <w:b w:val="1"/>
                <w:bCs w:val="1"/>
                <w:color w:val="auto"/>
              </w:rPr>
              <w:t>Fiscal</w:t>
            </w:r>
          </w:p>
        </w:tc>
        <w:tc>
          <w:tcPr>
            <w:tcW w:w="1640" w:type="dxa"/>
            <w:vAlign w:val="bottom"/>
            <w:tcBorders>
              <w:bottom w:val="single" w:sz="8" w:color="auto"/>
            </w:tcBorders>
          </w:tcPr>
          <w:p>
            <w:pPr>
              <w:spacing w:after="0"/>
              <w:rPr>
                <w:sz w:val="19"/>
                <w:szCs w:val="19"/>
                <w:color w:val="auto"/>
              </w:rPr>
            </w:pPr>
          </w:p>
        </w:tc>
      </w:tr>
      <w:tr>
        <w:trPr>
          <w:trHeight w:val="215"/>
        </w:trPr>
        <w:tc>
          <w:tcPr>
            <w:tcW w:w="67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2020</w:t>
            </w:r>
          </w:p>
        </w:tc>
      </w:tr>
      <w:tr>
        <w:trPr>
          <w:trHeight w:val="215"/>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5,241</w:t>
            </w:r>
          </w:p>
        </w:tc>
      </w:tr>
      <w:tr>
        <w:trPr>
          <w:trHeight w:val="222"/>
        </w:trPr>
        <w:tc>
          <w:tcPr>
            <w:tcW w:w="676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1,639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1,541</w:t>
            </w:r>
          </w:p>
        </w:tc>
      </w:tr>
      <w:tr>
        <w:trPr>
          <w:trHeight w:val="222"/>
        </w:trPr>
        <w:tc>
          <w:tcPr>
            <w:tcW w:w="6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w:t>
            </w:r>
          </w:p>
        </w:tc>
        <w:tc>
          <w:tcPr>
            <w:tcW w:w="1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r>
      <w:tr>
        <w:trPr>
          <w:trHeight w:val="215"/>
        </w:trPr>
        <w:tc>
          <w:tcPr>
            <w:tcW w:w="6760" w:type="dxa"/>
            <w:vAlign w:val="bottom"/>
          </w:tcPr>
          <w:p>
            <w:pPr>
              <w:ind w:left="120"/>
              <w:spacing w:after="0"/>
              <w:rPr>
                <w:sz w:val="20"/>
                <w:szCs w:val="20"/>
                <w:color w:val="auto"/>
              </w:rPr>
            </w:pPr>
            <w:r>
              <w:rPr>
                <w:rFonts w:ascii="Arial" w:cs="Arial" w:eastAsia="Arial" w:hAnsi="Arial"/>
                <w:sz w:val="17"/>
                <w:szCs w:val="17"/>
                <w:color w:val="auto"/>
              </w:rPr>
              <w:t>Total lease costs</w:t>
            </w:r>
          </w:p>
        </w:tc>
        <w:tc>
          <w:tcPr>
            <w:tcW w:w="1500" w:type="dxa"/>
            <w:vAlign w:val="bottom"/>
            <w:tcBorders>
              <w:bottom w:val="single" w:sz="8" w:color="auto"/>
            </w:tcBorders>
          </w:tcPr>
          <w:p>
            <w:pPr>
              <w:jc w:val="right"/>
              <w:ind w:right="131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3,176</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7,133</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information related to our operating leases for fiscal 2021 and 2020 (in thousands, except for weighted average):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7"/>
                <w:szCs w:val="17"/>
                <w:b w:val="1"/>
                <w:bCs w:val="1"/>
                <w:color w:val="auto"/>
              </w:rPr>
              <w:t>Fiscal</w:t>
            </w:r>
          </w:p>
        </w:tc>
        <w:tc>
          <w:tcPr>
            <w:tcW w:w="1740" w:type="dxa"/>
            <w:vAlign w:val="bottom"/>
            <w:tcBorders>
              <w:bottom w:val="single" w:sz="8" w:color="auto"/>
            </w:tcBorders>
          </w:tcPr>
          <w:p>
            <w:pPr>
              <w:spacing w:after="0"/>
              <w:rPr>
                <w:sz w:val="19"/>
                <w:szCs w:val="19"/>
                <w:color w:val="auto"/>
              </w:rPr>
            </w:pPr>
          </w:p>
        </w:tc>
      </w:tr>
      <w:tr>
        <w:trPr>
          <w:trHeight w:val="215"/>
        </w:trPr>
        <w:tc>
          <w:tcPr>
            <w:tcW w:w="65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b w:val="1"/>
                <w:bCs w:val="1"/>
                <w:color w:val="auto"/>
              </w:rPr>
              <w:t>2020</w:t>
            </w:r>
          </w:p>
        </w:tc>
      </w:tr>
      <w:tr>
        <w:trPr>
          <w:trHeight w:val="215"/>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7.8 years</w:t>
            </w: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years</w:t>
            </w:r>
          </w:p>
        </w:tc>
      </w:tr>
      <w:tr>
        <w:trPr>
          <w:trHeight w:val="222"/>
        </w:trPr>
        <w:tc>
          <w:tcPr>
            <w:tcW w:w="650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6.8 %</w:t>
            </w:r>
          </w:p>
        </w:tc>
      </w:tr>
      <w:tr>
        <w:trPr>
          <w:trHeight w:val="222"/>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 obtained in exchange for operating lease liabilities</w:t>
            </w:r>
          </w:p>
        </w:tc>
        <w:tc>
          <w:tcPr>
            <w:tcW w:w="1500" w:type="dxa"/>
            <w:vAlign w:val="bottom"/>
            <w:shd w:val="clear" w:color="auto" w:fill="CCEEFF"/>
          </w:tcPr>
          <w:p>
            <w:pPr>
              <w:jc w:val="right"/>
              <w:ind w:right="131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Rental expense for operating leases, including rentals on a month-to-month basis was $3.3 million for fiscal 2021 and $3.7 million for each of fiscal 2020 and 2019.</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July 2, 2021, our future minimum lease payments under all non-cancelable operating leases with an initial term in excess of one year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500" w:type="dxa"/>
            <w:vAlign w:val="bottom"/>
          </w:tcPr>
          <w:p>
            <w:pPr>
              <w:spacing w:after="0"/>
              <w:rPr>
                <w:sz w:val="16"/>
                <w:szCs w:val="16"/>
                <w:color w:val="auto"/>
              </w:rPr>
            </w:pPr>
          </w:p>
        </w:tc>
        <w:tc>
          <w:tcPr>
            <w:tcW w:w="1740" w:type="dxa"/>
            <w:vAlign w:val="bottom"/>
          </w:tcPr>
          <w:p>
            <w:pPr>
              <w:jc w:val="right"/>
              <w:ind w:right="795"/>
              <w:spacing w:after="0"/>
              <w:rPr>
                <w:sz w:val="20"/>
                <w:szCs w:val="20"/>
                <w:color w:val="auto"/>
              </w:rPr>
            </w:pPr>
            <w:r>
              <w:rPr>
                <w:rFonts w:ascii="Arial" w:cs="Arial" w:eastAsia="Arial" w:hAnsi="Arial"/>
                <w:sz w:val="14"/>
                <w:szCs w:val="14"/>
                <w:b w:val="1"/>
                <w:bCs w:val="1"/>
                <w:color w:val="auto"/>
              </w:rPr>
              <w:t>Amount</w:t>
            </w:r>
          </w:p>
        </w:tc>
      </w:tr>
      <w:tr>
        <w:trPr>
          <w:trHeight w:val="220"/>
        </w:trPr>
        <w:tc>
          <w:tcPr>
            <w:tcW w:w="8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w:t>
            </w:r>
          </w:p>
        </w:tc>
      </w:tr>
      <w:tr>
        <w:trPr>
          <w:trHeight w:val="222"/>
        </w:trPr>
        <w:tc>
          <w:tcPr>
            <w:tcW w:w="8920" w:type="dxa"/>
            <w:vAlign w:val="bottom"/>
          </w:tcPr>
          <w:p>
            <w:pPr>
              <w:ind w:left="2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717</w:t>
            </w:r>
          </w:p>
        </w:tc>
      </w:tr>
      <w:tr>
        <w:trPr>
          <w:trHeight w:val="222"/>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r>
        <w:trPr>
          <w:trHeight w:val="222"/>
        </w:trPr>
        <w:tc>
          <w:tcPr>
            <w:tcW w:w="8920" w:type="dxa"/>
            <w:vAlign w:val="bottom"/>
          </w:tcPr>
          <w:p>
            <w:pPr>
              <w:ind w:left="20"/>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22"/>
        </w:trPr>
        <w:tc>
          <w:tcPr>
            <w:tcW w:w="8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r>
      <w:tr>
        <w:trPr>
          <w:trHeight w:val="222"/>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w:t>
            </w:r>
          </w:p>
        </w:tc>
      </w:tr>
      <w:tr>
        <w:trPr>
          <w:trHeight w:val="215"/>
        </w:trPr>
        <w:tc>
          <w:tcPr>
            <w:tcW w:w="9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lease payments</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5,172</w:t>
            </w:r>
          </w:p>
        </w:tc>
      </w:tr>
      <w:tr>
        <w:trPr>
          <w:trHeight w:val="222"/>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interest</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w:t>
            </w:r>
          </w:p>
        </w:tc>
      </w:tr>
      <w:tr>
        <w:trPr>
          <w:trHeight w:val="240"/>
        </w:trPr>
        <w:tc>
          <w:tcPr>
            <w:tcW w:w="9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Present value of lease liabilities</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3,991</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Balance Sheet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14"/>
                <w:szCs w:val="14"/>
                <w:color w:val="auto"/>
              </w:rPr>
            </w:pPr>
          </w:p>
        </w:tc>
        <w:tc>
          <w:tcPr>
            <w:tcW w:w="1140" w:type="dxa"/>
            <w:vAlign w:val="bottom"/>
          </w:tcPr>
          <w:p>
            <w:pPr>
              <w:jc w:val="center"/>
              <w:ind w:right="239"/>
              <w:spacing w:after="0"/>
              <w:rPr>
                <w:sz w:val="20"/>
                <w:szCs w:val="20"/>
                <w:color w:val="auto"/>
              </w:rPr>
            </w:pPr>
            <w:r>
              <w:rPr>
                <w:rFonts w:ascii="Arial" w:cs="Arial" w:eastAsia="Arial" w:hAnsi="Arial"/>
                <w:sz w:val="14"/>
                <w:szCs w:val="14"/>
                <w:b w:val="1"/>
                <w:bCs w:val="1"/>
                <w:color w:val="auto"/>
                <w:w w:val="87"/>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41,618</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 included in Other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cash, cash equivalents, and restricted cash</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Accounts Receivable,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220" w:type="dxa"/>
            <w:vAlign w:val="bottom"/>
          </w:tcPr>
          <w:p>
            <w:pPr>
              <w:ind w:left="480"/>
              <w:spacing w:after="0"/>
              <w:rPr>
                <w:sz w:val="20"/>
                <w:szCs w:val="20"/>
                <w:color w:val="auto"/>
              </w:rPr>
            </w:pPr>
            <w:r>
              <w:rPr>
                <w:rFonts w:ascii="Arial" w:cs="Arial" w:eastAsia="Arial" w:hAnsi="Arial"/>
                <w:sz w:val="17"/>
                <w:szCs w:val="17"/>
                <w:color w:val="auto"/>
              </w:rPr>
              <w:t>Our net accounts receivable are summarized below:</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1"/>
                <w:szCs w:val="21"/>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21"/>
                <w:szCs w:val="21"/>
                <w:color w:val="auto"/>
              </w:rPr>
            </w:pPr>
          </w:p>
        </w:tc>
        <w:tc>
          <w:tcPr>
            <w:tcW w:w="1140" w:type="dxa"/>
            <w:vAlign w:val="bottom"/>
          </w:tcPr>
          <w:p>
            <w:pPr>
              <w:jc w:val="center"/>
              <w:ind w:right="239"/>
              <w:spacing w:after="0"/>
              <w:rPr>
                <w:sz w:val="20"/>
                <w:szCs w:val="20"/>
                <w:color w:val="auto"/>
              </w:rPr>
            </w:pPr>
            <w:r>
              <w:rPr>
                <w:rFonts w:ascii="Arial" w:cs="Arial" w:eastAsia="Arial" w:hAnsi="Arial"/>
                <w:sz w:val="14"/>
                <w:szCs w:val="14"/>
                <w:b w:val="1"/>
                <w:bCs w:val="1"/>
                <w:color w:val="auto"/>
                <w:w w:val="87"/>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46,502</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Allowances for collection losses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accounts receivable,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44,661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8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220" w:type="dxa"/>
            <w:vAlign w:val="bottom"/>
          </w:tcPr>
          <w:p>
            <w:pPr>
              <w:ind w:left="480"/>
              <w:spacing w:after="0"/>
              <w:rPr>
                <w:sz w:val="20"/>
                <w:szCs w:val="20"/>
                <w:color w:val="auto"/>
              </w:rPr>
            </w:pPr>
            <w:r>
              <w:rPr>
                <w:rFonts w:ascii="Arial" w:cs="Arial" w:eastAsia="Arial" w:hAnsi="Arial"/>
                <w:sz w:val="17"/>
                <w:szCs w:val="17"/>
                <w:color w:val="auto"/>
              </w:rPr>
              <w:t>Our inventories are summarized below:</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July 2,</w:t>
            </w:r>
          </w:p>
        </w:tc>
        <w:tc>
          <w:tcPr>
            <w:tcW w:w="320" w:type="dxa"/>
            <w:vAlign w:val="bottom"/>
          </w:tcPr>
          <w:p>
            <w:pPr>
              <w:spacing w:after="0"/>
              <w:rPr>
                <w:sz w:val="20"/>
                <w:szCs w:val="20"/>
                <w:color w:val="auto"/>
              </w:rPr>
            </w:pPr>
          </w:p>
        </w:tc>
        <w:tc>
          <w:tcPr>
            <w:tcW w:w="1140" w:type="dxa"/>
            <w:vAlign w:val="bottom"/>
          </w:tcPr>
          <w:p>
            <w:pPr>
              <w:jc w:val="center"/>
              <w:ind w:right="239"/>
              <w:spacing w:after="0"/>
              <w:rPr>
                <w:sz w:val="20"/>
                <w:szCs w:val="20"/>
                <w:color w:val="auto"/>
              </w:rPr>
            </w:pPr>
            <w:r>
              <w:rPr>
                <w:rFonts w:ascii="Arial" w:cs="Arial" w:eastAsia="Arial" w:hAnsi="Arial"/>
                <w:sz w:val="14"/>
                <w:szCs w:val="14"/>
                <w:b w:val="1"/>
                <w:bCs w:val="1"/>
                <w:color w:val="auto"/>
                <w:w w:val="87"/>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products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9,055</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Raw materials and supplies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4,942</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inventories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Consigned inventories included within raw materials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20" w:type="dxa"/>
            <w:vAlign w:val="bottom"/>
            <w:vMerge w:val="continue"/>
          </w:tcPr>
          <w:p>
            <w:pPr>
              <w:spacing w:after="0"/>
              <w:rPr>
                <w:sz w:val="16"/>
                <w:szCs w:val="16"/>
                <w:color w:val="auto"/>
              </w:rPr>
            </w:pPr>
          </w:p>
        </w:tc>
        <w:tc>
          <w:tcPr>
            <w:tcW w:w="320" w:type="dxa"/>
            <w:vAlign w:val="bottom"/>
          </w:tcPr>
          <w:p>
            <w:pPr>
              <w:jc w:val="right"/>
              <w:ind w:right="133"/>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6,570</w:t>
            </w:r>
          </w:p>
        </w:tc>
        <w:tc>
          <w:tcPr>
            <w:tcW w:w="100" w:type="dxa"/>
            <w:vAlign w:val="bottom"/>
          </w:tcPr>
          <w:p>
            <w:pPr>
              <w:spacing w:after="0"/>
              <w:rPr>
                <w:sz w:val="16"/>
                <w:szCs w:val="16"/>
                <w:color w:val="auto"/>
              </w:rPr>
            </w:pPr>
          </w:p>
        </w:tc>
        <w:tc>
          <w:tcPr>
            <w:tcW w:w="320" w:type="dxa"/>
            <w:vAlign w:val="bottom"/>
          </w:tcPr>
          <w:p>
            <w:pPr>
              <w:jc w:val="right"/>
              <w:ind w:right="133"/>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line="194" w:lineRule="exact"/>
              <w:rPr>
                <w:sz w:val="20"/>
                <w:szCs w:val="20"/>
                <w:color w:val="auto"/>
              </w:rPr>
            </w:pPr>
            <w:r>
              <w:rPr>
                <w:rFonts w:ascii="Arial" w:cs="Arial" w:eastAsia="Arial" w:hAnsi="Arial"/>
                <w:sz w:val="17"/>
                <w:szCs w:val="17"/>
                <w:color w:val="auto"/>
              </w:rPr>
              <w:t>1,931</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fiscal 2021, 2020 and 2019, we recorded charges to adjust our inventory and customer service inventory due to excess and obsolete inventory resulting from lower sales forecasts, product transitioning or discontinuance. Such charges incurred during fiscal 2021, 2020 and 2019 were classified in cost of product sales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and obsolete inventory charges (recovery)</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597"/>
              <w:spacing w:after="0"/>
              <w:rPr>
                <w:sz w:val="20"/>
                <w:szCs w:val="20"/>
                <w:color w:val="auto"/>
              </w:rPr>
            </w:pPr>
            <w:r>
              <w:rPr>
                <w:rFonts w:ascii="Arial" w:cs="Arial" w:eastAsia="Arial" w:hAnsi="Arial"/>
                <w:sz w:val="17"/>
                <w:szCs w:val="17"/>
                <w:color w:val="auto"/>
                <w:w w:val="95"/>
              </w:rPr>
              <w:t>(352)</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service inventory write-downs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7"/>
              <w:spacing w:after="0"/>
              <w:rPr>
                <w:sz w:val="20"/>
                <w:szCs w:val="20"/>
                <w:color w:val="auto"/>
              </w:rPr>
            </w:pPr>
            <w:r>
              <w:rPr>
                <w:rFonts w:ascii="Arial" w:cs="Arial" w:eastAsia="Arial" w:hAnsi="Arial"/>
                <w:sz w:val="17"/>
                <w:szCs w:val="17"/>
                <w:color w:val="auto"/>
                <w:w w:val="91"/>
              </w:rPr>
              <w:t>905</w:t>
            </w:r>
          </w:p>
        </w:tc>
      </w:tr>
      <w:tr>
        <w:trPr>
          <w:trHeight w:val="24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charges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center"/>
              <w:ind w:left="597"/>
              <w:spacing w:after="0"/>
              <w:rPr>
                <w:sz w:val="20"/>
                <w:szCs w:val="20"/>
                <w:color w:val="auto"/>
              </w:rPr>
            </w:pPr>
            <w:r>
              <w:rPr>
                <w:rFonts w:ascii="Arial" w:cs="Arial" w:eastAsia="Arial" w:hAnsi="Arial"/>
                <w:sz w:val="17"/>
                <w:szCs w:val="17"/>
                <w:color w:val="auto"/>
                <w:w w:val="91"/>
              </w:rPr>
              <w:t>553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consider properties to be Assets held for sale when management approves and commits to a plan to dispose of a property or group of properties. The property held for sale prior to the sale date is separately presented on the consolidated balance sheets as Assets held for sale.</w:t>
      </w:r>
    </w:p>
    <w:p>
      <w:pPr>
        <w:spacing w:after="0" w:line="184"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During the second quarter of fiscal 2021 management initiated the sale of our facility located in Lanarkshire, Scotland. We expect to complete the sale within twelve months. The carrying value of this asset held for sale as of April 2, 2021 of $2.2 million which represents the lower of 1) the carrying value or 2) fair value of the assets, less estimated</w:t>
      </w:r>
    </w:p>
    <w:p>
      <w:pPr>
        <w:sectPr>
          <w:pgSz w:w="11900" w:h="16838" w:orient="portrait"/>
          <w:cols w:equalWidth="0" w:num="1">
            <w:col w:w="11240"/>
          </w:cols>
          <w:pgMar w:left="320" w:top="3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costs to sell the assets. We performed an analysis and determined the estimated fair value of the assets, less estimated selling costs, is higher than the carrying value of the assets. As a result, no impairment charge was recorded in our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property, plant and equipment, net is summarized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11,737</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17,887</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52,293</w:t>
            </w: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82,627</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(65,716)</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Included in the total plant, property and equipment above were $0.3 million and $3.5 million of assets in progress which have not been placed in service as of July 2, 2021 and July 3, 2020, respectively. Depreciation and amortization expense related to property, plant and equipment, including amortization of internal use software was $5.4 million, $4.4 million and $4.5 million in fiscal 2021, 2020 and 2019,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accrued expenses are summarized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11,814</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Accrued agent commissions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2,356</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warranties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9,554</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accrue for the estimated cost to repair or replace products under warranty. Changes in our warranty liability, which is included as a component of accrued expenses in the consolidated balance sheets,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Fiscal Year</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the beginning of the fiscal year</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center"/>
              <w:ind w:left="496"/>
              <w:spacing w:after="0"/>
              <w:rPr>
                <w:sz w:val="20"/>
                <w:szCs w:val="20"/>
                <w:color w:val="auto"/>
              </w:rPr>
            </w:pPr>
            <w:r>
              <w:rPr>
                <w:rFonts w:ascii="Arial" w:cs="Arial" w:eastAsia="Arial" w:hAnsi="Arial"/>
                <w:sz w:val="17"/>
                <w:szCs w:val="17"/>
                <w:color w:val="auto"/>
                <w:w w:val="93"/>
              </w:rPr>
              <w:t>3,196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599"/>
              <w:spacing w:after="0"/>
              <w:rPr>
                <w:sz w:val="20"/>
                <w:szCs w:val="20"/>
                <w:color w:val="auto"/>
              </w:rPr>
            </w:pPr>
            <w:r>
              <w:rPr>
                <w:rFonts w:ascii="Arial" w:cs="Arial" w:eastAsia="Arial" w:hAnsi="Arial"/>
                <w:sz w:val="17"/>
                <w:szCs w:val="17"/>
                <w:color w:val="auto"/>
                <w:w w:val="93"/>
              </w:rPr>
              <w:t>3,323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498"/>
              <w:spacing w:after="0"/>
              <w:rPr>
                <w:sz w:val="20"/>
                <w:szCs w:val="20"/>
                <w:color w:val="auto"/>
              </w:rPr>
            </w:pPr>
            <w:r>
              <w:rPr>
                <w:rFonts w:ascii="Arial" w:cs="Arial" w:eastAsia="Arial" w:hAnsi="Arial"/>
                <w:sz w:val="17"/>
                <w:szCs w:val="17"/>
                <w:color w:val="auto"/>
                <w:w w:val="89"/>
              </w:rPr>
              <w:t>3,196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Warranty provision recorded during the period</w:t>
            </w:r>
          </w:p>
        </w:tc>
        <w:tc>
          <w:tcPr>
            <w:tcW w:w="340" w:type="dxa"/>
            <w:vAlign w:val="bottom"/>
          </w:tcPr>
          <w:p>
            <w:pPr>
              <w:spacing w:after="0"/>
              <w:rPr>
                <w:sz w:val="19"/>
                <w:szCs w:val="19"/>
                <w:color w:val="auto"/>
              </w:rPr>
            </w:pPr>
          </w:p>
        </w:tc>
        <w:tc>
          <w:tcPr>
            <w:tcW w:w="1100" w:type="dxa"/>
            <w:vAlign w:val="bottom"/>
          </w:tcPr>
          <w:p>
            <w:pPr>
              <w:jc w:val="center"/>
              <w:ind w:left="496"/>
              <w:spacing w:after="0"/>
              <w:rPr>
                <w:sz w:val="20"/>
                <w:szCs w:val="20"/>
                <w:color w:val="auto"/>
              </w:rPr>
            </w:pPr>
            <w:r>
              <w:rPr>
                <w:rFonts w:ascii="Arial" w:cs="Arial" w:eastAsia="Arial" w:hAnsi="Arial"/>
                <w:sz w:val="17"/>
                <w:szCs w:val="17"/>
                <w:color w:val="auto"/>
                <w:w w:val="93"/>
              </w:rPr>
              <w:t>1,679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599"/>
              <w:spacing w:after="0"/>
              <w:rPr>
                <w:sz w:val="20"/>
                <w:szCs w:val="20"/>
                <w:color w:val="auto"/>
              </w:rPr>
            </w:pPr>
            <w:r>
              <w:rPr>
                <w:rFonts w:ascii="Arial" w:cs="Arial" w:eastAsia="Arial" w:hAnsi="Arial"/>
                <w:sz w:val="17"/>
                <w:szCs w:val="17"/>
                <w:color w:val="auto"/>
                <w:w w:val="93"/>
              </w:rPr>
              <w:t>1,564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98"/>
              <w:spacing w:after="0"/>
              <w:rPr>
                <w:sz w:val="20"/>
                <w:szCs w:val="20"/>
                <w:color w:val="auto"/>
              </w:rPr>
            </w:pPr>
            <w:r>
              <w:rPr>
                <w:rFonts w:ascii="Arial" w:cs="Arial" w:eastAsia="Arial" w:hAnsi="Arial"/>
                <w:sz w:val="17"/>
                <w:szCs w:val="17"/>
                <w:color w:val="auto"/>
                <w:w w:val="89"/>
              </w:rPr>
              <w:t>1,974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Consumption during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7"/>
                <w:szCs w:val="17"/>
                <w:color w:val="auto"/>
                <w:w w:val="92"/>
              </w:rPr>
              <w:t>(1,647)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7"/>
                <w:szCs w:val="17"/>
                <w:color w:val="auto"/>
                <w:w w:val="96"/>
              </w:rPr>
              <w:t>(1,691)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7"/>
                <w:szCs w:val="17"/>
                <w:color w:val="auto"/>
                <w:w w:val="96"/>
              </w:rPr>
              <w:t>(1,847)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7"/>
                <w:szCs w:val="17"/>
                <w:color w:val="auto"/>
              </w:rPr>
              <w:t>Balance as of the end of the period</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center"/>
              <w:ind w:left="496"/>
              <w:spacing w:after="0"/>
              <w:rPr>
                <w:sz w:val="20"/>
                <w:szCs w:val="20"/>
                <w:color w:val="auto"/>
              </w:rPr>
            </w:pPr>
            <w:r>
              <w:rPr>
                <w:rFonts w:ascii="Arial" w:cs="Arial" w:eastAsia="Arial" w:hAnsi="Arial"/>
                <w:sz w:val="17"/>
                <w:szCs w:val="17"/>
                <w:color w:val="auto"/>
                <w:w w:val="93"/>
              </w:rPr>
              <w:t>3,228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center"/>
              <w:ind w:left="599"/>
              <w:spacing w:after="0"/>
              <w:rPr>
                <w:sz w:val="20"/>
                <w:szCs w:val="20"/>
                <w:color w:val="auto"/>
              </w:rPr>
            </w:pPr>
            <w:r>
              <w:rPr>
                <w:rFonts w:ascii="Arial" w:cs="Arial" w:eastAsia="Arial" w:hAnsi="Arial"/>
                <w:sz w:val="17"/>
                <w:szCs w:val="17"/>
                <w:color w:val="auto"/>
                <w:w w:val="93"/>
              </w:rPr>
              <w:t>3,196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center"/>
              <w:ind w:left="498"/>
              <w:spacing w:after="0"/>
              <w:rPr>
                <w:sz w:val="20"/>
                <w:szCs w:val="20"/>
                <w:color w:val="auto"/>
              </w:rPr>
            </w:pPr>
            <w:r>
              <w:rPr>
                <w:rFonts w:ascii="Arial" w:cs="Arial" w:eastAsia="Arial" w:hAnsi="Arial"/>
                <w:sz w:val="17"/>
                <w:szCs w:val="17"/>
                <w:color w:val="auto"/>
                <w:w w:val="89"/>
              </w:rPr>
              <w:t>3,323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Advance payments and Unearned Income</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660" w:type="dxa"/>
            <w:vAlign w:val="bottom"/>
          </w:tcPr>
          <w:p>
            <w:pPr>
              <w:ind w:left="480"/>
              <w:spacing w:after="0"/>
              <w:rPr>
                <w:sz w:val="20"/>
                <w:szCs w:val="20"/>
                <w:color w:val="auto"/>
              </w:rPr>
            </w:pPr>
            <w:r>
              <w:rPr>
                <w:rFonts w:ascii="Arial" w:cs="Arial" w:eastAsia="Arial" w:hAnsi="Arial"/>
                <w:sz w:val="17"/>
                <w:szCs w:val="17"/>
                <w:color w:val="auto"/>
              </w:rPr>
              <w:t>Our advance payments and unearned income are summarized below:</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July 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38"/>
              <w:spacing w:after="0"/>
              <w:rPr>
                <w:sz w:val="20"/>
                <w:szCs w:val="20"/>
                <w:color w:val="auto"/>
              </w:rPr>
            </w:pPr>
            <w:r>
              <w:rPr>
                <w:rFonts w:ascii="Arial" w:cs="Arial" w:eastAsia="Arial" w:hAnsi="Arial"/>
                <w:sz w:val="14"/>
                <w:szCs w:val="14"/>
                <w:b w:val="1"/>
                <w:bCs w:val="1"/>
                <w:color w:val="auto"/>
              </w:rPr>
              <w:t>July 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income</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Fair Value Measurements of Assets and Liabilities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6" w:lineRule="exact"/>
        <w:rPr>
          <w:sz w:val="20"/>
          <w:szCs w:val="20"/>
          <w:color w:val="auto"/>
        </w:rPr>
      </w:pPr>
    </w:p>
    <w:p>
      <w:pPr>
        <w:ind w:left="940" w:hanging="30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assets or liabilities;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Level 2 — Observable market-based inputs or observable inputs that are corroborated by market data;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carrying amounts, estimated fair values and valuation input levels of our assets and liabilities that are measured at fair value on a recurring basis as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July 2, 2021 and July 3, 2020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 2021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800" w:type="dxa"/>
            <w:vAlign w:val="bottom"/>
          </w:tcPr>
          <w:p>
            <w:pPr>
              <w:jc w:val="center"/>
              <w:ind w:right="280"/>
              <w:spacing w:after="0" w:line="131"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800" w:type="dxa"/>
            <w:vAlign w:val="bottom"/>
          </w:tcPr>
          <w:p>
            <w:pPr>
              <w:jc w:val="center"/>
              <w:ind w:right="300"/>
              <w:spacing w:after="0" w:line="131"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Valuation</w:t>
            </w:r>
          </w:p>
        </w:tc>
        <w:tc>
          <w:tcPr>
            <w:tcW w:w="0" w:type="dxa"/>
            <w:vAlign w:val="bottom"/>
          </w:tcPr>
          <w:p>
            <w:pPr>
              <w:spacing w:after="0"/>
              <w:rPr>
                <w:sz w:val="1"/>
                <w:szCs w:val="1"/>
                <w:color w:val="auto"/>
              </w:rPr>
            </w:pPr>
          </w:p>
        </w:tc>
      </w:tr>
      <w:tr>
        <w:trPr>
          <w:trHeight w:val="183"/>
        </w:trPr>
        <w:tc>
          <w:tcPr>
            <w:tcW w:w="5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5"/>
                <w:szCs w:val="15"/>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5"/>
                <w:szCs w:val="15"/>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18,189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4"/>
              </w:rPr>
              <w:t>Level 1</w:t>
            </w:r>
          </w:p>
        </w:tc>
        <w:tc>
          <w:tcPr>
            <w:tcW w:w="0" w:type="dxa"/>
            <w:vAlign w:val="bottom"/>
          </w:tcPr>
          <w:p>
            <w:pPr>
              <w:spacing w:after="0"/>
              <w:rPr>
                <w:sz w:val="1"/>
                <w:szCs w:val="1"/>
                <w:color w:val="auto"/>
              </w:rPr>
            </w:pPr>
          </w:p>
        </w:tc>
      </w:tr>
      <w:tr>
        <w:trPr>
          <w:trHeight w:val="222"/>
        </w:trPr>
        <w:tc>
          <w:tcPr>
            <w:tcW w:w="5000" w:type="dxa"/>
            <w:vAlign w:val="bottom"/>
          </w:tcPr>
          <w:p>
            <w:pPr>
              <w:ind w:left="140"/>
              <w:spacing w:after="0"/>
              <w:rPr>
                <w:sz w:val="20"/>
                <w:szCs w:val="20"/>
                <w:color w:val="auto"/>
              </w:rPr>
            </w:pPr>
            <w:r>
              <w:rPr>
                <w:rFonts w:ascii="Arial" w:cs="Arial" w:eastAsia="Arial" w:hAnsi="Arial"/>
                <w:sz w:val="17"/>
                <w:szCs w:val="17"/>
                <w:color w:val="auto"/>
              </w:rPr>
              <w:t>Bank certificates of deposit</w:t>
            </w: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3,288</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3,250</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3,250</w:t>
            </w:r>
          </w:p>
        </w:tc>
        <w:tc>
          <w:tcPr>
            <w:tcW w:w="10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17"/>
                <w:szCs w:val="17"/>
                <w:color w:val="auto"/>
                <w:w w:val="94"/>
              </w:rPr>
              <w:t>Level 2</w:t>
            </w: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exchange forward contracts</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4"/>
              </w:rPr>
              <w:t>Level 2</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money market funds purchased from major financial institutions. As of July 2, 2021, these money market funds were valued at $1.00 net asset value per share by these financial institutions.</w:t>
      </w:r>
    </w:p>
    <w:p>
      <w:pPr>
        <w:spacing w:after="0" w:line="8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July 2, 2021 and July 3, 2020. We did not have any recurring assets or liabilities that were valued using significant unobservable inputs.</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policy is to recognize asset or liability transfers among Level 1, Level 2 and Level 3 as of the actual date of the events or change in circumstances that caused the transfer. During fiscal 2021, 2020 and 2019, we had no transfers between levels of the fair value hierarchy of our assets or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Credit Facility and Debt</w:t>
      </w:r>
    </w:p>
    <w:p>
      <w:pPr>
        <w:spacing w:after="0" w:line="176"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On May 17, 2020, we entered into Amendment No. 4 to Third Amended and Restated Loan and Security Agreement with Silicon Valley Bank (the “SVB Credit Facility”) which extended the expiration date to June 28, 2024. The SVB Credit Facility provides for a $25.0 million accounts receivable formula 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 limit. We may prepay loans under the SVB Credit Facility in whole or in part at any time without premium or penalty. As of July 2, 2021, available credit under the SVB Credit Facility was $22.7 million reflecting the calculated borrowing base of $25.0 million less outstanding letters of credit of $2.3 million. We did not borrow against the SVB Credit Facility during fiscal 2021 and there was no borrowing outstanding as of July 2,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23"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The SVB Credit Facility contains monthly and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July 2, 2021, we were in compliance with the quarterly financial covenants, as amended, contained in the SVB Credit Facility.</w:t>
      </w:r>
    </w:p>
    <w:p>
      <w:pPr>
        <w:spacing w:after="0" w:line="105"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Due to the current economic uncertainty stemming from the impact of the COVID-19 pandemic, on April 21, 2020, we entered into a Paycheck Protection Program Note (the “Note”) with Silicon Valley Bank as the lender (“Lender”) in an aggregate principal amount of $5.9 million pursuant to the Paycheck Protection Program under the CARES Act (the “PPP Loan”). On April 22, 2020, we received proceeds of $5.9 million from the PPP Loan. At the time when we applied for the PPP Loan, we had qualified to receive the funds pursuant to the then published qualification requirements. On April 23, 2020, the SBA, in consultation with the Department of Treasury, issued new guidance regarding qualification requirements for public companies. Based on our assessment of the new guidance, on May 5, 2020, we repaid the principal and interest on the PPP Loan.</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July 2, 2021. The line of credit also provides for the issuance of standby letters of credit and company credit cards, of which $0.1 million was outstanding as of July 2, 2021. This facility may be terminated upon notice, is reviewed annually for renewal or modification, and is supported by a corporate guarantee.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Restructuring Activities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restructuring related activities during fiscal year 2021, 2020 and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5"/>
            <w:vMerge w:val="restart"/>
          </w:tcPr>
          <w:p>
            <w:pPr>
              <w:jc w:val="right"/>
              <w:ind w:right="219"/>
              <w:spacing w:after="0"/>
              <w:rPr>
                <w:sz w:val="20"/>
                <w:szCs w:val="20"/>
                <w:color w:val="auto"/>
              </w:rPr>
            </w:pPr>
            <w:r>
              <w:rPr>
                <w:rFonts w:ascii="Arial" w:cs="Arial" w:eastAsia="Arial" w:hAnsi="Arial"/>
                <w:sz w:val="14"/>
                <w:szCs w:val="14"/>
                <w:b w:val="1"/>
                <w:bCs w:val="1"/>
                <w:color w:val="auto"/>
                <w:w w:val="88"/>
              </w:rPr>
              <w:t>Severance and Benefits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Facilities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Fiscal 2021 Plan</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Q4 2020 Plan</w:t>
            </w:r>
          </w:p>
        </w:tc>
        <w:tc>
          <w:tcPr>
            <w:tcW w:w="8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Prior Years' Plan</w:t>
            </w:r>
          </w:p>
        </w:tc>
        <w:tc>
          <w:tcPr>
            <w:tcW w:w="8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Prior Years' Plans</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liability June 29, 2018</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w:t>
            </w: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22"/>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0" w:type="dxa"/>
            <w:vAlign w:val="bottom"/>
          </w:tcPr>
          <w:p>
            <w:pPr>
              <w:spacing w:after="0"/>
              <w:rPr>
                <w:sz w:val="1"/>
                <w:szCs w:val="1"/>
                <w:color w:val="auto"/>
              </w:rPr>
            </w:pPr>
          </w:p>
        </w:tc>
      </w:tr>
      <w:tr>
        <w:trPr>
          <w:trHeight w:val="22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currency translation (gain) loss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June 28, 2019</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w:t>
            </w: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4,049</w:t>
            </w:r>
          </w:p>
        </w:tc>
        <w:tc>
          <w:tcPr>
            <w:tcW w:w="0" w:type="dxa"/>
            <w:vAlign w:val="bottom"/>
          </w:tcPr>
          <w:p>
            <w:pPr>
              <w:spacing w:after="0"/>
              <w:rPr>
                <w:sz w:val="1"/>
                <w:szCs w:val="1"/>
                <w:color w:val="auto"/>
              </w:rPr>
            </w:pPr>
          </w:p>
        </w:tc>
      </w:tr>
      <w:tr>
        <w:trPr>
          <w:trHeight w:val="222"/>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Arial" w:cs="Arial" w:eastAsia="Arial" w:hAnsi="Arial"/>
                <w:sz w:val="17"/>
                <w:szCs w:val="17"/>
                <w:color w:val="auto"/>
              </w:rPr>
              <w:t>Foreign currency translation (gain)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5"/>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July 3, 2020</w:t>
            </w: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0" w:type="dxa"/>
            <w:vAlign w:val="bottom"/>
          </w:tcPr>
          <w:p>
            <w:pPr>
              <w:spacing w:after="0"/>
              <w:rPr>
                <w:sz w:val="1"/>
                <w:szCs w:val="1"/>
                <w:color w:val="auto"/>
              </w:rPr>
            </w:pPr>
          </w:p>
        </w:tc>
      </w:tr>
      <w:tr>
        <w:trPr>
          <w:trHeight w:val="222"/>
        </w:trPr>
        <w:tc>
          <w:tcPr>
            <w:tcW w:w="456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2,271</w:t>
            </w:r>
          </w:p>
        </w:tc>
        <w:tc>
          <w:tcPr>
            <w:tcW w:w="0" w:type="dxa"/>
            <w:vAlign w:val="bottom"/>
          </w:tcPr>
          <w:p>
            <w:pPr>
              <w:spacing w:after="0"/>
              <w:rPr>
                <w:sz w:val="1"/>
                <w:szCs w:val="1"/>
                <w:color w:val="auto"/>
              </w:rPr>
            </w:pPr>
          </w:p>
        </w:tc>
      </w:tr>
      <w:tr>
        <w:trPr>
          <w:trHeight w:val="222"/>
        </w:trPr>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0" w:type="dxa"/>
            <w:vAlign w:val="bottom"/>
          </w:tcPr>
          <w:p>
            <w:pPr>
              <w:spacing w:after="0"/>
              <w:rPr>
                <w:sz w:val="1"/>
                <w:szCs w:val="1"/>
                <w:color w:val="auto"/>
              </w:rPr>
            </w:pPr>
          </w:p>
        </w:tc>
      </w:tr>
      <w:tr>
        <w:trPr>
          <w:trHeight w:val="222"/>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currency translation (gain) loss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July 2, 2021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July 2, 2021, the sum of the accrual balance of $2.7 million was in short-term restructuring liabilities on the consolidated balance sheets.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Plan</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During the third and fourth quarters of fiscal 2021, our Board of Directors approved restructuring plans (the “Fiscal 2021 Plan”) to continue to reduce our</w:t>
      </w:r>
    </w:p>
    <w:p>
      <w:pPr>
        <w:spacing w:after="0" w:line="64" w:lineRule="exact"/>
        <w:rPr>
          <w:sz w:val="20"/>
          <w:szCs w:val="20"/>
          <w:color w:val="auto"/>
        </w:rPr>
      </w:pPr>
    </w:p>
    <w:p>
      <w:pPr>
        <w:jc w:val="both"/>
        <w:ind w:right="100"/>
        <w:spacing w:after="0" w:line="288" w:lineRule="auto"/>
        <w:rPr>
          <w:sz w:val="20"/>
          <w:szCs w:val="20"/>
          <w:color w:val="auto"/>
        </w:rPr>
      </w:pPr>
      <w:r>
        <w:rPr>
          <w:rFonts w:ascii="Arial" w:cs="Arial" w:eastAsia="Arial" w:hAnsi="Arial"/>
          <w:sz w:val="17"/>
          <w:szCs w:val="17"/>
          <w:color w:val="auto"/>
        </w:rPr>
        <w:t>operating costs and improve profitability. We recorded restructuring charges of $2.4 million related to the Fiscal 2021 Plan in fiscal 2021. Payments related to the accrued restructuring balances for this plan are expected to be fully paid in fiscal 2022.</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Q4 2020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During the fourth quarter of fiscal 2020, our Board of Directors approved a restructuring plan (the “Q4 2020 Plan”) in order to continue to reduce our operating costs and improve profitability to optimize our business model and increase efficiencies. Payments related to the accrued restructuring liability balance for this plan are expected to be fully paid in fiscal 2022.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Q3 2020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During the third quarter of fiscal 2020, our Board of Directors approved a restructuring plan (the “Q3 2020 Plan”) in order to reduce our operating costs and improve profitability to optimize our business model and increase efficiencies. Payments related to the accrued restructuring liability balance for this plan were fully paid in fiscal 2021.</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2020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During the fourth quarter of fiscal 2019, our Board of Directors approved a restructuring plan (the “Fiscal 2020 Plan”) to primarily consolidate product development, right size our resources to support our international business and other support functions. Payments related to the accrued restructuring liability balance for this plan were fully paid in fiscal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2018-2019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During the fourth quarter of fiscal 2018, our Board of Directors approved a restructuring plan (the “Fiscal 2018-2019 Plan”) to consolidate back-office support functions and align resources by geography to lower our expense structure. We completed the restructuring activities under the Fiscal 2018-2019 Plan at the end of fiscal 2019. Payments related to the accrued restructuring liability balance for this plan were fully paid in fiscal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May 2018, our board of directors approved a repurchase program pursuant to which authorized repurchase of up to $7.5 million of our common stock.</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repurchase of our common stock:</w:t>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vMerge w:val="restart"/>
          </w:tcPr>
          <w:p>
            <w:pPr>
              <w:jc w:val="right"/>
              <w:ind w:right="222"/>
              <w:spacing w:after="0"/>
              <w:rPr>
                <w:sz w:val="20"/>
                <w:szCs w:val="20"/>
                <w:color w:val="auto"/>
              </w:rPr>
            </w:pPr>
            <w:r>
              <w:rPr>
                <w:rFonts w:ascii="Arial" w:cs="Arial" w:eastAsia="Arial" w:hAnsi="Arial"/>
                <w:sz w:val="16"/>
                <w:szCs w:val="16"/>
                <w:b w:val="1"/>
                <w:bCs w:val="1"/>
                <w:color w:val="auto"/>
              </w:rPr>
              <w:t>Shares</w:t>
            </w:r>
          </w:p>
        </w:tc>
        <w:tc>
          <w:tcPr>
            <w:tcW w:w="100" w:type="dxa"/>
            <w:vAlign w:val="bottom"/>
            <w:vMerge w:val="restart"/>
          </w:tcPr>
          <w:p>
            <w:pPr>
              <w:spacing w:after="0"/>
              <w:rPr>
                <w:sz w:val="16"/>
                <w:szCs w:val="16"/>
                <w:color w:val="auto"/>
              </w:rPr>
            </w:pPr>
          </w:p>
        </w:tc>
        <w:tc>
          <w:tcPr>
            <w:tcW w:w="2600" w:type="dxa"/>
            <w:vAlign w:val="bottom"/>
            <w:gridSpan w:val="3"/>
          </w:tcPr>
          <w:p>
            <w:pPr>
              <w:ind w:left="500"/>
              <w:spacing w:after="0"/>
              <w:rPr>
                <w:sz w:val="20"/>
                <w:szCs w:val="20"/>
                <w:color w:val="auto"/>
              </w:rPr>
            </w:pPr>
            <w:r>
              <w:rPr>
                <w:rFonts w:ascii="Arial" w:cs="Arial" w:eastAsia="Arial" w:hAnsi="Arial"/>
                <w:sz w:val="16"/>
                <w:szCs w:val="16"/>
                <w:b w:val="1"/>
                <w:bCs w:val="1"/>
                <w:color w:val="auto"/>
                <w:w w:val="93"/>
              </w:rPr>
              <w:t>Weighted-Average Price Paid</w:t>
            </w:r>
          </w:p>
        </w:tc>
        <w:tc>
          <w:tcPr>
            <w:tcW w:w="5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86"/>
              </w:rPr>
              <w:t>Aggregate purc</w:t>
            </w:r>
          </w:p>
        </w:tc>
        <w:tc>
          <w:tcPr>
            <w:tcW w:w="0" w:type="dxa"/>
            <w:vAlign w:val="bottom"/>
          </w:tcPr>
          <w:p>
            <w:pPr>
              <w:spacing w:after="0"/>
              <w:rPr>
                <w:sz w:val="1"/>
                <w:szCs w:val="1"/>
                <w:color w:val="auto"/>
              </w:rPr>
            </w:pPr>
          </w:p>
        </w:tc>
      </w:tr>
      <w:tr>
        <w:trPr>
          <w:trHeight w:val="206"/>
        </w:trPr>
        <w:tc>
          <w:tcPr>
            <w:tcW w:w="49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(In thousands, except share and per-share amounts)</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05"/>
        </w:trPr>
        <w:tc>
          <w:tcPr>
            <w:tcW w:w="5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Fiscal 2021 Treasury Shares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ind w:left="480"/>
              <w:spacing w:after="0"/>
              <w:rPr>
                <w:sz w:val="20"/>
                <w:szCs w:val="20"/>
                <w:color w:val="auto"/>
              </w:rPr>
            </w:pPr>
            <w:r>
              <w:rPr>
                <w:rFonts w:ascii="Arial" w:cs="Arial" w:eastAsia="Arial" w:hAnsi="Arial"/>
                <w:sz w:val="16"/>
                <w:szCs w:val="16"/>
                <w:color w:val="auto"/>
              </w:rPr>
              <w:t>Fiscal 2020</w:t>
            </w:r>
          </w:p>
        </w:tc>
        <w:tc>
          <w:tcPr>
            <w:tcW w:w="1540" w:type="dxa"/>
            <w:vAlign w:val="bottom"/>
          </w:tcPr>
          <w:p>
            <w:pPr>
              <w:jc w:val="right"/>
              <w:spacing w:after="0"/>
              <w:rPr>
                <w:sz w:val="20"/>
                <w:szCs w:val="20"/>
                <w:color w:val="auto"/>
              </w:rPr>
            </w:pPr>
            <w:r>
              <w:rPr>
                <w:rFonts w:ascii="Arial" w:cs="Arial" w:eastAsia="Arial" w:hAnsi="Arial"/>
                <w:sz w:val="16"/>
                <w:szCs w:val="16"/>
                <w:color w:val="auto"/>
              </w:rPr>
              <w:t>256,046</w:t>
            </w:r>
          </w:p>
        </w:tc>
        <w:tc>
          <w:tcPr>
            <w:tcW w:w="10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50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Fiscal 2019</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Starting in February 2021 repurchased shares were recorded as treasury stock and we do not anticipate retiring them. Treasury stock did not participate in</w:t>
      </w:r>
    </w:p>
    <w:p>
      <w:pPr>
        <w:spacing w:after="0" w:line="7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two-for-one stock split in the form of a stock dividend paid on April 7, 2021. All repurchased shares prior to February 2021 were retired and reflected the two-for-one stock split. As of July 2, 2021, $2.6 million remained available for repurchase under our stock repurchase program.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Programs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Equity Plan</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At July 2, 2021, we had one stock incentive plan for our employees and non-employee directors, the 2018 Incentive Plan (the “2018 Plan”). The 2018 Plan was approved by the stockholders at the fiscal year 2017 Annual Stockholders’ Meeting and it added 500,000 shares to the equity pool of shares available to grant to employees and non-employee directors. The 2018 Plan replaced the 2007 Plan as our primary long-term incentive program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also provides for the issuance of share-based awards in the form of stock options, stock appreciation rights, restricted stock awards and units, and performance share awards and units.</w:t>
      </w:r>
    </w:p>
    <w:p>
      <w:pPr>
        <w:spacing w:after="0" w:line="11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19"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and made available for future grants under the 2018 Plan. Shares of our common stock remaining available for future issuance under the 2018 Plan totaled 784,793 as of July 2, 2021.</w:t>
      </w:r>
    </w:p>
    <w:p>
      <w:pPr>
        <w:spacing w:after="0" w:line="123"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On March 3, 2020, our Board of Directors authorized and declared a dividend distribution of one right (a “Right”) for each outstanding share of our common stock, par value $0.01 per share, to our stockholders of record as of the close of business on March 3, 2020,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March 3, 2020, and amended as of August 27, 2020,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Code. We submitted the Plan to a stockholder vote and our stockholders voted to approve the Plan at the 2020 Annual Meeting of Stockholders.</w:t>
      </w:r>
    </w:p>
    <w:p>
      <w:pPr>
        <w:spacing w:after="0" w:line="209" w:lineRule="exact"/>
        <w:rPr>
          <w:sz w:val="20"/>
          <w:szCs w:val="20"/>
          <w:color w:val="auto"/>
        </w:rPr>
      </w:pPr>
    </w:p>
    <w:p>
      <w:pPr>
        <w:jc w:val="both"/>
        <w:ind w:firstLine="470"/>
        <w:spacing w:after="0" w:line="358" w:lineRule="auto"/>
        <w:rPr>
          <w:sz w:val="20"/>
          <w:szCs w:val="20"/>
          <w:color w:val="auto"/>
        </w:rPr>
      </w:pPr>
      <w:r>
        <w:rPr>
          <w:rFonts w:ascii="Arial" w:cs="Arial" w:eastAsia="Arial" w:hAnsi="Arial"/>
          <w:sz w:val="15"/>
          <w:szCs w:val="15"/>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70"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Under the Employee Stock Purchase Plan (“ESPP”), employees are entitled to purchase shares of our common stock at a 5% discount from the fair market value at the end of a three-month purchase period. As of July 2, 2021, 112,452 shares were reserved for future issuances under the ESPP. We issued 2,744 shares under the ESPP during fiscal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following table presents the compensation expense for share-based awards included in our consolidated statements of operations for fiscal 2021,</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2020 and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90"/>
              </w:rPr>
              <w:t>By Expense Category:</w:t>
            </w:r>
          </w:p>
        </w:tc>
        <w:tc>
          <w:tcPr>
            <w:tcW w:w="49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7"/>
                <w:szCs w:val="17"/>
                <w:color w:val="auto"/>
              </w:rPr>
              <w:t>Cost of product sales and services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Selling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66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7"/>
                <w:szCs w:val="17"/>
                <w:b w:val="1"/>
                <w:bCs w:val="1"/>
                <w:color w:val="auto"/>
                <w:w w:val="91"/>
              </w:rPr>
              <w:t>By Types of Award:</w:t>
            </w:r>
          </w:p>
        </w:tc>
        <w:tc>
          <w:tcPr>
            <w:tcW w:w="51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5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Options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7"/>
                <w:szCs w:val="17"/>
                <w:color w:val="auto"/>
              </w:rPr>
              <w:t>Restricted stock awards and units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Performance share awards and units and market-based stock units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gridSpan w:val="3"/>
          </w:tcPr>
          <w:p>
            <w:pPr>
              <w:ind w:left="320"/>
              <w:spacing w:after="0"/>
              <w:rPr>
                <w:sz w:val="20"/>
                <w:szCs w:val="20"/>
                <w:color w:val="auto"/>
              </w:rPr>
            </w:pPr>
            <w:r>
              <w:rPr>
                <w:rFonts w:ascii="Arial" w:cs="Arial" w:eastAsia="Arial" w:hAnsi="Arial"/>
                <w:sz w:val="17"/>
                <w:szCs w:val="17"/>
                <w:color w:val="auto"/>
              </w:rPr>
              <w:t>Total share-based compensation expense</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following table summarizes the unamortized compensation expense and the remaining years over which such expense would be expected to be recognized, on a weighted-average basis, by type of award:</w:t>
      </w:r>
    </w:p>
    <w:p>
      <w:pPr>
        <w:spacing w:after="0" w:line="135"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July 2, 2021</w:t>
            </w: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20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9"/>
              </w:rPr>
              <w:t>Unamortized Expense</w:t>
            </w:r>
          </w:p>
        </w:tc>
        <w:tc>
          <w:tcPr>
            <w:tcW w:w="2460" w:type="dxa"/>
            <w:vAlign w:val="bottom"/>
          </w:tcPr>
          <w:p>
            <w:pPr>
              <w:ind w:left="740"/>
              <w:spacing w:after="0" w:line="129" w:lineRule="exact"/>
              <w:rPr>
                <w:sz w:val="20"/>
                <w:szCs w:val="20"/>
                <w:color w:val="auto"/>
              </w:rPr>
            </w:pPr>
            <w:r>
              <w:rPr>
                <w:rFonts w:ascii="Arial" w:cs="Arial" w:eastAsia="Arial" w:hAnsi="Arial"/>
                <w:sz w:val="14"/>
                <w:szCs w:val="14"/>
                <w:b w:val="1"/>
                <w:bCs w:val="1"/>
                <w:color w:val="auto"/>
                <w:w w:val="89"/>
              </w:rPr>
              <w:t>Weighted-Average Remainin</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2460" w:type="dxa"/>
            <w:vAlign w:val="bottom"/>
          </w:tcPr>
          <w:p>
            <w:pPr>
              <w:ind w:left="840"/>
              <w:spacing w:after="0"/>
              <w:rPr>
                <w:sz w:val="20"/>
                <w:szCs w:val="20"/>
                <w:color w:val="auto"/>
              </w:rPr>
            </w:pPr>
            <w:r>
              <w:rPr>
                <w:rFonts w:ascii="Arial" w:cs="Arial" w:eastAsia="Arial" w:hAnsi="Arial"/>
                <w:sz w:val="14"/>
                <w:szCs w:val="14"/>
                <w:b w:val="1"/>
                <w:bCs w:val="1"/>
                <w:color w:val="auto"/>
              </w:rPr>
              <w:t>Recognition Period</w:t>
            </w:r>
          </w:p>
        </w:tc>
        <w:tc>
          <w:tcPr>
            <w:tcW w:w="0" w:type="dxa"/>
            <w:vAlign w:val="bottom"/>
          </w:tcPr>
          <w:p>
            <w:pPr>
              <w:spacing w:after="0"/>
              <w:rPr>
                <w:sz w:val="1"/>
                <w:szCs w:val="1"/>
                <w:color w:val="auto"/>
              </w:rPr>
            </w:pPr>
          </w:p>
        </w:tc>
      </w:tr>
      <w:tr>
        <w:trPr>
          <w:trHeight w:val="174"/>
        </w:trPr>
        <w:tc>
          <w:tcPr>
            <w:tcW w:w="64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color w:val="auto"/>
                <w:w w:val="98"/>
              </w:rPr>
              <w:t>(In thousands)</w:t>
            </w:r>
          </w:p>
        </w:tc>
        <w:tc>
          <w:tcPr>
            <w:tcW w:w="100" w:type="dxa"/>
            <w:vAlign w:val="bottom"/>
          </w:tcPr>
          <w:p>
            <w:pPr>
              <w:spacing w:after="0"/>
              <w:rPr>
                <w:sz w:val="15"/>
                <w:szCs w:val="15"/>
                <w:color w:val="auto"/>
              </w:rPr>
            </w:pPr>
          </w:p>
        </w:tc>
        <w:tc>
          <w:tcPr>
            <w:tcW w:w="2460" w:type="dxa"/>
            <w:vAlign w:val="bottom"/>
            <w:tcBorders>
              <w:top w:val="single" w:sz="8" w:color="auto"/>
            </w:tcBorders>
          </w:tcPr>
          <w:p>
            <w:pPr>
              <w:jc w:val="center"/>
              <w:ind w:left="743"/>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Options</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ind w:left="743"/>
              <w:spacing w:after="0"/>
              <w:rPr>
                <w:sz w:val="20"/>
                <w:szCs w:val="20"/>
                <w:color w:val="auto"/>
              </w:rPr>
            </w:pPr>
            <w:r>
              <w:rPr>
                <w:rFonts w:ascii="Arial" w:cs="Arial" w:eastAsia="Arial" w:hAnsi="Arial"/>
                <w:sz w:val="17"/>
                <w:szCs w:val="17"/>
                <w:color w:val="auto"/>
                <w:w w:val="96"/>
              </w:rPr>
              <w:t>1.58</w:t>
            </w:r>
          </w:p>
        </w:tc>
        <w:tc>
          <w:tcPr>
            <w:tcW w:w="0" w:type="dxa"/>
            <w:vAlign w:val="bottom"/>
          </w:tcPr>
          <w:p>
            <w:pPr>
              <w:spacing w:after="0"/>
              <w:rPr>
                <w:sz w:val="1"/>
                <w:szCs w:val="1"/>
                <w:color w:val="auto"/>
              </w:rPr>
            </w:pPr>
          </w:p>
        </w:tc>
      </w:tr>
      <w:tr>
        <w:trPr>
          <w:trHeight w:val="222"/>
        </w:trPr>
        <w:tc>
          <w:tcPr>
            <w:tcW w:w="6400" w:type="dxa"/>
            <w:vAlign w:val="bottom"/>
          </w:tcPr>
          <w:p>
            <w:pPr>
              <w:ind w:left="480"/>
              <w:spacing w:after="0"/>
              <w:rPr>
                <w:sz w:val="20"/>
                <w:szCs w:val="20"/>
                <w:color w:val="auto"/>
              </w:rPr>
            </w:pPr>
            <w:r>
              <w:rPr>
                <w:rFonts w:ascii="Arial" w:cs="Arial" w:eastAsia="Arial" w:hAnsi="Arial"/>
                <w:sz w:val="17"/>
                <w:szCs w:val="17"/>
                <w:color w:val="auto"/>
              </w:rPr>
              <w:t>Restricted stock awards and units</w:t>
            </w: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1,138</w:t>
            </w:r>
          </w:p>
        </w:tc>
        <w:tc>
          <w:tcPr>
            <w:tcW w:w="100" w:type="dxa"/>
            <w:vAlign w:val="bottom"/>
          </w:tcPr>
          <w:p>
            <w:pPr>
              <w:spacing w:after="0"/>
              <w:rPr>
                <w:sz w:val="19"/>
                <w:szCs w:val="19"/>
                <w:color w:val="auto"/>
              </w:rPr>
            </w:pPr>
          </w:p>
        </w:tc>
        <w:tc>
          <w:tcPr>
            <w:tcW w:w="2460" w:type="dxa"/>
            <w:vAlign w:val="bottom"/>
          </w:tcPr>
          <w:p>
            <w:pPr>
              <w:jc w:val="center"/>
              <w:ind w:left="743"/>
              <w:spacing w:after="0"/>
              <w:rPr>
                <w:sz w:val="20"/>
                <w:szCs w:val="20"/>
                <w:color w:val="auto"/>
              </w:rPr>
            </w:pPr>
            <w:r>
              <w:rPr>
                <w:rFonts w:ascii="Arial" w:cs="Arial" w:eastAsia="Arial" w:hAnsi="Arial"/>
                <w:sz w:val="17"/>
                <w:szCs w:val="17"/>
                <w:color w:val="auto"/>
                <w:w w:val="96"/>
              </w:rPr>
              <w:t>1.45</w:t>
            </w:r>
          </w:p>
        </w:tc>
        <w:tc>
          <w:tcPr>
            <w:tcW w:w="0" w:type="dxa"/>
            <w:vAlign w:val="bottom"/>
          </w:tcPr>
          <w:p>
            <w:pPr>
              <w:spacing w:after="0"/>
              <w:rPr>
                <w:sz w:val="1"/>
                <w:szCs w:val="1"/>
                <w:color w:val="auto"/>
              </w:rPr>
            </w:pPr>
          </w:p>
        </w:tc>
      </w:tr>
      <w:tr>
        <w:trPr>
          <w:trHeight w:val="222"/>
        </w:trPr>
        <w:tc>
          <w:tcPr>
            <w:tcW w:w="64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Performance share awards and units</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ind w:left="743"/>
              <w:spacing w:after="0"/>
              <w:rPr>
                <w:sz w:val="20"/>
                <w:szCs w:val="20"/>
                <w:color w:val="auto"/>
              </w:rPr>
            </w:pPr>
            <w:r>
              <w:rPr>
                <w:rFonts w:ascii="Arial" w:cs="Arial" w:eastAsia="Arial" w:hAnsi="Arial"/>
                <w:sz w:val="17"/>
                <w:szCs w:val="17"/>
                <w:color w:val="auto"/>
                <w:w w:val="96"/>
              </w:rPr>
              <w:t>1.50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Options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combined stock option activity under our equity plans during fiscal 2021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Weighted-Average</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4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43"/>
              <w:spacing w:after="0"/>
              <w:rPr>
                <w:sz w:val="20"/>
                <w:szCs w:val="20"/>
                <w:color w:val="auto"/>
              </w:rPr>
            </w:pPr>
            <w:r>
              <w:rPr>
                <w:rFonts w:ascii="Arial" w:cs="Arial" w:eastAsia="Arial" w:hAnsi="Arial"/>
                <w:sz w:val="14"/>
                <w:szCs w:val="14"/>
                <w:color w:val="auto"/>
                <w:w w:val="89"/>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as of July 3, 2020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643,436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34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243,810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(227,422)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(37,998)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10.05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7"/>
                <w:szCs w:val="17"/>
                <w:color w:val="auto"/>
              </w:rPr>
              <w:t>Options outstanding as of July 2,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540,790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
              <w:spacing w:after="0"/>
              <w:rPr>
                <w:sz w:val="20"/>
                <w:szCs w:val="20"/>
                <w:color w:val="auto"/>
              </w:rPr>
            </w:pPr>
            <w:r>
              <w:rPr>
                <w:rFonts w:ascii="Arial" w:cs="Arial" w:eastAsia="Arial" w:hAnsi="Arial"/>
                <w:sz w:val="17"/>
                <w:szCs w:val="17"/>
                <w:color w:val="auto"/>
              </w:rPr>
              <w:t>12,090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vested and expected to vest as of July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540,790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12,090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7"/>
                <w:szCs w:val="17"/>
                <w:color w:val="auto"/>
              </w:rPr>
              <w:t>Options exercisable as of July 2, 2021</w:t>
            </w:r>
          </w:p>
        </w:tc>
        <w:tc>
          <w:tcPr>
            <w:tcW w:w="1480" w:type="dxa"/>
            <w:vAlign w:val="bottom"/>
          </w:tcPr>
          <w:p>
            <w:pPr>
              <w:jc w:val="right"/>
              <w:spacing w:after="0"/>
              <w:rPr>
                <w:sz w:val="20"/>
                <w:szCs w:val="20"/>
                <w:color w:val="auto"/>
              </w:rPr>
            </w:pPr>
            <w:r>
              <w:rPr>
                <w:rFonts w:ascii="Arial" w:cs="Arial" w:eastAsia="Arial" w:hAnsi="Arial"/>
                <w:sz w:val="17"/>
                <w:szCs w:val="17"/>
                <w:color w:val="auto"/>
              </w:rPr>
              <w:t>66,592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8.40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
              <w:spacing w:after="0"/>
              <w:rPr>
                <w:sz w:val="20"/>
                <w:szCs w:val="20"/>
                <w:color w:val="auto"/>
              </w:rPr>
            </w:pPr>
            <w:r>
              <w:rPr>
                <w:rFonts w:ascii="Arial" w:cs="Arial" w:eastAsia="Arial" w:hAnsi="Arial"/>
                <w:sz w:val="17"/>
                <w:szCs w:val="17"/>
                <w:color w:val="auto"/>
              </w:rPr>
              <w:t>1,564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1"/>
        </w:trPr>
        <w:tc>
          <w:tcPr>
            <w:tcW w:w="5340" w:type="dxa"/>
            <w:vAlign w:val="bottom"/>
          </w:tcPr>
          <w:p>
            <w:pPr>
              <w:spacing w:after="0"/>
              <w:rPr>
                <w:sz w:val="24"/>
                <w:szCs w:val="24"/>
                <w:color w:val="auto"/>
              </w:rPr>
            </w:pPr>
          </w:p>
        </w:tc>
        <w:tc>
          <w:tcPr>
            <w:tcW w:w="1480" w:type="dxa"/>
            <w:vAlign w:val="bottom"/>
          </w:tcPr>
          <w:p>
            <w:pPr>
              <w:jc w:val="right"/>
              <w:ind w:right="1015"/>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88" w:right="2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aggregate intrinsic value represents the total pre-tax intrinsic value or the aggregate difference between the closing price of our common stock on July 2, 2021 of $31.88, and the exercise price for in-the-money options that would have been received by the optionees if all options had been exercised on July 2, 2021.</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of each option grant under our 2018 Stock Plan was estimated using the Black-Scholes option pricing model on the date of grant. A summary of the significant weighted-average assumptions we used in the Black-Scholes valuation model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3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dividends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340"/>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0"/>
              <w:spacing w:after="0"/>
              <w:rPr>
                <w:sz w:val="20"/>
                <w:szCs w:val="20"/>
                <w:color w:val="auto"/>
              </w:rPr>
            </w:pPr>
            <w:r>
              <w:rPr>
                <w:rFonts w:ascii="Arial" w:cs="Arial" w:eastAsia="Arial" w:hAnsi="Arial"/>
                <w:sz w:val="17"/>
                <w:szCs w:val="17"/>
                <w:color w:val="auto"/>
                <w:w w:val="96"/>
              </w:rPr>
              <w:t>Expected volatility</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51.7 %</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0" w:type="dxa"/>
            <w:vAlign w:val="bottom"/>
            <w:gridSpan w:val="2"/>
          </w:tcPr>
          <w:p>
            <w:pPr>
              <w:ind w:left="20"/>
              <w:spacing w:after="0"/>
              <w:rPr>
                <w:sz w:val="20"/>
                <w:szCs w:val="20"/>
                <w:color w:val="auto"/>
              </w:rPr>
            </w:pPr>
            <w:r>
              <w:rPr>
                <w:rFonts w:ascii="Arial" w:cs="Arial" w:eastAsia="Arial" w:hAnsi="Arial"/>
                <w:sz w:val="17"/>
                <w:szCs w:val="17"/>
                <w:color w:val="auto"/>
                <w:w w:val="95"/>
              </w:rPr>
              <w:t>Expected term (in years)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8220" w:type="dxa"/>
            <w:vAlign w:val="bottom"/>
            <w:gridSpan w:val="18"/>
          </w:tcPr>
          <w:p>
            <w:pPr>
              <w:ind w:left="480"/>
              <w:spacing w:after="0"/>
              <w:rPr>
                <w:sz w:val="20"/>
                <w:szCs w:val="20"/>
                <w:color w:val="auto"/>
              </w:rPr>
            </w:pPr>
            <w:r>
              <w:rPr>
                <w:rFonts w:ascii="Arial" w:cs="Arial" w:eastAsia="Arial" w:hAnsi="Arial"/>
                <w:sz w:val="17"/>
                <w:szCs w:val="17"/>
                <w:color w:val="auto"/>
              </w:rPr>
              <w:t>The following summarizes all of our stock options outstanding and exercisable as of July 2, 2021:</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Options Outstanding</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9"/>
          </w:tcPr>
          <w:p>
            <w:pPr>
              <w:jc w:val="center"/>
              <w:ind w:right="198"/>
              <w:spacing w:after="0"/>
              <w:rPr>
                <w:sz w:val="20"/>
                <w:szCs w:val="20"/>
                <w:color w:val="auto"/>
              </w:rPr>
            </w:pPr>
            <w:r>
              <w:rPr>
                <w:rFonts w:ascii="Arial" w:cs="Arial" w:eastAsia="Arial" w:hAnsi="Arial"/>
                <w:sz w:val="14"/>
                <w:szCs w:val="14"/>
                <w:b w:val="1"/>
                <w:bCs w:val="1"/>
                <w:color w:val="auto"/>
                <w:w w:val="89"/>
              </w:rPr>
              <w:t>Options Exercisable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Weighted-Average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Remaining</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8"/>
            <w:vMerge w:val="restart"/>
          </w:tcPr>
          <w:p>
            <w:pPr>
              <w:jc w:val="center"/>
              <w:ind w:right="460"/>
              <w:spacing w:after="0"/>
              <w:rPr>
                <w:sz w:val="20"/>
                <w:szCs w:val="20"/>
                <w:color w:val="auto"/>
              </w:rPr>
            </w:pPr>
            <w:r>
              <w:rPr>
                <w:rFonts w:ascii="Arial" w:cs="Arial" w:eastAsia="Arial" w:hAnsi="Arial"/>
                <w:sz w:val="14"/>
                <w:szCs w:val="14"/>
                <w:b w:val="1"/>
                <w:bCs w:val="1"/>
                <w:color w:val="auto"/>
                <w:w w:val="87"/>
              </w:rPr>
              <w:t>Weighted-Average</w:t>
            </w:r>
          </w:p>
        </w:tc>
        <w:tc>
          <w:tcPr>
            <w:tcW w:w="160" w:type="dxa"/>
            <w:vAlign w:val="bottom"/>
          </w:tcPr>
          <w:p>
            <w:pPr>
              <w:spacing w:after="0"/>
              <w:rPr>
                <w:sz w:val="11"/>
                <w:szCs w:val="11"/>
                <w:color w:val="auto"/>
              </w:rPr>
            </w:pPr>
          </w:p>
        </w:tc>
        <w:tc>
          <w:tcPr>
            <w:tcW w:w="1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9"/>
              </w:rPr>
              <w:t>Weighted-Average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Actual Range of Exercise Prices</w:t>
            </w:r>
          </w:p>
        </w:tc>
        <w:tc>
          <w:tcPr>
            <w:tcW w:w="1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Contractual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80" w:type="dxa"/>
            <w:vAlign w:val="bottom"/>
            <w:gridSpan w:val="4"/>
            <w:vMerge w:val="continue"/>
          </w:tcPr>
          <w:p>
            <w:pPr>
              <w:spacing w:after="0"/>
              <w:rPr>
                <w:sz w:val="15"/>
                <w:szCs w:val="15"/>
                <w:color w:val="auto"/>
              </w:rPr>
            </w:pPr>
          </w:p>
        </w:tc>
        <w:tc>
          <w:tcPr>
            <w:tcW w:w="1220" w:type="dxa"/>
            <w:vAlign w:val="bottom"/>
          </w:tcPr>
          <w:p>
            <w:pPr>
              <w:jc w:val="right"/>
              <w:ind w:right="299"/>
              <w:spacing w:after="0"/>
              <w:rPr>
                <w:sz w:val="20"/>
                <w:szCs w:val="20"/>
                <w:color w:val="auto"/>
              </w:rPr>
            </w:pPr>
            <w:r>
              <w:rPr>
                <w:rFonts w:ascii="Arial" w:cs="Arial" w:eastAsia="Arial" w:hAnsi="Arial"/>
                <w:sz w:val="14"/>
                <w:szCs w:val="14"/>
                <w:b w:val="1"/>
                <w:bCs w:val="1"/>
                <w:color w:val="auto"/>
                <w:w w:val="99"/>
              </w:rPr>
              <w:t>Outstanding</w:t>
            </w:r>
          </w:p>
        </w:tc>
        <w:tc>
          <w:tcPr>
            <w:tcW w:w="14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5"/>
                <w:szCs w:val="15"/>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Exercise Price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$6.42</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60"/>
              <w:spacing w:after="0"/>
              <w:rPr>
                <w:sz w:val="20"/>
                <w:szCs w:val="20"/>
                <w:color w:val="auto"/>
              </w:rPr>
            </w:pPr>
            <w:r>
              <w:rPr>
                <w:rFonts w:ascii="Arial" w:cs="Arial" w:eastAsia="Arial" w:hAnsi="Arial"/>
                <w:sz w:val="17"/>
                <w:szCs w:val="17"/>
                <w:color w:val="auto"/>
              </w:rPr>
              <w:t>$6.42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7,982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20"/>
              <w:spacing w:after="0"/>
              <w:rPr>
                <w:sz w:val="20"/>
                <w:szCs w:val="20"/>
                <w:color w:val="auto"/>
              </w:rPr>
            </w:pPr>
            <w:r>
              <w:rPr>
                <w:rFonts w:ascii="Arial" w:cs="Arial" w:eastAsia="Arial" w:hAnsi="Arial"/>
                <w:sz w:val="17"/>
                <w:szCs w:val="17"/>
                <w:color w:val="auto"/>
              </w:rPr>
              <w:t>$7.23</w:t>
            </w:r>
          </w:p>
        </w:tc>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1280" w:type="dxa"/>
            <w:vAlign w:val="bottom"/>
          </w:tcPr>
          <w:p>
            <w:pPr>
              <w:ind w:left="60"/>
              <w:spacing w:after="0"/>
              <w:rPr>
                <w:sz w:val="20"/>
                <w:szCs w:val="20"/>
                <w:color w:val="auto"/>
              </w:rPr>
            </w:pPr>
            <w:r>
              <w:rPr>
                <w:rFonts w:ascii="Arial" w:cs="Arial" w:eastAsia="Arial" w:hAnsi="Arial"/>
                <w:sz w:val="17"/>
                <w:szCs w:val="17"/>
                <w:color w:val="auto"/>
              </w:rPr>
              <w:t>$7.23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182,984</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$7.44</w:t>
            </w:r>
          </w:p>
        </w:tc>
        <w:tc>
          <w:tcPr>
            <w:tcW w:w="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60"/>
              <w:spacing w:after="0"/>
              <w:rPr>
                <w:sz w:val="20"/>
                <w:szCs w:val="20"/>
                <w:color w:val="auto"/>
              </w:rPr>
            </w:pPr>
            <w:r>
              <w:rPr>
                <w:rFonts w:ascii="Arial" w:cs="Arial" w:eastAsia="Arial" w:hAnsi="Arial"/>
                <w:sz w:val="17"/>
                <w:szCs w:val="17"/>
                <w:color w:val="auto"/>
              </w:rPr>
              <w:t>$27.01</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333,864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58,610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540,790</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66,592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360" w:type="dxa"/>
            <w:vAlign w:val="bottom"/>
            <w:gridSpan w:val="8"/>
          </w:tcPr>
          <w:p>
            <w:pPr>
              <w:ind w:left="480"/>
              <w:spacing w:after="0"/>
              <w:rPr>
                <w:sz w:val="20"/>
                <w:szCs w:val="20"/>
                <w:color w:val="auto"/>
              </w:rPr>
            </w:pPr>
            <w:r>
              <w:rPr>
                <w:rFonts w:ascii="Arial" w:cs="Arial" w:eastAsia="Arial" w:hAnsi="Arial"/>
                <w:sz w:val="17"/>
                <w:szCs w:val="17"/>
                <w:color w:val="auto"/>
              </w:rPr>
              <w:t>Additional information related to our stock options is summarized below:</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Intrinsic value of options exercised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2,208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4"/>
          </w:tcPr>
          <w:p>
            <w:pPr>
              <w:ind w:left="20"/>
              <w:spacing w:after="0"/>
              <w:rPr>
                <w:sz w:val="20"/>
                <w:szCs w:val="20"/>
                <w:color w:val="auto"/>
              </w:rPr>
            </w:pPr>
            <w:r>
              <w:rPr>
                <w:rFonts w:ascii="Arial" w:cs="Arial" w:eastAsia="Arial" w:hAnsi="Arial"/>
                <w:sz w:val="17"/>
                <w:szCs w:val="17"/>
                <w:color w:val="auto"/>
              </w:rPr>
              <w:t>Fair value of options vested</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ind w:right="20"/>
              <w:spacing w:after="0"/>
              <w:rPr>
                <w:sz w:val="20"/>
                <w:szCs w:val="20"/>
                <w:color w:val="auto"/>
              </w:rPr>
            </w:pPr>
            <w:r>
              <w:rPr>
                <w:rFonts w:ascii="Arial" w:cs="Arial" w:eastAsia="Arial" w:hAnsi="Arial"/>
                <w:sz w:val="17"/>
                <w:szCs w:val="17"/>
                <w:color w:val="auto"/>
              </w:rPr>
              <w:t>484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499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38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rPr>
              <w:t>Restricted Stock Awards and Units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220" w:type="dxa"/>
            <w:vAlign w:val="bottom"/>
            <w:gridSpan w:val="18"/>
          </w:tcPr>
          <w:p>
            <w:pPr>
              <w:ind w:left="480"/>
              <w:spacing w:after="0"/>
              <w:rPr>
                <w:sz w:val="20"/>
                <w:szCs w:val="20"/>
                <w:color w:val="auto"/>
              </w:rPr>
            </w:pPr>
            <w:r>
              <w:rPr>
                <w:rFonts w:ascii="Arial" w:cs="Arial" w:eastAsia="Arial" w:hAnsi="Arial"/>
                <w:sz w:val="17"/>
                <w:szCs w:val="17"/>
                <w:color w:val="auto"/>
                <w:w w:val="93"/>
              </w:rPr>
              <w:t>A summary of the status of our restricted stock as of July 2, 2021 and changes during fiscal 2021 is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gridSpan w:val="2"/>
          </w:tcPr>
          <w:p>
            <w:pPr>
              <w:jc w:val="center"/>
              <w:ind w:right="78"/>
              <w:spacing w:after="0"/>
              <w:rPr>
                <w:sz w:val="20"/>
                <w:szCs w:val="20"/>
                <w:color w:val="auto"/>
              </w:rPr>
            </w:pPr>
            <w:r>
              <w:rPr>
                <w:rFonts w:ascii="Arial" w:cs="Arial" w:eastAsia="Arial" w:hAnsi="Arial"/>
                <w:sz w:val="14"/>
                <w:szCs w:val="14"/>
                <w:b w:val="1"/>
                <w:bCs w:val="1"/>
                <w:color w:val="auto"/>
                <w:w w:val="89"/>
              </w:rPr>
              <w:t>Weighted-Average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198"/>
              <w:spacing w:after="0" w:line="131" w:lineRule="exact"/>
              <w:rPr>
                <w:sz w:val="20"/>
                <w:szCs w:val="20"/>
                <w:color w:val="auto"/>
              </w:rPr>
            </w:pPr>
            <w:r>
              <w:rPr>
                <w:rFonts w:ascii="Arial" w:cs="Arial" w:eastAsia="Arial" w:hAnsi="Arial"/>
                <w:sz w:val="14"/>
                <w:szCs w:val="14"/>
                <w:b w:val="1"/>
                <w:bCs w:val="1"/>
                <w:color w:val="auto"/>
                <w:w w:val="94"/>
              </w:rPr>
              <w:t>Grant Date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8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w w:val="95"/>
              </w:rPr>
              <w:t>Restricted stock outstanding as of July 3, 2020</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161,658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60" w:type="dxa"/>
            <w:vAlign w:val="bottom"/>
          </w:tcPr>
          <w:p>
            <w:pPr>
              <w:ind w:left="340"/>
              <w:spacing w:after="0"/>
              <w:rPr>
                <w:sz w:val="20"/>
                <w:szCs w:val="20"/>
                <w:color w:val="auto"/>
              </w:rPr>
            </w:pPr>
            <w:r>
              <w:rPr>
                <w:rFonts w:ascii="Arial" w:cs="Arial" w:eastAsia="Arial" w:hAnsi="Arial"/>
                <w:sz w:val="17"/>
                <w:szCs w:val="17"/>
                <w:color w:val="auto"/>
              </w:rPr>
              <w:t>Granted</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7"/>
                <w:szCs w:val="17"/>
                <w:color w:val="auto"/>
              </w:rPr>
              <w:t>120,122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40"/>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2"/>
              </w:rPr>
              <w:t>Vested and released</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4"/>
              </w:rPr>
              <w:t>(64,372)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Forfeited</w:t>
            </w:r>
          </w:p>
        </w:tc>
        <w:tc>
          <w:tcPr>
            <w:tcW w:w="4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4"/>
              </w:rPr>
              <w:t>(28,164)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7.48</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w w:val="95"/>
              </w:rPr>
              <w:t>Restricted stock outstanding as of July 2, 2021</w:t>
            </w: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189,244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84"/>
              </w:rPr>
              <w: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of each restricted stock grant is based on the closing price of our common stock on the date of grant. The total fair value of restricted stock that vested during fiscal 2021, 2020 and 2019 was $2.1 million, $1.7 million and $2.2 million, respectively.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Market-Based Stock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status of our market-based stock units granted during fiscal 2020 as of July 2, 2021 is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58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jc w:val="center"/>
              <w:ind w:right="102"/>
              <w:spacing w:after="0" w:line="131"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3"/>
        </w:trPr>
        <w:tc>
          <w:tcPr>
            <w:tcW w:w="79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outstanding as of July 3,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22"/>
        </w:trPr>
        <w:tc>
          <w:tcPr>
            <w:tcW w:w="7920" w:type="dxa"/>
            <w:vAlign w:val="bottom"/>
          </w:tcPr>
          <w:p>
            <w:pPr>
              <w:ind w:left="340"/>
              <w:spacing w:after="0"/>
              <w:rPr>
                <w:sz w:val="20"/>
                <w:szCs w:val="20"/>
                <w:color w:val="auto"/>
              </w:rPr>
            </w:pPr>
            <w:r>
              <w:rPr>
                <w:rFonts w:ascii="Arial" w:cs="Arial" w:eastAsia="Arial" w:hAnsi="Arial"/>
                <w:sz w:val="17"/>
                <w:szCs w:val="17"/>
                <w:color w:val="auto"/>
              </w:rPr>
              <w:t>Granted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15"/>
        </w:trPr>
        <w:tc>
          <w:tcPr>
            <w:tcW w:w="7920" w:type="dxa"/>
            <w:vAlign w:val="bottom"/>
          </w:tcPr>
          <w:p>
            <w:pPr>
              <w:ind w:left="20"/>
              <w:spacing w:after="0"/>
              <w:rPr>
                <w:sz w:val="20"/>
                <w:szCs w:val="20"/>
                <w:color w:val="auto"/>
              </w:rPr>
            </w:pPr>
            <w:r>
              <w:rPr>
                <w:rFonts w:ascii="Arial" w:cs="Arial" w:eastAsia="Arial" w:hAnsi="Arial"/>
                <w:sz w:val="17"/>
                <w:szCs w:val="17"/>
                <w:color w:val="auto"/>
              </w:rPr>
              <w:t>Restricted stock outstanding as of July 2,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165,000</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fair value for each market-based stock units with market condition was estimated using the Monte-Carlo simulation model. A summary of the significant weighted-average assumptions we used in the Monte-Carlo simulation model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r>
      <w:tr>
        <w:trPr>
          <w:trHeight w:val="181"/>
        </w:trPr>
        <w:tc>
          <w:tcPr>
            <w:tcW w:w="77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22"/>
        </w:trPr>
        <w:tc>
          <w:tcPr>
            <w:tcW w:w="77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53.2% - 48.9%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36.4% - 47.3%</w:t>
            </w:r>
          </w:p>
        </w:tc>
        <w:tc>
          <w:tcPr>
            <w:tcW w:w="80" w:type="dxa"/>
            <w:vAlign w:val="bottom"/>
          </w:tcPr>
          <w:p>
            <w:pPr>
              <w:spacing w:after="0"/>
              <w:rPr>
                <w:sz w:val="19"/>
                <w:szCs w:val="19"/>
                <w:color w:val="auto"/>
              </w:rPr>
            </w:pPr>
          </w:p>
        </w:tc>
      </w:tr>
      <w:tr>
        <w:trPr>
          <w:trHeight w:val="222"/>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 .19%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 - 1.58%</w:t>
            </w:r>
          </w:p>
        </w:tc>
        <w:tc>
          <w:tcPr>
            <w:tcW w:w="80" w:type="dxa"/>
            <w:vAlign w:val="bottom"/>
            <w:shd w:val="clear" w:color="auto" w:fill="CCEEFF"/>
          </w:tcPr>
          <w:p>
            <w:pPr>
              <w:spacing w:after="0"/>
              <w:rPr>
                <w:sz w:val="19"/>
                <w:szCs w:val="19"/>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7"/>
                <w:szCs w:val="17"/>
                <w:color w:val="auto"/>
              </w:rPr>
              <w:t>Weighted-average grant date fair value per share granted</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14.07</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9.53</w:t>
            </w:r>
          </w:p>
        </w:tc>
        <w:tc>
          <w:tcPr>
            <w:tcW w:w="80" w:type="dxa"/>
            <w:vAlign w:val="bottom"/>
          </w:tcPr>
          <w:p>
            <w:pPr>
              <w:spacing w:after="0"/>
              <w:rPr>
                <w:sz w:val="19"/>
                <w:szCs w:val="19"/>
                <w:color w:val="auto"/>
              </w:rPr>
            </w:pPr>
          </w:p>
        </w:tc>
      </w:tr>
    </w:tbl>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Performance Share Awards and Units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the status of our performance shares awards and units as of July 2, 2021 and changes during fiscal 2021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19"/>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31"/>
        </w:trPr>
        <w:tc>
          <w:tcPr>
            <w:tcW w:w="7960" w:type="dxa"/>
            <w:vAlign w:val="bottom"/>
          </w:tcPr>
          <w:p>
            <w:pPr>
              <w:spacing w:after="0"/>
              <w:rPr>
                <w:sz w:val="11"/>
                <w:szCs w:val="11"/>
                <w:color w:val="auto"/>
              </w:rPr>
            </w:pPr>
          </w:p>
        </w:tc>
        <w:tc>
          <w:tcPr>
            <w:tcW w:w="15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jc w:val="center"/>
              <w:ind w:right="119"/>
              <w:spacing w:after="0" w:line="131"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Performance share awards and units outstanding as of July 3, 2020</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w:t>
            </w:r>
          </w:p>
        </w:tc>
        <w:tc>
          <w:tcPr>
            <w:tcW w:w="0" w:type="dxa"/>
            <w:vAlign w:val="bottom"/>
          </w:tcPr>
          <w:p>
            <w:pPr>
              <w:spacing w:after="0"/>
              <w:rPr>
                <w:sz w:val="1"/>
                <w:szCs w:val="1"/>
                <w:color w:val="auto"/>
              </w:rPr>
            </w:pPr>
          </w:p>
        </w:tc>
      </w:tr>
      <w:tr>
        <w:trPr>
          <w:trHeight w:val="222"/>
        </w:trPr>
        <w:tc>
          <w:tcPr>
            <w:tcW w:w="7960" w:type="dxa"/>
            <w:vAlign w:val="bottom"/>
          </w:tcPr>
          <w:p>
            <w:pPr>
              <w:ind w:left="34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spacing w:after="0"/>
              <w:rPr>
                <w:sz w:val="20"/>
                <w:szCs w:val="20"/>
                <w:color w:val="auto"/>
              </w:rPr>
            </w:pPr>
            <w:r>
              <w:rPr>
                <w:rFonts w:ascii="Arial" w:cs="Arial" w:eastAsia="Arial" w:hAnsi="Arial"/>
                <w:sz w:val="17"/>
                <w:szCs w:val="17"/>
                <w:color w:val="auto"/>
              </w:rPr>
              <w:t>76,706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22"/>
        </w:trPr>
        <w:tc>
          <w:tcPr>
            <w:tcW w:w="79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 and released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2"/>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Forfeited/Cancelled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(25,728)</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Performance share awards and units outstanding as of July 2,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103,328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Segment and Geographic Information</w:t>
      </w:r>
    </w:p>
    <w:p>
      <w:pPr>
        <w:spacing w:after="0" w:line="176"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 revenue by region and country based on the location where our customers accept delivery of our products and services. Revenue by region for 2021, 2020 and 2019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132,884</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Africa and Middle East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48,305</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 and Russia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16,933</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45,736</w:t>
            </w:r>
          </w:p>
        </w:tc>
      </w:tr>
      <w:tr>
        <w:trPr>
          <w:trHeight w:val="24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Total Revenue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274,911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238,642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243,858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Revenue by country comprising more than 5% of our total revenue for fiscal 2021, 2020 and 2019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600" w:type="dxa"/>
            <w:vAlign w:val="bottom"/>
          </w:tcPr>
          <w:p>
            <w:pPr>
              <w:jc w:val="right"/>
              <w:ind w:right="57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3"/>
        </w:trPr>
        <w:tc>
          <w:tcPr>
            <w:tcW w:w="8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0" w:type="dxa"/>
            <w:vAlign w:val="bottom"/>
          </w:tcPr>
          <w:p>
            <w:pPr>
              <w:jc w:val="right"/>
              <w:ind w:right="278"/>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0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Fiscal 2021:</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0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181,842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66.1 %</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Fiscal 2020: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0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147,795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61.9 %</w:t>
            </w: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Philippines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222"/>
        </w:trPr>
        <w:tc>
          <w:tcPr>
            <w:tcW w:w="8100" w:type="dxa"/>
            <w:vAlign w:val="bottom"/>
          </w:tcPr>
          <w:p>
            <w:pPr>
              <w:ind w:left="20"/>
              <w:spacing w:after="0"/>
              <w:rPr>
                <w:sz w:val="20"/>
                <w:szCs w:val="20"/>
                <w:color w:val="auto"/>
              </w:rPr>
            </w:pPr>
            <w:r>
              <w:rPr>
                <w:rFonts w:ascii="Arial" w:cs="Arial" w:eastAsia="Arial" w:hAnsi="Arial"/>
                <w:sz w:val="17"/>
                <w:szCs w:val="17"/>
                <w:b w:val="1"/>
                <w:bCs w:val="1"/>
                <w:color w:val="auto"/>
              </w:rPr>
              <w:t>Fiscal 2019:</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United States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129,929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53.3 %</w:t>
            </w:r>
          </w:p>
        </w:tc>
        <w:tc>
          <w:tcPr>
            <w:tcW w:w="0" w:type="dxa"/>
            <w:vAlign w:val="bottom"/>
          </w:tcPr>
          <w:p>
            <w:pPr>
              <w:spacing w:after="0"/>
              <w:rPr>
                <w:sz w:val="1"/>
                <w:szCs w:val="1"/>
                <w:color w:val="auto"/>
              </w:rPr>
            </w:pPr>
          </w:p>
        </w:tc>
      </w:tr>
      <w:tr>
        <w:trPr>
          <w:trHeight w:val="222"/>
        </w:trPr>
        <w:tc>
          <w:tcPr>
            <w:tcW w:w="8100" w:type="dxa"/>
            <w:vAlign w:val="bottom"/>
          </w:tcPr>
          <w:p>
            <w:pPr>
              <w:ind w:left="140"/>
              <w:spacing w:after="0"/>
              <w:rPr>
                <w:sz w:val="20"/>
                <w:szCs w:val="20"/>
                <w:color w:val="auto"/>
              </w:rPr>
            </w:pPr>
            <w:r>
              <w:rPr>
                <w:rFonts w:ascii="Arial" w:cs="Arial" w:eastAsia="Arial" w:hAnsi="Arial"/>
                <w:sz w:val="17"/>
                <w:szCs w:val="17"/>
                <w:color w:val="auto"/>
              </w:rPr>
              <w:t>Philippines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24,368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long-lived assets, consisting primarily of net property, plant and equipment, by geographic areas based on the physical location of the assets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July 2, 2021 and July 3, 2020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4"/>
                <w:szCs w:val="14"/>
                <w:color w:val="auto"/>
              </w:rPr>
            </w:pPr>
          </w:p>
        </w:tc>
        <w:tc>
          <w:tcPr>
            <w:tcW w:w="1140" w:type="dxa"/>
            <w:vAlign w:val="bottom"/>
          </w:tcPr>
          <w:p>
            <w:pPr>
              <w:jc w:val="right"/>
              <w:ind w:right="458"/>
              <w:spacing w:after="0"/>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Zealand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8,342</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4,829</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Kingdom</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2,420</w:t>
            </w:r>
          </w:p>
        </w:tc>
        <w:tc>
          <w:tcPr>
            <w:tcW w:w="0" w:type="dxa"/>
            <w:vAlign w:val="bottom"/>
          </w:tcPr>
          <w:p>
            <w:pPr>
              <w:spacing w:after="0"/>
              <w:rPr>
                <w:sz w:val="1"/>
                <w:szCs w:val="1"/>
                <w:color w:val="auto"/>
              </w:rPr>
            </w:pP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countries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fiscal 2021 management initiated the sale of our facility located in Lanarkshire, Scotland. Therefore, the carrying value of $2.2 million relating to the real property was reclassified to assets held for sale in the consolidated balance sheet.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Income before provision for income taxes during fiscal year 2021, 2020 and 2019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ind w:left="560"/>
              <w:spacing w:after="0"/>
              <w:rPr>
                <w:sz w:val="20"/>
                <w:szCs w:val="20"/>
                <w:color w:val="auto"/>
              </w:rPr>
            </w:pPr>
            <w:r>
              <w:rPr>
                <w:rFonts w:ascii="Arial" w:cs="Arial" w:eastAsia="Arial" w:hAnsi="Arial"/>
                <w:sz w:val="17"/>
                <w:szCs w:val="17"/>
                <w:color w:val="auto"/>
                <w:w w:val="99"/>
              </w:rPr>
              <w:t>26,325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center"/>
              <w:ind w:left="600"/>
              <w:spacing w:after="0"/>
              <w:rPr>
                <w:sz w:val="20"/>
                <w:szCs w:val="20"/>
                <w:color w:val="auto"/>
              </w:rPr>
            </w:pPr>
            <w:r>
              <w:rPr>
                <w:rFonts w:ascii="Arial" w:cs="Arial" w:eastAsia="Arial" w:hAnsi="Arial"/>
                <w:sz w:val="17"/>
                <w:szCs w:val="17"/>
                <w:color w:val="auto"/>
                <w:w w:val="93"/>
              </w:rPr>
              <w:t>9,497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477"/>
              <w:spacing w:after="0"/>
              <w:rPr>
                <w:sz w:val="20"/>
                <w:szCs w:val="20"/>
                <w:color w:val="auto"/>
              </w:rPr>
            </w:pPr>
            <w:r>
              <w:rPr>
                <w:rFonts w:ascii="Arial" w:cs="Arial" w:eastAsia="Arial" w:hAnsi="Arial"/>
                <w:sz w:val="17"/>
                <w:szCs w:val="17"/>
                <w:color w:val="auto"/>
                <w:w w:val="89"/>
              </w:rPr>
              <w:t>5,827</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w w:val="92"/>
              </w:rPr>
              <w:t>(3,885)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60"/>
              <w:spacing w:after="0"/>
              <w:rPr>
                <w:sz w:val="20"/>
                <w:szCs w:val="20"/>
                <w:color w:val="auto"/>
              </w:rPr>
            </w:pPr>
            <w:r>
              <w:rPr>
                <w:rFonts w:ascii="Arial" w:cs="Arial" w:eastAsia="Arial" w:hAnsi="Arial"/>
                <w:sz w:val="17"/>
                <w:szCs w:val="17"/>
                <w:color w:val="auto"/>
                <w:w w:val="96"/>
              </w:rPr>
              <w:t>(5,788)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7"/>
              <w:spacing w:after="0"/>
              <w:rPr>
                <w:sz w:val="20"/>
                <w:szCs w:val="20"/>
                <w:color w:val="auto"/>
              </w:rPr>
            </w:pPr>
            <w:r>
              <w:rPr>
                <w:rFonts w:ascii="Arial" w:cs="Arial" w:eastAsia="Arial" w:hAnsi="Arial"/>
                <w:sz w:val="17"/>
                <w:szCs w:val="17"/>
                <w:color w:val="auto"/>
                <w:w w:val="96"/>
              </w:rPr>
              <w:t>(4,277)</w:t>
            </w:r>
          </w:p>
        </w:tc>
      </w:tr>
      <w:tr>
        <w:trPr>
          <w:trHeight w:val="24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income before income taxes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7"/>
                <w:szCs w:val="17"/>
                <w:color w:val="auto"/>
                <w:w w:val="99"/>
              </w:rPr>
              <w:t>22,440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center"/>
              <w:ind w:left="600"/>
              <w:spacing w:after="0"/>
              <w:rPr>
                <w:sz w:val="20"/>
                <w:szCs w:val="20"/>
                <w:color w:val="auto"/>
              </w:rPr>
            </w:pPr>
            <w:r>
              <w:rPr>
                <w:rFonts w:ascii="Arial" w:cs="Arial" w:eastAsia="Arial" w:hAnsi="Arial"/>
                <w:sz w:val="17"/>
                <w:szCs w:val="17"/>
                <w:color w:val="auto"/>
                <w:w w:val="93"/>
              </w:rPr>
              <w:t>3,709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7"/>
                <w:szCs w:val="17"/>
                <w:color w:val="auto"/>
                <w:w w:val="89"/>
              </w:rPr>
              <w:t>1,550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(Benefit from) provision for income taxes for fiscal year 2021, 2020 and 2019 were summarized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03"/>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provision (benefit):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Federal</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State and local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15"/>
        </w:trPr>
        <w:tc>
          <w:tcPr>
            <w:tcW w:w="6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02"/>
        </w:trPr>
        <w:tc>
          <w:tcPr>
            <w:tcW w:w="6660" w:type="dxa"/>
            <w:vAlign w:val="bottom"/>
          </w:tcPr>
          <w:p>
            <w:pPr>
              <w:ind w:left="20"/>
              <w:spacing w:after="0"/>
              <w:rPr>
                <w:sz w:val="20"/>
                <w:szCs w:val="20"/>
                <w:color w:val="auto"/>
              </w:rPr>
            </w:pPr>
            <w:r>
              <w:rPr>
                <w:rFonts w:ascii="Arial" w:cs="Arial" w:eastAsia="Arial" w:hAnsi="Arial"/>
                <w:sz w:val="17"/>
                <w:szCs w:val="17"/>
                <w:b w:val="1"/>
                <w:bCs w:val="1"/>
                <w:color w:val="auto"/>
              </w:rPr>
              <w:t>Deferred provision (benefit):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(7,482)</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(1,278)</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and local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6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(89,988)</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(8,760)</w:t>
            </w:r>
          </w:p>
        </w:tc>
      </w:tr>
      <w:tr>
        <w:trPr>
          <w:trHeight w:val="24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(benefit from) provision for income taxes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 (benefit from) provision for income taxes differed from the amount computed by applying the federal statutory rate of 21.0%, to our income before (benefit from) provision for income taxes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at statutory rate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Valuation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(13,461)</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differences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State and local taxes, net of U.S. federal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2,008</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income taxed at rates different than the U.S. statutory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w:t>
            </w:r>
          </w:p>
        </w:tc>
      </w:tr>
      <w:tr>
        <w:trPr>
          <w:trHeight w:val="235"/>
        </w:trPr>
        <w:tc>
          <w:tcPr>
            <w:tcW w:w="6660" w:type="dxa"/>
            <w:vAlign w:val="bottom"/>
          </w:tcPr>
          <w:p>
            <w:pPr>
              <w:ind w:left="20"/>
              <w:spacing w:after="0"/>
              <w:rPr>
                <w:sz w:val="20"/>
                <w:szCs w:val="20"/>
                <w:color w:val="auto"/>
              </w:rPr>
            </w:pPr>
            <w:r>
              <w:rPr>
                <w:rFonts w:ascii="Arial" w:cs="Arial" w:eastAsia="Arial" w:hAnsi="Arial"/>
                <w:sz w:val="17"/>
                <w:szCs w:val="17"/>
                <w:color w:val="auto"/>
              </w:rPr>
              <w:t>Stock-based compensation excess tax benefits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credit/deductions - generated and expired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Foreign withholding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911</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Brazil withholding tax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(1,877)</w:t>
            </w:r>
          </w:p>
        </w:tc>
      </w:tr>
      <w:tr>
        <w:trPr>
          <w:trHeight w:val="222"/>
        </w:trPr>
        <w:tc>
          <w:tcPr>
            <w:tcW w:w="6660" w:type="dxa"/>
            <w:vAlign w:val="bottom"/>
          </w:tcPr>
          <w:p>
            <w:pPr>
              <w:ind w:left="20"/>
              <w:spacing w:after="0"/>
              <w:rPr>
                <w:sz w:val="20"/>
                <w:szCs w:val="20"/>
                <w:color w:val="auto"/>
              </w:rPr>
            </w:pPr>
            <w:r>
              <w:rPr>
                <w:rFonts w:ascii="Arial" w:cs="Arial" w:eastAsia="Arial" w:hAnsi="Arial"/>
                <w:sz w:val="17"/>
                <w:szCs w:val="17"/>
                <w:color w:val="auto"/>
              </w:rPr>
              <w:t>Change in uncertain tax 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859</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Return-to-provision/Deferred true-up adjustments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r>
      <w:tr>
        <w:trPr>
          <w:trHeight w:val="22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r>
      <w:tr>
        <w:trPr>
          <w:trHeight w:val="24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provision for (benefit from) income taxes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Our (benefit from) provision for income taxes was $87.7 million of benefit for fiscal 2021, $3.5 million of expense for fiscal 2020 and $8.2 million of benefit for fiscal 2019. Our tax benefit for fiscal 2021 was primarily due to the release of valuation allowance on our U.S. federal and state deferred tax assets.</w:t>
      </w:r>
    </w:p>
    <w:p>
      <w:pPr>
        <w:spacing w:after="0" w:line="16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tax expense for fiscal 2020 was primarily due to tax expense related to profitable foreign subsidiaries and increase in our reserve for uncertain tax positions.</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deferred tax assets and liabilities were as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2, 2021</w:t>
            </w:r>
          </w:p>
        </w:tc>
        <w:tc>
          <w:tcPr>
            <w:tcW w:w="240" w:type="dxa"/>
            <w:vAlign w:val="bottom"/>
          </w:tcPr>
          <w:p>
            <w:pPr>
              <w:spacing w:after="0"/>
              <w:rPr>
                <w:sz w:val="16"/>
                <w:szCs w:val="16"/>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3, 2020</w:t>
            </w:r>
          </w:p>
        </w:tc>
      </w:tr>
      <w:tr>
        <w:trPr>
          <w:trHeight w:val="209"/>
        </w:trPr>
        <w:tc>
          <w:tcPr>
            <w:tcW w:w="8220" w:type="dxa"/>
            <w:vAlign w:val="bottom"/>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Accruals and reserves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2,923</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Bad debts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1,585</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2,124</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exchange gain/loss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4,845</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 carryforwards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5,498</w:t>
            </w:r>
          </w:p>
        </w:tc>
      </w:tr>
      <w:tr>
        <w:trPr>
          <w:trHeight w:val="22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Tax loss carryforwards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126,550</w:t>
            </w:r>
          </w:p>
        </w:tc>
      </w:tr>
      <w:tr>
        <w:trPr>
          <w:trHeight w:val="215"/>
        </w:trPr>
        <w:tc>
          <w:tcPr>
            <w:tcW w:w="8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deferred tax assets before valuation allowance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149,169</w:t>
            </w:r>
          </w:p>
        </w:tc>
      </w:tr>
      <w:tr>
        <w:trPr>
          <w:trHeight w:val="222"/>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Valuation allowance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(136,097)</w:t>
            </w:r>
          </w:p>
        </w:tc>
      </w:tr>
      <w:tr>
        <w:trPr>
          <w:trHeight w:val="215"/>
        </w:trPr>
        <w:tc>
          <w:tcPr>
            <w:tcW w:w="8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104,067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13,072</w:t>
            </w:r>
          </w:p>
        </w:tc>
      </w:tr>
      <w:tr>
        <w:trPr>
          <w:trHeight w:val="202"/>
        </w:trPr>
        <w:tc>
          <w:tcPr>
            <w:tcW w:w="8220" w:type="dxa"/>
            <w:vAlign w:val="bottom"/>
          </w:tcPr>
          <w:p>
            <w:pPr>
              <w:ind w:left="20"/>
              <w:spacing w:after="0"/>
              <w:rPr>
                <w:sz w:val="20"/>
                <w:szCs w:val="20"/>
                <w:color w:val="auto"/>
              </w:rPr>
            </w:pPr>
            <w:r>
              <w:rPr>
                <w:rFonts w:ascii="Arial" w:cs="Arial" w:eastAsia="Arial" w:hAnsi="Arial"/>
                <w:sz w:val="17"/>
                <w:szCs w:val="17"/>
                <w:b w:val="1"/>
                <w:bCs w:val="1"/>
                <w:color w:val="auto"/>
              </w:rPr>
              <w:t>Deferred tax liabilities: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Branch undistributed earnings reserve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Depreciation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5"/>
        </w:trPr>
        <w:tc>
          <w:tcPr>
            <w:tcW w:w="8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w:t>
            </w:r>
          </w:p>
        </w:tc>
      </w:tr>
      <w:tr>
        <w:trPr>
          <w:trHeight w:val="240"/>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deferred tax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Reported on the Consolidated Balance Sheets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8220" w:type="dxa"/>
            <w:vAlign w:val="bottom"/>
          </w:tcPr>
          <w:p>
            <w:pPr>
              <w:ind w:left="20"/>
              <w:spacing w:after="0"/>
              <w:rPr>
                <w:sz w:val="20"/>
                <w:szCs w:val="20"/>
                <w:color w:val="auto"/>
              </w:rPr>
            </w:pPr>
            <w:r>
              <w:rPr>
                <w:rFonts w:ascii="Arial" w:cs="Arial" w:eastAsia="Arial" w:hAnsi="Arial"/>
                <w:sz w:val="17"/>
                <w:szCs w:val="17"/>
                <w:color w:val="auto"/>
              </w:rPr>
              <w:t>Deferred income tax assets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103,467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12,799</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w:t>
            </w:r>
          </w:p>
        </w:tc>
      </w:tr>
      <w:tr>
        <w:trPr>
          <w:trHeight w:val="215"/>
        </w:trPr>
        <w:tc>
          <w:tcPr>
            <w:tcW w:w="8220" w:type="dxa"/>
            <w:vAlign w:val="bottom"/>
          </w:tcPr>
          <w:p>
            <w:pPr>
              <w:ind w:left="340"/>
              <w:spacing w:after="0"/>
              <w:rPr>
                <w:sz w:val="20"/>
                <w:szCs w:val="20"/>
                <w:color w:val="auto"/>
              </w:rPr>
            </w:pPr>
            <w:r>
              <w:rPr>
                <w:rFonts w:ascii="Arial" w:cs="Arial" w:eastAsia="Arial" w:hAnsi="Arial"/>
                <w:sz w:val="17"/>
                <w:szCs w:val="17"/>
                <w:color w:val="auto"/>
              </w:rPr>
              <w:t>Total net deferred income tax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102,853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12,254</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Our valuation allowance related to deferred income taxes, as reflected in our consolidated balance sheets, was $37.4 million as of July 2, 2021 and $136.1 million as of July 3, 2020. The change in valuation allowance for the fiscal years ended July 2, 2021 and July 3, 2020 was a decrease of $98.7 million and $6.8 million. The decrease in the valuation allowance in fiscal 2021 was primarily due to the release of certain U.S. federal, state, and foreign valuation allowances, partially offset by losses in tax jurisdictions in which we cannot recognize tax benefits. During the third quarter of fiscal 2021, we recorded a valuation allowance release of $92.2 million as a discrete item based on management’s reassessment of the amount of its U.S. federal and state deferred tax assets that are more likely than not to be realized, primarily as a result of increases in U.S. profitability in the current period and expectations of continued profitability in future periods. In performing our analysis, we used the most updated plans and estimates that we currently use to manage the underlying business and calculated the utilization of our deferred tax assets. We continue to maintain a valuation allowance of $1.4 million on certain U.S. federal and state deferred tax assets that we believe is not more likely than not to be realized in future periods.</w:t>
      </w:r>
    </w:p>
    <w:p>
      <w:pPr>
        <w:spacing w:after="0" w:line="12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including tax loss carryforwards that are attributable to the Microwave Communication Division when it was a division of Harris. There have been no settlement payments recorded since the acquisition date.</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Tax loss and credit carryforwards as of July 2, 2021 have expiration dates ranging between one year and no expiration in certain instances. The amounts of U.S. federal tax loss carryforwards as of July 2, 2021 and July 3, 2020 were $382.3 million ($303.8 million and $78.5 million to Harris tax attributes) and $404.1 million ($325.6 million and $78.5 million related to Harris tax attributes), respectively, and begin to expire in fiscal 2023. The amount of U.S. federal and state tax credit carryforwards as of July 2, 2021 was $6.3 million, and certain credits will begin to expire in fiscal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2022. The amount of foreign tax loss carryforwards as of July 2, 2021 was $182.8 million and certain losses begin to expire in fiscal 2022. The amount of foreign tax credit carryforwards as of July 2, 2021 was $2.9 million, and certain credits will begin to expire in fiscal 2026.</w:t>
      </w:r>
    </w:p>
    <w:p>
      <w:pPr>
        <w:spacing w:after="0" w:line="184"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United States income taxes have not been provided on basis differences in foreign subsidiaries of $2.8 million and $1.6 million as of July 2, 2021 and July 3, 2020, respectively, because of our intention to reinvest these earnings indefinitely. Additionally, no foreign withholding taxes, federal or state taxes have been provided if these unremitted earnings of the Company’s foreign subsidiaries were distributed, as such amounts are considered permanently reinvested.</w:t>
      </w:r>
    </w:p>
    <w:p>
      <w:pPr>
        <w:jc w:val="both"/>
        <w:spacing w:after="0" w:line="273" w:lineRule="auto"/>
        <w:rPr>
          <w:sz w:val="20"/>
          <w:szCs w:val="20"/>
          <w:color w:val="auto"/>
        </w:rPr>
      </w:pPr>
      <w:r>
        <w:rPr>
          <w:rFonts w:ascii="Arial" w:cs="Arial" w:eastAsia="Arial" w:hAnsi="Arial"/>
          <w:sz w:val="17"/>
          <w:szCs w:val="17"/>
          <w:color w:val="auto"/>
        </w:rPr>
        <w:t>It is not practicable to estimate the additional income taxes, including applicable foreign withholding taxes, that would be due upon the repatriation of these earnings.</w:t>
      </w:r>
    </w:p>
    <w:p>
      <w:pPr>
        <w:spacing w:after="0" w:line="118"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July 2, 2021 and July 3, 2020, we had unrecognized tax benefits of $17.3 million and $18.0 million, respectively, as revised for correction to unrecognized tax benefits in the table below, for various federal, foreign, and state income tax matters. Unrecognized tax benefits decreased by $0.8 million. Our total unrecognized tax benefits that, if recognized, would affect our effective tax rate were $5.2 million and $5.8 million, respectively, as of July 2, 2021 and July 3, 2020. These unrecognized tax benefits are presented on the accompanying consolidated balance sheets net of the tax effects of net operating loss carryforwards.</w:t>
      </w:r>
    </w:p>
    <w:p>
      <w:pPr>
        <w:spacing w:after="0" w:line="127"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income taxes. The interest accrued was $0.6 million as of July 2, 2021 and $0.7 million as of July 3, 2020. An immaterial amount of penalties have been accrued.</w:t>
      </w:r>
    </w:p>
    <w:p>
      <w:pPr>
        <w:sectPr>
          <w:pgSz w:w="11900" w:h="16838" w:orient="portrait"/>
          <w:cols w:equalWidth="0" w:num="1">
            <w:col w:w="11240"/>
          </w:cols>
          <w:pgMar w:left="320" w:top="388" w:right="339" w:bottom="1440" w:gutter="0" w:footer="0" w:header="0"/>
        </w:sectPr>
      </w:pPr>
    </w:p>
    <w:p>
      <w:pPr>
        <w:spacing w:after="0" w:line="10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unrecognized tax benefit activity for fiscal 2021, 2020 and 2019 was as follows: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414770" cy="149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4770" cy="14922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June 29, 2018</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0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0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6414770" cy="140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0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9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4770" cy="14922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July 3, 2020</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0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Additions for tax positions in current periods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414770" cy="140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4770" cy="14097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Decreases related to change of foreign exchange rate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Unrecognized tax benefit as of July 2,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Amount</w:t>
      </w:r>
    </w:p>
    <w:p>
      <w:pPr>
        <w:spacing w:after="0" w:line="45" w:lineRule="exact"/>
        <w:rPr>
          <w:sz w:val="20"/>
          <w:szCs w:val="20"/>
          <w:color w:val="auto"/>
        </w:rPr>
      </w:pPr>
    </w:p>
    <w:p>
      <w:pPr>
        <w:ind w:left="900" w:hanging="900"/>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12,840</w:t>
      </w:r>
    </w:p>
    <w:p>
      <w:pPr>
        <w:spacing w:after="0" w:line="26"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color w:val="auto"/>
        </w:rPr>
        <w:t>287</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1,501</w:t>
      </w:r>
    </w:p>
    <w:p>
      <w:pPr>
        <w:spacing w:after="0" w:line="27"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(1,674)</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9296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0"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12,987</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7,023</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3,094</w:t>
      </w:r>
    </w:p>
    <w:p>
      <w:pPr>
        <w:spacing w:after="0" w:line="27"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(4,692)</w:t>
      </w:r>
    </w:p>
    <w:p>
      <w:pPr>
        <w:spacing w:after="0" w:line="27"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(365)</w:t>
      </w:r>
    </w:p>
    <w:p>
      <w:pPr>
        <w:spacing w:after="0" w:line="40"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18,047</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184</w:t>
      </w:r>
    </w:p>
    <w:p>
      <w:pPr>
        <w:spacing w:after="0" w:line="27" w:lineRule="exact"/>
        <w:rPr>
          <w:sz w:val="20"/>
          <w:szCs w:val="20"/>
          <w:color w:val="auto"/>
        </w:rPr>
      </w:pPr>
    </w:p>
    <w:p>
      <w:pPr>
        <w:jc w:val="right"/>
        <w:ind w:right="1200"/>
        <w:spacing w:after="0"/>
        <w:rPr>
          <w:sz w:val="20"/>
          <w:szCs w:val="20"/>
          <w:color w:val="auto"/>
        </w:rPr>
      </w:pPr>
      <w:r>
        <w:rPr>
          <w:rFonts w:ascii="Arial" w:cs="Arial" w:eastAsia="Arial" w:hAnsi="Arial"/>
          <w:sz w:val="17"/>
          <w:szCs w:val="17"/>
          <w:color w:val="auto"/>
        </w:rPr>
        <w:t>869</w:t>
      </w:r>
    </w:p>
    <w:p>
      <w:pPr>
        <w:spacing w:after="0" w:line="27"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(1,788)</w:t>
      </w:r>
    </w:p>
    <w:p>
      <w:pPr>
        <w:spacing w:after="0" w:line="27" w:lineRule="exact"/>
        <w:rPr>
          <w:sz w:val="20"/>
          <w:szCs w:val="20"/>
          <w:color w:val="auto"/>
        </w:rPr>
      </w:pPr>
    </w:p>
    <w:p>
      <w:pPr>
        <w:jc w:val="right"/>
        <w:ind w:right="11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9296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0" w:lineRule="exact"/>
        <w:rPr>
          <w:sz w:val="20"/>
          <w:szCs w:val="20"/>
          <w:color w:val="auto"/>
        </w:rPr>
      </w:pPr>
    </w:p>
    <w:p>
      <w:pPr>
        <w:ind w:left="900" w:hanging="900"/>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17,255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9296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2964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41275</wp:posOffset>
            </wp:positionV>
            <wp:extent cx="929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940" w:space="720"/>
            <w:col w:w="2580"/>
          </w:cols>
          <w:pgMar w:left="320" w:top="388" w:right="339" w:bottom="1440" w:gutter="0" w:footer="0" w:header="0"/>
          <w:type w:val="continuous"/>
        </w:sectPr>
      </w:pPr>
    </w:p>
    <w:p>
      <w:pPr>
        <w:spacing w:after="0" w:line="81"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unrecognized tax benefit decreased for tax positions in prior periods by $0.9 million, $3.8 million and $0.0 million for fiscal year 2021, 2020 and 2019, respectively, related to settlements with tax authorities in the table above.</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unrecognized tax benefit decreased for tax positions in prior periods by $0.6 million, $0.9 million and $0.2 million for fiscal year 2021, 2020 and 2019, respectively, related to lapses of the applicable statute of limitations in the table above.</w:t>
      </w:r>
    </w:p>
    <w:p>
      <w:pPr>
        <w:spacing w:after="0" w:line="10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have a number of years with open tax audits which vary from jurisdiction to jurisdiction. Our major tax jurisdictions that are open and subject to potential audits include the U.S., Singapore, Nigeria, Saudi Arabia and the Ivory Coast. The earliest years for these jurisdictions are as follows: U.S. - 2003; Singapore - 2015; Nigeria - 2006: Saudi Arabia - 2019, and Ivory Coast - 2017.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type w:val="continuous"/>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first quarter of 2021, we received a tax refund of $1.2 million from the Federal Revenue of Brazil related to our withholding tax refund claim and recorded minimal tax expense related to interest as a discrete item.</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During the second quarter of 2021, we effectively settled a tax audit with the Financial Administration of the Republic of Slovenia for fiscal years 2016 to 2018 and recorded $0.4 million of tax expense related to the denial of research and development tax relief as a discrete item. During the second quarter of 2021, we effectively settled a tax audit with the General Authority of Zakat and Tax in Saudi Arabia for fiscal years 2016 to 2018 and recorded minimal tax benefit related to the release of previously recorded ASC 740-10 reserve as a discrete item.</w:t>
      </w:r>
    </w:p>
    <w:p>
      <w:pPr>
        <w:spacing w:after="0" w:line="1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first and third quarter of 2021, we settled tax litigation cases with the Income Tax Department of Ministry of Finance for fiscal years 2005 to 2011 and recorded minimal tax benefit related to the release of previously recorded ASC740-10 reserve as a discrete item.</w:t>
      </w:r>
    </w:p>
    <w:p>
      <w:pPr>
        <w:spacing w:after="0" w:line="145"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On March 27, 2020, the US enacted the Coronavirus Aid, Relief, and Economic Security (CARES) Act which provided certain tax relief measures including, but not limited to, (1) a five-year net operating loss carryback, (2) changes in the deduction of interest, (3) acceleration of alternative minimum tax credit (AMT) refunds, and (4) a technical correction to allow accelerated deductions for qualified improvement property. The Tax Cuts and Jobs Act repealed the corporate AMT credit and allowed taxpayers to claim any unused AMT credit over four tax years beginning in tax year 2018. The CARES Act allows for acceleration of the refundable AMT credit up to 100% of the AMT credit to be refunded in tax year 2018. During the third quarter of 2021, we received a tax refund of $3.5 million from the U.S. Internal Revenue Service primarily related to our refundable AMT credit claim under the CARES Act and recorded minimal tax benefit related to interest as a discrete item.</w:t>
      </w:r>
    </w:p>
    <w:p>
      <w:pPr>
        <w:spacing w:after="0" w:line="132"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March 11, 2021, the US enacted the American Rescue Plan Act of 2021 (ARPA) which expands Section 162(m) to cover the next five most highly</w:t>
      </w:r>
    </w:p>
    <w:p>
      <w:pPr>
        <w:spacing w:after="0" w:line="6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compensated employees for the taxable year, in addition to the “covered employees” effective for taxable years beginning after December 31, 2026. We continue to examine the elements of CARES Act, CAA, and ARPA and the impact they may have on our future business.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 and Other Commitments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July 2, 2021, we had outstanding purchase obligations with our suppliers or contract manufacturers of $31.4 million. In addition, we had contractual obligations of approximately $2.5 million associated with software as a service and software maintenance support as of July 2,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Guarantees and Commercial Commitments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2, 2021, we had no guarantees applicable to our debt arrangements.</w:t>
      </w:r>
    </w:p>
    <w:p>
      <w:pPr>
        <w:spacing w:after="0" w:line="12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2, 2021, we had commercial commitments of $583.3 million outstanding that were not recorded on our consolidated balance sheets. During the second quarter of fiscal 2017, we recorded a payout in cost of revenues of $0.4 million on the performance guarantees to a contractor in the Middle East region. We believe the customer improperly drew down on the performance bond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July 2, 2021,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July 2, 2021, we had not recorded any liabilities related to these indemnifications.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are subject from time to time to disputes with customers concerning our products and services. In May 2016, we received notification of a claim for damages from a customer alleging that certain of our products were defective which we settled for an immaterial amount during the third quarter of 2021.</w:t>
      </w:r>
    </w:p>
    <w:p>
      <w:pPr>
        <w:spacing w:after="0" w:line="83"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significant accrual for loss contingencies associated with such legal claims or litigation discussed above.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3" w:lineRule="exact"/>
        <w:rPr>
          <w:sz w:val="20"/>
          <w:szCs w:val="20"/>
          <w:color w:val="auto"/>
        </w:rPr>
      </w:pPr>
    </w:p>
    <w:p>
      <w:pPr>
        <w:jc w:val="both"/>
        <w:ind w:firstLine="627"/>
        <w:spacing w:after="0" w:line="297" w:lineRule="auto"/>
        <w:rPr>
          <w:sz w:val="20"/>
          <w:szCs w:val="20"/>
          <w:color w:val="auto"/>
        </w:rPr>
      </w:pPr>
      <w:r>
        <w:rPr>
          <w:rFonts w:ascii="Arial" w:cs="Arial" w:eastAsia="Arial" w:hAnsi="Arial"/>
          <w:sz w:val="15"/>
          <w:szCs w:val="15"/>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w:t>
      </w:r>
    </w:p>
    <w:p>
      <w:pPr>
        <w:spacing w:after="0" w:line="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of loss in excess of our amounts already accrued. If the outcome of this matter is greater than the current immaterial amount accrued, we intend to dispute it vigorously.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470"/>
        <w:spacing w:after="0" w:line="282"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70" w:lineRule="exact"/>
        <w:rPr>
          <w:sz w:val="20"/>
          <w:szCs w:val="20"/>
          <w:color w:val="auto"/>
        </w:rPr>
      </w:pPr>
    </w:p>
    <w:p>
      <w:pPr>
        <w:jc w:val="both"/>
        <w:ind w:firstLine="470"/>
        <w:spacing w:after="0" w:line="260" w:lineRule="auto"/>
        <w:rPr>
          <w:sz w:val="20"/>
          <w:szCs w:val="20"/>
          <w:color w:val="auto"/>
        </w:rPr>
      </w:pPr>
      <w:r>
        <w:rPr>
          <w:rFonts w:ascii="Arial" w:cs="Arial" w:eastAsia="Arial" w:hAnsi="Arial"/>
          <w:sz w:val="17"/>
          <w:szCs w:val="17"/>
          <w:color w:val="auto"/>
        </w:rPr>
        <w:t>In March 2020, the World Health Organization characterized a recent pandemic of respiratory illness caused by novel coronavirus disease, known as COVID-19, as a pandemic. The pandemic has resulted in government authorities implementing numerous measures to try to contain the virus, such as travel bans and restrictions, quarantines, shelter-in-place or stay-at-home orders, and business shutdowns. Our global operations expose us to risks associated with public health crises and epidemics/pandemics, such as the COVID-19 virus. The COVID-19 virus may have an impact on our operations, supply chains and distribution systems and increase our expenses, including as a result of impacts associated with preventive and precautionary measures that we, other businesses and governments are taking or requiring. The extent to which the COVID-19 pandemic impacts our business, prospects and results of operations will depend on future developments, which are highly uncertain, including, but not limited to, the duration and spread of the pandemic, its severity, the actions to contain the virus or treat its impact, including ongoing vaccination efforts, any new variant strains of the underlying virus and how quickly and to what extent normal economic and operating activities can resume. Management is actively monitoring the impact of COVID-19 on our financial condition, liquidity, operations, suppliers, industry, and workforce.</w:t>
      </w:r>
    </w:p>
    <w:p>
      <w:pPr>
        <w:spacing w:after="0" w:line="13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first priority remains the health and safety of our employees and their families. Employees whose tasks can be done off-site have been instructed to work from home. Our manufacturing sites support essential businesses and remain operational. We are maintaining social distancing for workers on-site and have enhanced cleaning protocols and usage of personal protective equipment, where appropriate.</w:t>
      </w:r>
    </w:p>
    <w:p>
      <w:pPr>
        <w:spacing w:after="0" w:line="12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The impact to our supply chain lead times and ability to fulfill orders was minimal for fiscal 2021. However, depending on pandemic-related factors like the uncertain duration of temporary manufacturing restrictions as well as our ability to perform field services during shelter in place orders, we could experience constraints and delays in fulfilling customer orders in future periods. We continue to monitor, assess and adapt to the situation and prepare for implications to our business, supply chain and customer demand. We expect these challenges to continue until business and economic activities return to more normal levels. The financial results for fiscal 2021 reflect some of the reduced activity experienced during the period in various locations around the world and are not necessary indicative of the results for the next fiscal period or fiscal year.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Subsequent Event</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On August 25, 2021, our Board of Directors approved a restructuring plan to further reduce operating costs and improve profitability. We estimate the restructuring charges, consist of one-time severance charges, will be approximately $0.8 million to be recorded in the first quarter of fiscal 2022. We anticipate it will generate approximately $0.6 million in annual net savings, the majority of which will be allocated to support growth-related initiatives to be in a stronger position to drive both top- and bottom- line performance.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Quarterly Financial Data (Unaudited)</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2021 and 2020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3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24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1100" w:type="dxa"/>
            <w:vAlign w:val="bottom"/>
            <w:gridSpan w:val="4"/>
          </w:tcPr>
          <w:p>
            <w:pPr>
              <w:ind w:left="20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98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8"/>
        </w:trPr>
        <w:tc>
          <w:tcPr>
            <w:tcW w:w="5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9/28/2020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1/1/2021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3/29/2021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7/2/2021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Fiscal 2021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24,249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26,909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25,578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6,641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 data: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340"/>
              <w:spacing w:after="0"/>
              <w:rPr>
                <w:sz w:val="20"/>
                <w:szCs w:val="20"/>
                <w:color w:val="auto"/>
              </w:rPr>
            </w:pPr>
            <w:r>
              <w:rPr>
                <w:rFonts w:ascii="Arial" w:cs="Arial" w:eastAsia="Arial" w:hAnsi="Arial"/>
                <w:sz w:val="17"/>
                <w:szCs w:val="17"/>
                <w:color w:val="auto"/>
              </w:rPr>
              <w:t>Basic net income per common share</w:t>
            </w:r>
          </w:p>
        </w:tc>
        <w:tc>
          <w:tcPr>
            <w:tcW w:w="2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net income per common share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3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24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1100" w:type="dxa"/>
            <w:vAlign w:val="bottom"/>
            <w:gridSpan w:val="4"/>
          </w:tcPr>
          <w:p>
            <w:pPr>
              <w:ind w:left="20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980" w:type="dxa"/>
            <w:vAlign w:val="bottom"/>
            <w:gridSpan w:val="2"/>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82"/>
        </w:trPr>
        <w:tc>
          <w:tcPr>
            <w:tcW w:w="5880" w:type="dxa"/>
            <w:vAlign w:val="bottom"/>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9/27/2019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12/27/2019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4/3/2020</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7/3/2020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Fiscal 2020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22,556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18,319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 data: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340"/>
              <w:spacing w:after="0"/>
              <w:rPr>
                <w:sz w:val="20"/>
                <w:szCs w:val="20"/>
                <w:color w:val="auto"/>
              </w:rPr>
            </w:pPr>
            <w:r>
              <w:rPr>
                <w:rFonts w:ascii="Arial" w:cs="Arial" w:eastAsia="Arial" w:hAnsi="Arial"/>
                <w:sz w:val="17"/>
                <w:szCs w:val="17"/>
                <w:color w:val="auto"/>
              </w:rPr>
              <w:t>Basic net income (loss) per common share</w:t>
            </w:r>
          </w:p>
        </w:tc>
        <w:tc>
          <w:tcPr>
            <w:tcW w:w="2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 net income (loss) per common share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8700" w:type="dxa"/>
            <w:vAlign w:val="bottom"/>
            <w:gridSpan w:val="11"/>
          </w:tcPr>
          <w:p>
            <w:pPr>
              <w:ind w:left="480"/>
              <w:spacing w:after="0"/>
              <w:rPr>
                <w:sz w:val="20"/>
                <w:szCs w:val="20"/>
                <w:color w:val="auto"/>
              </w:rPr>
            </w:pPr>
            <w:r>
              <w:rPr>
                <w:rFonts w:ascii="Arial" w:cs="Arial" w:eastAsia="Arial" w:hAnsi="Arial"/>
                <w:sz w:val="17"/>
                <w:szCs w:val="17"/>
                <w:color w:val="auto"/>
                <w:w w:val="92"/>
              </w:rPr>
              <w:t>The following tables summarize charges included in our results of operations for each of the fiscal quarters presented: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1"/>
                <w:szCs w:val="21"/>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3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28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1100" w:type="dxa"/>
            <w:vAlign w:val="bottom"/>
            <w:gridSpan w:val="4"/>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98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8"/>
        </w:trPr>
        <w:tc>
          <w:tcPr>
            <w:tcW w:w="5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9/28/2020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1/1/2021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3/29/2021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7/2/2021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Fiscal 2021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20"/>
              <w:spacing w:after="0"/>
              <w:rPr>
                <w:sz w:val="20"/>
                <w:szCs w:val="20"/>
                <w:color w:val="auto"/>
              </w:rPr>
            </w:pPr>
            <w:r>
              <w:rPr>
                <w:rFonts w:ascii="Arial" w:cs="Arial" w:eastAsia="Arial" w:hAnsi="Arial"/>
                <w:sz w:val="17"/>
                <w:szCs w:val="17"/>
                <w:color w:val="auto"/>
              </w:rPr>
              <w:t>Release of valuation allowance</w:t>
            </w: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(92,200)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92"/>
        </w:trPr>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Q3</w:t>
            </w:r>
          </w:p>
        </w:tc>
        <w:tc>
          <w:tcPr>
            <w:tcW w:w="2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Q4</w:t>
            </w:r>
          </w:p>
        </w:tc>
        <w:tc>
          <w:tcPr>
            <w:tcW w:w="0" w:type="dxa"/>
            <w:vAlign w:val="bottom"/>
          </w:tcPr>
          <w:p>
            <w:pPr>
              <w:spacing w:after="0"/>
              <w:rPr>
                <w:sz w:val="1"/>
                <w:szCs w:val="1"/>
                <w:color w:val="auto"/>
              </w:rPr>
            </w:pPr>
          </w:p>
        </w:tc>
      </w:tr>
      <w:tr>
        <w:trPr>
          <w:trHeight w:val="131"/>
        </w:trPr>
        <w:tc>
          <w:tcPr>
            <w:tcW w:w="58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200"/>
              <w:spacing w:after="0" w:line="131"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28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1100" w:type="dxa"/>
            <w:vAlign w:val="bottom"/>
            <w:gridSpan w:val="4"/>
          </w:tcPr>
          <w:p>
            <w:pPr>
              <w:ind w:left="180"/>
              <w:spacing w:after="0" w:line="131"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1"/>
                <w:szCs w:val="11"/>
                <w:color w:val="auto"/>
              </w:rPr>
            </w:pPr>
          </w:p>
        </w:tc>
        <w:tc>
          <w:tcPr>
            <w:tcW w:w="980" w:type="dxa"/>
            <w:vAlign w:val="bottom"/>
            <w:gridSpan w:val="2"/>
          </w:tcPr>
          <w:p>
            <w:pPr>
              <w:ind w:left="160"/>
              <w:spacing w:after="0" w:line="131"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82"/>
        </w:trPr>
        <w:tc>
          <w:tcPr>
            <w:tcW w:w="5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9/27/2019</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12/27/2019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1"/>
              </w:rPr>
              <w:t>4/3/2020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7/3/2020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Fiscal 2020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Commission’s rules and forms, and is accumulated and communicated to management, including our principal executive officer and principal financial officer, as appropriate to allow timely decisions regarding required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July 2, 2021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Report on Internal Control Over Financial Reporting</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2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Management, including our CEO and CFO, assessed our internal control over financial reporting as of July 2, 2021,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BDO USA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July 2, 2021. The report is included in this Item under the heading “Report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7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Subsequent Event</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On August 25, 2021, our Board of Directors approved a restructuring plan to further reduce operating costs and improve profitability. We estimate the restructuring charges, consist of one-time severance charges, will be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approximately $0.8 million to be recorded in the first quarter of fiscal 2022. We anticipate it will generate approximately $0.6 million in annual net savings, the majority of which will be allocated to support growth-related initiatives to be in a stronger position to drive both top- and bottom- line performance.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76"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Certain information required by Part III is omitted from this Annual Report on Form 10-K because we will file a definitive Proxy Statement with the SEC within 120 days after the end of our fiscal year ended July 2, 2021.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adopted a Code of Conduct that is available at www.aviatnetworks.com. We most recently amended and restated our Code of Conduct on February</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10, 2021, and posted it on our website.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information with respect to Executive Officers, see Part I, Item 1 of this Annual Report on Form 10-K, under “Executive Officers of the Registrant,” which is incorporated herein by reference.</w:t>
      </w:r>
    </w:p>
    <w:p>
      <w:pPr>
        <w:spacing w:after="0" w:line="10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All information required to be disclosed in this Item 10 that is not otherwise contained herein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Information regarding our executive compensation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Information regarding certain relationships and related transactions, and director independence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Accountant Fees and Services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Arial" w:cs="Arial" w:eastAsia="Arial" w:hAnsi="Arial"/>
                <w:sz w:val="17"/>
                <w:szCs w:val="17"/>
                <w:color w:val="auto"/>
              </w:rPr>
              <w:t>(a)</w:t>
            </w:r>
          </w:p>
        </w:tc>
        <w:tc>
          <w:tcPr>
            <w:tcW w:w="8800" w:type="dxa"/>
            <w:vAlign w:val="bottom"/>
          </w:tcPr>
          <w:p>
            <w:pPr>
              <w:ind w:left="40"/>
              <w:spacing w:after="0"/>
              <w:rPr>
                <w:sz w:val="20"/>
                <w:szCs w:val="20"/>
                <w:color w:val="auto"/>
              </w:rPr>
            </w:pPr>
            <w:r>
              <w:rPr>
                <w:rFonts w:ascii="Arial" w:cs="Arial" w:eastAsia="Arial" w:hAnsi="Arial"/>
                <w:sz w:val="17"/>
                <w:szCs w:val="17"/>
                <w:color w:val="auto"/>
              </w:rPr>
              <w:t>The following documents are filed as part of this report.</w:t>
            </w:r>
          </w:p>
        </w:tc>
        <w:tc>
          <w:tcPr>
            <w:tcW w:w="1860" w:type="dxa"/>
            <w:vAlign w:val="bottom"/>
          </w:tcPr>
          <w:p>
            <w:pPr>
              <w:spacing w:after="0"/>
              <w:rPr>
                <w:sz w:val="19"/>
                <w:szCs w:val="19"/>
                <w:color w:val="auto"/>
              </w:rPr>
            </w:pPr>
          </w:p>
        </w:tc>
      </w:tr>
      <w:tr>
        <w:trPr>
          <w:trHeight w:val="366"/>
        </w:trPr>
        <w:tc>
          <w:tcPr>
            <w:tcW w:w="580" w:type="dxa"/>
            <w:vAlign w:val="bottom"/>
          </w:tcPr>
          <w:p>
            <w:pPr>
              <w:ind w:left="440"/>
              <w:spacing w:after="0"/>
              <w:rPr>
                <w:sz w:val="20"/>
                <w:szCs w:val="20"/>
                <w:color w:val="auto"/>
              </w:rPr>
            </w:pPr>
            <w:r>
              <w:rPr>
                <w:rFonts w:ascii="Arial" w:cs="Arial" w:eastAsia="Arial" w:hAnsi="Arial"/>
                <w:sz w:val="17"/>
                <w:szCs w:val="17"/>
                <w:color w:val="auto"/>
                <w:w w:val="84"/>
              </w:rPr>
              <w:t>1.</w:t>
            </w:r>
          </w:p>
        </w:tc>
        <w:tc>
          <w:tcPr>
            <w:tcW w:w="8800" w:type="dxa"/>
            <w:vAlign w:val="bottom"/>
          </w:tcPr>
          <w:p>
            <w:pPr>
              <w:ind w:left="40"/>
              <w:spacing w:after="0"/>
              <w:rPr>
                <w:sz w:val="20"/>
                <w:szCs w:val="20"/>
                <w:color w:val="auto"/>
              </w:rPr>
            </w:pPr>
            <w:r>
              <w:rPr>
                <w:rFonts w:ascii="Arial" w:cs="Arial" w:eastAsia="Arial" w:hAnsi="Arial"/>
                <w:sz w:val="17"/>
                <w:szCs w:val="17"/>
                <w:color w:val="auto"/>
              </w:rPr>
              <w:t>Financial Statements</w:t>
            </w:r>
          </w:p>
        </w:tc>
        <w:tc>
          <w:tcPr>
            <w:tcW w:w="1860" w:type="dxa"/>
            <w:vAlign w:val="bottom"/>
          </w:tcPr>
          <w:p>
            <w:pPr>
              <w:spacing w:after="0"/>
              <w:rPr>
                <w:sz w:val="24"/>
                <w:szCs w:val="24"/>
                <w:color w:val="auto"/>
              </w:rPr>
            </w:pPr>
          </w:p>
        </w:tc>
      </w:tr>
      <w:tr>
        <w:trPr>
          <w:trHeight w:val="366"/>
        </w:trPr>
        <w:tc>
          <w:tcPr>
            <w:tcW w:w="9380" w:type="dxa"/>
            <w:vAlign w:val="bottom"/>
            <w:gridSpan w:val="2"/>
          </w:tcPr>
          <w:p>
            <w:pPr>
              <w:ind w:left="440"/>
              <w:spacing w:after="0"/>
              <w:rPr>
                <w:sz w:val="20"/>
                <w:szCs w:val="20"/>
                <w:color w:val="auto"/>
              </w:rPr>
            </w:pPr>
            <w:r>
              <w:rPr>
                <w:rFonts w:ascii="Arial" w:cs="Arial" w:eastAsia="Arial" w:hAnsi="Arial"/>
                <w:sz w:val="17"/>
                <w:szCs w:val="17"/>
                <w:color w:val="auto"/>
              </w:rPr>
              <w:t>The financial statements of Aviat Networks, Inc. are set forth in Item 8 of this Annual Report on Form 10-K.</w:t>
            </w:r>
          </w:p>
        </w:tc>
        <w:tc>
          <w:tcPr>
            <w:tcW w:w="1860" w:type="dxa"/>
            <w:vAlign w:val="bottom"/>
          </w:tcPr>
          <w:p>
            <w:pPr>
              <w:spacing w:after="0"/>
              <w:rPr>
                <w:sz w:val="24"/>
                <w:szCs w:val="24"/>
                <w:color w:val="auto"/>
              </w:rPr>
            </w:pPr>
          </w:p>
        </w:tc>
      </w:tr>
      <w:tr>
        <w:trPr>
          <w:trHeight w:val="366"/>
        </w:trPr>
        <w:tc>
          <w:tcPr>
            <w:tcW w:w="580" w:type="dxa"/>
            <w:vAlign w:val="bottom"/>
          </w:tcPr>
          <w:p>
            <w:pPr>
              <w:ind w:left="440"/>
              <w:spacing w:after="0"/>
              <w:rPr>
                <w:sz w:val="20"/>
                <w:szCs w:val="20"/>
                <w:color w:val="auto"/>
              </w:rPr>
            </w:pPr>
            <w:r>
              <w:rPr>
                <w:rFonts w:ascii="Arial" w:cs="Arial" w:eastAsia="Arial" w:hAnsi="Arial"/>
                <w:sz w:val="17"/>
                <w:szCs w:val="17"/>
                <w:color w:val="auto"/>
                <w:w w:val="84"/>
              </w:rPr>
              <w:t>2.</w:t>
            </w:r>
          </w:p>
        </w:tc>
        <w:tc>
          <w:tcPr>
            <w:tcW w:w="8800" w:type="dxa"/>
            <w:vAlign w:val="bottom"/>
          </w:tcPr>
          <w:p>
            <w:pPr>
              <w:ind w:left="40"/>
              <w:spacing w:after="0"/>
              <w:rPr>
                <w:sz w:val="20"/>
                <w:szCs w:val="20"/>
                <w:color w:val="auto"/>
              </w:rPr>
            </w:pPr>
            <w:r>
              <w:rPr>
                <w:rFonts w:ascii="Arial" w:cs="Arial" w:eastAsia="Arial" w:hAnsi="Arial"/>
                <w:sz w:val="17"/>
                <w:szCs w:val="17"/>
                <w:color w:val="auto"/>
              </w:rPr>
              <w:t>Financial Statement Schedules</w:t>
            </w:r>
          </w:p>
        </w:tc>
        <w:tc>
          <w:tcPr>
            <w:tcW w:w="1860" w:type="dxa"/>
            <w:vAlign w:val="bottom"/>
          </w:tcPr>
          <w:p>
            <w:pPr>
              <w:spacing w:after="0"/>
              <w:rPr>
                <w:sz w:val="24"/>
                <w:szCs w:val="24"/>
                <w:color w:val="auto"/>
              </w:rPr>
            </w:pPr>
          </w:p>
        </w:tc>
      </w:tr>
      <w:tr>
        <w:trPr>
          <w:trHeight w:val="340"/>
        </w:trPr>
        <w:tc>
          <w:tcPr>
            <w:tcW w:w="9380" w:type="dxa"/>
            <w:vAlign w:val="bottom"/>
            <w:gridSpan w:val="2"/>
          </w:tcPr>
          <w:p>
            <w:pPr>
              <w:ind w:left="20"/>
              <w:spacing w:after="0"/>
              <w:rPr>
                <w:sz w:val="20"/>
                <w:szCs w:val="20"/>
                <w:color w:val="auto"/>
              </w:rPr>
            </w:pPr>
            <w:r>
              <w:rPr>
                <w:rFonts w:ascii="Arial" w:cs="Arial" w:eastAsia="Arial" w:hAnsi="Arial"/>
                <w:sz w:val="17"/>
                <w:szCs w:val="17"/>
                <w:b w:val="1"/>
                <w:bCs w:val="1"/>
                <w:color w:val="auto"/>
              </w:rPr>
              <w:t>Schedule</w:t>
            </w:r>
          </w:p>
        </w:tc>
        <w:tc>
          <w:tcPr>
            <w:tcW w:w="1860" w:type="dxa"/>
            <w:vAlign w:val="bottom"/>
          </w:tcPr>
          <w:p>
            <w:pPr>
              <w:jc w:val="center"/>
              <w:ind w:left="1133"/>
              <w:spacing w:after="0"/>
              <w:rPr>
                <w:sz w:val="20"/>
                <w:szCs w:val="20"/>
                <w:color w:val="auto"/>
              </w:rPr>
            </w:pPr>
            <w:r>
              <w:rPr>
                <w:rFonts w:ascii="Arial" w:cs="Arial" w:eastAsia="Arial" w:hAnsi="Arial"/>
                <w:sz w:val="17"/>
                <w:szCs w:val="17"/>
                <w:b w:val="1"/>
                <w:bCs w:val="1"/>
                <w:color w:val="auto"/>
                <w:w w:val="88"/>
              </w:rPr>
              <w:t>Page</w:t>
            </w:r>
          </w:p>
        </w:tc>
      </w:tr>
      <w:tr>
        <w:trPr>
          <w:trHeight w:val="379"/>
        </w:trPr>
        <w:tc>
          <w:tcPr>
            <w:tcW w:w="9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Schedule II — Valuation and Qualifying Accounts for the three fiscal years ended July 2, 2021</w:t>
            </w:r>
          </w:p>
        </w:tc>
        <w:tc>
          <w:tcPr>
            <w:tcW w:w="1860" w:type="dxa"/>
            <w:vAlign w:val="bottom"/>
            <w:shd w:val="clear" w:color="auto" w:fill="CCEEFF"/>
          </w:tcPr>
          <w:p>
            <w:pPr>
              <w:jc w:val="center"/>
              <w:ind w:right="113"/>
              <w:spacing w:after="0"/>
              <w:rPr>
                <w:rFonts w:ascii="Arial" w:cs="Arial" w:eastAsia="Arial" w:hAnsi="Arial"/>
                <w:sz w:val="17"/>
                <w:szCs w:val="17"/>
                <w:color w:val="0000FF"/>
              </w:rPr>
            </w:pPr>
            <w:hyperlink w:anchor="page95">
              <w:r>
                <w:rPr>
                  <w:rFonts w:ascii="Arial" w:cs="Arial" w:eastAsia="Arial" w:hAnsi="Arial"/>
                  <w:sz w:val="17"/>
                  <w:szCs w:val="17"/>
                  <w:color w:val="0000FF"/>
                </w:rPr>
                <w:t>96</w:t>
              </w:r>
            </w:hyperlink>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06" w:lineRule="exact"/>
        <w:rPr>
          <w:sz w:val="20"/>
          <w:szCs w:val="20"/>
          <w:color w:val="auto"/>
        </w:rPr>
      </w:pPr>
    </w:p>
    <w:p>
      <w:pPr>
        <w:ind w:left="620" w:hanging="615"/>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Exhibits.</w:t>
      </w:r>
    </w:p>
    <w:p>
      <w:pPr>
        <w:spacing w:after="0" w:line="170"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6980" w:type="dxa"/>
            <w:vAlign w:val="bottom"/>
            <w:gridSpan w:val="2"/>
          </w:tcPr>
          <w:p>
            <w:pPr>
              <w:ind w:left="2460"/>
              <w:spacing w:after="0"/>
              <w:rPr>
                <w:sz w:val="20"/>
                <w:szCs w:val="20"/>
                <w:color w:val="auto"/>
              </w:rPr>
            </w:pPr>
            <w:r>
              <w:rPr>
                <w:rFonts w:ascii="Arial" w:cs="Arial" w:eastAsia="Arial" w:hAnsi="Arial"/>
                <w:sz w:val="17"/>
                <w:szCs w:val="17"/>
                <w:color w:val="auto"/>
              </w:rPr>
              <w:t>AVIAT NETWORKS, INC.</w:t>
            </w:r>
          </w:p>
        </w:tc>
      </w:tr>
      <w:tr>
        <w:trPr>
          <w:trHeight w:val="221"/>
        </w:trPr>
        <w:tc>
          <w:tcPr>
            <w:tcW w:w="4240" w:type="dxa"/>
            <w:vAlign w:val="bottom"/>
          </w:tcPr>
          <w:p>
            <w:pPr>
              <w:spacing w:after="0"/>
              <w:rPr>
                <w:sz w:val="19"/>
                <w:szCs w:val="19"/>
                <w:color w:val="auto"/>
              </w:rPr>
            </w:pPr>
          </w:p>
        </w:tc>
        <w:tc>
          <w:tcPr>
            <w:tcW w:w="6980" w:type="dxa"/>
            <w:vAlign w:val="bottom"/>
            <w:gridSpan w:val="2"/>
          </w:tcPr>
          <w:p>
            <w:pPr>
              <w:ind w:left="2460"/>
              <w:spacing w:after="0"/>
              <w:rPr>
                <w:sz w:val="20"/>
                <w:szCs w:val="20"/>
                <w:color w:val="auto"/>
              </w:rPr>
            </w:pPr>
            <w:r>
              <w:rPr>
                <w:rFonts w:ascii="Arial" w:cs="Arial" w:eastAsia="Arial" w:hAnsi="Arial"/>
                <w:sz w:val="17"/>
                <w:szCs w:val="17"/>
                <w:color w:val="auto"/>
              </w:rPr>
              <w:t>(Registrant)</w:t>
            </w:r>
          </w:p>
        </w:tc>
      </w:tr>
      <w:tr>
        <w:trPr>
          <w:trHeight w:val="484"/>
        </w:trPr>
        <w:tc>
          <w:tcPr>
            <w:tcW w:w="4240" w:type="dxa"/>
            <w:vAlign w:val="bottom"/>
          </w:tcPr>
          <w:p>
            <w:pPr>
              <w:spacing w:after="0"/>
              <w:rPr>
                <w:sz w:val="20"/>
                <w:szCs w:val="20"/>
                <w:color w:val="auto"/>
              </w:rPr>
            </w:pPr>
            <w:r>
              <w:rPr>
                <w:rFonts w:ascii="Arial" w:cs="Arial" w:eastAsia="Arial" w:hAnsi="Arial"/>
                <w:sz w:val="17"/>
                <w:szCs w:val="17"/>
                <w:color w:val="auto"/>
              </w:rPr>
              <w:t>Date:   August 25, 2021</w:t>
            </w:r>
          </w:p>
        </w:tc>
        <w:tc>
          <w:tcPr>
            <w:tcW w:w="3040" w:type="dxa"/>
            <w:vAlign w:val="bottom"/>
          </w:tcPr>
          <w:p>
            <w:pPr>
              <w:ind w:left="2460"/>
              <w:spacing w:after="0"/>
              <w:rPr>
                <w:sz w:val="20"/>
                <w:szCs w:val="20"/>
                <w:color w:val="auto"/>
              </w:rPr>
            </w:pPr>
            <w:r>
              <w:rPr>
                <w:rFonts w:ascii="Arial" w:cs="Arial" w:eastAsia="Arial" w:hAnsi="Arial"/>
                <w:sz w:val="17"/>
                <w:szCs w:val="17"/>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Eric Chang</w:t>
            </w:r>
          </w:p>
        </w:tc>
      </w:tr>
      <w:tr>
        <w:trPr>
          <w:trHeight w:val="215"/>
        </w:trPr>
        <w:tc>
          <w:tcPr>
            <w:tcW w:w="4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Eric Chang</w:t>
            </w:r>
          </w:p>
        </w:tc>
      </w:tr>
      <w:tr>
        <w:trPr>
          <w:trHeight w:val="222"/>
        </w:trPr>
        <w:tc>
          <w:tcPr>
            <w:tcW w:w="4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7"/>
                <w:szCs w:val="17"/>
                <w:color w:val="auto"/>
              </w:rPr>
              <w:t>Senior 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3"/>
              </w:rPr>
              <w:t>/s/ Peter A. Smith</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4"/>
              </w:rPr>
              <w:t>President and Chief Executive Officer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52"/>
        </w:trPr>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180" w:type="dxa"/>
            <w:vAlign w:val="bottom"/>
            <w:gridSpan w:val="3"/>
            <w:vMerge w:val="restart"/>
          </w:tcPr>
          <w:p>
            <w:pPr>
              <w:jc w:val="center"/>
              <w:ind w:right="140"/>
              <w:spacing w:after="0"/>
              <w:rPr>
                <w:sz w:val="20"/>
                <w:szCs w:val="20"/>
                <w:color w:val="auto"/>
              </w:rPr>
            </w:pPr>
            <w:r>
              <w:rPr>
                <w:rFonts w:ascii="Arial" w:cs="Arial" w:eastAsia="Arial" w:hAnsi="Arial"/>
                <w:sz w:val="17"/>
                <w:szCs w:val="17"/>
                <w:color w:val="auto"/>
                <w:w w:val="97"/>
              </w:rPr>
              <w:t>(Principal Executive Officer)</w:t>
            </w: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80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Peter A. Smith</w:t>
            </w:r>
          </w:p>
        </w:tc>
        <w:tc>
          <w:tcPr>
            <w:tcW w:w="518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3800" w:type="dxa"/>
            <w:vAlign w:val="bottom"/>
            <w:gridSpan w:val="4"/>
            <w:vMerge w:val="continue"/>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3800" w:type="dxa"/>
            <w:vAlign w:val="bottom"/>
            <w:gridSpan w:val="4"/>
          </w:tcPr>
          <w:p>
            <w:pPr>
              <w:jc w:val="center"/>
              <w:spacing w:after="0"/>
              <w:rPr>
                <w:sz w:val="20"/>
                <w:szCs w:val="20"/>
                <w:color w:val="auto"/>
              </w:rPr>
            </w:pPr>
            <w:r>
              <w:rPr>
                <w:rFonts w:ascii="Arial" w:cs="Arial" w:eastAsia="Arial" w:hAnsi="Arial"/>
                <w:sz w:val="17"/>
                <w:szCs w:val="17"/>
                <w:color w:val="auto"/>
              </w:rPr>
              <w:t>/s/  Eric Chang</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4"/>
              </w:rPr>
              <w:t>Senior Vice President, Chief Financial Officer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77"/>
        </w:trPr>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5180" w:type="dxa"/>
            <w:vAlign w:val="bottom"/>
            <w:gridSpan w:val="3"/>
            <w:vMerge w:val="restart"/>
          </w:tcPr>
          <w:p>
            <w:pPr>
              <w:jc w:val="center"/>
              <w:ind w:right="120"/>
              <w:spacing w:after="0"/>
              <w:rPr>
                <w:sz w:val="20"/>
                <w:szCs w:val="20"/>
                <w:color w:val="auto"/>
              </w:rPr>
            </w:pPr>
            <w:r>
              <w:rPr>
                <w:rFonts w:ascii="Arial" w:cs="Arial" w:eastAsia="Arial" w:hAnsi="Arial"/>
                <w:sz w:val="17"/>
                <w:szCs w:val="17"/>
                <w:color w:val="auto"/>
                <w:w w:val="96"/>
              </w:rPr>
              <w:t>(Principal Financial Officer and Principal Accounting Officer)</w:t>
            </w: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500" w:type="dxa"/>
            <w:vAlign w:val="bottom"/>
          </w:tcPr>
          <w:p>
            <w:pPr>
              <w:spacing w:after="0"/>
              <w:rPr>
                <w:sz w:val="10"/>
                <w:szCs w:val="10"/>
                <w:color w:val="auto"/>
              </w:rPr>
            </w:pPr>
          </w:p>
        </w:tc>
        <w:tc>
          <w:tcPr>
            <w:tcW w:w="2300" w:type="dxa"/>
            <w:vAlign w:val="bottom"/>
            <w:gridSpan w:val="3"/>
            <w:vMerge w:val="restart"/>
          </w:tcPr>
          <w:p>
            <w:pPr>
              <w:jc w:val="center"/>
              <w:ind w:right="1480"/>
              <w:spacing w:after="0"/>
              <w:rPr>
                <w:sz w:val="20"/>
                <w:szCs w:val="20"/>
                <w:color w:val="auto"/>
              </w:rPr>
            </w:pPr>
            <w:r>
              <w:rPr>
                <w:rFonts w:ascii="Arial" w:cs="Arial" w:eastAsia="Arial" w:hAnsi="Arial"/>
                <w:sz w:val="17"/>
                <w:szCs w:val="17"/>
                <w:color w:val="auto"/>
                <w:w w:val="92"/>
              </w:rPr>
              <w:t>Eric Chang</w:t>
            </w:r>
          </w:p>
        </w:tc>
        <w:tc>
          <w:tcPr>
            <w:tcW w:w="51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4"/>
        </w:trPr>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7"/>
                <w:szCs w:val="17"/>
                <w:color w:val="auto"/>
                <w:w w:val="88"/>
              </w:rPr>
              <w:t>/s/</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right="1280"/>
              <w:spacing w:after="0"/>
              <w:rPr>
                <w:sz w:val="20"/>
                <w:szCs w:val="20"/>
                <w:color w:val="auto"/>
              </w:rPr>
            </w:pPr>
            <w:r>
              <w:rPr>
                <w:rFonts w:ascii="Arial" w:cs="Arial" w:eastAsia="Arial" w:hAnsi="Arial"/>
                <w:sz w:val="17"/>
                <w:szCs w:val="17"/>
                <w:color w:val="auto"/>
                <w:w w:val="93"/>
              </w:rPr>
              <w:t>John Mutch</w:t>
            </w:r>
          </w:p>
        </w:tc>
        <w:tc>
          <w:tcPr>
            <w:tcW w:w="5180" w:type="dxa"/>
            <w:vAlign w:val="bottom"/>
            <w:gridSpan w:val="3"/>
          </w:tcPr>
          <w:p>
            <w:pPr>
              <w:jc w:val="center"/>
              <w:ind w:right="140"/>
              <w:spacing w:after="0"/>
              <w:rPr>
                <w:sz w:val="20"/>
                <w:szCs w:val="20"/>
                <w:color w:val="auto"/>
              </w:rPr>
            </w:pPr>
            <w:r>
              <w:rPr>
                <w:rFonts w:ascii="Arial" w:cs="Arial" w:eastAsia="Arial" w:hAnsi="Arial"/>
                <w:sz w:val="17"/>
                <w:szCs w:val="17"/>
                <w:color w:val="auto"/>
                <w:w w:val="93"/>
              </w:rPr>
              <w:t>Chairman of the Board</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2300" w:type="dxa"/>
            <w:vAlign w:val="bottom"/>
            <w:gridSpan w:val="3"/>
          </w:tcPr>
          <w:p>
            <w:pPr>
              <w:jc w:val="center"/>
              <w:ind w:right="1480"/>
              <w:spacing w:after="0"/>
              <w:rPr>
                <w:sz w:val="20"/>
                <w:szCs w:val="20"/>
                <w:color w:val="auto"/>
              </w:rPr>
            </w:pPr>
            <w:r>
              <w:rPr>
                <w:rFonts w:ascii="Arial" w:cs="Arial" w:eastAsia="Arial" w:hAnsi="Arial"/>
                <w:sz w:val="17"/>
                <w:szCs w:val="17"/>
                <w:color w:val="auto"/>
                <w:w w:val="93"/>
              </w:rPr>
              <w:t>John Mutch</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/s/</w:t>
            </w:r>
          </w:p>
        </w:tc>
        <w:tc>
          <w:tcPr>
            <w:tcW w:w="2300" w:type="dxa"/>
            <w:vAlign w:val="bottom"/>
            <w:tcBorders>
              <w:bottom w:val="single" w:sz="8" w:color="auto"/>
            </w:tcBorders>
            <w:gridSpan w:val="3"/>
          </w:tcPr>
          <w:p>
            <w:pPr>
              <w:jc w:val="center"/>
              <w:ind w:right="1140"/>
              <w:spacing w:after="0"/>
              <w:rPr>
                <w:sz w:val="20"/>
                <w:szCs w:val="20"/>
                <w:color w:val="auto"/>
              </w:rPr>
            </w:pPr>
            <w:r>
              <w:rPr>
                <w:rFonts w:ascii="Arial" w:cs="Arial" w:eastAsia="Arial" w:hAnsi="Arial"/>
                <w:sz w:val="17"/>
                <w:szCs w:val="17"/>
                <w:color w:val="auto"/>
                <w:w w:val="98"/>
              </w:rPr>
              <w:t>Michele Klein</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8"/>
              </w:rPr>
              <w:t>Michele Klein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/s/</w:t>
            </w:r>
          </w:p>
        </w:tc>
        <w:tc>
          <w:tcPr>
            <w:tcW w:w="23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7"/>
                <w:szCs w:val="17"/>
                <w:color w:val="auto"/>
                <w:w w:val="94"/>
              </w:rPr>
              <w:t>Kenneth Kong</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4"/>
              </w:rPr>
              <w:t>Kenneth Kong</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38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6"/>
              </w:rPr>
              <w:t>/s/ Dahlia M. Loeb</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6"/>
              </w:rPr>
              <w:t>Dahlia M. Loeb</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w w:val="99"/>
              </w:rPr>
              <w:t>/s/</w:t>
            </w: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7"/>
                <w:szCs w:val="17"/>
                <w:color w:val="auto"/>
                <w:w w:val="93"/>
              </w:rPr>
              <w:t>John Quicke</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3"/>
              </w:rPr>
              <w:t>John Quicke</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150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/s/</w:t>
            </w:r>
          </w:p>
        </w:tc>
        <w:tc>
          <w:tcPr>
            <w:tcW w:w="230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7"/>
                <w:szCs w:val="17"/>
                <w:color w:val="auto"/>
                <w:w w:val="91"/>
              </w:rPr>
              <w:t>James C. Stoffel</w:t>
            </w:r>
          </w:p>
        </w:tc>
        <w:tc>
          <w:tcPr>
            <w:tcW w:w="5180" w:type="dxa"/>
            <w:vAlign w:val="bottom"/>
            <w:gridSpan w:val="3"/>
          </w:tcPr>
          <w:p>
            <w:pPr>
              <w:jc w:val="center"/>
              <w:ind w:right="120"/>
              <w:spacing w:after="0"/>
              <w:rPr>
                <w:sz w:val="20"/>
                <w:szCs w:val="20"/>
                <w:color w:val="auto"/>
              </w:rPr>
            </w:pPr>
            <w:r>
              <w:rPr>
                <w:rFonts w:ascii="Arial" w:cs="Arial" w:eastAsia="Arial" w:hAnsi="Arial"/>
                <w:sz w:val="17"/>
                <w:szCs w:val="17"/>
                <w:color w:val="auto"/>
                <w:w w:val="97"/>
              </w:rPr>
              <w:t>Director</w:t>
            </w:r>
          </w:p>
        </w:tc>
        <w:tc>
          <w:tcPr>
            <w:tcW w:w="226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August 25, 2021</w:t>
            </w:r>
          </w:p>
        </w:tc>
        <w:tc>
          <w:tcPr>
            <w:tcW w:w="0" w:type="dxa"/>
            <w:vAlign w:val="bottom"/>
          </w:tcPr>
          <w:p>
            <w:pPr>
              <w:spacing w:after="0"/>
              <w:rPr>
                <w:sz w:val="1"/>
                <w:szCs w:val="1"/>
                <w:color w:val="auto"/>
              </w:rPr>
            </w:pPr>
          </w:p>
        </w:tc>
      </w:tr>
      <w:tr>
        <w:trPr>
          <w:trHeight w:val="215"/>
        </w:trPr>
        <w:tc>
          <w:tcPr>
            <w:tcW w:w="3800" w:type="dxa"/>
            <w:vAlign w:val="bottom"/>
            <w:gridSpan w:val="4"/>
          </w:tcPr>
          <w:p>
            <w:pPr>
              <w:jc w:val="center"/>
              <w:spacing w:after="0"/>
              <w:rPr>
                <w:sz w:val="20"/>
                <w:szCs w:val="20"/>
                <w:color w:val="auto"/>
              </w:rPr>
            </w:pPr>
            <w:r>
              <w:rPr>
                <w:rFonts w:ascii="Arial" w:cs="Arial" w:eastAsia="Arial" w:hAnsi="Arial"/>
                <w:sz w:val="17"/>
                <w:szCs w:val="17"/>
                <w:color w:val="auto"/>
                <w:w w:val="91"/>
              </w:rPr>
              <w:t>James C. Stoffel</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4"/>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80" w:type="dxa"/>
            <w:vAlign w:val="bottom"/>
          </w:tcPr>
          <w:p>
            <w:pPr>
              <w:jc w:val="right"/>
              <w:ind w:right="373"/>
              <w:spacing w:after="0"/>
              <w:rPr>
                <w:sz w:val="20"/>
                <w:szCs w:val="20"/>
                <w:color w:val="auto"/>
              </w:rPr>
            </w:pPr>
            <w:r>
              <w:rPr>
                <w:rFonts w:ascii="Arial" w:cs="Arial" w:eastAsia="Arial" w:hAnsi="Arial"/>
                <w:sz w:val="17"/>
                <w:szCs w:val="17"/>
                <w:color w:val="auto"/>
              </w:rPr>
              <w:t>95</w:t>
            </w: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July 2, 2021, July 3, 2020 and June 28, 2019</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Charged to</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4"/>
              </w:rPr>
              <w:t>(Credit from)</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1"/>
                <w:szCs w:val="11"/>
                <w:color w:val="auto"/>
              </w:rPr>
            </w:pPr>
          </w:p>
        </w:tc>
        <w:tc>
          <w:tcPr>
            <w:tcW w:w="144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88"/>
              </w:rPr>
              <w:t>Beginning of</w:t>
            </w:r>
          </w:p>
        </w:tc>
        <w:tc>
          <w:tcPr>
            <w:tcW w:w="200" w:type="dxa"/>
            <w:vAlign w:val="bottom"/>
          </w:tcPr>
          <w:p>
            <w:pPr>
              <w:spacing w:after="0"/>
              <w:rPr>
                <w:sz w:val="11"/>
                <w:szCs w:val="11"/>
                <w:color w:val="auto"/>
              </w:rPr>
            </w:pPr>
          </w:p>
        </w:tc>
        <w:tc>
          <w:tcPr>
            <w:tcW w:w="14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85"/>
              </w:rPr>
              <w:t>Costs and</w:t>
            </w:r>
          </w:p>
        </w:tc>
        <w:tc>
          <w:tcPr>
            <w:tcW w:w="240" w:type="dxa"/>
            <w:vAlign w:val="bottom"/>
          </w:tcPr>
          <w:p>
            <w:pPr>
              <w:spacing w:after="0"/>
              <w:rPr>
                <w:sz w:val="11"/>
                <w:szCs w:val="11"/>
                <w:color w:val="auto"/>
              </w:rPr>
            </w:pPr>
          </w:p>
        </w:tc>
        <w:tc>
          <w:tcPr>
            <w:tcW w:w="12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ind w:right="202"/>
              <w:spacing w:after="0" w:line="131"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Expenses</w:t>
            </w: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82"/>
              <w:spacing w:after="0"/>
              <w:rPr>
                <w:sz w:val="20"/>
                <w:szCs w:val="20"/>
                <w:color w:val="auto"/>
              </w:rPr>
            </w:pPr>
            <w:r>
              <w:rPr>
                <w:rFonts w:ascii="Arial" w:cs="Arial" w:eastAsia="Arial" w:hAnsi="Arial"/>
                <w:sz w:val="14"/>
                <w:szCs w:val="14"/>
                <w:b w:val="1"/>
                <w:bCs w:val="1"/>
                <w:color w:val="auto"/>
                <w:w w:val="88"/>
              </w:rPr>
              <w:t>of Period</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Allowances for collection losses:</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Year ended July 2, 2021</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1,841</w:t>
            </w:r>
          </w:p>
        </w:tc>
        <w:tc>
          <w:tcPr>
            <w:tcW w:w="2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
              <w:spacing w:after="0"/>
              <w:rPr>
                <w:sz w:val="20"/>
                <w:szCs w:val="20"/>
                <w:color w:val="auto"/>
              </w:rPr>
            </w:pPr>
            <w:r>
              <w:rPr>
                <w:rFonts w:ascii="Arial" w:cs="Arial" w:eastAsia="Arial" w:hAnsi="Arial"/>
                <w:sz w:val="17"/>
                <w:szCs w:val="17"/>
                <w:color w:val="auto"/>
              </w:rPr>
              <w:t>300</w:t>
            </w:r>
          </w:p>
        </w:tc>
        <w:tc>
          <w:tcPr>
            <w:tcW w:w="2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July 3, 2020</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248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88"/>
              </w:rPr>
              <w:t>(1)</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w:t>
            </w:r>
          </w:p>
        </w:tc>
        <w:tc>
          <w:tcPr>
            <w:tcW w:w="0" w:type="dxa"/>
            <w:vAlign w:val="bottom"/>
          </w:tcPr>
          <w:p>
            <w:pPr>
              <w:spacing w:after="0"/>
              <w:rPr>
                <w:sz w:val="1"/>
                <w:szCs w:val="1"/>
                <w:color w:val="auto"/>
              </w:rPr>
            </w:pPr>
          </w:p>
        </w:tc>
      </w:tr>
      <w:tr>
        <w:trPr>
          <w:trHeight w:val="222"/>
        </w:trPr>
        <w:tc>
          <w:tcPr>
            <w:tcW w:w="4700" w:type="dxa"/>
            <w:vAlign w:val="bottom"/>
          </w:tcPr>
          <w:p>
            <w:pPr>
              <w:ind w:left="20"/>
              <w:spacing w:after="0"/>
              <w:rPr>
                <w:sz w:val="20"/>
                <w:szCs w:val="20"/>
                <w:color w:val="auto"/>
              </w:rPr>
            </w:pPr>
            <w:r>
              <w:rPr>
                <w:rFonts w:ascii="Arial" w:cs="Arial" w:eastAsia="Arial" w:hAnsi="Arial"/>
                <w:sz w:val="17"/>
                <w:szCs w:val="17"/>
                <w:color w:val="auto"/>
              </w:rPr>
              <w:t>Year ended June 28, 2019</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1,588</w:t>
            </w:r>
          </w:p>
        </w:tc>
        <w:tc>
          <w:tcPr>
            <w:tcW w:w="2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
              <w:spacing w:after="0"/>
              <w:rPr>
                <w:sz w:val="20"/>
                <w:szCs w:val="20"/>
                <w:color w:val="auto"/>
              </w:rPr>
            </w:pPr>
            <w:r>
              <w:rPr>
                <w:rFonts w:ascii="Arial" w:cs="Arial" w:eastAsia="Arial" w:hAnsi="Arial"/>
                <w:sz w:val="17"/>
                <w:szCs w:val="17"/>
                <w:color w:val="auto"/>
              </w:rPr>
              <w:t>120</w:t>
            </w:r>
          </w:p>
        </w:tc>
        <w:tc>
          <w:tcPr>
            <w:tcW w:w="2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106</w:t>
            </w:r>
          </w:p>
        </w:tc>
        <w:tc>
          <w:tcPr>
            <w:tcW w:w="360" w:type="dxa"/>
            <w:vAlign w:val="bottom"/>
          </w:tcPr>
          <w:p>
            <w:pPr>
              <w:jc w:val="right"/>
              <w:ind w:right="163"/>
              <w:spacing w:after="0"/>
              <w:rPr>
                <w:sz w:val="20"/>
                <w:szCs w:val="20"/>
                <w:color w:val="auto"/>
              </w:rPr>
            </w:pPr>
            <w:r>
              <w:rPr>
                <w:rFonts w:ascii="Arial" w:cs="Arial" w:eastAsia="Arial" w:hAnsi="Arial"/>
                <w:sz w:val="11"/>
                <w:szCs w:val="11"/>
                <w:color w:val="auto"/>
                <w:w w:val="88"/>
              </w:rPr>
              <w:t>(2)</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1,602</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____________________________</w:t>
      </w:r>
    </w:p>
    <w:p>
      <w:pPr>
        <w:spacing w:after="0" w:line="170" w:lineRule="exact"/>
        <w:rPr>
          <w:sz w:val="20"/>
          <w:szCs w:val="20"/>
          <w:color w:val="auto"/>
        </w:rPr>
      </w:pPr>
    </w:p>
    <w:p>
      <w:pPr>
        <w:ind w:left="480" w:hanging="397"/>
        <w:spacing w:after="0" w:line="288" w:lineRule="auto"/>
        <w:tabs>
          <w:tab w:leader="none" w:pos="3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 Consisted of changes to allowance for collection losses of $0 for foreign currency translation gain and $9 thousand for uncollectible accounts charged off, net of recoveries on accounts previously charged off.</w:t>
      </w:r>
    </w:p>
    <w:p>
      <w:pPr>
        <w:spacing w:after="0" w:line="105" w:lineRule="exact"/>
        <w:rPr>
          <w:rFonts w:ascii="Arial" w:cs="Arial" w:eastAsia="Arial" w:hAnsi="Arial"/>
          <w:sz w:val="17"/>
          <w:szCs w:val="17"/>
          <w:color w:val="auto"/>
        </w:rPr>
      </w:pPr>
    </w:p>
    <w:p>
      <w:pPr>
        <w:ind w:left="480" w:hanging="397"/>
        <w:spacing w:after="0" w:line="288" w:lineRule="auto"/>
        <w:tabs>
          <w:tab w:leader="none" w:pos="34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Consisted of changes to allowance for collection losses of $0 for foreign currency translation gain and $107 thousand for uncollectible accounts charged off, net of recoveries on accounts previously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20" w:type="dxa"/>
            <w:vAlign w:val="bottom"/>
            <w:gridSpan w:val="3"/>
          </w:tcPr>
          <w:p>
            <w:pPr>
              <w:ind w:left="3340"/>
              <w:spacing w:after="0"/>
              <w:rPr>
                <w:sz w:val="20"/>
                <w:szCs w:val="20"/>
                <w:color w:val="auto"/>
              </w:rPr>
            </w:pPr>
            <w:r>
              <w:rPr>
                <w:rFonts w:ascii="Arial" w:cs="Arial" w:eastAsia="Arial" w:hAnsi="Arial"/>
                <w:sz w:val="17"/>
                <w:szCs w:val="17"/>
                <w:b w:val="1"/>
                <w:bCs w:val="1"/>
                <w:color w:val="auto"/>
              </w:rPr>
              <w:t>EXHIBIT INDEX</w:t>
            </w:r>
          </w:p>
        </w:tc>
      </w:tr>
      <w:tr>
        <w:trPr>
          <w:trHeight w:val="36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780" w:type="dxa"/>
            <w:vAlign w:val="bottom"/>
            <w:gridSpan w:val="4"/>
          </w:tcPr>
          <w:p>
            <w:pPr>
              <w:ind w:left="20"/>
              <w:spacing w:after="0"/>
              <w:rPr>
                <w:sz w:val="20"/>
                <w:szCs w:val="20"/>
                <w:color w:val="auto"/>
              </w:rPr>
            </w:pPr>
            <w:r>
              <w:rPr>
                <w:rFonts w:ascii="Arial" w:cs="Arial" w:eastAsia="Arial" w:hAnsi="Arial"/>
                <w:sz w:val="17"/>
                <w:szCs w:val="17"/>
                <w:color w:val="auto"/>
              </w:rPr>
              <w:t>The following exhibits are filed or furnished herewith or are incorporated herein by reference to exhibits previously filed with the SEC:</w:t>
            </w:r>
          </w:p>
        </w:tc>
      </w:tr>
      <w:tr>
        <w:trPr>
          <w:trHeight w:val="301"/>
        </w:trPr>
        <w:tc>
          <w:tcPr>
            <w:tcW w:w="20" w:type="dxa"/>
            <w:vAlign w:val="bottom"/>
          </w:tcPr>
          <w:p>
            <w:pPr>
              <w:spacing w:after="0"/>
              <w:rPr>
                <w:sz w:val="24"/>
                <w:szCs w:val="24"/>
                <w:color w:val="auto"/>
              </w:rPr>
            </w:pPr>
          </w:p>
        </w:tc>
        <w:tc>
          <w:tcPr>
            <w:tcW w:w="440" w:type="dxa"/>
            <w:vAlign w:val="bottom"/>
            <w:gridSpan w:val="5"/>
          </w:tcPr>
          <w:p>
            <w:pPr>
              <w:spacing w:after="0"/>
              <w:rPr>
                <w:sz w:val="20"/>
                <w:szCs w:val="20"/>
                <w:color w:val="auto"/>
              </w:rPr>
            </w:pPr>
            <w:r>
              <w:rPr>
                <w:rFonts w:ascii="Arial" w:cs="Arial" w:eastAsia="Arial" w:hAnsi="Arial"/>
                <w:sz w:val="17"/>
                <w:szCs w:val="17"/>
                <w:b w:val="1"/>
                <w:bCs w:val="1"/>
                <w:color w:val="auto"/>
              </w:rPr>
              <w:t>Ex. #</w:t>
            </w:r>
          </w:p>
        </w:tc>
        <w:tc>
          <w:tcPr>
            <w:tcW w:w="1160" w:type="dxa"/>
            <w:vAlign w:val="bottom"/>
          </w:tcPr>
          <w:p>
            <w:pPr>
              <w:spacing w:after="0"/>
              <w:rPr>
                <w:sz w:val="24"/>
                <w:szCs w:val="24"/>
                <w:color w:val="auto"/>
              </w:rPr>
            </w:pPr>
          </w:p>
        </w:tc>
        <w:tc>
          <w:tcPr>
            <w:tcW w:w="9620" w:type="dxa"/>
            <w:vAlign w:val="bottom"/>
            <w:gridSpan w:val="3"/>
          </w:tcPr>
          <w:p>
            <w:pPr>
              <w:ind w:left="4380"/>
              <w:spacing w:after="0"/>
              <w:rPr>
                <w:sz w:val="20"/>
                <w:szCs w:val="20"/>
                <w:color w:val="auto"/>
              </w:rPr>
            </w:pPr>
            <w:r>
              <w:rPr>
                <w:rFonts w:ascii="Arial" w:cs="Arial" w:eastAsia="Arial" w:hAnsi="Arial"/>
                <w:sz w:val="17"/>
                <w:szCs w:val="17"/>
                <w:b w:val="1"/>
                <w:bCs w:val="1"/>
                <w:color w:val="auto"/>
              </w:rPr>
              <w:t>Description</w:t>
            </w:r>
          </w:p>
        </w:tc>
      </w:tr>
      <w:tr>
        <w:trPr>
          <w:trHeight w:val="176"/>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0" w:type="dxa"/>
            <w:vAlign w:val="bottom"/>
            <w:gridSpan w:val="3"/>
            <w:shd w:val="clear" w:color="auto" w:fill="CCEEFF"/>
          </w:tcPr>
          <w:p>
            <w:pPr>
              <w:ind w:left="20"/>
              <w:spacing w:after="0" w:line="183" w:lineRule="exact"/>
              <w:rPr>
                <w:rFonts w:ascii="Arial" w:cs="Arial" w:eastAsia="Arial" w:hAnsi="Arial"/>
                <w:sz w:val="17"/>
                <w:szCs w:val="17"/>
                <w:color w:val="0000FF"/>
              </w:rPr>
            </w:pPr>
            <w:hyperlink r:id="rId129">
              <w:r>
                <w:rPr>
                  <w:rFonts w:ascii="Arial" w:cs="Arial" w:eastAsia="Arial" w:hAnsi="Arial"/>
                  <w:sz w:val="17"/>
                  <w:szCs w:val="17"/>
                  <w:color w:val="0000FF"/>
                </w:rPr>
                <w:t>3.</w:t>
              </w:r>
              <w:r>
                <w:rPr>
                  <w:rFonts w:ascii="Arial" w:cs="Arial" w:eastAsia="Arial" w:hAnsi="Arial"/>
                  <w:sz w:val="17"/>
                  <w:szCs w:val="17"/>
                  <w:u w:val="single" w:color="auto"/>
                  <w:color w:val="0000FF"/>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w w:val="94"/>
              </w:rPr>
            </w:pPr>
            <w:hyperlink r:id="rId129">
              <w:r>
                <w:rPr>
                  <w:rFonts w:ascii="Arial" w:cs="Arial" w:eastAsia="Arial" w:hAnsi="Arial"/>
                  <w:sz w:val="17"/>
                  <w:szCs w:val="17"/>
                  <w:color w:val="0000FF"/>
                  <w:w w:val="94"/>
                </w:rPr>
                <w:t>Amended and Restated Certificate of Incorporation of Aviat Networks, Inc., as amended (incorporated by reference to Exhibit 3.1 to the</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9620" w:type="dxa"/>
            <w:vAlign w:val="bottom"/>
            <w:tcBorders>
              <w:top w:val="single" w:sz="8" w:color="CCEEFF"/>
            </w:tcBorders>
            <w:gridSpan w:val="3"/>
            <w:shd w:val="clear" w:color="auto" w:fill="CCEEFF"/>
          </w:tcPr>
          <w:p>
            <w:pPr>
              <w:spacing w:after="0" w:line="189" w:lineRule="exact"/>
              <w:rPr>
                <w:rFonts w:ascii="Arial" w:cs="Arial" w:eastAsia="Arial" w:hAnsi="Arial"/>
                <w:sz w:val="17"/>
                <w:szCs w:val="17"/>
                <w:color w:val="0000FF"/>
              </w:rPr>
            </w:pPr>
            <w:hyperlink r:id="rId129">
              <w:r>
                <w:rPr>
                  <w:rFonts w:ascii="Arial" w:cs="Arial" w:eastAsia="Arial" w:hAnsi="Arial"/>
                  <w:sz w:val="17"/>
                  <w:szCs w:val="17"/>
                  <w:color w:val="0000FF"/>
                </w:rPr>
                <w:t>Quarterly Report on Form 10-Q filed with the SEC on February 10, 2017, File No. 001-33278)</w:t>
              </w:r>
            </w:hyperlink>
          </w:p>
        </w:tc>
      </w:tr>
      <w:tr>
        <w:trPr>
          <w:trHeight w:val="183"/>
        </w:trPr>
        <w:tc>
          <w:tcPr>
            <w:tcW w:w="320" w:type="dxa"/>
            <w:vAlign w:val="bottom"/>
            <w:gridSpan w:val="3"/>
          </w:tcPr>
          <w:p>
            <w:pPr>
              <w:ind w:left="20"/>
              <w:spacing w:after="0" w:line="183" w:lineRule="exact"/>
              <w:rPr>
                <w:rFonts w:ascii="Arial" w:cs="Arial" w:eastAsia="Arial" w:hAnsi="Arial"/>
                <w:sz w:val="17"/>
                <w:szCs w:val="17"/>
                <w:color w:val="0000FF"/>
              </w:rPr>
            </w:pPr>
            <w:hyperlink r:id="rId130">
              <w:r>
                <w:rPr>
                  <w:rFonts w:ascii="Arial" w:cs="Arial" w:eastAsia="Arial" w:hAnsi="Arial"/>
                  <w:sz w:val="17"/>
                  <w:szCs w:val="17"/>
                  <w:color w:val="0000FF"/>
                </w:rPr>
                <w:t>3.</w:t>
              </w:r>
              <w:r>
                <w:rPr>
                  <w:rFonts w:ascii="Arial" w:cs="Arial" w:eastAsia="Arial" w:hAnsi="Arial"/>
                  <w:sz w:val="17"/>
                  <w:szCs w:val="17"/>
                  <w:u w:val="single" w:color="auto"/>
                  <w:color w:val="0000FF"/>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3"/>
          </w:tcPr>
          <w:p>
            <w:pPr>
              <w:spacing w:after="0" w:line="183" w:lineRule="exact"/>
              <w:rPr>
                <w:rFonts w:ascii="Arial" w:cs="Arial" w:eastAsia="Arial" w:hAnsi="Arial"/>
                <w:sz w:val="17"/>
                <w:szCs w:val="17"/>
                <w:color w:val="0000FF"/>
                <w:w w:val="94"/>
              </w:rPr>
            </w:pPr>
            <w:hyperlink r:id="rId130">
              <w:r>
                <w:rPr>
                  <w:rFonts w:ascii="Arial" w:cs="Arial" w:eastAsia="Arial" w:hAnsi="Arial"/>
                  <w:sz w:val="17"/>
                  <w:szCs w:val="17"/>
                  <w:color w:val="0000FF"/>
                  <w:w w:val="94"/>
                </w:rPr>
                <w:t>Amended and Restated Bylaws of Aviat Networks, Inc. (incorporated by reference to Exhibit 3.1 to the Current Report on Form 8-K filed</w:t>
              </w:r>
            </w:hyperlink>
          </w:p>
        </w:tc>
      </w:tr>
      <w:tr>
        <w:trPr>
          <w:trHeight w:val="189"/>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20" w:type="dxa"/>
            <w:vAlign w:val="bottom"/>
            <w:gridSpan w:val="3"/>
          </w:tcPr>
          <w:p>
            <w:pPr>
              <w:spacing w:after="0" w:line="189" w:lineRule="exact"/>
              <w:rPr>
                <w:rFonts w:ascii="Arial" w:cs="Arial" w:eastAsia="Arial" w:hAnsi="Arial"/>
                <w:sz w:val="17"/>
                <w:szCs w:val="17"/>
                <w:color w:val="0000FF"/>
              </w:rPr>
            </w:pPr>
            <w:hyperlink r:id="rId130">
              <w:r>
                <w:rPr>
                  <w:rFonts w:ascii="Arial" w:cs="Arial" w:eastAsia="Arial" w:hAnsi="Arial"/>
                  <w:sz w:val="17"/>
                  <w:szCs w:val="17"/>
                  <w:color w:val="0000FF"/>
                </w:rPr>
                <w:t>with the SEC on September 24, 2020, File No. 001-33278)</w:t>
              </w:r>
            </w:hyperlink>
          </w:p>
        </w:tc>
      </w:tr>
      <w:tr>
        <w:trPr>
          <w:trHeight w:val="183"/>
        </w:trPr>
        <w:tc>
          <w:tcPr>
            <w:tcW w:w="320" w:type="dxa"/>
            <w:vAlign w:val="bottom"/>
            <w:gridSpan w:val="3"/>
            <w:shd w:val="clear" w:color="auto" w:fill="CCEEFF"/>
          </w:tcPr>
          <w:p>
            <w:pPr>
              <w:ind w:left="20"/>
              <w:spacing w:after="0" w:line="183" w:lineRule="exact"/>
              <w:rPr>
                <w:rFonts w:ascii="Arial" w:cs="Arial" w:eastAsia="Arial" w:hAnsi="Arial"/>
                <w:sz w:val="17"/>
                <w:szCs w:val="17"/>
                <w:color w:val="0000FF"/>
              </w:rPr>
            </w:pPr>
            <w:hyperlink r:id="rId131">
              <w:r>
                <w:rPr>
                  <w:rFonts w:ascii="Arial" w:cs="Arial" w:eastAsia="Arial" w:hAnsi="Arial"/>
                  <w:sz w:val="17"/>
                  <w:szCs w:val="17"/>
                  <w:color w:val="0000FF"/>
                </w:rPr>
                <w:t>4.</w:t>
              </w:r>
              <w:r>
                <w:rPr>
                  <w:rFonts w:ascii="Arial" w:cs="Arial" w:eastAsia="Arial" w:hAnsi="Arial"/>
                  <w:sz w:val="17"/>
                  <w:szCs w:val="17"/>
                  <w:u w:val="single" w:color="auto"/>
                  <w:color w:val="0000FF"/>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w w:val="95"/>
              </w:rPr>
            </w:pPr>
            <w:hyperlink r:id="rId131">
              <w:r>
                <w:rPr>
                  <w:rFonts w:ascii="Arial" w:cs="Arial" w:eastAsia="Arial" w:hAnsi="Arial"/>
                  <w:sz w:val="17"/>
                  <w:szCs w:val="17"/>
                  <w:color w:val="0000FF"/>
                  <w:w w:val="95"/>
                </w:rPr>
                <w:t>Certificate of Designation of Rights, Preferences and Privileges of Series A Participating Preferred Stock (incorporated by reference to</w:t>
              </w:r>
            </w:hyperlink>
          </w:p>
        </w:tc>
      </w:tr>
      <w:tr>
        <w:trPr>
          <w:trHeight w:val="201"/>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CCEEFF"/>
            </w:tcBorders>
            <w:gridSpan w:val="3"/>
            <w:shd w:val="clear" w:color="auto" w:fill="CCEEFF"/>
          </w:tcPr>
          <w:p>
            <w:pPr>
              <w:spacing w:after="0"/>
              <w:rPr>
                <w:rFonts w:ascii="Arial" w:cs="Arial" w:eastAsia="Arial" w:hAnsi="Arial"/>
                <w:sz w:val="17"/>
                <w:szCs w:val="17"/>
                <w:color w:val="0000FF"/>
              </w:rPr>
            </w:pPr>
            <w:hyperlink r:id="rId131">
              <w:r>
                <w:rPr>
                  <w:rFonts w:ascii="Arial" w:cs="Arial" w:eastAsia="Arial" w:hAnsi="Arial"/>
                  <w:sz w:val="17"/>
                  <w:szCs w:val="17"/>
                  <w:color w:val="0000FF"/>
                </w:rPr>
                <w:t>Exhibit 3.2 to the Current Report on Form 8-K filed with the SEC on September 7, 2016. File No. 001-33278)</w:t>
              </w:r>
            </w:hyperlink>
          </w:p>
        </w:tc>
      </w:tr>
      <w:tr>
        <w:trPr>
          <w:trHeight w:val="223"/>
        </w:trPr>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3"/>
        </w:trPr>
        <w:tc>
          <w:tcPr>
            <w:tcW w:w="320" w:type="dxa"/>
            <w:vAlign w:val="bottom"/>
            <w:gridSpan w:val="3"/>
          </w:tcPr>
          <w:p>
            <w:pPr>
              <w:ind w:left="20"/>
              <w:spacing w:after="0" w:line="183" w:lineRule="exact"/>
              <w:rPr>
                <w:rFonts w:ascii="Arial" w:cs="Arial" w:eastAsia="Arial" w:hAnsi="Arial"/>
                <w:sz w:val="17"/>
                <w:szCs w:val="17"/>
                <w:color w:val="0000FF"/>
              </w:rPr>
            </w:pPr>
            <w:hyperlink r:id="rId132">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3"/>
          </w:tcPr>
          <w:p>
            <w:pPr>
              <w:spacing w:after="0" w:line="183" w:lineRule="exact"/>
              <w:rPr>
                <w:rFonts w:ascii="Arial" w:cs="Arial" w:eastAsia="Arial" w:hAnsi="Arial"/>
                <w:sz w:val="17"/>
                <w:szCs w:val="17"/>
                <w:color w:val="0000FF"/>
                <w:w w:val="93"/>
              </w:rPr>
            </w:pPr>
            <w:hyperlink r:id="rId132">
              <w:r>
                <w:rPr>
                  <w:rFonts w:ascii="Arial" w:cs="Arial" w:eastAsia="Arial" w:hAnsi="Arial"/>
                  <w:sz w:val="17"/>
                  <w:szCs w:val="17"/>
                  <w:color w:val="0000FF"/>
                  <w:w w:val="93"/>
                </w:rPr>
                <w:t>Specimen common stock certificate, adopted as of January 29, 2010 (incorporated by reference to Exhibit 4.1.1 to the Annual Report on</w:t>
              </w:r>
            </w:hyperlink>
          </w:p>
        </w:tc>
      </w:tr>
      <w:tr>
        <w:trPr>
          <w:trHeight w:val="189"/>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20" w:type="dxa"/>
            <w:vAlign w:val="bottom"/>
            <w:gridSpan w:val="3"/>
          </w:tcPr>
          <w:p>
            <w:pPr>
              <w:spacing w:after="0" w:line="189" w:lineRule="exact"/>
              <w:rPr>
                <w:rFonts w:ascii="Arial" w:cs="Arial" w:eastAsia="Arial" w:hAnsi="Arial"/>
                <w:sz w:val="17"/>
                <w:szCs w:val="17"/>
                <w:color w:val="0000FF"/>
              </w:rPr>
            </w:pPr>
            <w:hyperlink r:id="rId132">
              <w:r>
                <w:rPr>
                  <w:rFonts w:ascii="Arial" w:cs="Arial" w:eastAsia="Arial" w:hAnsi="Arial"/>
                  <w:sz w:val="17"/>
                  <w:szCs w:val="17"/>
                  <w:color w:val="0000FF"/>
                </w:rPr>
                <w:t>Form 10-K for fiscal year end July 2, 2010 filed with the SEC on September 9, 2010, File No. 001-33278)</w:t>
              </w:r>
            </w:hyperlink>
          </w:p>
        </w:tc>
      </w:tr>
      <w:tr>
        <w:trPr>
          <w:trHeight w:val="183"/>
        </w:trPr>
        <w:tc>
          <w:tcPr>
            <w:tcW w:w="320" w:type="dxa"/>
            <w:vAlign w:val="bottom"/>
            <w:gridSpan w:val="3"/>
            <w:shd w:val="clear" w:color="auto" w:fill="CCEEFF"/>
          </w:tcPr>
          <w:p>
            <w:pPr>
              <w:ind w:left="20"/>
              <w:spacing w:after="0" w:line="163" w:lineRule="exact"/>
              <w:rPr>
                <w:rFonts w:ascii="Arial" w:cs="Arial" w:eastAsia="Arial" w:hAnsi="Arial"/>
                <w:sz w:val="17"/>
                <w:szCs w:val="17"/>
                <w:color w:val="0000FF"/>
              </w:rPr>
            </w:pPr>
            <w:hyperlink r:id="rId133">
              <w:r>
                <w:rPr>
                  <w:rFonts w:ascii="Arial" w:cs="Arial" w:eastAsia="Arial" w:hAnsi="Arial"/>
                  <w:sz w:val="17"/>
                  <w:szCs w:val="17"/>
                  <w:color w:val="0000FF"/>
                </w:rPr>
                <w:t>4.</w:t>
              </w:r>
              <w:r>
                <w:rPr>
                  <w:rFonts w:ascii="Arial" w:cs="Arial" w:eastAsia="Arial" w:hAnsi="Arial"/>
                  <w:sz w:val="17"/>
                  <w:szCs w:val="17"/>
                  <w:u w:val="single" w:color="auto"/>
                  <w:color w:val="0000FF"/>
                </w:rPr>
                <w:t>3</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63" w:lineRule="exact"/>
              <w:rPr>
                <w:rFonts w:ascii="Arial" w:cs="Arial" w:eastAsia="Arial" w:hAnsi="Arial"/>
                <w:sz w:val="17"/>
                <w:szCs w:val="17"/>
                <w:color w:val="0000FF"/>
              </w:rPr>
            </w:pPr>
            <w:hyperlink r:id="rId133">
              <w:r>
                <w:rPr>
                  <w:rFonts w:ascii="Arial" w:cs="Arial" w:eastAsia="Arial" w:hAnsi="Arial"/>
                  <w:sz w:val="17"/>
                  <w:szCs w:val="17"/>
                  <w:color w:val="0000FF"/>
                </w:rPr>
                <w:t>Amended and Restated Tax Benefit Preservation Plan, dated as of August 27, 2020, by and between Aviat Networks, Inc. and</w:t>
              </w:r>
            </w:hyperlink>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CCEEFF"/>
            </w:tcBorders>
            <w:gridSpan w:val="3"/>
            <w:shd w:val="clear" w:color="auto" w:fill="CCEEFF"/>
          </w:tcPr>
          <w:p>
            <w:pPr>
              <w:spacing w:after="0"/>
              <w:rPr>
                <w:rFonts w:ascii="Arial" w:cs="Arial" w:eastAsia="Arial" w:hAnsi="Arial"/>
                <w:sz w:val="17"/>
                <w:szCs w:val="17"/>
                <w:color w:val="0000FF"/>
                <w:w w:val="94"/>
              </w:rPr>
            </w:pPr>
            <w:hyperlink r:id="rId133">
              <w:r>
                <w:rPr>
                  <w:rFonts w:ascii="Arial" w:cs="Arial" w:eastAsia="Arial" w:hAnsi="Arial"/>
                  <w:sz w:val="17"/>
                  <w:szCs w:val="17"/>
                  <w:color w:val="0000FF"/>
                  <w:w w:val="94"/>
                </w:rPr>
                <w:t>Computershare Inc., as Rights Agent (incorporated by reference to Exhibit 4.1 to the Current Report on Form 8-K filed with the SEC on</w:t>
              </w:r>
            </w:hyperlink>
          </w:p>
        </w:tc>
      </w:tr>
      <w:tr>
        <w:trPr>
          <w:trHeight w:val="235"/>
        </w:trPr>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620" w:type="dxa"/>
            <w:vAlign w:val="bottom"/>
            <w:gridSpan w:val="3"/>
            <w:shd w:val="clear" w:color="auto" w:fill="CCEEFF"/>
          </w:tcPr>
          <w:p>
            <w:pPr>
              <w:spacing w:after="0"/>
              <w:rPr>
                <w:rFonts w:ascii="Arial" w:cs="Arial" w:eastAsia="Arial" w:hAnsi="Arial"/>
                <w:sz w:val="17"/>
                <w:szCs w:val="17"/>
                <w:color w:val="0000FF"/>
              </w:rPr>
            </w:pPr>
            <w:hyperlink r:id="rId133">
              <w:r>
                <w:rPr>
                  <w:rFonts w:ascii="Arial" w:cs="Arial" w:eastAsia="Arial" w:hAnsi="Arial"/>
                  <w:sz w:val="17"/>
                  <w:szCs w:val="17"/>
                  <w:color w:val="0000FF"/>
                </w:rPr>
                <w:t>August 31, 2020, File No. 011-33278)</w:t>
              </w:r>
            </w:hyperlink>
          </w:p>
        </w:tc>
      </w:tr>
      <w:tr>
        <w:trPr>
          <w:trHeight w:val="183"/>
        </w:trPr>
        <w:tc>
          <w:tcPr>
            <w:tcW w:w="400" w:type="dxa"/>
            <w:vAlign w:val="bottom"/>
            <w:gridSpan w:val="4"/>
          </w:tcPr>
          <w:p>
            <w:pPr>
              <w:ind w:left="20"/>
              <w:spacing w:after="0" w:line="163" w:lineRule="exact"/>
              <w:rPr>
                <w:rFonts w:ascii="Arial" w:cs="Arial" w:eastAsia="Arial" w:hAnsi="Arial"/>
                <w:sz w:val="17"/>
                <w:szCs w:val="17"/>
                <w:color w:val="0000FF"/>
              </w:rPr>
            </w:pPr>
            <w:hyperlink w:anchor="page99">
              <w:r>
                <w:rPr>
                  <w:rFonts w:ascii="Arial" w:cs="Arial" w:eastAsia="Arial" w:hAnsi="Arial"/>
                  <w:sz w:val="17"/>
                  <w:szCs w:val="17"/>
                  <w:color w:val="0000FF"/>
                </w:rPr>
                <w:t>4.</w:t>
              </w:r>
              <w:r>
                <w:rPr>
                  <w:rFonts w:ascii="Arial" w:cs="Arial" w:eastAsia="Arial" w:hAnsi="Arial"/>
                  <w:sz w:val="17"/>
                  <w:szCs w:val="17"/>
                  <w:u w:val="single" w:color="auto"/>
                  <w:color w:val="0000FF"/>
                </w:rPr>
                <w:t>4*</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3"/>
          </w:tcPr>
          <w:p>
            <w:pPr>
              <w:spacing w:after="0" w:line="163" w:lineRule="exact"/>
              <w:rPr>
                <w:rFonts w:ascii="Arial" w:cs="Arial" w:eastAsia="Arial" w:hAnsi="Arial"/>
                <w:sz w:val="17"/>
                <w:szCs w:val="17"/>
                <w:color w:val="0000FF"/>
              </w:rPr>
            </w:pPr>
            <w:hyperlink w:anchor="page99">
              <w:r>
                <w:rPr>
                  <w:rFonts w:ascii="Arial" w:cs="Arial" w:eastAsia="Arial" w:hAnsi="Arial"/>
                  <w:sz w:val="17"/>
                  <w:szCs w:val="17"/>
                  <w:color w:val="0000FF"/>
                </w:rPr>
                <w:t>Description of Registered Securities</w:t>
              </w:r>
            </w:hyperlink>
          </w:p>
        </w:tc>
      </w:tr>
      <w:tr>
        <w:trPr>
          <w:trHeight w:val="45"/>
        </w:trPr>
        <w:tc>
          <w:tcPr>
            <w:tcW w:w="20" w:type="dxa"/>
            <w:vAlign w:val="bottom"/>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400" w:type="dxa"/>
            <w:vAlign w:val="bottom"/>
            <w:gridSpan w:val="4"/>
            <w:shd w:val="clear" w:color="auto" w:fill="CCEEFF"/>
          </w:tcPr>
          <w:p>
            <w:pPr>
              <w:ind w:left="20"/>
              <w:spacing w:after="0" w:line="183" w:lineRule="exact"/>
              <w:rPr>
                <w:rFonts w:ascii="Arial" w:cs="Arial" w:eastAsia="Arial" w:hAnsi="Arial"/>
                <w:sz w:val="17"/>
                <w:szCs w:val="17"/>
                <w:color w:val="0000FF"/>
              </w:rPr>
            </w:pPr>
            <w:hyperlink r:id="rId134">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w w:val="94"/>
              </w:rPr>
            </w:pPr>
            <w:hyperlink r:id="rId134">
              <w:r>
                <w:rPr>
                  <w:rFonts w:ascii="Arial" w:cs="Arial" w:eastAsia="Arial" w:hAnsi="Arial"/>
                  <w:sz w:val="17"/>
                  <w:szCs w:val="17"/>
                  <w:color w:val="0000FF"/>
                  <w:w w:val="94"/>
                </w:rPr>
                <w:t>Intellectual Property Agreement between Harris Stratex Networks, Inc. and Harris Corporation dated January 26, 2007 (incorporated by</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9620" w:type="dxa"/>
            <w:vAlign w:val="bottom"/>
            <w:tcBorders>
              <w:top w:val="single" w:sz="8" w:color="CCEEFF"/>
            </w:tcBorders>
            <w:gridSpan w:val="3"/>
            <w:shd w:val="clear" w:color="auto" w:fill="CCEEFF"/>
          </w:tcPr>
          <w:p>
            <w:pPr>
              <w:spacing w:after="0" w:line="189" w:lineRule="exact"/>
              <w:rPr>
                <w:rFonts w:ascii="Arial" w:cs="Arial" w:eastAsia="Arial" w:hAnsi="Arial"/>
                <w:sz w:val="17"/>
                <w:szCs w:val="17"/>
                <w:color w:val="0000FF"/>
              </w:rPr>
            </w:pPr>
            <w:hyperlink r:id="rId134">
              <w:r>
                <w:rPr>
                  <w:rFonts w:ascii="Arial" w:cs="Arial" w:eastAsia="Arial" w:hAnsi="Arial"/>
                  <w:sz w:val="17"/>
                  <w:szCs w:val="17"/>
                  <w:color w:val="0000FF"/>
                </w:rPr>
                <w:t>reference to Exhibit 10.4 to the Current Report on Form 8-K filed with the SEC on February 1, 2007, File No. 001-33278)</w:t>
              </w:r>
            </w:hyperlink>
          </w:p>
        </w:tc>
      </w:tr>
      <w:tr>
        <w:trPr>
          <w:trHeight w:val="183"/>
        </w:trPr>
        <w:tc>
          <w:tcPr>
            <w:tcW w:w="400" w:type="dxa"/>
            <w:vAlign w:val="bottom"/>
            <w:gridSpan w:val="4"/>
          </w:tcPr>
          <w:p>
            <w:pPr>
              <w:ind w:left="20"/>
              <w:spacing w:after="0" w:line="183" w:lineRule="exact"/>
              <w:rPr>
                <w:rFonts w:ascii="Arial" w:cs="Arial" w:eastAsia="Arial" w:hAnsi="Arial"/>
                <w:sz w:val="17"/>
                <w:szCs w:val="17"/>
                <w:color w:val="0000FF"/>
              </w:rPr>
            </w:pPr>
            <w:hyperlink r:id="rId135">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3"/>
          </w:tcPr>
          <w:p>
            <w:pPr>
              <w:spacing w:after="0" w:line="183" w:lineRule="exact"/>
              <w:rPr>
                <w:rFonts w:ascii="Arial" w:cs="Arial" w:eastAsia="Arial" w:hAnsi="Arial"/>
                <w:sz w:val="17"/>
                <w:szCs w:val="17"/>
                <w:color w:val="0000FF"/>
                <w:w w:val="92"/>
              </w:rPr>
            </w:pPr>
            <w:hyperlink r:id="rId135">
              <w:r>
                <w:rPr>
                  <w:rFonts w:ascii="Arial" w:cs="Arial" w:eastAsia="Arial" w:hAnsi="Arial"/>
                  <w:sz w:val="17"/>
                  <w:szCs w:val="17"/>
                  <w:color w:val="0000FF"/>
                  <w:w w:val="92"/>
                </w:rPr>
                <w:t>Tax Sharing Agreement between Harris Stratex Networks, Inc. and Harris Corporation dated January 26, 2007 (incorporated by reference</w:t>
              </w:r>
            </w:hyperlink>
          </w:p>
        </w:tc>
      </w:tr>
      <w:tr>
        <w:trPr>
          <w:trHeight w:val="189"/>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20" w:type="dxa"/>
            <w:vAlign w:val="bottom"/>
            <w:gridSpan w:val="3"/>
          </w:tcPr>
          <w:p>
            <w:pPr>
              <w:spacing w:after="0" w:line="189" w:lineRule="exact"/>
              <w:rPr>
                <w:rFonts w:ascii="Arial" w:cs="Arial" w:eastAsia="Arial" w:hAnsi="Arial"/>
                <w:sz w:val="17"/>
                <w:szCs w:val="17"/>
                <w:color w:val="0000FF"/>
              </w:rPr>
            </w:pPr>
            <w:hyperlink r:id="rId135">
              <w:r>
                <w:rPr>
                  <w:rFonts w:ascii="Arial" w:cs="Arial" w:eastAsia="Arial" w:hAnsi="Arial"/>
                  <w:sz w:val="17"/>
                  <w:szCs w:val="17"/>
                  <w:color w:val="0000FF"/>
                </w:rPr>
                <w:t>to Exhibit 10.11 to the Current Report on Form 8-K filed with the SEC on February 1, 2007, File No. 001-33278)</w:t>
              </w:r>
            </w:hyperlink>
          </w:p>
        </w:tc>
      </w:tr>
      <w:tr>
        <w:trPr>
          <w:trHeight w:val="183"/>
        </w:trPr>
        <w:tc>
          <w:tcPr>
            <w:tcW w:w="460" w:type="dxa"/>
            <w:vAlign w:val="bottom"/>
            <w:gridSpan w:val="6"/>
            <w:shd w:val="clear" w:color="auto" w:fill="CCEEFF"/>
          </w:tcPr>
          <w:p>
            <w:pPr>
              <w:ind w:left="20"/>
              <w:spacing w:after="0" w:line="183" w:lineRule="exact"/>
              <w:rPr>
                <w:rFonts w:ascii="Arial" w:cs="Arial" w:eastAsia="Arial" w:hAnsi="Arial"/>
                <w:sz w:val="17"/>
                <w:szCs w:val="17"/>
                <w:color w:val="0000FF"/>
                <w:w w:val="97"/>
              </w:rPr>
            </w:pPr>
            <w:hyperlink r:id="rId136">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3+</w:t>
              </w:r>
            </w:hyperlink>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w w:val="97"/>
              </w:rPr>
            </w:pPr>
            <w:hyperlink r:id="rId136">
              <w:r>
                <w:rPr>
                  <w:rFonts w:ascii="Arial" w:cs="Arial" w:eastAsia="Arial" w:hAnsi="Arial"/>
                  <w:sz w:val="17"/>
                  <w:szCs w:val="17"/>
                  <w:color w:val="0000FF"/>
                  <w:w w:val="97"/>
                </w:rPr>
                <w:t>Standard Form of Executive Employment Agreement between Harris Stratex Networks, Inc. and certain executives (incorporated by</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CCEEFF"/>
            </w:tcBorders>
            <w:shd w:val="clear" w:color="auto" w:fill="CCEEFF"/>
          </w:tcPr>
          <w:p>
            <w:pPr>
              <w:spacing w:after="0"/>
              <w:rPr>
                <w:sz w:val="16"/>
                <w:szCs w:val="16"/>
                <w:color w:val="auto"/>
              </w:rPr>
            </w:pPr>
          </w:p>
        </w:tc>
        <w:tc>
          <w:tcPr>
            <w:tcW w:w="9620" w:type="dxa"/>
            <w:vAlign w:val="bottom"/>
            <w:tcBorders>
              <w:top w:val="single" w:sz="8" w:color="CCEEFF"/>
            </w:tcBorders>
            <w:gridSpan w:val="3"/>
            <w:shd w:val="clear" w:color="auto" w:fill="CCEEFF"/>
          </w:tcPr>
          <w:p>
            <w:pPr>
              <w:spacing w:after="0" w:line="189" w:lineRule="exact"/>
              <w:rPr>
                <w:rFonts w:ascii="Arial" w:cs="Arial" w:eastAsia="Arial" w:hAnsi="Arial"/>
                <w:sz w:val="17"/>
                <w:szCs w:val="17"/>
                <w:color w:val="0000FF"/>
              </w:rPr>
            </w:pPr>
            <w:hyperlink r:id="rId136">
              <w:r>
                <w:rPr>
                  <w:rFonts w:ascii="Arial" w:cs="Arial" w:eastAsia="Arial" w:hAnsi="Arial"/>
                  <w:sz w:val="17"/>
                  <w:szCs w:val="17"/>
                  <w:color w:val="0000FF"/>
                </w:rPr>
                <w:t>reference to Exhibit 10.16 to the Current Report on Form 8-K filed with the SEC on February 1, 2007, File No. 001-33278)</w:t>
              </w:r>
            </w:hyperlink>
          </w:p>
        </w:tc>
      </w:tr>
      <w:tr>
        <w:trPr>
          <w:trHeight w:val="183"/>
        </w:trPr>
        <w:tc>
          <w:tcPr>
            <w:tcW w:w="460" w:type="dxa"/>
            <w:vAlign w:val="bottom"/>
            <w:gridSpan w:val="6"/>
          </w:tcPr>
          <w:p>
            <w:pPr>
              <w:ind w:left="20"/>
              <w:spacing w:after="0" w:line="183" w:lineRule="exact"/>
              <w:rPr>
                <w:rFonts w:ascii="Arial" w:cs="Arial" w:eastAsia="Arial" w:hAnsi="Arial"/>
                <w:sz w:val="17"/>
                <w:szCs w:val="17"/>
                <w:color w:val="0000FF"/>
                <w:w w:val="97"/>
              </w:rPr>
            </w:pPr>
            <w:hyperlink r:id="rId137">
              <w:r>
                <w:rPr>
                  <w:rFonts w:ascii="Arial" w:cs="Arial" w:eastAsia="Arial" w:hAnsi="Arial"/>
                  <w:sz w:val="17"/>
                  <w:szCs w:val="17"/>
                  <w:color w:val="0000FF"/>
                  <w:w w:val="97"/>
                </w:rPr>
                <w:t>10.</w:t>
              </w:r>
              <w:r>
                <w:rPr>
                  <w:rFonts w:ascii="Arial" w:cs="Arial" w:eastAsia="Arial" w:hAnsi="Arial"/>
                  <w:sz w:val="17"/>
                  <w:szCs w:val="17"/>
                  <w:u w:val="single" w:color="auto"/>
                  <w:color w:val="0000FF"/>
                  <w:w w:val="97"/>
                </w:rPr>
                <w:t>4+</w:t>
              </w:r>
            </w:hyperlink>
          </w:p>
        </w:tc>
        <w:tc>
          <w:tcPr>
            <w:tcW w:w="1160" w:type="dxa"/>
            <w:vAlign w:val="bottom"/>
          </w:tcPr>
          <w:p>
            <w:pPr>
              <w:spacing w:after="0"/>
              <w:rPr>
                <w:sz w:val="15"/>
                <w:szCs w:val="15"/>
                <w:color w:val="auto"/>
              </w:rPr>
            </w:pPr>
          </w:p>
        </w:tc>
        <w:tc>
          <w:tcPr>
            <w:tcW w:w="9620" w:type="dxa"/>
            <w:vAlign w:val="bottom"/>
            <w:gridSpan w:val="3"/>
          </w:tcPr>
          <w:p>
            <w:pPr>
              <w:spacing w:after="0" w:line="183" w:lineRule="exact"/>
              <w:rPr>
                <w:rFonts w:ascii="Arial" w:cs="Arial" w:eastAsia="Arial" w:hAnsi="Arial"/>
                <w:sz w:val="17"/>
                <w:szCs w:val="17"/>
                <w:color w:val="0000FF"/>
                <w:w w:val="96"/>
              </w:rPr>
            </w:pPr>
            <w:hyperlink r:id="rId137">
              <w:r>
                <w:rPr>
                  <w:rFonts w:ascii="Arial" w:cs="Arial" w:eastAsia="Arial" w:hAnsi="Arial"/>
                  <w:sz w:val="17"/>
                  <w:szCs w:val="17"/>
                  <w:color w:val="0000FF"/>
                  <w:w w:val="96"/>
                </w:rPr>
                <w:t>Aviat Networks, Inc. 2007 Stock Equity Plan (as Amended and Restated Effective November 13, 2015) (incorporated by reference to</w:t>
              </w:r>
            </w:hyperlink>
          </w:p>
        </w:tc>
      </w:tr>
      <w:tr>
        <w:trPr>
          <w:trHeight w:val="189"/>
        </w:trPr>
        <w:tc>
          <w:tcPr>
            <w:tcW w:w="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20" w:type="dxa"/>
            <w:vAlign w:val="bottom"/>
            <w:gridSpan w:val="3"/>
          </w:tcPr>
          <w:p>
            <w:pPr>
              <w:spacing w:after="0" w:line="189" w:lineRule="exact"/>
              <w:rPr>
                <w:rFonts w:ascii="Arial" w:cs="Arial" w:eastAsia="Arial" w:hAnsi="Arial"/>
                <w:sz w:val="17"/>
                <w:szCs w:val="17"/>
                <w:color w:val="0000FF"/>
              </w:rPr>
            </w:pPr>
            <w:hyperlink r:id="rId137">
              <w:r>
                <w:rPr>
                  <w:rFonts w:ascii="Arial" w:cs="Arial" w:eastAsia="Arial" w:hAnsi="Arial"/>
                  <w:sz w:val="17"/>
                  <w:szCs w:val="17"/>
                  <w:color w:val="0000FF"/>
                </w:rPr>
                <w:t>Appendix A to Schedule 14A filed with the SEC on October 1, 2015, File No. 001-33278)</w:t>
              </w:r>
            </w:hyperlink>
          </w:p>
        </w:tc>
      </w:tr>
      <w:tr>
        <w:trPr>
          <w:trHeight w:val="183"/>
        </w:trPr>
        <w:tc>
          <w:tcPr>
            <w:tcW w:w="400" w:type="dxa"/>
            <w:vAlign w:val="bottom"/>
            <w:gridSpan w:val="4"/>
            <w:shd w:val="clear" w:color="auto" w:fill="CCEEFF"/>
          </w:tcPr>
          <w:p>
            <w:pPr>
              <w:ind w:left="20"/>
              <w:spacing w:after="0" w:line="183" w:lineRule="exact"/>
              <w:rPr>
                <w:rFonts w:ascii="Arial" w:cs="Arial" w:eastAsia="Arial" w:hAnsi="Arial"/>
                <w:sz w:val="17"/>
                <w:szCs w:val="17"/>
                <w:color w:val="0000FF"/>
              </w:rPr>
            </w:pPr>
            <w:hyperlink r:id="rId138">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Third Amended and Restated Loan and Security Agreement, dated as of June 29, 2018, by and among Aviat Networks, Inc., Aviat U.S.,</w:t>
              </w:r>
            </w:hyperlink>
          </w:p>
        </w:tc>
      </w:tr>
      <w:tr>
        <w:trPr>
          <w:trHeight w:val="137"/>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9620" w:type="dxa"/>
            <w:vAlign w:val="bottom"/>
            <w:tcBorders>
              <w:top w:val="single" w:sz="8" w:color="CCEEFF"/>
            </w:tcBorders>
            <w:gridSpan w:val="3"/>
            <w:shd w:val="clear" w:color="auto" w:fill="CCEEFF"/>
          </w:tcPr>
          <w:p>
            <w:pPr>
              <w:spacing w:after="0" w:line="138" w:lineRule="exact"/>
              <w:rPr>
                <w:rFonts w:ascii="Arial" w:cs="Arial" w:eastAsia="Arial" w:hAnsi="Arial"/>
                <w:sz w:val="15"/>
                <w:szCs w:val="15"/>
                <w:color w:val="0000FF"/>
              </w:rPr>
            </w:pPr>
            <w:hyperlink r:id="rId138">
              <w:r>
                <w:rPr>
                  <w:rFonts w:ascii="Arial" w:cs="Arial" w:eastAsia="Arial" w:hAnsi="Arial"/>
                  <w:sz w:val="15"/>
                  <w:szCs w:val="15"/>
                  <w:color w:val="0000FF"/>
                </w:rPr>
                <w:t>Inc., Aviat Networks (S) Pte. Ltd. and Silicon Valley bank (incorporated by reference to Exhibit 10.1 to the Current Report on Form 8-K</w:t>
              </w:r>
            </w:hyperlink>
          </w:p>
        </w:tc>
      </w:tr>
      <w:tr>
        <w:trPr>
          <w:trHeight w:val="221"/>
        </w:trPr>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20" w:type="dxa"/>
            <w:vAlign w:val="bottom"/>
            <w:gridSpan w:val="3"/>
            <w:shd w:val="clear" w:color="auto" w:fill="CCEEFF"/>
          </w:tcPr>
          <w:p>
            <w:pPr>
              <w:spacing w:after="0"/>
              <w:rPr>
                <w:rFonts w:ascii="Arial" w:cs="Arial" w:eastAsia="Arial" w:hAnsi="Arial"/>
                <w:sz w:val="17"/>
                <w:szCs w:val="17"/>
                <w:color w:val="0000FF"/>
              </w:rPr>
            </w:pPr>
            <w:hyperlink r:id="rId138">
              <w:r>
                <w:rPr>
                  <w:rFonts w:ascii="Arial" w:cs="Arial" w:eastAsia="Arial" w:hAnsi="Arial"/>
                  <w:sz w:val="17"/>
                  <w:szCs w:val="17"/>
                  <w:color w:val="0000FF"/>
                </w:rPr>
                <w:t>filed with the SEC on June 29, 2018, File No. 001-33278)</w:t>
              </w:r>
            </w:hyperlink>
          </w:p>
        </w:tc>
      </w:tr>
      <w:tr>
        <w:trPr>
          <w:trHeight w:val="183"/>
        </w:trPr>
        <w:tc>
          <w:tcPr>
            <w:tcW w:w="460" w:type="dxa"/>
            <w:vAlign w:val="bottom"/>
            <w:gridSpan w:val="6"/>
          </w:tcPr>
          <w:p>
            <w:pPr>
              <w:ind w:left="20"/>
              <w:spacing w:after="0" w:line="183" w:lineRule="exact"/>
              <w:rPr>
                <w:rFonts w:ascii="Arial" w:cs="Arial" w:eastAsia="Arial" w:hAnsi="Arial"/>
                <w:sz w:val="17"/>
                <w:szCs w:val="17"/>
                <w:color w:val="0000FF"/>
                <w:w w:val="88"/>
              </w:rPr>
            </w:pPr>
            <w:hyperlink r:id="rId139">
              <w:r>
                <w:rPr>
                  <w:rFonts w:ascii="Arial" w:cs="Arial" w:eastAsia="Arial" w:hAnsi="Arial"/>
                  <w:sz w:val="17"/>
                  <w:szCs w:val="17"/>
                  <w:color w:val="0000FF"/>
                  <w:w w:val="88"/>
                </w:rPr>
                <w:t>10.</w:t>
              </w:r>
              <w:r>
                <w:rPr>
                  <w:rFonts w:ascii="Arial" w:cs="Arial" w:eastAsia="Arial" w:hAnsi="Arial"/>
                  <w:sz w:val="17"/>
                  <w:szCs w:val="17"/>
                  <w:u w:val="single" w:color="auto"/>
                  <w:color w:val="0000FF"/>
                  <w:w w:val="88"/>
                </w:rPr>
                <w:t>5.1</w:t>
              </w:r>
            </w:hyperlink>
          </w:p>
        </w:tc>
        <w:tc>
          <w:tcPr>
            <w:tcW w:w="1160" w:type="dxa"/>
            <w:vAlign w:val="bottom"/>
          </w:tcPr>
          <w:p>
            <w:pPr>
              <w:spacing w:after="0"/>
              <w:rPr>
                <w:sz w:val="15"/>
                <w:szCs w:val="15"/>
                <w:color w:val="auto"/>
              </w:rPr>
            </w:pPr>
          </w:p>
        </w:tc>
        <w:tc>
          <w:tcPr>
            <w:tcW w:w="9620" w:type="dxa"/>
            <w:vAlign w:val="bottom"/>
            <w:gridSpan w:val="3"/>
          </w:tcPr>
          <w:p>
            <w:pPr>
              <w:spacing w:after="0" w:line="183" w:lineRule="exact"/>
              <w:rPr>
                <w:rFonts w:ascii="Arial" w:cs="Arial" w:eastAsia="Arial" w:hAnsi="Arial"/>
                <w:sz w:val="17"/>
                <w:szCs w:val="17"/>
                <w:color w:val="0000FF"/>
                <w:w w:val="95"/>
              </w:rPr>
            </w:pPr>
            <w:hyperlink r:id="rId139">
              <w:r>
                <w:rPr>
                  <w:rFonts w:ascii="Arial" w:cs="Arial" w:eastAsia="Arial" w:hAnsi="Arial"/>
                  <w:sz w:val="17"/>
                  <w:szCs w:val="17"/>
                  <w:color w:val="0000FF"/>
                  <w:w w:val="95"/>
                </w:rPr>
                <w:t>Amendment #1 to Third Amended and Restated Loan and Security Agreement, dated as of September 28, 2018, by and among Aviat</w:t>
              </w:r>
            </w:hyperlink>
          </w:p>
        </w:tc>
      </w:tr>
      <w:tr>
        <w:trPr>
          <w:trHeight w:val="137"/>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60" w:type="dxa"/>
            <w:vAlign w:val="bottom"/>
          </w:tcPr>
          <w:p>
            <w:pPr>
              <w:spacing w:after="0"/>
              <w:rPr>
                <w:sz w:val="11"/>
                <w:szCs w:val="11"/>
                <w:color w:val="auto"/>
              </w:rPr>
            </w:pPr>
          </w:p>
        </w:tc>
        <w:tc>
          <w:tcPr>
            <w:tcW w:w="9620" w:type="dxa"/>
            <w:vAlign w:val="bottom"/>
            <w:gridSpan w:val="3"/>
          </w:tcPr>
          <w:p>
            <w:pPr>
              <w:spacing w:after="0" w:line="138" w:lineRule="exact"/>
              <w:rPr>
                <w:rFonts w:ascii="Arial" w:cs="Arial" w:eastAsia="Arial" w:hAnsi="Arial"/>
                <w:sz w:val="15"/>
                <w:szCs w:val="15"/>
                <w:color w:val="0000FF"/>
              </w:rPr>
            </w:pPr>
            <w:hyperlink r:id="rId139">
              <w:r>
                <w:rPr>
                  <w:rFonts w:ascii="Arial" w:cs="Arial" w:eastAsia="Arial" w:hAnsi="Arial"/>
                  <w:sz w:val="15"/>
                  <w:szCs w:val="15"/>
                  <w:color w:val="0000FF"/>
                </w:rPr>
                <w:t>Networks, Inc., Aviat U.S., Inc., Aviat Networks (S) Pte. Ltd. and Silicon Valley Bank (incorporated by reference to Exhibit 10.1 to the</w:t>
              </w:r>
            </w:hyperlink>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20" w:type="dxa"/>
            <w:vAlign w:val="bottom"/>
            <w:gridSpan w:val="3"/>
          </w:tcPr>
          <w:p>
            <w:pPr>
              <w:spacing w:after="0"/>
              <w:rPr>
                <w:rFonts w:ascii="Arial" w:cs="Arial" w:eastAsia="Arial" w:hAnsi="Arial"/>
                <w:sz w:val="17"/>
                <w:szCs w:val="17"/>
                <w:color w:val="0000FF"/>
              </w:rPr>
            </w:pPr>
            <w:hyperlink r:id="rId139">
              <w:r>
                <w:rPr>
                  <w:rFonts w:ascii="Arial" w:cs="Arial" w:eastAsia="Arial" w:hAnsi="Arial"/>
                  <w:sz w:val="17"/>
                  <w:szCs w:val="17"/>
                  <w:color w:val="0000FF"/>
                </w:rPr>
                <w:t>Current Report on Form 8-K filed with the SEC on October 4, 2018, File No. 001-33278)</w:t>
              </w:r>
            </w:hyperlink>
          </w:p>
        </w:tc>
      </w:tr>
      <w:tr>
        <w:trPr>
          <w:trHeight w:val="183"/>
        </w:trPr>
        <w:tc>
          <w:tcPr>
            <w:tcW w:w="460" w:type="dxa"/>
            <w:vAlign w:val="bottom"/>
            <w:gridSpan w:val="6"/>
            <w:shd w:val="clear" w:color="auto" w:fill="CCEEFF"/>
          </w:tcPr>
          <w:p>
            <w:pPr>
              <w:ind w:left="20"/>
              <w:spacing w:after="0" w:line="183" w:lineRule="exact"/>
              <w:rPr>
                <w:rFonts w:ascii="Arial" w:cs="Arial" w:eastAsia="Arial" w:hAnsi="Arial"/>
                <w:sz w:val="17"/>
                <w:szCs w:val="17"/>
                <w:color w:val="0000FF"/>
                <w:w w:val="88"/>
              </w:rPr>
            </w:pPr>
            <w:hyperlink r:id="rId140">
              <w:r>
                <w:rPr>
                  <w:rFonts w:ascii="Arial" w:cs="Arial" w:eastAsia="Arial" w:hAnsi="Arial"/>
                  <w:sz w:val="17"/>
                  <w:szCs w:val="17"/>
                  <w:color w:val="0000FF"/>
                  <w:w w:val="88"/>
                </w:rPr>
                <w:t>10.</w:t>
              </w:r>
              <w:r>
                <w:rPr>
                  <w:rFonts w:ascii="Arial" w:cs="Arial" w:eastAsia="Arial" w:hAnsi="Arial"/>
                  <w:sz w:val="17"/>
                  <w:szCs w:val="17"/>
                  <w:u w:val="single" w:color="auto"/>
                  <w:color w:val="0000FF"/>
                  <w:w w:val="88"/>
                </w:rPr>
                <w:t>5.2</w:t>
              </w:r>
            </w:hyperlink>
          </w:p>
        </w:tc>
        <w:tc>
          <w:tcPr>
            <w:tcW w:w="1160" w:type="dxa"/>
            <w:vAlign w:val="bottom"/>
            <w:shd w:val="clear" w:color="auto" w:fill="CCEEFF"/>
          </w:tcPr>
          <w:p>
            <w:pPr>
              <w:spacing w:after="0"/>
              <w:rPr>
                <w:sz w:val="15"/>
                <w:szCs w:val="15"/>
                <w:color w:val="auto"/>
              </w:rPr>
            </w:pPr>
          </w:p>
        </w:tc>
        <w:tc>
          <w:tcPr>
            <w:tcW w:w="9620" w:type="dxa"/>
            <w:vAlign w:val="bottom"/>
            <w:gridSpan w:val="3"/>
            <w:shd w:val="clear" w:color="auto" w:fill="CCEEFF"/>
          </w:tcPr>
          <w:p>
            <w:pPr>
              <w:spacing w:after="0" w:line="183" w:lineRule="exact"/>
              <w:rPr>
                <w:rFonts w:ascii="Arial" w:cs="Arial" w:eastAsia="Arial" w:hAnsi="Arial"/>
                <w:sz w:val="17"/>
                <w:szCs w:val="17"/>
                <w:color w:val="0000FF"/>
              </w:rPr>
            </w:pPr>
            <w:hyperlink r:id="rId140">
              <w:r>
                <w:rPr>
                  <w:rFonts w:ascii="Arial" w:cs="Arial" w:eastAsia="Arial" w:hAnsi="Arial"/>
                  <w:sz w:val="17"/>
                  <w:szCs w:val="17"/>
                  <w:color w:val="0000FF"/>
                </w:rPr>
                <w:t>Amendment #2 to Third Amended and Restated Loan and Security Agreement, dated as of June 10, 2019, by and among Aviat</w:t>
              </w:r>
            </w:hyperlink>
          </w:p>
        </w:tc>
      </w:tr>
      <w:tr>
        <w:trPr>
          <w:trHeight w:val="137"/>
        </w:trPr>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9620" w:type="dxa"/>
            <w:vAlign w:val="bottom"/>
            <w:tcBorders>
              <w:top w:val="single" w:sz="8" w:color="CCEEFF"/>
            </w:tcBorders>
            <w:gridSpan w:val="3"/>
            <w:shd w:val="clear" w:color="auto" w:fill="CCEEFF"/>
          </w:tcPr>
          <w:p>
            <w:pPr>
              <w:spacing w:after="0" w:line="138" w:lineRule="exact"/>
              <w:rPr>
                <w:rFonts w:ascii="Arial" w:cs="Arial" w:eastAsia="Arial" w:hAnsi="Arial"/>
                <w:sz w:val="15"/>
                <w:szCs w:val="15"/>
                <w:color w:val="0000FF"/>
              </w:rPr>
            </w:pPr>
            <w:hyperlink r:id="rId140">
              <w:r>
                <w:rPr>
                  <w:rFonts w:ascii="Arial" w:cs="Arial" w:eastAsia="Arial" w:hAnsi="Arial"/>
                  <w:sz w:val="15"/>
                  <w:szCs w:val="15"/>
                  <w:color w:val="0000FF"/>
                </w:rPr>
                <w:t>Networks, Inc., Aviat U.S., Inc., Aviat Networks (S) Pte. Ltd. and Silicon Valley Bank (incorporated by reference to Exhibit 10.1 to the</w:t>
              </w:r>
            </w:hyperlink>
          </w:p>
        </w:tc>
      </w:tr>
      <w:tr>
        <w:trPr>
          <w:trHeight w:val="221"/>
        </w:trPr>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620" w:type="dxa"/>
            <w:vAlign w:val="bottom"/>
            <w:gridSpan w:val="3"/>
            <w:shd w:val="clear" w:color="auto" w:fill="CCEEFF"/>
          </w:tcPr>
          <w:p>
            <w:pPr>
              <w:spacing w:after="0"/>
              <w:rPr>
                <w:rFonts w:ascii="Arial" w:cs="Arial" w:eastAsia="Arial" w:hAnsi="Arial"/>
                <w:sz w:val="17"/>
                <w:szCs w:val="17"/>
                <w:color w:val="0000FF"/>
              </w:rPr>
            </w:pPr>
            <w:hyperlink r:id="rId140">
              <w:r>
                <w:rPr>
                  <w:rFonts w:ascii="Arial" w:cs="Arial" w:eastAsia="Arial" w:hAnsi="Arial"/>
                  <w:sz w:val="17"/>
                  <w:szCs w:val="17"/>
                  <w:color w:val="0000FF"/>
                </w:rPr>
                <w:t>Current Report on Form 8-K filed with the SEC on June 12, 2019, File No. 001-33278)</w:t>
              </w:r>
            </w:hyperlink>
          </w:p>
        </w:tc>
      </w:tr>
      <w:tr>
        <w:trPr>
          <w:trHeight w:val="183"/>
        </w:trPr>
        <w:tc>
          <w:tcPr>
            <w:tcW w:w="460" w:type="dxa"/>
            <w:vAlign w:val="bottom"/>
            <w:gridSpan w:val="6"/>
          </w:tcPr>
          <w:p>
            <w:pPr>
              <w:ind w:left="20"/>
              <w:spacing w:after="0" w:line="163" w:lineRule="exact"/>
              <w:rPr>
                <w:rFonts w:ascii="Arial" w:cs="Arial" w:eastAsia="Arial" w:hAnsi="Arial"/>
                <w:sz w:val="17"/>
                <w:szCs w:val="17"/>
                <w:color w:val="0000FF"/>
                <w:w w:val="88"/>
              </w:rPr>
            </w:pPr>
            <w:hyperlink r:id="rId141">
              <w:r>
                <w:rPr>
                  <w:rFonts w:ascii="Arial" w:cs="Arial" w:eastAsia="Arial" w:hAnsi="Arial"/>
                  <w:sz w:val="17"/>
                  <w:szCs w:val="17"/>
                  <w:color w:val="0000FF"/>
                  <w:w w:val="88"/>
                </w:rPr>
                <w:t>10.</w:t>
              </w:r>
              <w:r>
                <w:rPr>
                  <w:rFonts w:ascii="Arial" w:cs="Arial" w:eastAsia="Arial" w:hAnsi="Arial"/>
                  <w:sz w:val="17"/>
                  <w:szCs w:val="17"/>
                  <w:u w:val="single" w:color="auto"/>
                  <w:color w:val="0000FF"/>
                  <w:w w:val="88"/>
                </w:rPr>
                <w:t>5.3</w:t>
              </w:r>
            </w:hyperlink>
          </w:p>
        </w:tc>
        <w:tc>
          <w:tcPr>
            <w:tcW w:w="1160" w:type="dxa"/>
            <w:vAlign w:val="bottom"/>
          </w:tcPr>
          <w:p>
            <w:pPr>
              <w:spacing w:after="0"/>
              <w:rPr>
                <w:sz w:val="15"/>
                <w:szCs w:val="15"/>
                <w:color w:val="auto"/>
              </w:rPr>
            </w:pPr>
          </w:p>
        </w:tc>
        <w:tc>
          <w:tcPr>
            <w:tcW w:w="9620" w:type="dxa"/>
            <w:vAlign w:val="bottom"/>
            <w:gridSpan w:val="3"/>
          </w:tcPr>
          <w:p>
            <w:pPr>
              <w:spacing w:after="0" w:line="163" w:lineRule="exact"/>
              <w:rPr>
                <w:rFonts w:ascii="Arial" w:cs="Arial" w:eastAsia="Arial" w:hAnsi="Arial"/>
                <w:sz w:val="17"/>
                <w:szCs w:val="17"/>
                <w:color w:val="0000FF"/>
                <w:w w:val="99"/>
              </w:rPr>
            </w:pPr>
            <w:hyperlink r:id="rId141">
              <w:r>
                <w:rPr>
                  <w:rFonts w:ascii="Arial" w:cs="Arial" w:eastAsia="Arial" w:hAnsi="Arial"/>
                  <w:sz w:val="17"/>
                  <w:szCs w:val="17"/>
                  <w:color w:val="0000FF"/>
                  <w:w w:val="99"/>
                </w:rPr>
                <w:t>Third Amendment to Third Amended and Restated Loan and Security Agreement, dated as of May 4, 2020, by and among Aviat</w:t>
              </w:r>
            </w:hyperlink>
          </w:p>
        </w:tc>
      </w:tr>
      <w:tr>
        <w:trPr>
          <w:trHeight w:val="203"/>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60" w:type="dxa"/>
            <w:vAlign w:val="bottom"/>
          </w:tcPr>
          <w:p>
            <w:pPr>
              <w:spacing w:after="0"/>
              <w:rPr>
                <w:sz w:val="17"/>
                <w:szCs w:val="17"/>
                <w:color w:val="auto"/>
              </w:rPr>
            </w:pPr>
          </w:p>
        </w:tc>
        <w:tc>
          <w:tcPr>
            <w:tcW w:w="9620" w:type="dxa"/>
            <w:vAlign w:val="bottom"/>
            <w:gridSpan w:val="3"/>
          </w:tcPr>
          <w:p>
            <w:pPr>
              <w:spacing w:after="0"/>
              <w:rPr>
                <w:rFonts w:ascii="Arial" w:cs="Arial" w:eastAsia="Arial" w:hAnsi="Arial"/>
                <w:sz w:val="17"/>
                <w:szCs w:val="17"/>
                <w:color w:val="0000FF"/>
                <w:w w:val="96"/>
              </w:rPr>
            </w:pPr>
            <w:hyperlink r:id="rId141">
              <w:r>
                <w:rPr>
                  <w:rFonts w:ascii="Arial" w:cs="Arial" w:eastAsia="Arial" w:hAnsi="Arial"/>
                  <w:sz w:val="17"/>
                  <w:szCs w:val="17"/>
                  <w:color w:val="0000FF"/>
                  <w:w w:val="96"/>
                </w:rPr>
                <w:t>Networks, Inc., Aviat U.S., Inc., Aviat Networks (S) Pte. Ltd. and Silicon Valley Bank (incorporated by reference to Exhibit 10.1 to the</w:t>
              </w:r>
            </w:hyperlink>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20" w:type="dxa"/>
            <w:vAlign w:val="bottom"/>
            <w:gridSpan w:val="3"/>
          </w:tcPr>
          <w:p>
            <w:pPr>
              <w:spacing w:after="0"/>
              <w:rPr>
                <w:rFonts w:ascii="Arial" w:cs="Arial" w:eastAsia="Arial" w:hAnsi="Arial"/>
                <w:sz w:val="17"/>
                <w:szCs w:val="17"/>
                <w:color w:val="0000FF"/>
              </w:rPr>
            </w:pPr>
            <w:hyperlink r:id="rId141">
              <w:r>
                <w:rPr>
                  <w:rFonts w:ascii="Arial" w:cs="Arial" w:eastAsia="Arial" w:hAnsi="Arial"/>
                  <w:sz w:val="17"/>
                  <w:szCs w:val="17"/>
                  <w:color w:val="0000FF"/>
                </w:rPr>
                <w:t>Current Report on Form 8-K filed with the SEC on May 5, 2020, File No. 001-33278)</w:t>
              </w:r>
            </w:hyperlink>
          </w:p>
        </w:tc>
      </w:tr>
      <w:tr>
        <w:trPr>
          <w:trHeight w:val="196"/>
        </w:trPr>
        <w:tc>
          <w:tcPr>
            <w:tcW w:w="460" w:type="dxa"/>
            <w:vAlign w:val="bottom"/>
            <w:gridSpan w:val="6"/>
            <w:shd w:val="clear" w:color="auto" w:fill="CCEEFF"/>
          </w:tcPr>
          <w:p>
            <w:pPr>
              <w:ind w:left="20"/>
              <w:spacing w:after="0" w:line="170" w:lineRule="exact"/>
              <w:rPr>
                <w:rFonts w:ascii="Arial" w:cs="Arial" w:eastAsia="Arial" w:hAnsi="Arial"/>
                <w:sz w:val="17"/>
                <w:szCs w:val="17"/>
                <w:color w:val="0000FF"/>
                <w:w w:val="88"/>
              </w:rPr>
            </w:pPr>
            <w:hyperlink r:id="rId142">
              <w:r>
                <w:rPr>
                  <w:rFonts w:ascii="Arial" w:cs="Arial" w:eastAsia="Arial" w:hAnsi="Arial"/>
                  <w:sz w:val="17"/>
                  <w:szCs w:val="17"/>
                  <w:color w:val="0000FF"/>
                  <w:w w:val="88"/>
                </w:rPr>
                <w:t>10.</w:t>
              </w:r>
              <w:r>
                <w:rPr>
                  <w:rFonts w:ascii="Arial" w:cs="Arial" w:eastAsia="Arial" w:hAnsi="Arial"/>
                  <w:sz w:val="17"/>
                  <w:szCs w:val="17"/>
                  <w:u w:val="single" w:color="auto"/>
                  <w:color w:val="0000FF"/>
                  <w:w w:val="88"/>
                </w:rPr>
                <w:t>5.4</w:t>
              </w:r>
            </w:hyperlink>
          </w:p>
        </w:tc>
        <w:tc>
          <w:tcPr>
            <w:tcW w:w="1160" w:type="dxa"/>
            <w:vAlign w:val="bottom"/>
            <w:shd w:val="clear" w:color="auto" w:fill="CCEEFF"/>
          </w:tcPr>
          <w:p>
            <w:pPr>
              <w:spacing w:after="0"/>
              <w:rPr>
                <w:sz w:val="17"/>
                <w:szCs w:val="17"/>
                <w:color w:val="auto"/>
              </w:rPr>
            </w:pPr>
          </w:p>
        </w:tc>
        <w:tc>
          <w:tcPr>
            <w:tcW w:w="9620" w:type="dxa"/>
            <w:vAlign w:val="bottom"/>
            <w:gridSpan w:val="3"/>
            <w:shd w:val="clear" w:color="auto" w:fill="CCEEFF"/>
          </w:tcPr>
          <w:p>
            <w:pPr>
              <w:spacing w:after="0" w:line="170" w:lineRule="exact"/>
              <w:rPr>
                <w:rFonts w:ascii="Arial" w:cs="Arial" w:eastAsia="Arial" w:hAnsi="Arial"/>
                <w:sz w:val="17"/>
                <w:szCs w:val="17"/>
                <w:color w:val="0000FF"/>
                <w:w w:val="97"/>
              </w:rPr>
            </w:pPr>
            <w:hyperlink r:id="rId142">
              <w:r>
                <w:rPr>
                  <w:rFonts w:ascii="Arial" w:cs="Arial" w:eastAsia="Arial" w:hAnsi="Arial"/>
                  <w:sz w:val="17"/>
                  <w:szCs w:val="17"/>
                  <w:color w:val="0000FF"/>
                  <w:w w:val="97"/>
                </w:rPr>
                <w:t>Fourth Amendment to Third Amended and Restated Loan and Security Agreement, dated as of May 17, 2021, by and among Aviat</w:t>
              </w:r>
            </w:hyperlink>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40" w:type="dxa"/>
            <w:vAlign w:val="bottom"/>
            <w:tcBorders>
              <w:top w:val="single" w:sz="8" w:color="0000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9600" w:type="dxa"/>
            <w:vAlign w:val="bottom"/>
            <w:tcBorders>
              <w:top w:val="single" w:sz="8" w:color="0000FF"/>
              <w:bottom w:val="single" w:sz="8" w:color="0000FF"/>
            </w:tcBorders>
            <w:gridSpan w:val="2"/>
            <w:shd w:val="clear" w:color="auto" w:fill="CCEEFF"/>
          </w:tcPr>
          <w:p>
            <w:pPr>
              <w:spacing w:after="0" w:line="183" w:lineRule="exact"/>
              <w:rPr>
                <w:rFonts w:ascii="Arial" w:cs="Arial" w:eastAsia="Arial" w:hAnsi="Arial"/>
                <w:sz w:val="17"/>
                <w:szCs w:val="17"/>
                <w:color w:val="0000FF"/>
                <w:w w:val="96"/>
              </w:rPr>
            </w:pPr>
            <w:hyperlink r:id="rId142">
              <w:r>
                <w:rPr>
                  <w:rFonts w:ascii="Arial" w:cs="Arial" w:eastAsia="Arial" w:hAnsi="Arial"/>
                  <w:sz w:val="17"/>
                  <w:szCs w:val="17"/>
                  <w:color w:val="0000FF"/>
                  <w:w w:val="96"/>
                </w:rPr>
                <w:t>Networks, Inc., Aviat U.S., Inc., Aviat Networks (S) Pte. Ltd. and Silicon Valley Bank (incorporated by reference to Exhibit 10.2 to the</w:t>
              </w:r>
            </w:hyperlink>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r>
      <w:tr>
        <w:trPr>
          <w:trHeight w:val="208"/>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20" w:type="dxa"/>
            <w:vAlign w:val="bottom"/>
            <w:gridSpan w:val="3"/>
            <w:shd w:val="clear" w:color="auto" w:fill="CCEEFF"/>
          </w:tcPr>
          <w:p>
            <w:pPr>
              <w:spacing w:after="0" w:line="176" w:lineRule="exact"/>
              <w:rPr>
                <w:rFonts w:ascii="Arial" w:cs="Arial" w:eastAsia="Arial" w:hAnsi="Arial"/>
                <w:sz w:val="17"/>
                <w:szCs w:val="17"/>
                <w:color w:val="0000FF"/>
              </w:rPr>
            </w:pPr>
            <w:hyperlink r:id="rId142">
              <w:r>
                <w:rPr>
                  <w:rFonts w:ascii="Arial" w:cs="Arial" w:eastAsia="Arial" w:hAnsi="Arial"/>
                  <w:sz w:val="17"/>
                  <w:szCs w:val="17"/>
                  <w:color w:val="0000FF"/>
                </w:rPr>
                <w:t>Current Report on Form 8-K filed with the SEC on May 5, 2020, File No. 001-33278)</w:t>
              </w:r>
            </w:hyperlink>
          </w:p>
        </w:tc>
      </w:tr>
      <w:tr>
        <w:trPr>
          <w:trHeight w:val="941"/>
        </w:trPr>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6000" w:type="dxa"/>
            <w:vAlign w:val="bottom"/>
            <w:tcBorders>
              <w:top w:val="single" w:sz="8" w:color="0000FF"/>
            </w:tcBorders>
          </w:tcPr>
          <w:p>
            <w:pPr>
              <w:ind w:left="3920"/>
              <w:spacing w:after="0"/>
              <w:rPr>
                <w:sz w:val="20"/>
                <w:szCs w:val="20"/>
                <w:color w:val="auto"/>
              </w:rPr>
            </w:pPr>
            <w:r>
              <w:rPr>
                <w:rFonts w:ascii="Arial" w:cs="Arial" w:eastAsia="Arial" w:hAnsi="Arial"/>
                <w:sz w:val="17"/>
                <w:szCs w:val="17"/>
                <w:color w:val="auto"/>
              </w:rPr>
              <w:t>97</w:t>
            </w:r>
          </w:p>
        </w:tc>
        <w:tc>
          <w:tcPr>
            <w:tcW w:w="3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00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95"/>
        </w:trPr>
        <w:tc>
          <w:tcPr>
            <w:tcW w:w="1440" w:type="dxa"/>
            <w:vAlign w:val="bottom"/>
            <w:gridSpan w:val="7"/>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9800" w:type="dxa"/>
            <w:vAlign w:val="bottom"/>
          </w:tcPr>
          <w:p>
            <w:pPr>
              <w:spacing w:after="0"/>
              <w:rPr>
                <w:sz w:val="16"/>
                <w:szCs w:val="16"/>
                <w:color w:val="auto"/>
              </w:rPr>
            </w:pPr>
          </w:p>
        </w:tc>
      </w:tr>
      <w:tr>
        <w:trPr>
          <w:trHeight w:val="895"/>
        </w:trPr>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0"/>
              </w:rPr>
              <w:t>Ex. #</w:t>
            </w:r>
          </w:p>
        </w:tc>
        <w:tc>
          <w:tcPr>
            <w:tcW w:w="840" w:type="dxa"/>
            <w:vAlign w:val="bottom"/>
            <w:tcBorders>
              <w:top w:val="single" w:sz="8" w:color="0000FF"/>
            </w:tcBorders>
            <w:gridSpan w:val="3"/>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tcPr>
          <w:p>
            <w:pPr>
              <w:ind w:left="4560"/>
              <w:spacing w:after="0"/>
              <w:rPr>
                <w:sz w:val="20"/>
                <w:szCs w:val="20"/>
                <w:color w:val="auto"/>
              </w:rPr>
            </w:pPr>
            <w:r>
              <w:rPr>
                <w:rFonts w:ascii="Arial" w:cs="Arial" w:eastAsia="Arial" w:hAnsi="Arial"/>
                <w:sz w:val="17"/>
                <w:szCs w:val="17"/>
                <w:b w:val="1"/>
                <w:bCs w:val="1"/>
                <w:color w:val="auto"/>
              </w:rPr>
              <w:t>Description</w:t>
            </w:r>
          </w:p>
        </w:tc>
      </w:tr>
      <w:tr>
        <w:trPr>
          <w:trHeight w:val="359"/>
        </w:trPr>
        <w:tc>
          <w:tcPr>
            <w:tcW w:w="400" w:type="dxa"/>
            <w:vAlign w:val="bottom"/>
            <w:gridSpan w:val="3"/>
          </w:tcPr>
          <w:p>
            <w:pPr>
              <w:ind w:left="20"/>
              <w:spacing w:after="0"/>
              <w:rPr>
                <w:rFonts w:ascii="Arial" w:cs="Arial" w:eastAsia="Arial" w:hAnsi="Arial"/>
                <w:sz w:val="17"/>
                <w:szCs w:val="17"/>
                <w:color w:val="0000FF"/>
              </w:rPr>
            </w:pPr>
            <w:hyperlink r:id="rId145">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0" w:type="dxa"/>
            <w:vAlign w:val="bottom"/>
          </w:tcPr>
          <w:p>
            <w:pPr>
              <w:ind w:left="180"/>
              <w:spacing w:after="0"/>
              <w:rPr>
                <w:rFonts w:ascii="Arial" w:cs="Arial" w:eastAsia="Arial" w:hAnsi="Arial"/>
                <w:sz w:val="17"/>
                <w:szCs w:val="17"/>
                <w:color w:val="0000FF"/>
              </w:rPr>
            </w:pPr>
            <w:hyperlink r:id="rId145">
              <w:r>
                <w:rPr>
                  <w:rFonts w:ascii="Arial" w:cs="Arial" w:eastAsia="Arial" w:hAnsi="Arial"/>
                  <w:sz w:val="17"/>
                  <w:szCs w:val="17"/>
                  <w:color w:val="0000FF"/>
                </w:rPr>
                <w:t>Letter Agreement, dated as of January 11, 2015, among Aviat Networks, Inc., Steel Partners Holdings L.P., Lone Star Value</w:t>
              </w:r>
            </w:hyperlink>
          </w:p>
        </w:tc>
      </w:tr>
      <w:tr>
        <w:trPr>
          <w:trHeight w:val="137"/>
        </w:trPr>
        <w:tc>
          <w:tcPr>
            <w:tcW w:w="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0" w:type="dxa"/>
            <w:vAlign w:val="bottom"/>
          </w:tcPr>
          <w:p>
            <w:pPr>
              <w:ind w:left="180"/>
              <w:spacing w:after="0" w:line="138" w:lineRule="exact"/>
              <w:rPr>
                <w:rFonts w:ascii="Arial" w:cs="Arial" w:eastAsia="Arial" w:hAnsi="Arial"/>
                <w:sz w:val="15"/>
                <w:szCs w:val="15"/>
                <w:color w:val="0000FF"/>
              </w:rPr>
            </w:pPr>
            <w:hyperlink r:id="rId145">
              <w:r>
                <w:rPr>
                  <w:rFonts w:ascii="Arial" w:cs="Arial" w:eastAsia="Arial" w:hAnsi="Arial"/>
                  <w:sz w:val="15"/>
                  <w:szCs w:val="15"/>
                  <w:color w:val="0000FF"/>
                </w:rPr>
                <w:t>Management, LLC and certain other parties (incorporated by reference to Exhibit 10.1 to the Current Report on Form 8-K filed with the</w:t>
              </w:r>
            </w:hyperlink>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0" w:type="dxa"/>
            <w:vAlign w:val="bottom"/>
          </w:tcPr>
          <w:p>
            <w:pPr>
              <w:ind w:left="180"/>
              <w:spacing w:after="0"/>
              <w:rPr>
                <w:rFonts w:ascii="Arial" w:cs="Arial" w:eastAsia="Arial" w:hAnsi="Arial"/>
                <w:sz w:val="17"/>
                <w:szCs w:val="17"/>
                <w:color w:val="0000FF"/>
              </w:rPr>
            </w:pPr>
            <w:hyperlink r:id="rId145">
              <w:r>
                <w:rPr>
                  <w:rFonts w:ascii="Arial" w:cs="Arial" w:eastAsia="Arial" w:hAnsi="Arial"/>
                  <w:sz w:val="17"/>
                  <w:szCs w:val="17"/>
                  <w:color w:val="0000FF"/>
                </w:rPr>
                <w:t>SEC on January 12, 2015, File No. 001-33278)</w:t>
              </w:r>
            </w:hyperlink>
          </w:p>
        </w:tc>
      </w:tr>
      <w:tr>
        <w:trPr>
          <w:trHeight w:val="183"/>
        </w:trPr>
        <w:tc>
          <w:tcPr>
            <w:tcW w:w="500" w:type="dxa"/>
            <w:vAlign w:val="bottom"/>
            <w:gridSpan w:val="5"/>
            <w:shd w:val="clear" w:color="auto" w:fill="CCEEFF"/>
          </w:tcPr>
          <w:p>
            <w:pPr>
              <w:ind w:left="20"/>
              <w:spacing w:after="0" w:line="183" w:lineRule="exact"/>
              <w:rPr>
                <w:rFonts w:ascii="Arial" w:cs="Arial" w:eastAsia="Arial" w:hAnsi="Arial"/>
                <w:sz w:val="17"/>
                <w:szCs w:val="17"/>
                <w:color w:val="0000FF"/>
              </w:rPr>
            </w:pPr>
            <w:hyperlink r:id="rId146">
              <w:r>
                <w:rPr>
                  <w:rFonts w:ascii="Arial" w:cs="Arial" w:eastAsia="Arial" w:hAnsi="Arial"/>
                  <w:sz w:val="17"/>
                  <w:szCs w:val="17"/>
                  <w:color w:val="0000FF"/>
                </w:rPr>
                <w:t>10.</w:t>
              </w:r>
              <w:r>
                <w:rPr>
                  <w:rFonts w:ascii="Arial" w:cs="Arial" w:eastAsia="Arial" w:hAnsi="Arial"/>
                  <w:sz w:val="17"/>
                  <w:szCs w:val="17"/>
                  <w:u w:val="single" w:color="auto"/>
                  <w:color w:val="0000FF"/>
                </w:rPr>
                <w:t>7+</w:t>
              </w:r>
            </w:hyperlink>
          </w:p>
        </w:tc>
        <w:tc>
          <w:tcPr>
            <w:tcW w:w="740" w:type="dxa"/>
            <w:vAlign w:val="bottom"/>
            <w:tcBorders>
              <w:lef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0" w:type="dxa"/>
            <w:vAlign w:val="bottom"/>
            <w:shd w:val="clear" w:color="auto" w:fill="CCEEFF"/>
          </w:tcPr>
          <w:p>
            <w:pPr>
              <w:ind w:left="180"/>
              <w:spacing w:after="0" w:line="183" w:lineRule="exact"/>
              <w:rPr>
                <w:rFonts w:ascii="Arial" w:cs="Arial" w:eastAsia="Arial" w:hAnsi="Arial"/>
                <w:sz w:val="17"/>
                <w:szCs w:val="17"/>
                <w:color w:val="0000FF"/>
                <w:w w:val="96"/>
              </w:rPr>
            </w:pPr>
            <w:hyperlink r:id="rId146">
              <w:r>
                <w:rPr>
                  <w:rFonts w:ascii="Arial" w:cs="Arial" w:eastAsia="Arial" w:hAnsi="Arial"/>
                  <w:sz w:val="17"/>
                  <w:szCs w:val="17"/>
                  <w:color w:val="0000FF"/>
                  <w:w w:val="96"/>
                </w:rPr>
                <w:t>Employment Agreement, dated January 20, 2016, between Aviat Networks, Inc. and Eric Chang (incorporated by reference to Exhibit</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lef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CCEEFF"/>
            </w:tcBorders>
            <w:shd w:val="clear" w:color="auto" w:fill="CCEEFF"/>
          </w:tcPr>
          <w:p>
            <w:pPr>
              <w:ind w:left="180"/>
              <w:spacing w:after="0" w:line="189" w:lineRule="exact"/>
              <w:rPr>
                <w:rFonts w:ascii="Arial" w:cs="Arial" w:eastAsia="Arial" w:hAnsi="Arial"/>
                <w:sz w:val="17"/>
                <w:szCs w:val="17"/>
                <w:color w:val="0000FF"/>
              </w:rPr>
            </w:pPr>
            <w:hyperlink r:id="rId146">
              <w:r>
                <w:rPr>
                  <w:rFonts w:ascii="Arial" w:cs="Arial" w:eastAsia="Arial" w:hAnsi="Arial"/>
                  <w:sz w:val="17"/>
                  <w:szCs w:val="17"/>
                  <w:color w:val="0000FF"/>
                </w:rPr>
                <w:t>10.1 to the Current Report on Form 8-K filed with the SEC on January 21, 2016, File No. 001-33278)</w:t>
              </w:r>
            </w:hyperlink>
          </w:p>
        </w:tc>
      </w:tr>
      <w:tr>
        <w:trPr>
          <w:trHeight w:val="183"/>
        </w:trPr>
        <w:tc>
          <w:tcPr>
            <w:tcW w:w="1240" w:type="dxa"/>
            <w:vAlign w:val="bottom"/>
            <w:gridSpan w:val="6"/>
          </w:tcPr>
          <w:p>
            <w:pPr>
              <w:ind w:left="20"/>
              <w:spacing w:after="0" w:line="183" w:lineRule="exact"/>
              <w:rPr>
                <w:rFonts w:ascii="Arial" w:cs="Arial" w:eastAsia="Arial" w:hAnsi="Arial"/>
                <w:sz w:val="17"/>
                <w:szCs w:val="17"/>
                <w:color w:val="0000FF"/>
              </w:rPr>
            </w:pPr>
            <w:hyperlink r:id="rId147">
              <w:r>
                <w:rPr>
                  <w:rFonts w:ascii="Arial" w:cs="Arial" w:eastAsia="Arial" w:hAnsi="Arial"/>
                  <w:sz w:val="17"/>
                  <w:szCs w:val="17"/>
                  <w:color w:val="0000FF"/>
                </w:rPr>
                <w:t>10.</w:t>
              </w:r>
              <w:r>
                <w:rPr>
                  <w:rFonts w:ascii="Arial" w:cs="Arial" w:eastAsia="Arial" w:hAnsi="Arial"/>
                  <w:sz w:val="17"/>
                  <w:szCs w:val="17"/>
                  <w:u w:val="single" w:color="auto"/>
                  <w:color w:val="0000FF"/>
                </w:rPr>
                <w:t>7.1+</w:t>
              </w:r>
            </w:hyperlink>
          </w:p>
        </w:tc>
        <w:tc>
          <w:tcPr>
            <w:tcW w:w="200" w:type="dxa"/>
            <w:vAlign w:val="bottom"/>
          </w:tcPr>
          <w:p>
            <w:pPr>
              <w:spacing w:after="0"/>
              <w:rPr>
                <w:sz w:val="15"/>
                <w:szCs w:val="15"/>
                <w:color w:val="auto"/>
              </w:rPr>
            </w:pPr>
          </w:p>
        </w:tc>
        <w:tc>
          <w:tcPr>
            <w:tcW w:w="9800" w:type="dxa"/>
            <w:vAlign w:val="bottom"/>
          </w:tcPr>
          <w:p>
            <w:pPr>
              <w:ind w:left="180"/>
              <w:spacing w:after="0" w:line="183" w:lineRule="exact"/>
              <w:rPr>
                <w:rFonts w:ascii="Arial" w:cs="Arial" w:eastAsia="Arial" w:hAnsi="Arial"/>
                <w:sz w:val="17"/>
                <w:szCs w:val="17"/>
                <w:color w:val="0000FF"/>
                <w:w w:val="94"/>
              </w:rPr>
            </w:pPr>
            <w:hyperlink r:id="rId147">
              <w:r>
                <w:rPr>
                  <w:rFonts w:ascii="Arial" w:cs="Arial" w:eastAsia="Arial" w:hAnsi="Arial"/>
                  <w:sz w:val="17"/>
                  <w:szCs w:val="17"/>
                  <w:color w:val="0000FF"/>
                  <w:w w:val="94"/>
                </w:rPr>
                <w:t>Amendment to Employment Agreement, dated June 20, 2018, between Aviat Networks, Inc. and Eric Chang (incorporated by reference</w:t>
              </w:r>
            </w:hyperlink>
          </w:p>
        </w:tc>
      </w:tr>
      <w:tr>
        <w:trPr>
          <w:trHeight w:val="201"/>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tcPr>
          <w:p>
            <w:pPr>
              <w:ind w:left="180"/>
              <w:spacing w:after="0"/>
              <w:rPr>
                <w:rFonts w:ascii="Arial" w:cs="Arial" w:eastAsia="Arial" w:hAnsi="Arial"/>
                <w:sz w:val="17"/>
                <w:szCs w:val="17"/>
                <w:color w:val="0000FF"/>
              </w:rPr>
            </w:pPr>
            <w:hyperlink r:id="rId147">
              <w:r>
                <w:rPr>
                  <w:rFonts w:ascii="Arial" w:cs="Arial" w:eastAsia="Arial" w:hAnsi="Arial"/>
                  <w:sz w:val="17"/>
                  <w:szCs w:val="17"/>
                  <w:color w:val="0000FF"/>
                </w:rPr>
                <w:t>to Exhibit 10.2 to the Current Report on Form 8-K filed with the SEC on June 25, 2018, File No. 001-33278)</w:t>
              </w:r>
            </w:hyperlink>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0" w:type="dxa"/>
            <w:vAlign w:val="bottom"/>
          </w:tcPr>
          <w:p>
            <w:pPr>
              <w:spacing w:after="0"/>
              <w:rPr>
                <w:sz w:val="19"/>
                <w:szCs w:val="19"/>
                <w:color w:val="auto"/>
              </w:rPr>
            </w:pPr>
          </w:p>
        </w:tc>
      </w:tr>
      <w:tr>
        <w:trPr>
          <w:trHeight w:val="183"/>
        </w:trPr>
        <w:tc>
          <w:tcPr>
            <w:tcW w:w="1240" w:type="dxa"/>
            <w:vAlign w:val="bottom"/>
            <w:gridSpan w:val="6"/>
            <w:shd w:val="clear" w:color="auto" w:fill="CCEEFF"/>
          </w:tcPr>
          <w:p>
            <w:pPr>
              <w:ind w:left="20"/>
              <w:spacing w:after="0" w:line="183" w:lineRule="exact"/>
              <w:rPr>
                <w:rFonts w:ascii="Arial" w:cs="Arial" w:eastAsia="Arial" w:hAnsi="Arial"/>
                <w:sz w:val="17"/>
                <w:szCs w:val="17"/>
                <w:color w:val="0000FF"/>
              </w:rPr>
            </w:pPr>
            <w:hyperlink r:id="rId148">
              <w:r>
                <w:rPr>
                  <w:rFonts w:ascii="Arial" w:cs="Arial" w:eastAsia="Arial" w:hAnsi="Arial"/>
                  <w:sz w:val="17"/>
                  <w:szCs w:val="17"/>
                  <w:color w:val="0000FF"/>
                </w:rPr>
                <w:t>10.</w:t>
              </w:r>
              <w:r>
                <w:rPr>
                  <w:rFonts w:ascii="Arial" w:cs="Arial" w:eastAsia="Arial" w:hAnsi="Arial"/>
                  <w:sz w:val="17"/>
                  <w:szCs w:val="17"/>
                  <w:u w:val="single" w:color="auto"/>
                  <w:color w:val="0000FF"/>
                </w:rPr>
                <w:t>7.2+</w:t>
              </w:r>
            </w:hyperlink>
          </w:p>
        </w:tc>
        <w:tc>
          <w:tcPr>
            <w:tcW w:w="200" w:type="dxa"/>
            <w:vAlign w:val="bottom"/>
            <w:shd w:val="clear" w:color="auto" w:fill="CCEEFF"/>
          </w:tcPr>
          <w:p>
            <w:pPr>
              <w:spacing w:after="0"/>
              <w:rPr>
                <w:sz w:val="15"/>
                <w:szCs w:val="15"/>
                <w:color w:val="auto"/>
              </w:rPr>
            </w:pPr>
          </w:p>
        </w:tc>
        <w:tc>
          <w:tcPr>
            <w:tcW w:w="9800" w:type="dxa"/>
            <w:vAlign w:val="bottom"/>
            <w:shd w:val="clear" w:color="auto" w:fill="CCEEFF"/>
          </w:tcPr>
          <w:p>
            <w:pPr>
              <w:ind w:left="180"/>
              <w:spacing w:after="0" w:line="183" w:lineRule="exact"/>
              <w:rPr>
                <w:rFonts w:ascii="Arial" w:cs="Arial" w:eastAsia="Arial" w:hAnsi="Arial"/>
                <w:sz w:val="17"/>
                <w:szCs w:val="17"/>
                <w:color w:val="0000FF"/>
                <w:w w:val="95"/>
              </w:rPr>
            </w:pPr>
            <w:hyperlink r:id="rId148">
              <w:r>
                <w:rPr>
                  <w:rFonts w:ascii="Arial" w:cs="Arial" w:eastAsia="Arial" w:hAnsi="Arial"/>
                  <w:sz w:val="17"/>
                  <w:szCs w:val="17"/>
                  <w:color w:val="0000FF"/>
                  <w:w w:val="95"/>
                </w:rPr>
                <w:t>Amendment to Employment Agreement, dated April 3, 2020, between Aviat Networks, Inc. and Eric Chang (incorporated by reference</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0000FF"/>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CCEEFF"/>
              <w:lef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CCEEFF"/>
            </w:tcBorders>
            <w:shd w:val="clear" w:color="auto" w:fill="CCEEFF"/>
          </w:tcPr>
          <w:p>
            <w:pPr>
              <w:ind w:left="180"/>
              <w:spacing w:after="0" w:line="189" w:lineRule="exact"/>
              <w:rPr>
                <w:rFonts w:ascii="Arial" w:cs="Arial" w:eastAsia="Arial" w:hAnsi="Arial"/>
                <w:sz w:val="17"/>
                <w:szCs w:val="17"/>
                <w:color w:val="0000FF"/>
              </w:rPr>
            </w:pPr>
            <w:hyperlink r:id="rId148">
              <w:r>
                <w:rPr>
                  <w:rFonts w:ascii="Arial" w:cs="Arial" w:eastAsia="Arial" w:hAnsi="Arial"/>
                  <w:sz w:val="17"/>
                  <w:szCs w:val="17"/>
                  <w:color w:val="0000FF"/>
                </w:rPr>
                <w:t>to Exhibit 10.1 to the Current Report on Form 8-K filed with the SEC on April 3, 2020, File No. 001-33278)</w:t>
              </w:r>
            </w:hyperlink>
          </w:p>
        </w:tc>
      </w:tr>
      <w:tr>
        <w:trPr>
          <w:trHeight w:val="183"/>
        </w:trPr>
        <w:tc>
          <w:tcPr>
            <w:tcW w:w="400" w:type="dxa"/>
            <w:vAlign w:val="bottom"/>
            <w:gridSpan w:val="3"/>
          </w:tcPr>
          <w:p>
            <w:pPr>
              <w:ind w:left="20"/>
              <w:spacing w:after="0" w:line="183" w:lineRule="exact"/>
              <w:rPr>
                <w:rFonts w:ascii="Arial" w:cs="Arial" w:eastAsia="Arial" w:hAnsi="Arial"/>
                <w:sz w:val="17"/>
                <w:szCs w:val="17"/>
                <w:color w:val="0000FF"/>
              </w:rPr>
            </w:pPr>
            <w:hyperlink r:id="rId149">
              <w:r>
                <w:rPr>
                  <w:rFonts w:ascii="Arial" w:cs="Arial" w:eastAsia="Arial" w:hAnsi="Arial"/>
                  <w:sz w:val="17"/>
                  <w:szCs w:val="17"/>
                  <w:color w:val="0000FF"/>
                </w:rPr>
                <w:t>10.</w:t>
              </w:r>
              <w:r>
                <w:rPr>
                  <w:rFonts w:ascii="Arial" w:cs="Arial" w:eastAsia="Arial" w:hAnsi="Arial"/>
                  <w:sz w:val="17"/>
                  <w:szCs w:val="17"/>
                  <w:u w:val="single" w:color="auto"/>
                  <w:color w:val="0000FF"/>
                </w:rPr>
                <w:t>8</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Pr>
          <w:p>
            <w:pPr>
              <w:ind w:left="180"/>
              <w:spacing w:after="0" w:line="183" w:lineRule="exact"/>
              <w:rPr>
                <w:rFonts w:ascii="Arial" w:cs="Arial" w:eastAsia="Arial" w:hAnsi="Arial"/>
                <w:sz w:val="17"/>
                <w:szCs w:val="17"/>
                <w:color w:val="0000FF"/>
                <w:w w:val="97"/>
              </w:rPr>
            </w:pPr>
            <w:hyperlink r:id="rId149">
              <w:r>
                <w:rPr>
                  <w:rFonts w:ascii="Arial" w:cs="Arial" w:eastAsia="Arial" w:hAnsi="Arial"/>
                  <w:sz w:val="17"/>
                  <w:szCs w:val="17"/>
                  <w:color w:val="0000FF"/>
                  <w:w w:val="97"/>
                </w:rPr>
                <w:t>Lease Agreement, dated June 8, 2016, between Aviat Networks, Inc., through its wholly owned subsidiary Aviat U.S., Inc., and The</w:t>
              </w:r>
            </w:hyperlink>
          </w:p>
        </w:tc>
      </w:tr>
      <w:tr>
        <w:trPr>
          <w:trHeight w:val="137"/>
        </w:trPr>
        <w:tc>
          <w:tcPr>
            <w:tcW w:w="2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0" w:type="dxa"/>
            <w:vAlign w:val="bottom"/>
          </w:tcPr>
          <w:p>
            <w:pPr>
              <w:ind w:left="180"/>
              <w:spacing w:after="0" w:line="138" w:lineRule="exact"/>
              <w:rPr>
                <w:rFonts w:ascii="Arial" w:cs="Arial" w:eastAsia="Arial" w:hAnsi="Arial"/>
                <w:sz w:val="15"/>
                <w:szCs w:val="15"/>
                <w:color w:val="0000FF"/>
              </w:rPr>
            </w:pPr>
            <w:hyperlink r:id="rId149">
              <w:r>
                <w:rPr>
                  <w:rFonts w:ascii="Arial" w:cs="Arial" w:eastAsia="Arial" w:hAnsi="Arial"/>
                  <w:sz w:val="15"/>
                  <w:szCs w:val="15"/>
                  <w:color w:val="0000FF"/>
                </w:rPr>
                <w:t>Irvine Company LLC (incorporated by reference to Exhibit 10.34 to the Annual Report on Form 10-K for fiscal year end July 1, 2016</w:t>
              </w:r>
            </w:hyperlink>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0" w:type="dxa"/>
            <w:vAlign w:val="bottom"/>
          </w:tcPr>
          <w:p>
            <w:pPr>
              <w:ind w:left="180"/>
              <w:spacing w:after="0"/>
              <w:rPr>
                <w:rFonts w:ascii="Arial" w:cs="Arial" w:eastAsia="Arial" w:hAnsi="Arial"/>
                <w:sz w:val="17"/>
                <w:szCs w:val="17"/>
                <w:color w:val="0000FF"/>
              </w:rPr>
            </w:pPr>
            <w:hyperlink r:id="rId149">
              <w:r>
                <w:rPr>
                  <w:rFonts w:ascii="Arial" w:cs="Arial" w:eastAsia="Arial" w:hAnsi="Arial"/>
                  <w:sz w:val="17"/>
                  <w:szCs w:val="17"/>
                  <w:color w:val="0000FF"/>
                </w:rPr>
                <w:t>filed with the SEC on September 9, 2016, File No. 001-33278)</w:t>
              </w:r>
            </w:hyperlink>
          </w:p>
        </w:tc>
      </w:tr>
      <w:tr>
        <w:trPr>
          <w:trHeight w:val="188"/>
        </w:trPr>
        <w:tc>
          <w:tcPr>
            <w:tcW w:w="500" w:type="dxa"/>
            <w:vAlign w:val="bottom"/>
            <w:tcBorders>
              <w:bottom w:val="single" w:sz="8" w:color="CCEEFF"/>
            </w:tcBorders>
            <w:gridSpan w:val="5"/>
            <w:shd w:val="clear" w:color="auto" w:fill="CCEEFF"/>
          </w:tcPr>
          <w:p>
            <w:pPr>
              <w:ind w:left="20"/>
              <w:spacing w:after="0" w:line="157" w:lineRule="exact"/>
              <w:rPr>
                <w:rFonts w:ascii="Arial" w:cs="Arial" w:eastAsia="Arial" w:hAnsi="Arial"/>
                <w:sz w:val="17"/>
                <w:szCs w:val="17"/>
                <w:color w:val="0000FF"/>
              </w:rPr>
            </w:pPr>
            <w:hyperlink r:id="rId150">
              <w:r>
                <w:rPr>
                  <w:rFonts w:ascii="Arial" w:cs="Arial" w:eastAsia="Arial" w:hAnsi="Arial"/>
                  <w:sz w:val="17"/>
                  <w:szCs w:val="17"/>
                  <w:color w:val="0000FF"/>
                </w:rPr>
                <w:t>10.</w:t>
              </w:r>
              <w:r>
                <w:rPr>
                  <w:rFonts w:ascii="Arial" w:cs="Arial" w:eastAsia="Arial" w:hAnsi="Arial"/>
                  <w:sz w:val="17"/>
                  <w:szCs w:val="17"/>
                  <w:u w:val="single" w:color="auto"/>
                  <w:color w:val="0000FF"/>
                </w:rPr>
                <w:t>9+</w:t>
              </w:r>
            </w:hyperlink>
          </w:p>
        </w:tc>
        <w:tc>
          <w:tcPr>
            <w:tcW w:w="740" w:type="dxa"/>
            <w:vAlign w:val="bottom"/>
            <w:tcBorders>
              <w:left w:val="single" w:sz="8" w:color="CCEEFF"/>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CCEEFF"/>
            </w:tcBorders>
            <w:shd w:val="clear" w:color="auto" w:fill="CCEEFF"/>
          </w:tcPr>
          <w:p>
            <w:pPr>
              <w:ind w:left="180"/>
              <w:spacing w:after="0" w:line="157" w:lineRule="exact"/>
              <w:rPr>
                <w:rFonts w:ascii="Arial" w:cs="Arial" w:eastAsia="Arial" w:hAnsi="Arial"/>
                <w:sz w:val="17"/>
                <w:szCs w:val="17"/>
                <w:color w:val="0000FF"/>
                <w:w w:val="96"/>
              </w:rPr>
            </w:pPr>
            <w:hyperlink r:id="rId150">
              <w:r>
                <w:rPr>
                  <w:rFonts w:ascii="Arial" w:cs="Arial" w:eastAsia="Arial" w:hAnsi="Arial"/>
                  <w:sz w:val="17"/>
                  <w:szCs w:val="17"/>
                  <w:color w:val="0000FF"/>
                  <w:w w:val="96"/>
                </w:rPr>
                <w:t>Employment Agreement, dated January 2, 2020, between Aviat Networks, Inc. and Peter Smith (incorporated by reference to Exhibit</w:t>
              </w:r>
            </w:hyperlink>
          </w:p>
        </w:tc>
      </w:tr>
      <w:tr>
        <w:trPr>
          <w:trHeight w:val="137"/>
        </w:trPr>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0000FF"/>
              <w:right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800" w:type="dxa"/>
            <w:vAlign w:val="bottom"/>
            <w:tcBorders>
              <w:top w:val="single" w:sz="8" w:color="CCEEFF"/>
            </w:tcBorders>
            <w:shd w:val="clear" w:color="auto" w:fill="CCEEFF"/>
          </w:tcPr>
          <w:p>
            <w:pPr>
              <w:ind w:left="180"/>
              <w:spacing w:after="0" w:line="137" w:lineRule="exact"/>
              <w:rPr>
                <w:rFonts w:ascii="Arial" w:cs="Arial" w:eastAsia="Arial" w:hAnsi="Arial"/>
                <w:sz w:val="15"/>
                <w:szCs w:val="15"/>
                <w:color w:val="0000FF"/>
              </w:rPr>
            </w:pPr>
            <w:hyperlink r:id="rId150">
              <w:r>
                <w:rPr>
                  <w:rFonts w:ascii="Arial" w:cs="Arial" w:eastAsia="Arial" w:hAnsi="Arial"/>
                  <w:sz w:val="15"/>
                  <w:szCs w:val="15"/>
                  <w:color w:val="0000FF"/>
                </w:rPr>
                <w:t>10.1 to the Current Report on Form 8-K filed with the SEC on January 2, 2020, File No. 001-33278)</w:t>
              </w:r>
            </w:hyperlink>
          </w:p>
        </w:tc>
      </w:tr>
      <w:tr>
        <w:trPr>
          <w:trHeight w:val="183"/>
        </w:trPr>
        <w:tc>
          <w:tcPr>
            <w:tcW w:w="1240" w:type="dxa"/>
            <w:vAlign w:val="bottom"/>
            <w:gridSpan w:val="6"/>
          </w:tcPr>
          <w:p>
            <w:pPr>
              <w:ind w:left="20"/>
              <w:spacing w:after="0" w:line="183" w:lineRule="exact"/>
              <w:rPr>
                <w:rFonts w:ascii="Arial" w:cs="Arial" w:eastAsia="Arial" w:hAnsi="Arial"/>
                <w:sz w:val="17"/>
                <w:szCs w:val="17"/>
                <w:color w:val="0000FF"/>
              </w:rPr>
            </w:pPr>
            <w:hyperlink r:id="rId151">
              <w:r>
                <w:rPr>
                  <w:rFonts w:ascii="Arial" w:cs="Arial" w:eastAsia="Arial" w:hAnsi="Arial"/>
                  <w:sz w:val="17"/>
                  <w:szCs w:val="17"/>
                  <w:color w:val="0000FF"/>
                </w:rPr>
                <w:t>10.</w:t>
              </w:r>
              <w:r>
                <w:rPr>
                  <w:rFonts w:ascii="Arial" w:cs="Arial" w:eastAsia="Arial" w:hAnsi="Arial"/>
                  <w:sz w:val="17"/>
                  <w:szCs w:val="17"/>
                  <w:u w:val="single" w:color="auto"/>
                  <w:color w:val="0000FF"/>
                </w:rPr>
                <w:t>9.1+</w:t>
              </w:r>
            </w:hyperlink>
          </w:p>
        </w:tc>
        <w:tc>
          <w:tcPr>
            <w:tcW w:w="200" w:type="dxa"/>
            <w:vAlign w:val="bottom"/>
          </w:tcPr>
          <w:p>
            <w:pPr>
              <w:spacing w:after="0"/>
              <w:rPr>
                <w:sz w:val="15"/>
                <w:szCs w:val="15"/>
                <w:color w:val="auto"/>
              </w:rPr>
            </w:pPr>
          </w:p>
        </w:tc>
        <w:tc>
          <w:tcPr>
            <w:tcW w:w="9800" w:type="dxa"/>
            <w:vAlign w:val="bottom"/>
          </w:tcPr>
          <w:p>
            <w:pPr>
              <w:ind w:left="180"/>
              <w:spacing w:after="0" w:line="183" w:lineRule="exact"/>
              <w:rPr>
                <w:rFonts w:ascii="Arial" w:cs="Arial" w:eastAsia="Arial" w:hAnsi="Arial"/>
                <w:sz w:val="17"/>
                <w:szCs w:val="17"/>
                <w:color w:val="0000FF"/>
                <w:w w:val="95"/>
              </w:rPr>
            </w:pPr>
            <w:hyperlink r:id="rId152">
              <w:r>
                <w:rPr>
                  <w:rFonts w:ascii="Arial" w:cs="Arial" w:eastAsia="Arial" w:hAnsi="Arial"/>
                  <w:sz w:val="17"/>
                  <w:szCs w:val="17"/>
                  <w:color w:val="0000FF"/>
                  <w:w w:val="95"/>
                </w:rPr>
                <w:t>First Amendment to the Employment Agreement between Aviat Networks, Inc. and Peter Smith, dated May 17, 2021 (incorporated by</w:t>
              </w:r>
            </w:hyperlink>
          </w:p>
        </w:tc>
      </w:tr>
      <w:tr>
        <w:trPr>
          <w:trHeight w:val="189"/>
        </w:trPr>
        <w:tc>
          <w:tcPr>
            <w:tcW w:w="2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Pr>
          <w:p>
            <w:pPr>
              <w:ind w:left="180"/>
              <w:spacing w:after="0" w:line="189" w:lineRule="exact"/>
              <w:rPr>
                <w:rFonts w:ascii="Arial" w:cs="Arial" w:eastAsia="Arial" w:hAnsi="Arial"/>
                <w:sz w:val="17"/>
                <w:szCs w:val="17"/>
                <w:color w:val="0000FF"/>
              </w:rPr>
            </w:pPr>
            <w:hyperlink r:id="rId152">
              <w:r>
                <w:rPr>
                  <w:rFonts w:ascii="Arial" w:cs="Arial" w:eastAsia="Arial" w:hAnsi="Arial"/>
                  <w:sz w:val="17"/>
                  <w:szCs w:val="17"/>
                  <w:color w:val="0000FF"/>
                </w:rPr>
                <w:t>reference to Exhibit 10.1 to the Current Report on Form 8-K filed with the SEC on May 18, 2021, File No. 001-33278)</w:t>
              </w:r>
            </w:hyperlink>
          </w:p>
        </w:tc>
      </w:tr>
      <w:tr>
        <w:trPr>
          <w:trHeight w:val="183"/>
        </w:trPr>
        <w:tc>
          <w:tcPr>
            <w:tcW w:w="1240" w:type="dxa"/>
            <w:vAlign w:val="bottom"/>
            <w:gridSpan w:val="6"/>
            <w:shd w:val="clear" w:color="auto" w:fill="CCEEFF"/>
          </w:tcPr>
          <w:p>
            <w:pPr>
              <w:ind w:left="20"/>
              <w:spacing w:after="0" w:line="183" w:lineRule="exact"/>
              <w:rPr>
                <w:rFonts w:ascii="Arial" w:cs="Arial" w:eastAsia="Arial" w:hAnsi="Arial"/>
                <w:sz w:val="17"/>
                <w:szCs w:val="17"/>
                <w:color w:val="0000FF"/>
              </w:rPr>
            </w:pPr>
            <w:hyperlink r:id="rId153">
              <w:r>
                <w:rPr>
                  <w:rFonts w:ascii="Arial" w:cs="Arial" w:eastAsia="Arial" w:hAnsi="Arial"/>
                  <w:sz w:val="17"/>
                  <w:szCs w:val="17"/>
                  <w:color w:val="0000FF"/>
                </w:rPr>
                <w:t>10.</w:t>
              </w:r>
              <w:r>
                <w:rPr>
                  <w:rFonts w:ascii="Arial" w:cs="Arial" w:eastAsia="Arial" w:hAnsi="Arial"/>
                  <w:sz w:val="17"/>
                  <w:szCs w:val="17"/>
                  <w:u w:val="single" w:color="auto"/>
                  <w:color w:val="0000FF"/>
                </w:rPr>
                <w:t>9.2+</w:t>
              </w:r>
            </w:hyperlink>
          </w:p>
        </w:tc>
        <w:tc>
          <w:tcPr>
            <w:tcW w:w="200" w:type="dxa"/>
            <w:vAlign w:val="bottom"/>
            <w:shd w:val="clear" w:color="auto" w:fill="CCEEFF"/>
          </w:tcPr>
          <w:p>
            <w:pPr>
              <w:spacing w:after="0"/>
              <w:rPr>
                <w:sz w:val="15"/>
                <w:szCs w:val="15"/>
                <w:color w:val="auto"/>
              </w:rPr>
            </w:pPr>
          </w:p>
        </w:tc>
        <w:tc>
          <w:tcPr>
            <w:tcW w:w="9800" w:type="dxa"/>
            <w:vAlign w:val="bottom"/>
            <w:shd w:val="clear" w:color="auto" w:fill="CCEEFF"/>
          </w:tcPr>
          <w:p>
            <w:pPr>
              <w:ind w:left="180"/>
              <w:spacing w:after="0" w:line="183" w:lineRule="exact"/>
              <w:rPr>
                <w:rFonts w:ascii="Arial" w:cs="Arial" w:eastAsia="Arial" w:hAnsi="Arial"/>
                <w:sz w:val="17"/>
                <w:szCs w:val="17"/>
                <w:color w:val="0000FF"/>
                <w:w w:val="93"/>
              </w:rPr>
            </w:pPr>
            <w:hyperlink r:id="rId154">
              <w:r>
                <w:rPr>
                  <w:rFonts w:ascii="Arial" w:cs="Arial" w:eastAsia="Arial" w:hAnsi="Arial"/>
                  <w:sz w:val="17"/>
                  <w:szCs w:val="17"/>
                  <w:color w:val="0000FF"/>
                  <w:w w:val="93"/>
                </w:rPr>
                <w:t>Second Amendment to Employment Agreement, dated July 4, 2021, between the Company and Pete Smith (incorporated by reference to</w:t>
              </w:r>
            </w:hyperlink>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0000FF"/>
              <w:right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0" w:type="dxa"/>
            <w:vAlign w:val="bottom"/>
            <w:tcBorders>
              <w:top w:val="single" w:sz="8" w:color="CCEEFF"/>
            </w:tcBorders>
            <w:shd w:val="clear" w:color="auto" w:fill="CCEEFF"/>
          </w:tcPr>
          <w:p>
            <w:pPr>
              <w:ind w:left="180"/>
              <w:spacing w:after="0"/>
              <w:rPr>
                <w:rFonts w:ascii="Arial" w:cs="Arial" w:eastAsia="Arial" w:hAnsi="Arial"/>
                <w:sz w:val="17"/>
                <w:szCs w:val="17"/>
                <w:color w:val="0000FF"/>
              </w:rPr>
            </w:pPr>
            <w:hyperlink r:id="rId154">
              <w:r>
                <w:rPr>
                  <w:rFonts w:ascii="Arial" w:cs="Arial" w:eastAsia="Arial" w:hAnsi="Arial"/>
                  <w:sz w:val="17"/>
                  <w:szCs w:val="17"/>
                  <w:color w:val="0000FF"/>
                </w:rPr>
                <w:t>Exhibit 10.1 to the Current Report on Form 8-K filed with the SEC on July 7, 2021, File No. 001-33278)</w:t>
              </w:r>
            </w:hyperlink>
          </w:p>
        </w:tc>
      </w:tr>
      <w:tr>
        <w:trPr>
          <w:trHeight w:val="183"/>
        </w:trPr>
        <w:tc>
          <w:tcPr>
            <w:tcW w:w="500" w:type="dxa"/>
            <w:vAlign w:val="bottom"/>
            <w:gridSpan w:val="5"/>
          </w:tcPr>
          <w:p>
            <w:pPr>
              <w:ind w:left="20"/>
              <w:spacing w:after="0" w:line="163" w:lineRule="exact"/>
              <w:rPr>
                <w:rFonts w:ascii="Arial" w:cs="Arial" w:eastAsia="Arial" w:hAnsi="Arial"/>
                <w:sz w:val="17"/>
                <w:szCs w:val="17"/>
                <w:color w:val="0000FF"/>
                <w:w w:val="83"/>
              </w:rPr>
            </w:pPr>
            <w:hyperlink r:id="rId155">
              <w:r>
                <w:rPr>
                  <w:rFonts w:ascii="Arial" w:cs="Arial" w:eastAsia="Arial" w:hAnsi="Arial"/>
                  <w:sz w:val="17"/>
                  <w:szCs w:val="17"/>
                  <w:color w:val="0000FF"/>
                  <w:w w:val="83"/>
                </w:rPr>
                <w:t>10.</w:t>
              </w:r>
              <w:r>
                <w:rPr>
                  <w:rFonts w:ascii="Arial" w:cs="Arial" w:eastAsia="Arial" w:hAnsi="Arial"/>
                  <w:sz w:val="17"/>
                  <w:szCs w:val="17"/>
                  <w:u w:val="single" w:color="auto"/>
                  <w:color w:val="0000FF"/>
                  <w:w w:val="83"/>
                </w:rPr>
                <w:t>10+</w:t>
              </w:r>
            </w:hyperlink>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Pr>
          <w:p>
            <w:pPr>
              <w:ind w:left="180"/>
              <w:spacing w:after="0" w:line="163"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Aviat Networks, Inc. 2018 Incentive Plan (incorporated by reference to Appendix A to the Registrant’s Proxy Statement on schedule 14A</w:t>
              </w:r>
            </w:hyperlink>
          </w:p>
        </w:tc>
      </w:tr>
      <w:tr>
        <w:trPr>
          <w:trHeight w:val="235"/>
        </w:trPr>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0" w:type="dxa"/>
            <w:vAlign w:val="bottom"/>
          </w:tcPr>
          <w:p>
            <w:pPr>
              <w:ind w:left="180"/>
              <w:spacing w:after="0"/>
              <w:rPr>
                <w:rFonts w:ascii="Arial" w:cs="Arial" w:eastAsia="Arial" w:hAnsi="Arial"/>
                <w:sz w:val="17"/>
                <w:szCs w:val="17"/>
                <w:color w:val="0000FF"/>
              </w:rPr>
            </w:pPr>
            <w:hyperlink r:id="rId156">
              <w:r>
                <w:rPr>
                  <w:rFonts w:ascii="Arial" w:cs="Arial" w:eastAsia="Arial" w:hAnsi="Arial"/>
                  <w:sz w:val="17"/>
                  <w:szCs w:val="17"/>
                  <w:color w:val="0000FF"/>
                </w:rPr>
                <w:t>filed with the SEC on February 12, 2018, File No. 001-33278)</w:t>
              </w:r>
            </w:hyperlink>
          </w:p>
        </w:tc>
      </w:tr>
      <w:tr>
        <w:trPr>
          <w:trHeight w:val="190"/>
        </w:trPr>
        <w:tc>
          <w:tcPr>
            <w:tcW w:w="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line="189" w:lineRule="exact"/>
              <w:rPr>
                <w:rFonts w:ascii="Arial" w:cs="Arial" w:eastAsia="Arial" w:hAnsi="Arial"/>
                <w:sz w:val="17"/>
                <w:szCs w:val="17"/>
                <w:color w:val="0000FF"/>
              </w:rPr>
            </w:pPr>
            <w:hyperlink w:anchor="page107">
              <w:r>
                <w:rPr>
                  <w:rFonts w:ascii="Arial" w:cs="Arial" w:eastAsia="Arial" w:hAnsi="Arial"/>
                  <w:sz w:val="17"/>
                  <w:szCs w:val="17"/>
                  <w:color w:val="0000FF"/>
                </w:rPr>
                <w:t>21*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0" w:type="dxa"/>
            <w:vAlign w:val="bottom"/>
            <w:shd w:val="clear" w:color="auto" w:fill="CCEEFF"/>
          </w:tcPr>
          <w:p>
            <w:pPr>
              <w:ind w:left="180"/>
              <w:spacing w:after="0" w:line="189" w:lineRule="exact"/>
              <w:rPr>
                <w:rFonts w:ascii="Arial" w:cs="Arial" w:eastAsia="Arial" w:hAnsi="Arial"/>
                <w:sz w:val="17"/>
                <w:szCs w:val="17"/>
                <w:color w:val="0000FF"/>
              </w:rPr>
            </w:pPr>
            <w:hyperlink w:anchor="page107">
              <w:r>
                <w:rPr>
                  <w:rFonts w:ascii="Arial" w:cs="Arial" w:eastAsia="Arial" w:hAnsi="Arial"/>
                  <w:sz w:val="17"/>
                  <w:szCs w:val="17"/>
                  <w:color w:val="0000FF"/>
                </w:rPr>
                <w:t>List of Subsidiaries of Aviat Networks, Inc.</w:t>
              </w:r>
            </w:hyperlink>
          </w:p>
        </w:tc>
      </w:tr>
      <w:tr>
        <w:trPr>
          <w:trHeight w:val="39"/>
        </w:trPr>
        <w:tc>
          <w:tcPr>
            <w:tcW w:w="2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0" w:type="dxa"/>
            <w:vAlign w:val="bottom"/>
            <w:shd w:val="clear" w:color="auto" w:fill="CCEEFF"/>
          </w:tcPr>
          <w:p>
            <w:pPr>
              <w:spacing w:after="0"/>
              <w:rPr>
                <w:sz w:val="3"/>
                <w:szCs w:val="3"/>
                <w:color w:val="auto"/>
              </w:rPr>
            </w:pPr>
          </w:p>
        </w:tc>
      </w:tr>
      <w:tr>
        <w:trPr>
          <w:trHeight w:val="193"/>
        </w:trPr>
        <w:tc>
          <w:tcPr>
            <w:tcW w:w="20" w:type="dxa"/>
            <w:vAlign w:val="bottom"/>
          </w:tcPr>
          <w:p>
            <w:pPr>
              <w:spacing w:after="0"/>
              <w:rPr>
                <w:sz w:val="16"/>
                <w:szCs w:val="16"/>
                <w:color w:val="auto"/>
              </w:rPr>
            </w:pPr>
          </w:p>
        </w:tc>
        <w:tc>
          <w:tcPr>
            <w:tcW w:w="400" w:type="dxa"/>
            <w:vAlign w:val="bottom"/>
            <w:tcBorders>
              <w:bottom w:val="single" w:sz="8" w:color="0000FF"/>
            </w:tcBorders>
            <w:gridSpan w:val="3"/>
          </w:tcPr>
          <w:p>
            <w:pPr>
              <w:spacing w:after="0" w:line="183" w:lineRule="exact"/>
              <w:rPr>
                <w:rFonts w:ascii="Arial" w:cs="Arial" w:eastAsia="Arial" w:hAnsi="Arial"/>
                <w:sz w:val="17"/>
                <w:szCs w:val="17"/>
                <w:color w:val="0000FF"/>
                <w:w w:val="95"/>
              </w:rPr>
            </w:pPr>
            <w:hyperlink w:anchor="page108">
              <w:r>
                <w:rPr>
                  <w:rFonts w:ascii="Arial" w:cs="Arial" w:eastAsia="Arial" w:hAnsi="Arial"/>
                  <w:sz w:val="17"/>
                  <w:szCs w:val="17"/>
                  <w:color w:val="0000FF"/>
                  <w:w w:val="95"/>
                </w:rPr>
                <w:t>23.</w:t>
              </w:r>
              <w:r>
                <w:rPr>
                  <w:rFonts w:ascii="Arial" w:cs="Arial" w:eastAsia="Arial" w:hAnsi="Arial"/>
                  <w:sz w:val="17"/>
                  <w:szCs w:val="17"/>
                  <w:u w:val="single" w:color="auto"/>
                  <w:color w:val="0000FF"/>
                  <w:w w:val="95"/>
                </w:rPr>
                <w:t>1*</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Pr>
          <w:p>
            <w:pPr>
              <w:ind w:left="180"/>
              <w:spacing w:after="0" w:line="183" w:lineRule="exact"/>
              <w:rPr>
                <w:rFonts w:ascii="Arial" w:cs="Arial" w:eastAsia="Arial" w:hAnsi="Arial"/>
                <w:sz w:val="17"/>
                <w:szCs w:val="17"/>
                <w:color w:val="0000FF"/>
              </w:rPr>
            </w:pPr>
            <w:hyperlink w:anchor="page108">
              <w:r>
                <w:rPr>
                  <w:rFonts w:ascii="Arial" w:cs="Arial" w:eastAsia="Arial" w:hAnsi="Arial"/>
                  <w:sz w:val="17"/>
                  <w:szCs w:val="17"/>
                  <w:color w:val="0000FF"/>
                </w:rPr>
                <w:t>Consent of BDO USA, LLP</w:t>
              </w:r>
            </w:hyperlink>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0000FF"/>
            </w:tcBorders>
            <w:gridSpan w:val="3"/>
            <w:shd w:val="clear" w:color="auto" w:fill="CCEEFF"/>
          </w:tcPr>
          <w:p>
            <w:pPr>
              <w:spacing w:after="0" w:line="193" w:lineRule="exact"/>
              <w:rPr>
                <w:rFonts w:ascii="Arial" w:cs="Arial" w:eastAsia="Arial" w:hAnsi="Arial"/>
                <w:sz w:val="17"/>
                <w:szCs w:val="17"/>
                <w:color w:val="0000FF"/>
                <w:w w:val="95"/>
              </w:rPr>
            </w:pPr>
            <w:hyperlink w:anchor="page109">
              <w:r>
                <w:rPr>
                  <w:rFonts w:ascii="Arial" w:cs="Arial" w:eastAsia="Arial" w:hAnsi="Arial"/>
                  <w:sz w:val="17"/>
                  <w:szCs w:val="17"/>
                  <w:color w:val="0000FF"/>
                  <w:w w:val="95"/>
                </w:rPr>
                <w:t>31.</w:t>
              </w:r>
              <w:r>
                <w:rPr>
                  <w:rFonts w:ascii="Arial" w:cs="Arial" w:eastAsia="Arial" w:hAnsi="Arial"/>
                  <w:sz w:val="17"/>
                  <w:szCs w:val="17"/>
                  <w:u w:val="single" w:color="auto"/>
                  <w:color w:val="0000FF"/>
                  <w:w w:val="95"/>
                </w:rPr>
                <w:t>1*</w:t>
              </w:r>
            </w:hyperlink>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left w:val="single" w:sz="8" w:color="CCEEFF"/>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0" w:type="dxa"/>
            <w:vAlign w:val="bottom"/>
            <w:tcBorders>
              <w:bottom w:val="single" w:sz="8" w:color="CCEEFF"/>
            </w:tcBorders>
            <w:shd w:val="clear" w:color="auto" w:fill="CCEEFF"/>
          </w:tcPr>
          <w:p>
            <w:pPr>
              <w:ind w:left="180"/>
              <w:spacing w:after="0" w:line="193" w:lineRule="exact"/>
              <w:rPr>
                <w:rFonts w:ascii="Arial" w:cs="Arial" w:eastAsia="Arial" w:hAnsi="Arial"/>
                <w:sz w:val="17"/>
                <w:szCs w:val="17"/>
                <w:color w:val="0000FF"/>
              </w:rPr>
            </w:pPr>
            <w:hyperlink w:anchor="page109">
              <w:r>
                <w:rPr>
                  <w:rFonts w:ascii="Arial" w:cs="Arial" w:eastAsia="Arial" w:hAnsi="Arial"/>
                  <w:sz w:val="17"/>
                  <w:szCs w:val="17"/>
                  <w:color w:val="0000FF"/>
                </w:rPr>
                <w:t>Rule 13a-14(a)/15d-14(a) Certification of Chief Executive Officer</w:t>
              </w:r>
            </w:hyperlink>
          </w:p>
        </w:tc>
      </w:tr>
      <w:tr>
        <w:trPr>
          <w:trHeight w:val="193"/>
        </w:trPr>
        <w:tc>
          <w:tcPr>
            <w:tcW w:w="20" w:type="dxa"/>
            <w:vAlign w:val="bottom"/>
          </w:tcPr>
          <w:p>
            <w:pPr>
              <w:spacing w:after="0"/>
              <w:rPr>
                <w:sz w:val="16"/>
                <w:szCs w:val="16"/>
                <w:color w:val="auto"/>
              </w:rPr>
            </w:pPr>
          </w:p>
        </w:tc>
        <w:tc>
          <w:tcPr>
            <w:tcW w:w="400" w:type="dxa"/>
            <w:vAlign w:val="bottom"/>
            <w:tcBorders>
              <w:bottom w:val="single" w:sz="8" w:color="0000FF"/>
            </w:tcBorders>
            <w:gridSpan w:val="3"/>
          </w:tcPr>
          <w:p>
            <w:pPr>
              <w:spacing w:after="0" w:line="183" w:lineRule="exact"/>
              <w:rPr>
                <w:rFonts w:ascii="Arial" w:cs="Arial" w:eastAsia="Arial" w:hAnsi="Arial"/>
                <w:sz w:val="17"/>
                <w:szCs w:val="17"/>
                <w:color w:val="0000FF"/>
                <w:w w:val="95"/>
              </w:rPr>
            </w:pPr>
            <w:hyperlink w:anchor="page110">
              <w:r>
                <w:rPr>
                  <w:rFonts w:ascii="Arial" w:cs="Arial" w:eastAsia="Arial" w:hAnsi="Arial"/>
                  <w:sz w:val="17"/>
                  <w:szCs w:val="17"/>
                  <w:color w:val="0000FF"/>
                  <w:w w:val="95"/>
                </w:rPr>
                <w:t>31.</w:t>
              </w:r>
              <w:r>
                <w:rPr>
                  <w:rFonts w:ascii="Arial" w:cs="Arial" w:eastAsia="Arial" w:hAnsi="Arial"/>
                  <w:sz w:val="17"/>
                  <w:szCs w:val="17"/>
                  <w:u w:val="single" w:color="auto"/>
                  <w:color w:val="0000FF"/>
                  <w:w w:val="95"/>
                </w:rPr>
                <w:t>2*</w:t>
              </w:r>
            </w:hyperlink>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0" w:type="dxa"/>
            <w:vAlign w:val="bottom"/>
          </w:tcPr>
          <w:p>
            <w:pPr>
              <w:ind w:left="180"/>
              <w:spacing w:after="0" w:line="183" w:lineRule="exact"/>
              <w:rPr>
                <w:rFonts w:ascii="Arial" w:cs="Arial" w:eastAsia="Arial" w:hAnsi="Arial"/>
                <w:sz w:val="17"/>
                <w:szCs w:val="17"/>
                <w:color w:val="0000FF"/>
              </w:rPr>
            </w:pPr>
            <w:hyperlink w:anchor="page110">
              <w:r>
                <w:rPr>
                  <w:rFonts w:ascii="Arial" w:cs="Arial" w:eastAsia="Arial" w:hAnsi="Arial"/>
                  <w:sz w:val="17"/>
                  <w:szCs w:val="17"/>
                  <w:color w:val="0000FF"/>
                </w:rPr>
                <w:t>Rule 13a-14(a)/15d-14(a) Certification of Chief Financial Officer</w:t>
              </w:r>
            </w:hyperlink>
          </w:p>
        </w:tc>
      </w:tr>
      <w:tr>
        <w:trPr>
          <w:trHeight w:val="193"/>
        </w:trPr>
        <w:tc>
          <w:tcPr>
            <w:tcW w:w="20" w:type="dxa"/>
            <w:vAlign w:val="bottom"/>
            <w:shd w:val="clear" w:color="auto" w:fill="CCEEFF"/>
          </w:tcPr>
          <w:p>
            <w:pPr>
              <w:spacing w:after="0"/>
              <w:rPr>
                <w:sz w:val="16"/>
                <w:szCs w:val="16"/>
                <w:color w:val="auto"/>
              </w:rPr>
            </w:pPr>
          </w:p>
        </w:tc>
        <w:tc>
          <w:tcPr>
            <w:tcW w:w="480" w:type="dxa"/>
            <w:vAlign w:val="bottom"/>
            <w:gridSpan w:val="4"/>
            <w:shd w:val="clear" w:color="auto" w:fill="CCEEFF"/>
          </w:tcPr>
          <w:p>
            <w:pPr>
              <w:spacing w:after="0" w:line="193" w:lineRule="exact"/>
              <w:rPr>
                <w:rFonts w:ascii="Arial" w:cs="Arial" w:eastAsia="Arial" w:hAnsi="Arial"/>
                <w:sz w:val="17"/>
                <w:szCs w:val="17"/>
                <w:color w:val="0000FF"/>
                <w:w w:val="94"/>
              </w:rPr>
            </w:pPr>
            <w:hyperlink w:anchor="page111">
              <w:r>
                <w:rPr>
                  <w:rFonts w:ascii="Arial" w:cs="Arial" w:eastAsia="Arial" w:hAnsi="Arial"/>
                  <w:sz w:val="17"/>
                  <w:szCs w:val="17"/>
                  <w:color w:val="0000FF"/>
                  <w:w w:val="94"/>
                </w:rPr>
                <w:t>32.</w:t>
              </w:r>
              <w:r>
                <w:rPr>
                  <w:rFonts w:ascii="Arial" w:cs="Arial" w:eastAsia="Arial" w:hAnsi="Arial"/>
                  <w:sz w:val="17"/>
                  <w:szCs w:val="17"/>
                  <w:u w:val="single" w:color="auto"/>
                  <w:color w:val="0000FF"/>
                  <w:w w:val="94"/>
                </w:rPr>
                <w:t>1**</w:t>
              </w:r>
            </w:hyperlink>
          </w:p>
        </w:tc>
        <w:tc>
          <w:tcPr>
            <w:tcW w:w="74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0" w:type="dxa"/>
            <w:vAlign w:val="bottom"/>
            <w:shd w:val="clear" w:color="auto" w:fill="CCEEFF"/>
          </w:tcPr>
          <w:p>
            <w:pPr>
              <w:ind w:left="180"/>
              <w:spacing w:after="0" w:line="193" w:lineRule="exact"/>
              <w:rPr>
                <w:rFonts w:ascii="Arial" w:cs="Arial" w:eastAsia="Arial" w:hAnsi="Arial"/>
                <w:sz w:val="17"/>
                <w:szCs w:val="17"/>
                <w:color w:val="0000FF"/>
              </w:rPr>
            </w:pPr>
            <w:hyperlink w:anchor="page111">
              <w:r>
                <w:rPr>
                  <w:rFonts w:ascii="Arial" w:cs="Arial" w:eastAsia="Arial" w:hAnsi="Arial"/>
                  <w:sz w:val="17"/>
                  <w:szCs w:val="17"/>
                  <w:color w:val="0000FF"/>
                </w:rPr>
                <w:t>Section 1350 Certification of Chief Executive Officer</w:t>
              </w:r>
            </w:hyperlink>
          </w:p>
        </w:tc>
      </w:tr>
      <w:tr>
        <w:trPr>
          <w:trHeight w:val="39"/>
        </w:trPr>
        <w:tc>
          <w:tcPr>
            <w:tcW w:w="20" w:type="dxa"/>
            <w:vAlign w:val="bottom"/>
            <w:shd w:val="clear" w:color="auto" w:fill="CCEE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4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800" w:type="dxa"/>
            <w:vAlign w:val="bottom"/>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80" w:type="dxa"/>
            <w:vAlign w:val="bottom"/>
            <w:gridSpan w:val="4"/>
          </w:tcPr>
          <w:p>
            <w:pPr>
              <w:spacing w:after="0" w:line="183" w:lineRule="exact"/>
              <w:rPr>
                <w:rFonts w:ascii="Arial" w:cs="Arial" w:eastAsia="Arial" w:hAnsi="Arial"/>
                <w:sz w:val="17"/>
                <w:szCs w:val="17"/>
                <w:color w:val="0000FF"/>
                <w:w w:val="94"/>
              </w:rPr>
            </w:pPr>
            <w:hyperlink w:anchor="page112">
              <w:r>
                <w:rPr>
                  <w:rFonts w:ascii="Arial" w:cs="Arial" w:eastAsia="Arial" w:hAnsi="Arial"/>
                  <w:sz w:val="17"/>
                  <w:szCs w:val="17"/>
                  <w:color w:val="0000FF"/>
                  <w:w w:val="94"/>
                </w:rPr>
                <w:t>32.</w:t>
              </w:r>
              <w:r>
                <w:rPr>
                  <w:rFonts w:ascii="Arial" w:cs="Arial" w:eastAsia="Arial" w:hAnsi="Arial"/>
                  <w:sz w:val="17"/>
                  <w:szCs w:val="17"/>
                  <w:u w:val="single" w:color="auto"/>
                  <w:color w:val="0000FF"/>
                  <w:w w:val="94"/>
                </w:rPr>
                <w:t>2**</w:t>
              </w:r>
            </w:hyperlink>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Pr>
          <w:p>
            <w:pPr>
              <w:ind w:left="180"/>
              <w:spacing w:after="0" w:line="183" w:lineRule="exact"/>
              <w:rPr>
                <w:rFonts w:ascii="Arial" w:cs="Arial" w:eastAsia="Arial" w:hAnsi="Arial"/>
                <w:sz w:val="17"/>
                <w:szCs w:val="17"/>
                <w:color w:val="0000FF"/>
              </w:rPr>
            </w:pPr>
            <w:hyperlink w:anchor="page112">
              <w:r>
                <w:rPr>
                  <w:rFonts w:ascii="Arial" w:cs="Arial" w:eastAsia="Arial" w:hAnsi="Arial"/>
                  <w:sz w:val="17"/>
                  <w:szCs w:val="17"/>
                  <w:color w:val="0000FF"/>
                </w:rPr>
                <w:t>Section 1350 Certification of Chief Financial Officer</w:t>
              </w:r>
            </w:hyperlink>
          </w:p>
        </w:tc>
      </w:tr>
      <w:tr>
        <w:trPr>
          <w:trHeight w:val="30"/>
        </w:trPr>
        <w:tc>
          <w:tcPr>
            <w:tcW w:w="20" w:type="dxa"/>
            <w:vAlign w:val="bottom"/>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0" w:type="dxa"/>
            <w:vAlign w:val="bottom"/>
          </w:tcPr>
          <w:p>
            <w:pPr>
              <w:spacing w:after="0"/>
              <w:rPr>
                <w:sz w:val="2"/>
                <w:szCs w:val="2"/>
                <w:color w:val="auto"/>
              </w:rPr>
            </w:pPr>
          </w:p>
        </w:tc>
      </w:tr>
      <w:tr>
        <w:trPr>
          <w:trHeight w:val="232"/>
        </w:trPr>
        <w:tc>
          <w:tcPr>
            <w:tcW w:w="20" w:type="dxa"/>
            <w:vAlign w:val="bottom"/>
            <w:shd w:val="clear" w:color="auto" w:fill="CCEEFF"/>
          </w:tcPr>
          <w:p>
            <w:pPr>
              <w:spacing w:after="0"/>
              <w:rPr>
                <w:sz w:val="20"/>
                <w:szCs w:val="20"/>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101.INS</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Instance Document</w:t>
            </w: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101.SCH</w:t>
            </w:r>
          </w:p>
        </w:tc>
        <w:tc>
          <w:tcPr>
            <w:tcW w:w="9800" w:type="dxa"/>
            <w:vAlign w:val="bottom"/>
          </w:tcPr>
          <w:p>
            <w:pPr>
              <w:ind w:left="180"/>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101.CAL</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101.DEF</w:t>
            </w:r>
          </w:p>
        </w:tc>
        <w:tc>
          <w:tcPr>
            <w:tcW w:w="9800" w:type="dxa"/>
            <w:vAlign w:val="bottom"/>
          </w:tcPr>
          <w:p>
            <w:pPr>
              <w:ind w:left="180"/>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101.LAB</w:t>
            </w:r>
          </w:p>
        </w:tc>
        <w:tc>
          <w:tcPr>
            <w:tcW w:w="9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XBRL Taxonomy Extension Label Linkbase Document</w:t>
            </w:r>
          </w:p>
        </w:tc>
      </w:tr>
      <w:tr>
        <w:trPr>
          <w:trHeight w:val="222"/>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Arial" w:cs="Arial" w:eastAsia="Arial" w:hAnsi="Arial"/>
                <w:sz w:val="17"/>
                <w:szCs w:val="17"/>
                <w:color w:val="auto"/>
              </w:rPr>
              <w:t>101.PRE</w:t>
            </w:r>
          </w:p>
        </w:tc>
        <w:tc>
          <w:tcPr>
            <w:tcW w:w="9800" w:type="dxa"/>
            <w:vAlign w:val="bottom"/>
          </w:tcPr>
          <w:p>
            <w:pPr>
              <w:ind w:left="18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3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______________________________</w:t>
      </w:r>
    </w:p>
    <w:p>
      <w:pPr>
        <w:spacing w:after="0" w:line="144" w:lineRule="exact"/>
        <w:rPr>
          <w:sz w:val="20"/>
          <w:szCs w:val="20"/>
          <w:color w:val="auto"/>
        </w:rPr>
      </w:pPr>
    </w:p>
    <w:p>
      <w:pPr>
        <w:ind w:left="500" w:hanging="478"/>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Management compensatory contract, arrangement or plan required to be filed as an exhibit pursuant to Item 15(b) of this report.</w:t>
      </w:r>
    </w:p>
    <w:p>
      <w:pPr>
        <w:spacing w:after="0" w:line="25"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Filed herewith.</w:t>
      </w:r>
    </w:p>
    <w:p>
      <w:pPr>
        <w:spacing w:after="0" w:line="2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37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t>Exhibit 4.4</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REGISTERED SECURITIES</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7" w:lineRule="exact"/>
        <w:rPr>
          <w:sz w:val="20"/>
          <w:szCs w:val="20"/>
          <w:color w:val="auto"/>
        </w:rPr>
      </w:pPr>
    </w:p>
    <w:p>
      <w:pPr>
        <w:jc w:val="both"/>
        <w:ind w:firstLine="431"/>
        <w:spacing w:after="0" w:line="250" w:lineRule="auto"/>
        <w:rPr>
          <w:sz w:val="20"/>
          <w:szCs w:val="20"/>
          <w:color w:val="auto"/>
        </w:rPr>
      </w:pPr>
      <w:r>
        <w:rPr>
          <w:rFonts w:ascii="Arial" w:cs="Arial" w:eastAsia="Arial" w:hAnsi="Arial"/>
          <w:sz w:val="21"/>
          <w:szCs w:val="21"/>
          <w:color w:val="auto"/>
        </w:rPr>
        <w:t>Aviat Networks, Inc. (the “Company,” “we,” or “our”) is incorporated in the State of Delaware. We have two classes of registered securities, common stock and preferred share purchase rights (“Rights”). As of August 20, 2021, we have 11,165,221 shares of the Company’s common stock and 11,165,221 Rights outstanding.</w:t>
      </w:r>
    </w:p>
    <w:p>
      <w:pPr>
        <w:spacing w:after="0" w:line="208" w:lineRule="exact"/>
        <w:rPr>
          <w:sz w:val="20"/>
          <w:szCs w:val="20"/>
          <w:color w:val="auto"/>
        </w:rPr>
      </w:pPr>
    </w:p>
    <w:p>
      <w:pPr>
        <w:jc w:val="both"/>
        <w:ind w:firstLine="431"/>
        <w:spacing w:after="0" w:line="283" w:lineRule="auto"/>
        <w:rPr>
          <w:sz w:val="20"/>
          <w:szCs w:val="20"/>
          <w:color w:val="auto"/>
        </w:rPr>
      </w:pPr>
      <w:r>
        <w:rPr>
          <w:rFonts w:ascii="Arial" w:cs="Arial" w:eastAsia="Arial" w:hAnsi="Arial"/>
          <w:sz w:val="19"/>
          <w:szCs w:val="19"/>
          <w:color w:val="auto"/>
        </w:rPr>
        <w:t>The rights of our security holders are generally covered by Delaware law and our certificate of incorporation (“Certificate”) and by-laws (“Bylaws”) (each as amended or restated and in effect as of the date hereof). The terms of our securities are therefore subject to Delaware law, including the Delaware General Corporation Law (the “DGCL”), and the common and constitutional law of Delaware. Additionally, the terms of the Rights are described in that certain Tax Benefit Preservation Plan, dated as of March 3, 2020 (as amended and restated on August 27, 2020, the “Plan”), between the Company and Computershare Inc., as rights agent. We submitted the Plan to a stockholder vote and our stockholders approved the Plan at the 2020 Annual Meeting of Stockholders.</w:t>
      </w:r>
    </w:p>
    <w:p>
      <w:pPr>
        <w:spacing w:after="0" w:line="179" w:lineRule="exact"/>
        <w:rPr>
          <w:sz w:val="20"/>
          <w:szCs w:val="20"/>
          <w:color w:val="auto"/>
        </w:rPr>
      </w:pPr>
    </w:p>
    <w:p>
      <w:pPr>
        <w:jc w:val="both"/>
        <w:ind w:firstLine="431"/>
        <w:spacing w:after="0" w:line="252" w:lineRule="auto"/>
        <w:rPr>
          <w:sz w:val="20"/>
          <w:szCs w:val="20"/>
          <w:color w:val="auto"/>
        </w:rPr>
      </w:pPr>
      <w:r>
        <w:rPr>
          <w:rFonts w:ascii="Arial" w:cs="Arial" w:eastAsia="Arial" w:hAnsi="Arial"/>
          <w:sz w:val="21"/>
          <w:szCs w:val="21"/>
          <w:color w:val="auto"/>
        </w:rPr>
        <w:t>This description is a summary and does not purport to be complete. Our Certificate, Bylaws and the Plan are incorporated by reference or filed as an exhibit to the Annual Report on Form 10-K of which this exhibit is a part, and amendments or restatements of each will be filed with the Securities and Exchange Commission (the “SEC”) in future periodic or current reports in accordance with the rules of the SEC. We encourage you to read our Certificate and Bylaws, the Plan, and the applicable provisions of the DGCL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Authorized Capital Stock</w:t>
      </w:r>
    </w:p>
    <w:p>
      <w:pPr>
        <w:spacing w:after="0" w:line="31" w:lineRule="exact"/>
        <w:rPr>
          <w:sz w:val="20"/>
          <w:szCs w:val="20"/>
          <w:color w:val="auto"/>
        </w:rPr>
      </w:pPr>
    </w:p>
    <w:p>
      <w:pPr>
        <w:jc w:val="both"/>
        <w:ind w:firstLine="431"/>
        <w:spacing w:after="0" w:line="253" w:lineRule="auto"/>
        <w:rPr>
          <w:sz w:val="20"/>
          <w:szCs w:val="20"/>
          <w:color w:val="auto"/>
        </w:rPr>
      </w:pPr>
      <w:r>
        <w:rPr>
          <w:rFonts w:ascii="Arial" w:cs="Arial" w:eastAsia="Arial" w:hAnsi="Arial"/>
          <w:sz w:val="21"/>
          <w:szCs w:val="21"/>
          <w:color w:val="auto"/>
        </w:rPr>
        <w:t>We are authorized to issue 300,000,000 shares of common stock, par value $0.01 per share and 50,000,000 shares of preferred stock, par value $0.01 per share.</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Voting Rights</w:t>
      </w:r>
    </w:p>
    <w:p>
      <w:pPr>
        <w:spacing w:after="0" w:line="7" w:lineRule="exact"/>
        <w:rPr>
          <w:sz w:val="20"/>
          <w:szCs w:val="20"/>
          <w:color w:val="auto"/>
        </w:rPr>
      </w:pPr>
    </w:p>
    <w:p>
      <w:pPr>
        <w:jc w:val="both"/>
        <w:ind w:firstLine="431"/>
        <w:spacing w:after="0" w:line="248" w:lineRule="auto"/>
        <w:rPr>
          <w:sz w:val="20"/>
          <w:szCs w:val="20"/>
          <w:color w:val="auto"/>
        </w:rPr>
      </w:pPr>
      <w:r>
        <w:rPr>
          <w:rFonts w:ascii="Arial" w:cs="Arial" w:eastAsia="Arial" w:hAnsi="Arial"/>
          <w:sz w:val="21"/>
          <w:szCs w:val="21"/>
          <w:color w:val="auto"/>
        </w:rPr>
        <w:t>Holders of our common stock are entitled to one vote per share in the election of directors and on all other matters submitted to a vote at a meeting of shareholders. Holders of our common stock do not have cumulative voting rights, meaning that holders of a majority of the shares of common stock voting for the election of directors can elect all the directors if they choose to do so. The voting rights of holders of our Series A Participating Preferred Stock (“Series A Preferred Stock”), which are discussed in further detail below, or of any future series of preferred stock issued by the board of directors of the Company (the “Board”), may affect the voting power associated with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Dividend Rights</w:t>
      </w:r>
    </w:p>
    <w:p>
      <w:pPr>
        <w:sectPr>
          <w:pgSz w:w="11900" w:h="16838" w:orient="portrait"/>
          <w:cols w:equalWidth="0" w:num="1">
            <w:col w:w="11240"/>
          </w:cols>
          <w:pgMar w:left="320" w:top="1376" w:right="339" w:bottom="1440" w:gutter="0" w:footer="0" w:header="0"/>
        </w:sectPr>
      </w:pPr>
    </w:p>
    <w:bookmarkStart w:id="99" w:name="page100"/>
    <w:bookmarkEnd w:id="99"/>
    <w:p>
      <w:pPr>
        <w:jc w:val="both"/>
        <w:ind w:firstLine="431"/>
        <w:spacing w:after="0" w:line="325" w:lineRule="auto"/>
        <w:rPr>
          <w:sz w:val="20"/>
          <w:szCs w:val="20"/>
          <w:color w:val="auto"/>
        </w:rPr>
      </w:pPr>
      <w:r>
        <w:rPr>
          <w:rFonts w:ascii="Arial" w:cs="Arial" w:eastAsia="Arial" w:hAnsi="Arial"/>
          <w:sz w:val="19"/>
          <w:szCs w:val="19"/>
          <w:color w:val="auto"/>
        </w:rPr>
        <w:t>Subject to prior rights and preferences that may be applicable to any outstanding shares or series of preferred stock, holders of our common stock are entitled to dividends when, as and if declared by our Board out of funds legally available therefor.</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Liquidation Rights</w:t>
      </w:r>
    </w:p>
    <w:p>
      <w:pPr>
        <w:spacing w:after="0" w:line="25" w:lineRule="exact"/>
        <w:rPr>
          <w:sz w:val="20"/>
          <w:szCs w:val="20"/>
          <w:color w:val="auto"/>
        </w:rPr>
      </w:pPr>
    </w:p>
    <w:p>
      <w:pPr>
        <w:jc w:val="both"/>
        <w:ind w:firstLine="431"/>
        <w:spacing w:after="0" w:line="250" w:lineRule="auto"/>
        <w:rPr>
          <w:sz w:val="20"/>
          <w:szCs w:val="20"/>
          <w:color w:val="auto"/>
        </w:rPr>
      </w:pPr>
      <w:r>
        <w:rPr>
          <w:rFonts w:ascii="Arial" w:cs="Arial" w:eastAsia="Arial" w:hAnsi="Arial"/>
          <w:sz w:val="21"/>
          <w:szCs w:val="21"/>
          <w:color w:val="auto"/>
        </w:rPr>
        <w:t>If we liquidate or dissolve our business, whether voluntarily or involuntarily, the holders of common stock will share ratably in the distribution of assets available for distribution to stockholders after creditors are paid and preferred stockholders, including holders of Series A Preferred Stock, if any, receive their distributions.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Other</w:t>
      </w:r>
    </w:p>
    <w:p>
      <w:pPr>
        <w:spacing w:after="0" w:line="25" w:lineRule="exact"/>
        <w:rPr>
          <w:sz w:val="20"/>
          <w:szCs w:val="20"/>
          <w:color w:val="auto"/>
        </w:rPr>
      </w:pPr>
    </w:p>
    <w:p>
      <w:pPr>
        <w:jc w:val="both"/>
        <w:ind w:firstLine="427"/>
        <w:spacing w:after="0" w:line="305" w:lineRule="auto"/>
        <w:rPr>
          <w:sz w:val="20"/>
          <w:szCs w:val="20"/>
          <w:color w:val="auto"/>
        </w:rPr>
      </w:pPr>
      <w:r>
        <w:rPr>
          <w:rFonts w:ascii="Arial" w:cs="Arial" w:eastAsia="Arial" w:hAnsi="Arial"/>
          <w:sz w:val="19"/>
          <w:szCs w:val="19"/>
          <w:color w:val="auto"/>
        </w:rPr>
        <w:t>Our common stock has no preemptive or conversion rights and is not entitled to the benefits of any redemption or sinking fund provision. The outstanding shares of our common stock are fully paid and non-assessable with no restrictions on alienability.</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Stock Exchange Listing</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Our common stock is traded on The Nasdaq Stock Market LLC under the symbol “AVNW.”</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31" w:lineRule="exact"/>
        <w:rPr>
          <w:sz w:val="20"/>
          <w:szCs w:val="20"/>
          <w:color w:val="auto"/>
        </w:rPr>
      </w:pPr>
    </w:p>
    <w:p>
      <w:pPr>
        <w:jc w:val="both"/>
        <w:ind w:firstLine="431"/>
        <w:spacing w:after="0" w:line="260" w:lineRule="auto"/>
        <w:rPr>
          <w:sz w:val="20"/>
          <w:szCs w:val="20"/>
          <w:color w:val="auto"/>
        </w:rPr>
      </w:pPr>
      <w:r>
        <w:rPr>
          <w:rFonts w:ascii="Arial" w:cs="Arial" w:eastAsia="Arial" w:hAnsi="Arial"/>
          <w:sz w:val="20"/>
          <w:szCs w:val="20"/>
          <w:color w:val="auto"/>
        </w:rPr>
        <w:t>The Board generally will be authorized, without further stockholder approval, to issue from time to time up to an aggregate of 50,000,000 shares of preferred stock, in one or more series. Each series of preferred stock will have the number of shares, designations, preferences, voting powers (or special, preferential or no voting powers), relative, participating, optional or other special rights and privileges and such qualifications, limitations or restrictions as is determined by the Board, which may include, among others, the right to provide that the shares of each such series may be: (i) subject to a sinking fund provision or other conditions upon which shares shall be redeemed or purchased;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Company; (iv) convertible into, or exchangeable for, shares of any other class or classes of stock, or of any other series of the same or any other class or classes of stock of the Company at such price or prices or at such rates of exchange and with such adjustments, if any; or (v) entitled to the benefit of such limitations, if any, on the issuance of additional shares of such series or shares of any other series of preferred stock.</w:t>
      </w:r>
    </w:p>
    <w:p>
      <w:pPr>
        <w:spacing w:after="0" w:line="207" w:lineRule="exact"/>
        <w:rPr>
          <w:sz w:val="20"/>
          <w:szCs w:val="20"/>
          <w:color w:val="auto"/>
        </w:rPr>
      </w:pPr>
    </w:p>
    <w:p>
      <w:pPr>
        <w:jc w:val="both"/>
        <w:ind w:firstLine="431"/>
        <w:spacing w:after="0" w:line="266" w:lineRule="auto"/>
        <w:rPr>
          <w:sz w:val="20"/>
          <w:szCs w:val="20"/>
          <w:color w:val="auto"/>
        </w:rPr>
      </w:pPr>
      <w:r>
        <w:rPr>
          <w:rFonts w:ascii="Arial" w:cs="Arial" w:eastAsia="Arial" w:hAnsi="Arial"/>
          <w:sz w:val="20"/>
          <w:szCs w:val="20"/>
          <w:color w:val="auto"/>
        </w:rPr>
        <w:t>The rights of the holders of common stock will generally be subordinate to the rights of holders of any preferred stock issued in the future. The issuance of preferred stock, while providing desirable flexibility in connection with possible acquisitions and other corporate purposes, could adversely affect the voting power or other rights of the holders of common stock, and could make it more difficult for a third party to acquire, or discourage a third party from attempting to acquire, a majority of our outstanding voting stock. As of the date hereof, the Board has designated one series of preferred stock, the Series A Preferred Stock. No shares of the Series A Preferred Stock are currently issued or outstanding.</w:t>
      </w:r>
    </w:p>
    <w:p>
      <w:pPr>
        <w:sectPr>
          <w:pgSz w:w="11900" w:h="16838" w:orient="portrait"/>
          <w:cols w:equalWidth="0" w:num="1">
            <w:col w:w="11240"/>
          </w:cols>
          <w:pgMar w:left="320" w:top="1386" w:right="339" w:bottom="1440" w:gutter="0" w:footer="0" w:header="0"/>
        </w:sectPr>
      </w:pPr>
    </w:p>
    <w:bookmarkStart w:id="100" w:name="page101"/>
    <w:bookmarkEnd w:id="100"/>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Share Purchase Rights</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Rights Plan</w:t>
      </w:r>
    </w:p>
    <w:p>
      <w:pPr>
        <w:spacing w:after="0" w:line="7"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9"/>
          <w:szCs w:val="19"/>
          <w:color w:val="auto"/>
        </w:rPr>
        <w:t>On March 3, 2020, the Board authorized and declared a dividend distribution of one Right for each outstanding share of common stock, par value $0.01 per share, of the Company to stockholders of record as of the close of business on March 13, 2020 (the “Record Date”). Each Right entitles the registered holder to purchase from the Company one one-thousandth of a share of Series A Preferred Stock, par value $0.01 per share, of the Company at an exercise price of $35.00 (the “Exercise Price”) per one one-thousandth of a share of Series A Preferred Stock, subject to adjustment. The complete terms of the Rights are set forth in the Plan.</w:t>
      </w:r>
    </w:p>
    <w:p>
      <w:pPr>
        <w:spacing w:after="0" w:line="184" w:lineRule="exact"/>
        <w:rPr>
          <w:sz w:val="20"/>
          <w:szCs w:val="20"/>
          <w:color w:val="auto"/>
        </w:rPr>
      </w:pPr>
    </w:p>
    <w:p>
      <w:pPr>
        <w:jc w:val="both"/>
        <w:ind w:firstLine="431"/>
        <w:spacing w:after="0" w:line="281" w:lineRule="auto"/>
        <w:rPr>
          <w:sz w:val="20"/>
          <w:szCs w:val="20"/>
          <w:color w:val="auto"/>
        </w:rPr>
      </w:pPr>
      <w:r>
        <w:rPr>
          <w:rFonts w:ascii="Arial" w:cs="Arial" w:eastAsia="Arial" w:hAnsi="Arial"/>
          <w:sz w:val="19"/>
          <w:szCs w:val="19"/>
          <w:color w:val="auto"/>
        </w:rPr>
        <w:t>The Plan is intended to protect the Company’s ability to use its net operating losses, any loss or deduction attributable to a “net unrealized built-in loss” and other tax attributes (collectively, “Tax Benefits”). If the Company experiences an “ownership change,” as defined in Section 382 of the Internal Revenue Code (the “Code”),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w:t>
      </w:r>
    </w:p>
    <w:p>
      <w:pPr>
        <w:spacing w:after="0" w:line="183" w:lineRule="exact"/>
        <w:rPr>
          <w:sz w:val="20"/>
          <w:szCs w:val="20"/>
          <w:color w:val="auto"/>
        </w:rPr>
      </w:pPr>
    </w:p>
    <w:p>
      <w:pPr>
        <w:jc w:val="both"/>
        <w:ind w:firstLine="431"/>
        <w:spacing w:after="0" w:line="252" w:lineRule="auto"/>
        <w:rPr>
          <w:sz w:val="20"/>
          <w:szCs w:val="20"/>
          <w:color w:val="auto"/>
        </w:rPr>
      </w:pPr>
      <w:r>
        <w:rPr>
          <w:rFonts w:ascii="Arial" w:cs="Arial" w:eastAsia="Arial" w:hAnsi="Arial"/>
          <w:sz w:val="21"/>
          <w:szCs w:val="21"/>
          <w:color w:val="auto"/>
        </w:rPr>
        <w:t>The Plan is intended to act as a deterrent to any person acquiring 4.9% or more of the outstanding shares of common stock without the approval of the Board. This would protect the Tax Benefits because changes in ownership by a person owning less than 4.9% of the shares of common stock are not included in the calculation of “ownership change” for purposes of Section 382 of the Code. We submitted the Plan to a stockholder vote and our stockholders approved the Plan at the 2020 Annual Meeting of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Distribution and Transfer of Rights; Rights Certificates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The Board declared a dividend of one Right for each outstanding share of common stock as of the Record Date. Prior to the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Distribution Date referred to below:</w:t>
      </w:r>
    </w:p>
    <w:p>
      <w:pPr>
        <w:spacing w:after="0" w:line="224" w:lineRule="exact"/>
        <w:rPr>
          <w:sz w:val="20"/>
          <w:szCs w:val="20"/>
          <w:color w:val="auto"/>
        </w:rPr>
      </w:pPr>
    </w:p>
    <w:p>
      <w:pPr>
        <w:jc w:val="both"/>
        <w:ind w:left="940" w:firstLine="29"/>
        <w:spacing w:after="0" w:line="252" w:lineRule="auto"/>
        <w:rPr>
          <w:sz w:val="20"/>
          <w:szCs w:val="20"/>
          <w:color w:val="auto"/>
        </w:rPr>
      </w:pPr>
      <w:r>
        <w:rPr>
          <w:rFonts w:ascii="Arial" w:cs="Arial" w:eastAsia="Arial" w:hAnsi="Arial"/>
          <w:sz w:val="21"/>
          <w:szCs w:val="21"/>
          <w:color w:val="auto"/>
        </w:rPr>
        <w:t>The Rights are evidenced by and trade with the certificates for the shares of common stock (or, with respect to any uncertificated shares of common stock registered in book entry form, by notation in book entry), and no separate rights certificates will be distributed;</w:t>
      </w:r>
    </w:p>
    <w:p>
      <w:pPr>
        <w:spacing w:after="0" w:line="2" w:lineRule="exact"/>
        <w:rPr>
          <w:sz w:val="20"/>
          <w:szCs w:val="20"/>
          <w:color w:val="auto"/>
        </w:rPr>
      </w:pPr>
    </w:p>
    <w:p>
      <w:pPr>
        <w:jc w:val="both"/>
        <w:ind w:left="940" w:hanging="58"/>
        <w:spacing w:after="0" w:line="246" w:lineRule="auto"/>
        <w:rPr>
          <w:sz w:val="20"/>
          <w:szCs w:val="20"/>
          <w:color w:val="auto"/>
        </w:rPr>
      </w:pPr>
      <w:r>
        <w:rPr>
          <w:rFonts w:ascii="Arial" w:cs="Arial" w:eastAsia="Arial" w:hAnsi="Arial"/>
          <w:sz w:val="21"/>
          <w:szCs w:val="21"/>
          <w:color w:val="auto"/>
        </w:rPr>
        <w:t>New certificates issued after the Record Date for shares of common stock will contain a legend incorporating the Plan by reference (for uncertificated shares of common stock registered in book entry form, this legend will be contained in a notation in book entry); and</w:t>
      </w:r>
    </w:p>
    <w:p>
      <w:pPr>
        <w:spacing w:after="0" w:line="2" w:lineRule="exact"/>
        <w:rPr>
          <w:sz w:val="20"/>
          <w:szCs w:val="20"/>
          <w:color w:val="auto"/>
        </w:rPr>
      </w:pPr>
    </w:p>
    <w:p>
      <w:pPr>
        <w:jc w:val="both"/>
        <w:ind w:left="940" w:hanging="89"/>
        <w:spacing w:after="0" w:line="250" w:lineRule="auto"/>
        <w:rPr>
          <w:sz w:val="20"/>
          <w:szCs w:val="20"/>
          <w:color w:val="auto"/>
        </w:rPr>
      </w:pPr>
      <w:r>
        <w:rPr>
          <w:rFonts w:ascii="Arial" w:cs="Arial" w:eastAsia="Arial" w:hAnsi="Arial"/>
          <w:sz w:val="21"/>
          <w:szCs w:val="21"/>
          <w:color w:val="auto"/>
        </w:rPr>
        <w:t>The surrender for transfer of any certificates for shares of common stock (or the surrender for transfer of any uncertificated shares of common stock registered in book entry form) will also constitute the transfer of the Rights associated with such shares of common stock.</w:t>
      </w:r>
    </w:p>
    <w:p>
      <w:pPr>
        <w:sectPr>
          <w:pgSz w:w="11900" w:h="16838" w:orient="portrait"/>
          <w:cols w:equalWidth="0" w:num="1">
            <w:col w:w="11240"/>
          </w:cols>
          <w:pgMar w:left="320" w:top="1440" w:right="339" w:bottom="1440" w:gutter="0" w:footer="0" w:header="0"/>
        </w:sectPr>
      </w:pPr>
    </w:p>
    <w:bookmarkStart w:id="101" w:name="page102"/>
    <w:bookmarkEnd w:id="101"/>
    <w:p>
      <w:pPr>
        <w:ind w:left="840"/>
        <w:spacing w:after="0"/>
        <w:rPr>
          <w:sz w:val="20"/>
          <w:szCs w:val="20"/>
          <w:color w:val="auto"/>
        </w:rPr>
      </w:pPr>
      <w:r>
        <w:rPr>
          <w:rFonts w:ascii="Arial" w:cs="Arial" w:eastAsia="Arial" w:hAnsi="Arial"/>
          <w:sz w:val="21"/>
          <w:szCs w:val="21"/>
          <w:color w:val="auto"/>
        </w:rPr>
        <w:t>Rights will accompany any new shares of common stock that are issued after the Record Date.</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Distribution Date</w:t>
      </w:r>
    </w:p>
    <w:p>
      <w:pPr>
        <w:spacing w:after="0" w:line="25"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20"/>
          <w:szCs w:val="20"/>
          <w:color w:val="auto"/>
        </w:rPr>
        <w:t>Subject to certain exceptions specified in the Plan, the Rights will separate from the shares of common stock and become exercisable following (1) the 10th business day (or such later date as may be determined by the Board) after the public announcement that a person or group of affiliated or associated persons (an “Acquiring Person”) has acquired beneficial ownership of 4.9% or more of the shares of common stock or (2) the 10th business day (or such later date as may be determined by the Board) after a person or group announces a tender or exchange offer that would result in ownership by a person or group of 4.9% or more of the shares of common stock. For purposes of the Plan, beneficial ownership is defined to include the ownership of derivative securities. Any person or group of affiliated or associated persons who beneficially owns 4.9% or more of the outstanding shares of common stock as of the announcement of the Plan will not be an Acquiring Person, but only for so long as such person or group does not become the beneficial owner of any additional shares of common stock.</w:t>
      </w:r>
    </w:p>
    <w:p>
      <w:pPr>
        <w:spacing w:after="0" w:line="201" w:lineRule="exact"/>
        <w:rPr>
          <w:sz w:val="20"/>
          <w:szCs w:val="20"/>
          <w:color w:val="auto"/>
        </w:rPr>
      </w:pPr>
    </w:p>
    <w:p>
      <w:pPr>
        <w:jc w:val="both"/>
        <w:ind w:firstLine="431"/>
        <w:spacing w:after="0" w:line="255" w:lineRule="auto"/>
        <w:rPr>
          <w:sz w:val="20"/>
          <w:szCs w:val="20"/>
          <w:color w:val="auto"/>
        </w:rPr>
      </w:pPr>
      <w:r>
        <w:rPr>
          <w:rFonts w:ascii="Arial" w:cs="Arial" w:eastAsia="Arial" w:hAnsi="Arial"/>
          <w:sz w:val="21"/>
          <w:szCs w:val="21"/>
          <w:color w:val="auto"/>
        </w:rPr>
        <w:t>The date on which the Rights separate from the shares of common stock and become exercisable is referred to as the “Distribution Date.” After the Distribution Date, the Company will mail Rights certificates to the Company’s stockholders as of the close of business on the Distribution Date and the Rights will become transferable apart from the shares of common stock. Thereafter, such Rights certificates alone will represent the Rights.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Preferred Shares Purchasable Upon Exercise of Rights</w:t>
      </w:r>
    </w:p>
    <w:p>
      <w:pPr>
        <w:spacing w:after="0" w:line="25" w:lineRule="exact"/>
        <w:rPr>
          <w:sz w:val="20"/>
          <w:szCs w:val="20"/>
          <w:color w:val="auto"/>
        </w:rPr>
      </w:pPr>
    </w:p>
    <w:p>
      <w:pPr>
        <w:jc w:val="both"/>
        <w:ind w:firstLine="431"/>
        <w:spacing w:after="0" w:line="265" w:lineRule="auto"/>
        <w:rPr>
          <w:sz w:val="20"/>
          <w:szCs w:val="20"/>
          <w:color w:val="auto"/>
        </w:rPr>
      </w:pPr>
      <w:r>
        <w:rPr>
          <w:rFonts w:ascii="Arial" w:cs="Arial" w:eastAsia="Arial" w:hAnsi="Arial"/>
          <w:sz w:val="20"/>
          <w:szCs w:val="20"/>
          <w:color w:val="auto"/>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More specifically, each one one-thousandth of a share of Series A Preferred Stock, if issued, will:</w:t>
      </w:r>
    </w:p>
    <w:p>
      <w:pPr>
        <w:spacing w:after="0" w:line="25" w:lineRule="exact"/>
        <w:rPr>
          <w:sz w:val="20"/>
          <w:szCs w:val="20"/>
          <w:color w:val="auto"/>
        </w:rPr>
      </w:pPr>
    </w:p>
    <w:p>
      <w:pPr>
        <w:ind w:left="840"/>
        <w:spacing w:after="0"/>
        <w:rPr>
          <w:sz w:val="20"/>
          <w:szCs w:val="20"/>
          <w:color w:val="auto"/>
        </w:rPr>
      </w:pPr>
      <w:r>
        <w:rPr>
          <w:rFonts w:ascii="Arial" w:cs="Arial" w:eastAsia="Arial" w:hAnsi="Arial"/>
          <w:sz w:val="21"/>
          <w:szCs w:val="21"/>
          <w:color w:val="auto"/>
        </w:rPr>
        <w:t>not be redeemable;</w:t>
      </w:r>
    </w:p>
    <w:p>
      <w:pPr>
        <w:spacing w:after="0" w:line="7" w:lineRule="exact"/>
        <w:rPr>
          <w:sz w:val="20"/>
          <w:szCs w:val="20"/>
          <w:color w:val="auto"/>
        </w:rPr>
      </w:pPr>
    </w:p>
    <w:p>
      <w:pPr>
        <w:ind w:left="940" w:hanging="68"/>
        <w:spacing w:after="0" w:line="246" w:lineRule="auto"/>
        <w:rPr>
          <w:sz w:val="20"/>
          <w:szCs w:val="20"/>
          <w:color w:val="auto"/>
        </w:rPr>
      </w:pPr>
      <w:r>
        <w:rPr>
          <w:rFonts w:ascii="Arial" w:cs="Arial" w:eastAsia="Arial" w:hAnsi="Arial"/>
          <w:sz w:val="21"/>
          <w:szCs w:val="21"/>
          <w:color w:val="auto"/>
        </w:rPr>
        <w:t>entitle holders to quarterly dividend payments of $0.01 per share, or an amount equal to the dividend paid on one share of common stock, whichever is greater;</w:t>
      </w:r>
    </w:p>
    <w:p>
      <w:pPr>
        <w:spacing w:after="0" w:line="2" w:lineRule="exact"/>
        <w:rPr>
          <w:sz w:val="20"/>
          <w:szCs w:val="20"/>
          <w:color w:val="auto"/>
        </w:rPr>
      </w:pPr>
    </w:p>
    <w:p>
      <w:pPr>
        <w:ind w:left="940" w:hanging="64"/>
        <w:spacing w:after="0" w:line="246" w:lineRule="auto"/>
        <w:rPr>
          <w:sz w:val="20"/>
          <w:szCs w:val="20"/>
          <w:color w:val="auto"/>
        </w:rPr>
      </w:pPr>
      <w:r>
        <w:rPr>
          <w:rFonts w:ascii="Arial" w:cs="Arial" w:eastAsia="Arial" w:hAnsi="Arial"/>
          <w:sz w:val="21"/>
          <w:szCs w:val="21"/>
          <w:color w:val="auto"/>
        </w:rPr>
        <w:t>entitle holders upon liquidation either to receive $1.00 per share or an amount equal to the payment made on one share of common stock, whichever is greater;</w:t>
      </w:r>
    </w:p>
    <w:p>
      <w:pPr>
        <w:spacing w:after="0" w:line="2" w:lineRule="exact"/>
        <w:rPr>
          <w:sz w:val="20"/>
          <w:szCs w:val="20"/>
          <w:color w:val="auto"/>
        </w:rPr>
      </w:pPr>
    </w:p>
    <w:p>
      <w:pPr>
        <w:ind w:left="940" w:hanging="23"/>
        <w:spacing w:after="0" w:line="246" w:lineRule="auto"/>
        <w:rPr>
          <w:sz w:val="20"/>
          <w:szCs w:val="20"/>
          <w:color w:val="auto"/>
        </w:rPr>
      </w:pPr>
      <w:r>
        <w:rPr>
          <w:rFonts w:ascii="Arial" w:cs="Arial" w:eastAsia="Arial" w:hAnsi="Arial"/>
          <w:sz w:val="21"/>
          <w:szCs w:val="21"/>
          <w:color w:val="auto"/>
        </w:rPr>
        <w:t>have the same voting power as one share of common stock (see “Voting Rights of Series A Preferred Stock” below for additional information); and</w:t>
      </w:r>
    </w:p>
    <w:p>
      <w:pPr>
        <w:spacing w:after="0" w:line="2" w:lineRule="exact"/>
        <w:rPr>
          <w:sz w:val="20"/>
          <w:szCs w:val="20"/>
          <w:color w:val="auto"/>
        </w:rPr>
      </w:pPr>
    </w:p>
    <w:p>
      <w:pPr>
        <w:ind w:left="940" w:hanging="61"/>
        <w:spacing w:after="0" w:line="253" w:lineRule="auto"/>
        <w:rPr>
          <w:sz w:val="20"/>
          <w:szCs w:val="20"/>
          <w:color w:val="auto"/>
        </w:rPr>
      </w:pPr>
      <w:r>
        <w:rPr>
          <w:rFonts w:ascii="Arial" w:cs="Arial" w:eastAsia="Arial" w:hAnsi="Arial"/>
          <w:sz w:val="21"/>
          <w:szCs w:val="21"/>
          <w:color w:val="auto"/>
        </w:rPr>
        <w:t>entitle holders to a per share payment equal to the payment made on one share of common stock if the shares of common stock are exchanged via merger, consolidation or a similar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Voting Rights of Series A Preferred Stock</w:t>
      </w:r>
    </w:p>
    <w:p>
      <w:pPr>
        <w:sectPr>
          <w:pgSz w:w="11900" w:h="16838" w:orient="portrait"/>
          <w:cols w:equalWidth="0" w:num="1">
            <w:col w:w="11240"/>
          </w:cols>
          <w:pgMar w:left="320" w:top="1386" w:right="339" w:bottom="1440" w:gutter="0" w:footer="0" w:header="0"/>
        </w:sectPr>
      </w:pPr>
    </w:p>
    <w:bookmarkStart w:id="102" w:name="page103"/>
    <w:bookmarkEnd w:id="102"/>
    <w:p>
      <w:pPr>
        <w:jc w:val="both"/>
        <w:ind w:firstLine="431"/>
        <w:spacing w:after="0" w:line="263" w:lineRule="auto"/>
        <w:rPr>
          <w:sz w:val="20"/>
          <w:szCs w:val="20"/>
          <w:color w:val="auto"/>
        </w:rPr>
      </w:pPr>
      <w:r>
        <w:rPr>
          <w:rFonts w:ascii="Arial" w:cs="Arial" w:eastAsia="Arial" w:hAnsi="Arial"/>
          <w:sz w:val="20"/>
          <w:szCs w:val="20"/>
          <w:color w:val="auto"/>
        </w:rPr>
        <w:t>If issued, holders of our Series A Preferred Stock will be entitled to one thousand votes per share of preferred stock (subject to adjustment upon the occurrence of certain specified events, including a stock split, reverse stock split or payment of dividends in common stock) on all matters submitted to a vote of the stockholders of the Company. Except as provided in the Certificate, the Bylaws, any certificate of designation of preferred stock or by law, the holders of Series A Preferred Stock and common stock will vote together as one class on all matters submitted to a vote of the stockholders of the Company. Upon the occurrence and continuance of a default with respect to the payment of dividends to the holders of Series A Preferred Stock, the holders of the Series A Preferred Stock, voting as a class, have the right to elect two directors to the Board, who shall serve for so long as such default continues. After such election and during the continued period of default, the number of directors shall not be increased or decreased except by vote of the holders of the Series A Preferred Stock.</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Flip-In Trigger</w:t>
      </w:r>
    </w:p>
    <w:p>
      <w:pPr>
        <w:spacing w:after="0" w:line="25"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20"/>
          <w:szCs w:val="20"/>
          <w:color w:val="auto"/>
        </w:rPr>
        <w:t xml:space="preserve">If an Acquiring Person obtains beneficial ownership of 4.9% or more of the shares of common stock, except pursuant to an offer for all outstanding shares of common stock that the independent members of the Board determine to be fair and not inadequate and to otherwise be in the best interests of the Company and its stockholders after receiving advice from one or more investment banking firms, </w:t>
      </w:r>
      <w:r>
        <w:rPr>
          <w:rFonts w:ascii="Arial" w:cs="Arial" w:eastAsia="Arial" w:hAnsi="Arial"/>
          <w:sz w:val="20"/>
          <w:szCs w:val="20"/>
          <w:i w:val="1"/>
          <w:iCs w:val="1"/>
          <w:color w:val="auto"/>
        </w:rPr>
        <w:t>then</w:t>
      </w:r>
      <w:r>
        <w:rPr>
          <w:rFonts w:ascii="Arial" w:cs="Arial" w:eastAsia="Arial" w:hAnsi="Arial"/>
          <w:sz w:val="20"/>
          <w:szCs w:val="20"/>
          <w:color w:val="auto"/>
        </w:rPr>
        <w:t xml:space="preserve">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 Following the occurrence of an event set forth in preceding sentence, all Rights that are or, under certain circumstances specified in the Plan, were beneficially owned by an Acquiring Person or certain of its transferees will be null and void.</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Flip-Over Trigger</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If, after an Acquiring Person obtains 4.9% or more of the shares of common stock, (1) the Company merges into another entity,</w:t>
      </w:r>
    </w:p>
    <w:p>
      <w:pPr>
        <w:spacing w:after="0" w:line="30" w:lineRule="exact"/>
        <w:rPr>
          <w:sz w:val="20"/>
          <w:szCs w:val="20"/>
          <w:color w:val="auto"/>
        </w:rPr>
      </w:pPr>
    </w:p>
    <w:p>
      <w:pPr>
        <w:jc w:val="both"/>
        <w:ind w:firstLine="5"/>
        <w:spacing w:after="0" w:line="249" w:lineRule="auto"/>
        <w:tabs>
          <w:tab w:leader="none" w:pos="3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an acquiring entity merges into the Company or (3) the Company sells or transfers more than 50% of its assets, cash flow or earning power, </w:t>
      </w:r>
      <w:r>
        <w:rPr>
          <w:rFonts w:ascii="Arial" w:cs="Arial" w:eastAsia="Arial" w:hAnsi="Arial"/>
          <w:sz w:val="21"/>
          <w:szCs w:val="21"/>
          <w:i w:val="1"/>
          <w:iCs w:val="1"/>
          <w:color w:val="auto"/>
        </w:rPr>
        <w:t>then</w:t>
      </w:r>
      <w:r>
        <w:rPr>
          <w:rFonts w:ascii="Arial" w:cs="Arial" w:eastAsia="Arial" w:hAnsi="Arial"/>
          <w:sz w:val="21"/>
          <w:szCs w:val="21"/>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Redemption of the Rights</w:t>
      </w:r>
    </w:p>
    <w:p>
      <w:pPr>
        <w:spacing w:after="0" w:line="25" w:lineRule="exact"/>
        <w:rPr>
          <w:sz w:val="20"/>
          <w:szCs w:val="20"/>
          <w:color w:val="auto"/>
        </w:rPr>
      </w:pPr>
    </w:p>
    <w:p>
      <w:pPr>
        <w:jc w:val="both"/>
        <w:ind w:firstLine="431"/>
        <w:spacing w:after="0" w:line="248" w:lineRule="auto"/>
        <w:rPr>
          <w:sz w:val="20"/>
          <w:szCs w:val="20"/>
          <w:color w:val="auto"/>
        </w:rPr>
      </w:pPr>
      <w:r>
        <w:rPr>
          <w:rFonts w:ascii="Arial" w:cs="Arial" w:eastAsia="Arial" w:hAnsi="Arial"/>
          <w:sz w:val="21"/>
          <w:szCs w:val="21"/>
          <w:color w:val="auto"/>
        </w:rPr>
        <w:t>The Rights will be redeemable at the Company’s option for $0.01 per Right (payable in cash, shares of common stock or other consideration deemed appropriate by the Board) at any time on or prior to the 10th business day (or such later date as may be determined by the Board) after the public announcement that an Acquiring Person has acquired beneficial ownership of 4.9% or more of the shares of common stock.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ectPr>
          <w:pgSz w:w="11900" w:h="16838" w:orient="portrait"/>
          <w:cols w:equalWidth="0" w:num="1">
            <w:col w:w="11240"/>
          </w:cols>
          <w:pgMar w:left="320" w:top="1386" w:right="339" w:bottom="1440" w:gutter="0" w:footer="0" w:header="0"/>
        </w:sectPr>
      </w:pPr>
    </w:p>
    <w:bookmarkStart w:id="103" w:name="page104"/>
    <w:bookmarkEnd w:id="103"/>
    <w:p>
      <w:pPr>
        <w:spacing w:after="0" w:line="18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Exchange Provision</w:t>
      </w:r>
    </w:p>
    <w:p>
      <w:pPr>
        <w:spacing w:after="0" w:line="25" w:lineRule="exact"/>
        <w:rPr>
          <w:sz w:val="20"/>
          <w:szCs w:val="20"/>
          <w:color w:val="auto"/>
        </w:rPr>
      </w:pPr>
    </w:p>
    <w:p>
      <w:pPr>
        <w:jc w:val="both"/>
        <w:ind w:firstLine="431"/>
        <w:spacing w:after="0" w:line="280" w:lineRule="auto"/>
        <w:rPr>
          <w:sz w:val="20"/>
          <w:szCs w:val="20"/>
          <w:color w:val="auto"/>
        </w:rPr>
      </w:pPr>
      <w:r>
        <w:rPr>
          <w:rFonts w:ascii="Arial" w:cs="Arial" w:eastAsia="Arial" w:hAnsi="Arial"/>
          <w:sz w:val="19"/>
          <w:szCs w:val="19"/>
          <w:color w:val="auto"/>
        </w:rPr>
        <w:t>At any time after the date on which an Acquiring Person beneficially owns 4.9% or more of the shares of common stock and prior to the acquisition by the Acquiring Person of 50% of the shares of common stock, the Board may exchange the Rights (except for Rights that have previously been voided as set forth above), in whole or in part, for shares of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Expiration of the Rights</w:t>
      </w:r>
    </w:p>
    <w:p>
      <w:pPr>
        <w:spacing w:after="0" w:line="25" w:lineRule="exact"/>
        <w:rPr>
          <w:sz w:val="20"/>
          <w:szCs w:val="20"/>
          <w:color w:val="auto"/>
        </w:rPr>
      </w:pPr>
    </w:p>
    <w:p>
      <w:pPr>
        <w:jc w:val="both"/>
        <w:ind w:firstLine="431"/>
        <w:spacing w:after="0" w:line="261" w:lineRule="auto"/>
        <w:rPr>
          <w:sz w:val="20"/>
          <w:szCs w:val="20"/>
          <w:color w:val="auto"/>
        </w:rPr>
      </w:pPr>
      <w:r>
        <w:rPr>
          <w:rFonts w:ascii="Arial" w:cs="Arial" w:eastAsia="Arial" w:hAnsi="Arial"/>
          <w:sz w:val="20"/>
          <w:szCs w:val="20"/>
          <w:color w:val="auto"/>
        </w:rPr>
        <w:t>The Rights expire on the earliest of (1) 5:00 p.m., New York City time, on March 3, 2023 (unless such date is extended); (2) the redemption or exchange of the Rights as described above; (3) the repeal of Section 382 of the Code or any other change if the Board determines that the Plan is no longer necessary or desirable for the preservation of the Tax Benefits; (4)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(5) a determination by the Board that the Plan is no longer in the best interests of the Company and its stockholders.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Amendment of Terms of the Plan and the Rights</w:t>
      </w:r>
    </w:p>
    <w:p>
      <w:pPr>
        <w:spacing w:after="0" w:line="25" w:lineRule="exact"/>
        <w:rPr>
          <w:sz w:val="20"/>
          <w:szCs w:val="20"/>
          <w:color w:val="auto"/>
        </w:rPr>
      </w:pPr>
    </w:p>
    <w:p>
      <w:pPr>
        <w:jc w:val="both"/>
        <w:ind w:firstLine="431"/>
        <w:spacing w:after="0" w:line="249" w:lineRule="auto"/>
        <w:rPr>
          <w:sz w:val="20"/>
          <w:szCs w:val="20"/>
          <w:color w:val="auto"/>
        </w:rPr>
      </w:pPr>
      <w:r>
        <w:rPr>
          <w:rFonts w:ascii="Arial" w:cs="Arial" w:eastAsia="Arial" w:hAnsi="Arial"/>
          <w:sz w:val="21"/>
          <w:szCs w:val="21"/>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Voting Rights; Other Stockholder Rights</w:t>
      </w:r>
    </w:p>
    <w:p>
      <w:pPr>
        <w:spacing w:after="0" w:line="25" w:lineRule="exact"/>
        <w:rPr>
          <w:sz w:val="20"/>
          <w:szCs w:val="20"/>
          <w:color w:val="auto"/>
        </w:rPr>
      </w:pPr>
    </w:p>
    <w:p>
      <w:pPr>
        <w:jc w:val="both"/>
        <w:ind w:firstLine="431"/>
        <w:spacing w:after="0" w:line="253" w:lineRule="auto"/>
        <w:rPr>
          <w:sz w:val="20"/>
          <w:szCs w:val="20"/>
          <w:color w:val="auto"/>
        </w:rPr>
      </w:pPr>
      <w:r>
        <w:rPr>
          <w:rFonts w:ascii="Arial" w:cs="Arial" w:eastAsia="Arial" w:hAnsi="Arial"/>
          <w:sz w:val="21"/>
          <w:szCs w:val="21"/>
          <w:color w:val="auto"/>
        </w:rPr>
        <w:t>The Rights will not have any voting rights. Until a Right is exercised, the holder thereof, as such, will have no separate rights as stockholder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Anti-Dilution Provisions</w:t>
      </w:r>
    </w:p>
    <w:p>
      <w:pPr>
        <w:spacing w:after="0" w:line="25" w:lineRule="exact"/>
        <w:rPr>
          <w:sz w:val="20"/>
          <w:szCs w:val="20"/>
          <w:color w:val="auto"/>
        </w:rPr>
      </w:pPr>
    </w:p>
    <w:p>
      <w:pPr>
        <w:jc w:val="both"/>
        <w:ind w:firstLine="431"/>
        <w:spacing w:after="0" w:line="250" w:lineRule="auto"/>
        <w:rPr>
          <w:sz w:val="20"/>
          <w:szCs w:val="20"/>
          <w:color w:val="auto"/>
        </w:rPr>
      </w:pPr>
      <w:r>
        <w:rPr>
          <w:rFonts w:ascii="Arial" w:cs="Arial" w:eastAsia="Arial" w:hAnsi="Arial"/>
          <w:sz w:val="21"/>
          <w:szCs w:val="21"/>
          <w:color w:val="auto"/>
        </w:rPr>
        <w:t>The Board may adjust the Exercise Price, the number of shares of Series A Preferred Stock issuable and the number of outstanding Rights to prevent dilution that may occur from a stock dividend, a stock split or a reclassification of the shares of Series A Preferred Stock or common stock.</w:t>
      </w:r>
    </w:p>
    <w:p>
      <w:pPr>
        <w:spacing w:after="0" w:line="208" w:lineRule="exact"/>
        <w:rPr>
          <w:sz w:val="20"/>
          <w:szCs w:val="20"/>
          <w:color w:val="auto"/>
        </w:rPr>
      </w:pPr>
    </w:p>
    <w:p>
      <w:pPr>
        <w:jc w:val="both"/>
        <w:ind w:firstLine="431"/>
        <w:spacing w:after="0" w:line="271" w:lineRule="auto"/>
        <w:rPr>
          <w:sz w:val="20"/>
          <w:szCs w:val="20"/>
          <w:color w:val="auto"/>
        </w:rPr>
      </w:pPr>
      <w:r>
        <w:rPr>
          <w:rFonts w:ascii="Arial" w:cs="Arial" w:eastAsia="Arial" w:hAnsi="Arial"/>
          <w:sz w:val="21"/>
          <w:szCs w:val="21"/>
          <w:color w:val="auto"/>
        </w:rPr>
        <w:t>With certain exceptions, no adjustments to the Exercise Price will be made until the cumulative adjustments amount to at least 1% of the Exercise Price. No fractional shares of Series A Preferred</w:t>
      </w:r>
    </w:p>
    <w:p>
      <w:pPr>
        <w:sectPr>
          <w:pgSz w:w="11900" w:h="16838" w:orient="portrait"/>
          <w:cols w:equalWidth="0" w:num="1">
            <w:col w:w="11240"/>
          </w:cols>
          <w:pgMar w:left="320" w:top="1440"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Stock will be issued and, in lieu thereof, an adjustment in cash will be made based on the current market price of such shares.</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Computershare Investor Services is the transfer agent and registrar for our common stock and the Rights.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Potential Anti-Takeover Effects</w:t>
      </w:r>
    </w:p>
    <w:p>
      <w:pPr>
        <w:spacing w:after="0" w:line="31" w:lineRule="exact"/>
        <w:rPr>
          <w:sz w:val="20"/>
          <w:szCs w:val="20"/>
          <w:color w:val="auto"/>
        </w:rPr>
      </w:pPr>
    </w:p>
    <w:p>
      <w:pPr>
        <w:ind w:firstLine="427"/>
        <w:spacing w:after="0" w:line="253" w:lineRule="auto"/>
        <w:rPr>
          <w:sz w:val="20"/>
          <w:szCs w:val="20"/>
          <w:color w:val="auto"/>
        </w:rPr>
      </w:pPr>
      <w:r>
        <w:rPr>
          <w:rFonts w:ascii="Arial" w:cs="Arial" w:eastAsia="Arial" w:hAnsi="Arial"/>
          <w:sz w:val="21"/>
          <w:szCs w:val="21"/>
          <w:color w:val="auto"/>
        </w:rPr>
        <w:t>Some provisions of our Certificate and Bylaws and of the DGCL could make the acquisition of control of our company and/or the removal of our existing management more difficult, including the following:</w:t>
      </w:r>
    </w:p>
    <w:p>
      <w:pPr>
        <w:spacing w:after="0" w:line="205" w:lineRule="exact"/>
        <w:rPr>
          <w:sz w:val="20"/>
          <w:szCs w:val="20"/>
          <w:color w:val="auto"/>
        </w:rPr>
      </w:pPr>
    </w:p>
    <w:p>
      <w:pPr>
        <w:jc w:val="both"/>
        <w:ind w:left="940" w:hanging="37"/>
        <w:spacing w:after="0" w:line="252" w:lineRule="auto"/>
        <w:rPr>
          <w:sz w:val="20"/>
          <w:szCs w:val="20"/>
          <w:color w:val="auto"/>
        </w:rPr>
      </w:pPr>
      <w:r>
        <w:rPr>
          <w:rFonts w:ascii="Arial" w:cs="Arial" w:eastAsia="Arial" w:hAnsi="Arial"/>
          <w:sz w:val="21"/>
          <w:szCs w:val="21"/>
          <w:color w:val="auto"/>
        </w:rPr>
        <w:t>Subject to certain rights provided to the holders of Series A Preferred Stock, our Board fixes the size of the Board, may create new directorships and may appoint new directors to serve in such newly-created positions until the next election of one or more directors by our shareholders.</w:t>
      </w:r>
    </w:p>
    <w:p>
      <w:pPr>
        <w:spacing w:after="0" w:line="2" w:lineRule="exact"/>
        <w:rPr>
          <w:sz w:val="20"/>
          <w:szCs w:val="20"/>
          <w:color w:val="auto"/>
        </w:rPr>
      </w:pPr>
    </w:p>
    <w:p>
      <w:pPr>
        <w:jc w:val="both"/>
        <w:ind w:left="940" w:hanging="69"/>
        <w:spacing w:after="0" w:line="259" w:lineRule="auto"/>
        <w:rPr>
          <w:sz w:val="20"/>
          <w:szCs w:val="20"/>
          <w:color w:val="auto"/>
        </w:rPr>
      </w:pPr>
      <w:r>
        <w:rPr>
          <w:rFonts w:ascii="Arial" w:cs="Arial" w:eastAsia="Arial" w:hAnsi="Arial"/>
          <w:sz w:val="20"/>
          <w:szCs w:val="20"/>
          <w:color w:val="auto"/>
        </w:rPr>
        <w:t>Our Board is expressly authorized to amend or repeal our bylaws, or adopt new bylaws, except that certain sections of the Bylaws (as specified therein) may only be amended with the approval of 2/3 of certain specified directors and/or the approval of the stockholders otherwise required by applicable law or the Bylaws for such amendment.</w:t>
      </w:r>
    </w:p>
    <w:p>
      <w:pPr>
        <w:jc w:val="both"/>
        <w:ind w:left="940" w:hanging="72"/>
        <w:spacing w:after="0" w:line="246" w:lineRule="auto"/>
        <w:rPr>
          <w:sz w:val="20"/>
          <w:szCs w:val="20"/>
          <w:color w:val="auto"/>
        </w:rPr>
      </w:pPr>
      <w:r>
        <w:rPr>
          <w:rFonts w:ascii="Arial" w:cs="Arial" w:eastAsia="Arial" w:hAnsi="Arial"/>
          <w:sz w:val="21"/>
          <w:szCs w:val="21"/>
          <w:color w:val="auto"/>
        </w:rPr>
        <w:t>We have advance notice procedures with respect to shareholder proposals and the nomination of candidates for election as directors.</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21"/>
          <w:szCs w:val="21"/>
          <w:color w:val="auto"/>
        </w:rPr>
        <w:t>Stockholders have no preemptive right to acquire our securities.</w:t>
      </w:r>
    </w:p>
    <w:p>
      <w:pPr>
        <w:spacing w:after="0" w:line="7" w:lineRule="exact"/>
        <w:rPr>
          <w:sz w:val="20"/>
          <w:szCs w:val="20"/>
          <w:color w:val="auto"/>
        </w:rPr>
      </w:pPr>
    </w:p>
    <w:p>
      <w:pPr>
        <w:jc w:val="both"/>
        <w:ind w:left="940" w:hanging="53"/>
        <w:spacing w:after="0" w:line="259" w:lineRule="auto"/>
        <w:rPr>
          <w:sz w:val="20"/>
          <w:szCs w:val="20"/>
          <w:color w:val="auto"/>
        </w:rPr>
      </w:pPr>
      <w:r>
        <w:rPr>
          <w:rFonts w:ascii="Arial" w:cs="Arial" w:eastAsia="Arial" w:hAnsi="Arial"/>
          <w:sz w:val="20"/>
          <w:szCs w:val="20"/>
          <w:color w:val="auto"/>
        </w:rPr>
        <w:t>Our Board has ability to authorize and issue undesignated preferred stock. This ability makes it possible for our Board to issue, without stockholder approval, preferred stock with voting or other rights or preferences that could impede the success of any attempt to change control of us as further described under “Preferred Stock” above.</w:t>
      </w:r>
    </w:p>
    <w:p>
      <w:pPr>
        <w:jc w:val="both"/>
        <w:ind w:left="940" w:hanging="101"/>
        <w:spacing w:after="0" w:line="250" w:lineRule="auto"/>
        <w:rPr>
          <w:sz w:val="20"/>
          <w:szCs w:val="20"/>
          <w:color w:val="auto"/>
        </w:rPr>
      </w:pPr>
      <w:r>
        <w:rPr>
          <w:rFonts w:ascii="Arial" w:cs="Arial" w:eastAsia="Arial" w:hAnsi="Arial"/>
          <w:sz w:val="21"/>
          <w:szCs w:val="21"/>
          <w:color w:val="auto"/>
        </w:rPr>
        <w:t>As further discussed above, our Board has issued the Rights and adopted the Plan. The Plan is intended to act as a deterrent to any person acquiring 4.9% or more of the outstanding shares of common stock without the approval of the Board in order to preserve certain Tax Benefits.</w:t>
      </w:r>
    </w:p>
    <w:p>
      <w:pPr>
        <w:spacing w:after="0" w:line="208"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21"/>
          <w:szCs w:val="21"/>
          <w:color w:val="auto"/>
        </w:rPr>
        <w:t>Additionally, we are a Delaware corporation and are subject to Section 203 of the DGCL. In general, Section 203 prevents us from engaging in a business combination with an “interested stockholder” (generally, a person owning 15% or more of our outstanding voting stock) for three years following the time that person becomes a 15% stockholder unless one of the following is satisfied:</w:t>
      </w:r>
    </w:p>
    <w:p>
      <w:pPr>
        <w:spacing w:after="0" w:line="202" w:lineRule="exact"/>
        <w:rPr>
          <w:sz w:val="20"/>
          <w:szCs w:val="20"/>
          <w:color w:val="auto"/>
        </w:rPr>
      </w:pPr>
    </w:p>
    <w:p>
      <w:pPr>
        <w:ind w:left="940" w:hanging="75"/>
        <w:spacing w:after="0" w:line="255" w:lineRule="auto"/>
        <w:rPr>
          <w:sz w:val="20"/>
          <w:szCs w:val="20"/>
          <w:color w:val="auto"/>
        </w:rPr>
      </w:pPr>
      <w:r>
        <w:rPr>
          <w:rFonts w:ascii="Arial" w:cs="Arial" w:eastAsia="Arial" w:hAnsi="Arial"/>
          <w:sz w:val="21"/>
          <w:szCs w:val="21"/>
          <w:color w:val="auto"/>
        </w:rPr>
        <w:t>before that person became a 15% stockholder, our Board approved the transaction in which the stockholder became a 15% stockholder or approved the business combination;</w:t>
      </w:r>
    </w:p>
    <w:p>
      <w:pPr>
        <w:spacing w:after="0" w:line="1" w:lineRule="exact"/>
        <w:rPr>
          <w:sz w:val="20"/>
          <w:szCs w:val="20"/>
          <w:color w:val="auto"/>
        </w:rPr>
      </w:pPr>
    </w:p>
    <w:p>
      <w:pPr>
        <w:jc w:val="both"/>
        <w:ind w:left="940" w:hanging="98"/>
        <w:spacing w:after="0" w:line="250" w:lineRule="auto"/>
        <w:rPr>
          <w:sz w:val="20"/>
          <w:szCs w:val="20"/>
          <w:color w:val="auto"/>
        </w:rPr>
      </w:pPr>
      <w:r>
        <w:rPr>
          <w:rFonts w:ascii="Arial" w:cs="Arial" w:eastAsia="Arial" w:hAnsi="Arial"/>
          <w:sz w:val="21"/>
          <w:szCs w:val="21"/>
          <w:color w:val="auto"/>
        </w:rPr>
        <w:t>upon completion of the transaction that resulted in the stockholder’s becoming a 15% stockholder, the stockholder owned at least 85% of our voting stock outstanding at the time the transaction began (excluding stock held by directors who are also officers</w:t>
      </w:r>
    </w:p>
    <w:p>
      <w:pPr>
        <w:sectPr>
          <w:pgSz w:w="11900" w:h="16838" w:orient="portrait"/>
          <w:cols w:equalWidth="0" w:num="1">
            <w:col w:w="11240"/>
          </w:cols>
          <w:pgMar w:left="320" w:top="1386" w:right="339" w:bottom="1440" w:gutter="0" w:footer="0" w:header="0"/>
        </w:sectPr>
      </w:pPr>
    </w:p>
    <w:bookmarkStart w:id="105" w:name="page106"/>
    <w:bookmarkEnd w:id="105"/>
    <w:p>
      <w:pPr>
        <w:ind w:left="940"/>
        <w:spacing w:after="0" w:line="255" w:lineRule="auto"/>
        <w:rPr>
          <w:sz w:val="20"/>
          <w:szCs w:val="20"/>
          <w:color w:val="auto"/>
        </w:rPr>
      </w:pPr>
      <w:r>
        <w:rPr>
          <w:rFonts w:ascii="Arial" w:cs="Arial" w:eastAsia="Arial" w:hAnsi="Arial"/>
          <w:sz w:val="21"/>
          <w:szCs w:val="21"/>
          <w:color w:val="auto"/>
        </w:rPr>
        <w:t>and by employee stock plans that do not provide employees with the right to determine confidentially whether shares held subject to the plan will be tendered in a tender or exchange offer); and</w:t>
      </w:r>
    </w:p>
    <w:p>
      <w:pPr>
        <w:spacing w:after="0" w:line="1" w:lineRule="exact"/>
        <w:rPr>
          <w:sz w:val="20"/>
          <w:szCs w:val="20"/>
          <w:color w:val="auto"/>
        </w:rPr>
      </w:pPr>
    </w:p>
    <w:p>
      <w:pPr>
        <w:jc w:val="both"/>
        <w:ind w:left="940" w:hanging="49"/>
        <w:spacing w:after="0" w:line="250" w:lineRule="auto"/>
        <w:rPr>
          <w:sz w:val="20"/>
          <w:szCs w:val="20"/>
          <w:color w:val="auto"/>
        </w:rPr>
      </w:pPr>
      <w:r>
        <w:rPr>
          <w:rFonts w:ascii="Arial" w:cs="Arial" w:eastAsia="Arial" w:hAnsi="Arial"/>
          <w:sz w:val="21"/>
          <w:szCs w:val="21"/>
          <w:color w:val="auto"/>
        </w:rPr>
        <w:t>after the transaction in which that person became a 15% stockholder, the business combination is approved by our Board and authorized at a stockholders’ meeting by at least two-thirds of the outstanding voting stock not owned by the 15% stockholder.</w:t>
      </w:r>
    </w:p>
    <w:p>
      <w:pPr>
        <w:spacing w:after="0" w:line="208" w:lineRule="exact"/>
        <w:rPr>
          <w:sz w:val="20"/>
          <w:szCs w:val="20"/>
          <w:color w:val="auto"/>
        </w:rPr>
      </w:pPr>
    </w:p>
    <w:p>
      <w:pPr>
        <w:jc w:val="both"/>
        <w:ind w:firstLine="431"/>
        <w:spacing w:after="0" w:line="252" w:lineRule="auto"/>
        <w:rPr>
          <w:sz w:val="20"/>
          <w:szCs w:val="20"/>
          <w:color w:val="auto"/>
        </w:rPr>
      </w:pPr>
      <w:r>
        <w:rPr>
          <w:rFonts w:ascii="Arial" w:cs="Arial" w:eastAsia="Arial" w:hAnsi="Arial"/>
          <w:sz w:val="21"/>
          <w:szCs w:val="21"/>
          <w:color w:val="auto"/>
        </w:rPr>
        <w:t>Under Section 203, these restrictions also do not apply to certain business combinations proposed by a 15% stockholder following the disclosure of an extraordinary transaction with a person who was not a 15% stockholder 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pacing w:after="0" w:line="209" w:lineRule="exact"/>
        <w:rPr>
          <w:sz w:val="20"/>
          <w:szCs w:val="20"/>
          <w:color w:val="auto"/>
        </w:rPr>
      </w:pPr>
    </w:p>
    <w:p>
      <w:pPr>
        <w:jc w:val="both"/>
        <w:ind w:firstLine="431"/>
        <w:spacing w:after="0" w:line="252" w:lineRule="auto"/>
        <w:rPr>
          <w:sz w:val="20"/>
          <w:szCs w:val="20"/>
          <w:color w:val="auto"/>
        </w:rPr>
      </w:pPr>
      <w:r>
        <w:rPr>
          <w:rFonts w:ascii="Arial" w:cs="Arial" w:eastAsia="Arial" w:hAnsi="Arial"/>
          <w:sz w:val="21"/>
          <w:szCs w:val="21"/>
          <w:color w:val="auto"/>
        </w:rPr>
        <w:t>These provisions are expected to discourage coercive takeover practices and inadequate takeover bids. They are also designed, in part, to encourage persons seeking to acquire control of the Company to first negotiate with our Board. We believe that the benefits of increased protection give us the potential ability to negotiate with the proponent of an unfriendly or unsolicited proposal to acquire or restructure us and that these benefits outweigh the disadvantages of discouraging the proposals. Negotiating with the proponent could result in an improvement of the terms of the proposal.</w:t>
      </w:r>
    </w:p>
    <w:p>
      <w:pPr>
        <w:sectPr>
          <w:pgSz w:w="11900" w:h="16838" w:orient="portrait"/>
          <w:cols w:equalWidth="0" w:num="1">
            <w:col w:w="11240"/>
          </w:cols>
          <w:pgMar w:left="320" w:top="138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b w:val="1"/>
          <w:bCs w:val="1"/>
          <w:color w:val="auto"/>
        </w:rPr>
        <w:t>Exhibit 21</w:t>
      </w:r>
    </w:p>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AVIAT NETWORKS, INC.</w:t>
      </w:r>
    </w:p>
    <w:p>
      <w:pPr>
        <w:spacing w:after="0" w:line="114"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color w:val="auto"/>
        </w:rPr>
        <w:t>SUBSIDIARIES AS OF July 2, 2021</w:t>
      </w:r>
    </w:p>
    <w:p>
      <w:pPr>
        <w:spacing w:after="0" w:line="26"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(100% direct or indirect ownership by Aviat Networks, Inc.)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80" w:type="dxa"/>
            <w:vAlign w:val="bottom"/>
          </w:tcPr>
          <w:p>
            <w:pPr>
              <w:spacing w:after="0"/>
              <w:rPr>
                <w:sz w:val="16"/>
                <w:szCs w:val="16"/>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r>
      <w:tr>
        <w:trPr>
          <w:trHeight w:val="220"/>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Algeria S.A.R.L.</w:t>
            </w:r>
          </w:p>
        </w:tc>
        <w:tc>
          <w:tcPr>
            <w:tcW w:w="4400" w:type="dxa"/>
            <w:vAlign w:val="bottom"/>
          </w:tcPr>
          <w:p>
            <w:pPr>
              <w:ind w:left="20"/>
              <w:spacing w:after="0"/>
              <w:rPr>
                <w:sz w:val="20"/>
                <w:szCs w:val="20"/>
                <w:color w:val="auto"/>
              </w:rPr>
            </w:pPr>
            <w:r>
              <w:rPr>
                <w:rFonts w:ascii="Arial" w:cs="Arial" w:eastAsia="Arial" w:hAnsi="Arial"/>
                <w:sz w:val="17"/>
                <w:szCs w:val="17"/>
                <w:color w:val="auto"/>
              </w:rPr>
              <w:t>Algeria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(Australia) Pty. Ltd.</w:t>
            </w:r>
          </w:p>
        </w:tc>
        <w:tc>
          <w:tcPr>
            <w:tcW w:w="4400" w:type="dxa"/>
            <w:vAlign w:val="bottom"/>
          </w:tcPr>
          <w:p>
            <w:pPr>
              <w:ind w:left="20"/>
              <w:spacing w:after="0"/>
              <w:rPr>
                <w:sz w:val="20"/>
                <w:szCs w:val="20"/>
                <w:color w:val="auto"/>
              </w:rPr>
            </w:pPr>
            <w:r>
              <w:rPr>
                <w:rFonts w:ascii="Arial" w:cs="Arial" w:eastAsia="Arial" w:hAnsi="Arial"/>
                <w:sz w:val="17"/>
                <w:szCs w:val="17"/>
                <w:color w:val="auto"/>
              </w:rPr>
              <w:t>Australia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(Bangladesh)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Bangladesh</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Brasil Servicos em Communicacoes Ltda.</w:t>
            </w:r>
          </w:p>
        </w:tc>
        <w:tc>
          <w:tcPr>
            <w:tcW w:w="4400" w:type="dxa"/>
            <w:vAlign w:val="bottom"/>
          </w:tcPr>
          <w:p>
            <w:pPr>
              <w:ind w:left="20"/>
              <w:spacing w:after="0"/>
              <w:rPr>
                <w:sz w:val="20"/>
                <w:szCs w:val="20"/>
                <w:color w:val="auto"/>
              </w:rPr>
            </w:pPr>
            <w:r>
              <w:rPr>
                <w:rFonts w:ascii="Arial" w:cs="Arial" w:eastAsia="Arial" w:hAnsi="Arial"/>
                <w:sz w:val="17"/>
                <w:szCs w:val="17"/>
                <w:color w:val="auto"/>
              </w:rPr>
              <w:t>Brazil</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Canada ULC</w:t>
            </w:r>
          </w:p>
        </w:tc>
        <w:tc>
          <w:tcPr>
            <w:tcW w:w="44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Communications Technology (Shenzhen) Company Ltd.</w:t>
            </w:r>
          </w:p>
        </w:tc>
        <w:tc>
          <w:tcPr>
            <w:tcW w:w="4400" w:type="dxa"/>
            <w:vAlign w:val="bottom"/>
          </w:tcPr>
          <w:p>
            <w:pPr>
              <w:ind w:left="20"/>
              <w:spacing w:after="0"/>
              <w:rPr>
                <w:sz w:val="20"/>
                <w:szCs w:val="20"/>
                <w:color w:val="auto"/>
              </w:rPr>
            </w:pPr>
            <w:r>
              <w:rPr>
                <w:rFonts w:ascii="Arial" w:cs="Arial" w:eastAsia="Arial" w:hAnsi="Arial"/>
                <w:sz w:val="17"/>
                <w:szCs w:val="17"/>
                <w:color w:val="auto"/>
              </w:rPr>
              <w:t>The People’s Republic of China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France S.A.S.</w:t>
            </w:r>
          </w:p>
        </w:tc>
        <w:tc>
          <w:tcPr>
            <w:tcW w:w="440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Ghana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Ghana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Holland B.V.</w:t>
            </w:r>
          </w:p>
        </w:tc>
        <w:tc>
          <w:tcPr>
            <w:tcW w:w="4400" w:type="dxa"/>
            <w:vAlign w:val="bottom"/>
          </w:tcPr>
          <w:p>
            <w:pPr>
              <w:ind w:left="20"/>
              <w:spacing w:after="0"/>
              <w:rPr>
                <w:sz w:val="20"/>
                <w:szCs w:val="20"/>
                <w:color w:val="auto"/>
              </w:rPr>
            </w:pPr>
            <w:r>
              <w:rPr>
                <w:rFonts w:ascii="Arial" w:cs="Arial" w:eastAsia="Arial" w:hAnsi="Arial"/>
                <w:sz w:val="17"/>
                <w:szCs w:val="17"/>
                <w:color w:val="auto"/>
              </w:rPr>
              <w:t>The Netherlands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HK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Hong Kong</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(India) Private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India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Telsima Communications Private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India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Pt. Aviat Networks Indonesia</w:t>
            </w:r>
          </w:p>
        </w:tc>
        <w:tc>
          <w:tcPr>
            <w:tcW w:w="4400" w:type="dxa"/>
            <w:vAlign w:val="bottom"/>
          </w:tcPr>
          <w:p>
            <w:pPr>
              <w:ind w:left="20"/>
              <w:spacing w:after="0"/>
              <w:rPr>
                <w:sz w:val="20"/>
                <w:szCs w:val="20"/>
                <w:color w:val="auto"/>
              </w:rPr>
            </w:pPr>
            <w:r>
              <w:rPr>
                <w:rFonts w:ascii="Arial" w:cs="Arial" w:eastAsia="Arial" w:hAnsi="Arial"/>
                <w:sz w:val="17"/>
                <w:szCs w:val="17"/>
                <w:color w:val="auto"/>
              </w:rPr>
              <w:t>Indonesia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Côte d’Ivoire</w:t>
            </w:r>
          </w:p>
        </w:tc>
        <w:tc>
          <w:tcPr>
            <w:tcW w:w="4400" w:type="dxa"/>
            <w:vAlign w:val="bottom"/>
          </w:tcPr>
          <w:p>
            <w:pPr>
              <w:ind w:left="20"/>
              <w:spacing w:after="0"/>
              <w:rPr>
                <w:sz w:val="20"/>
                <w:szCs w:val="20"/>
                <w:color w:val="auto"/>
              </w:rPr>
            </w:pPr>
            <w:r>
              <w:rPr>
                <w:rFonts w:ascii="Arial" w:cs="Arial" w:eastAsia="Arial" w:hAnsi="Arial"/>
                <w:sz w:val="17"/>
                <w:szCs w:val="17"/>
                <w:color w:val="auto"/>
              </w:rPr>
              <w:t>Ivory Coast</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(Kenya)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Kenya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Malaysia Sdn. Bhd.</w:t>
            </w:r>
          </w:p>
        </w:tc>
        <w:tc>
          <w:tcPr>
            <w:tcW w:w="4400" w:type="dxa"/>
            <w:vAlign w:val="bottom"/>
          </w:tcPr>
          <w:p>
            <w:pPr>
              <w:ind w:left="20"/>
              <w:spacing w:after="0"/>
              <w:rPr>
                <w:sz w:val="20"/>
                <w:szCs w:val="20"/>
                <w:color w:val="auto"/>
              </w:rPr>
            </w:pPr>
            <w:r>
              <w:rPr>
                <w:rFonts w:ascii="Arial" w:cs="Arial" w:eastAsia="Arial" w:hAnsi="Arial"/>
                <w:sz w:val="17"/>
                <w:szCs w:val="17"/>
                <w:color w:val="auto"/>
              </w:rPr>
              <w:t>Malaysia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Digital Microwave (Mauritius) Private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Mauritius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México S.A. de C.V.</w:t>
            </w:r>
          </w:p>
        </w:tc>
        <w:tc>
          <w:tcPr>
            <w:tcW w:w="4400" w:type="dxa"/>
            <w:vAlign w:val="bottom"/>
          </w:tcPr>
          <w:p>
            <w:pPr>
              <w:ind w:left="20"/>
              <w:spacing w:after="0"/>
              <w:rPr>
                <w:sz w:val="20"/>
                <w:szCs w:val="20"/>
                <w:color w:val="auto"/>
              </w:rPr>
            </w:pPr>
            <w:r>
              <w:rPr>
                <w:rFonts w:ascii="Arial" w:cs="Arial" w:eastAsia="Arial" w:hAnsi="Arial"/>
                <w:sz w:val="17"/>
                <w:szCs w:val="17"/>
                <w:color w:val="auto"/>
              </w:rPr>
              <w:t>Mexico</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(NZ)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New Zealand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Communication Solutions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Nigeria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Stratex Networks Nigeria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Nigeria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(Clark) Corporation</w:t>
            </w:r>
          </w:p>
        </w:tc>
        <w:tc>
          <w:tcPr>
            <w:tcW w:w="4400" w:type="dxa"/>
            <w:vAlign w:val="bottom"/>
          </w:tcPr>
          <w:p>
            <w:pPr>
              <w:ind w:left="20"/>
              <w:spacing w:after="0"/>
              <w:rPr>
                <w:sz w:val="20"/>
                <w:szCs w:val="20"/>
                <w:color w:val="auto"/>
              </w:rPr>
            </w:pPr>
            <w:r>
              <w:rPr>
                <w:rFonts w:ascii="Arial" w:cs="Arial" w:eastAsia="Arial" w:hAnsi="Arial"/>
                <w:sz w:val="17"/>
                <w:szCs w:val="17"/>
                <w:color w:val="auto"/>
              </w:rPr>
              <w:t>The Philippines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Philippines, Inc.</w:t>
            </w:r>
          </w:p>
        </w:tc>
        <w:tc>
          <w:tcPr>
            <w:tcW w:w="4400" w:type="dxa"/>
            <w:vAlign w:val="bottom"/>
          </w:tcPr>
          <w:p>
            <w:pPr>
              <w:ind w:left="20"/>
              <w:spacing w:after="0"/>
              <w:rPr>
                <w:sz w:val="20"/>
                <w:szCs w:val="20"/>
                <w:color w:val="auto"/>
              </w:rPr>
            </w:pPr>
            <w:r>
              <w:rPr>
                <w:rFonts w:ascii="Arial" w:cs="Arial" w:eastAsia="Arial" w:hAnsi="Arial"/>
                <w:sz w:val="17"/>
                <w:szCs w:val="17"/>
                <w:color w:val="auto"/>
              </w:rPr>
              <w:t>The Philippines</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Polska Sp. z.o.o.</w:t>
            </w:r>
          </w:p>
        </w:tc>
        <w:tc>
          <w:tcPr>
            <w:tcW w:w="4400" w:type="dxa"/>
            <w:vAlign w:val="bottom"/>
          </w:tcPr>
          <w:p>
            <w:pPr>
              <w:ind w:left="20"/>
              <w:spacing w:after="0"/>
              <w:rPr>
                <w:sz w:val="20"/>
                <w:szCs w:val="20"/>
                <w:color w:val="auto"/>
              </w:rPr>
            </w:pPr>
            <w:r>
              <w:rPr>
                <w:rFonts w:ascii="Arial" w:cs="Arial" w:eastAsia="Arial" w:hAnsi="Arial"/>
                <w:sz w:val="17"/>
                <w:szCs w:val="17"/>
                <w:color w:val="auto"/>
              </w:rPr>
              <w:t>Poland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Communications Solutions LLC</w:t>
            </w:r>
          </w:p>
        </w:tc>
        <w:tc>
          <w:tcPr>
            <w:tcW w:w="4400" w:type="dxa"/>
            <w:vAlign w:val="bottom"/>
          </w:tcPr>
          <w:p>
            <w:pPr>
              <w:ind w:left="20"/>
              <w:spacing w:after="0"/>
              <w:rPr>
                <w:sz w:val="20"/>
                <w:szCs w:val="20"/>
                <w:color w:val="auto"/>
              </w:rPr>
            </w:pPr>
            <w:r>
              <w:rPr>
                <w:rFonts w:ascii="Arial" w:cs="Arial" w:eastAsia="Arial" w:hAnsi="Arial"/>
                <w:sz w:val="17"/>
                <w:szCs w:val="17"/>
                <w:color w:val="auto"/>
              </w:rPr>
              <w:t>Russia</w:t>
            </w:r>
          </w:p>
        </w:tc>
      </w:tr>
      <w:tr>
        <w:trPr>
          <w:trHeight w:val="235"/>
        </w:trPr>
        <w:tc>
          <w:tcPr>
            <w:tcW w:w="6420" w:type="dxa"/>
            <w:vAlign w:val="bottom"/>
            <w:gridSpan w:val="2"/>
          </w:tcPr>
          <w:p>
            <w:pPr>
              <w:spacing w:after="0"/>
              <w:rPr>
                <w:sz w:val="20"/>
                <w:szCs w:val="20"/>
                <w:color w:val="auto"/>
              </w:rPr>
            </w:pPr>
            <w:r>
              <w:rPr>
                <w:rFonts w:ascii="Arial" w:cs="Arial" w:eastAsia="Arial" w:hAnsi="Arial"/>
                <w:sz w:val="17"/>
                <w:szCs w:val="17"/>
                <w:color w:val="auto"/>
              </w:rPr>
              <w:t>Aviat Net Works Saudi Telecom &amp; Information Technology Co.</w:t>
            </w:r>
          </w:p>
        </w:tc>
        <w:tc>
          <w:tcPr>
            <w:tcW w:w="4400" w:type="dxa"/>
            <w:vAlign w:val="bottom"/>
          </w:tcPr>
          <w:p>
            <w:pPr>
              <w:ind w:left="20"/>
              <w:spacing w:after="0"/>
              <w:rPr>
                <w:sz w:val="20"/>
                <w:szCs w:val="20"/>
                <w:color w:val="auto"/>
              </w:rPr>
            </w:pPr>
            <w:r>
              <w:rPr>
                <w:rFonts w:ascii="Arial" w:cs="Arial" w:eastAsia="Arial" w:hAnsi="Arial"/>
                <w:sz w:val="17"/>
                <w:szCs w:val="17"/>
                <w:color w:val="auto"/>
              </w:rPr>
              <w:t>Kingdom of Saudi Arabia</w:t>
            </w:r>
          </w:p>
        </w:tc>
      </w:tr>
      <w:tr>
        <w:trPr>
          <w:trHeight w:val="235"/>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(S) Pte. Ltd.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Singapore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storitveno podjetje, d.o.o.</w:t>
            </w:r>
          </w:p>
        </w:tc>
        <w:tc>
          <w:tcPr>
            <w:tcW w:w="4400" w:type="dxa"/>
            <w:vAlign w:val="bottom"/>
          </w:tcPr>
          <w:p>
            <w:pPr>
              <w:ind w:left="20"/>
              <w:spacing w:after="0"/>
              <w:rPr>
                <w:sz w:val="20"/>
                <w:szCs w:val="20"/>
                <w:color w:val="auto"/>
              </w:rPr>
            </w:pPr>
            <w:r>
              <w:rPr>
                <w:rFonts w:ascii="Arial" w:cs="Arial" w:eastAsia="Arial" w:hAnsi="Arial"/>
                <w:sz w:val="17"/>
                <w:szCs w:val="17"/>
                <w:color w:val="auto"/>
              </w:rPr>
              <w:t>Slovenia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(South Africa) (Proprietary)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South Africa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DMC Stratex Networks (South Africa) (Proprietary)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Republic of South Africa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Tanzania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Tanzania</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(Thailand) Ltd.</w:t>
            </w:r>
          </w:p>
        </w:tc>
        <w:tc>
          <w:tcPr>
            <w:tcW w:w="4400" w:type="dxa"/>
            <w:vAlign w:val="bottom"/>
          </w:tcPr>
          <w:p>
            <w:pPr>
              <w:ind w:left="20"/>
              <w:spacing w:after="0"/>
              <w:rPr>
                <w:sz w:val="20"/>
                <w:szCs w:val="20"/>
                <w:color w:val="auto"/>
              </w:rPr>
            </w:pPr>
            <w:r>
              <w:rPr>
                <w:rFonts w:ascii="Arial" w:cs="Arial" w:eastAsia="Arial" w:hAnsi="Arial"/>
                <w:sz w:val="17"/>
                <w:szCs w:val="17"/>
                <w:color w:val="auto"/>
              </w:rPr>
              <w:t>Thailand</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Networks (UK) Limited</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International Holdings, Inc.</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Aviat U.S., Inc.</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22"/>
        </w:trPr>
        <w:tc>
          <w:tcPr>
            <w:tcW w:w="6420" w:type="dxa"/>
            <w:vAlign w:val="bottom"/>
            <w:gridSpan w:val="2"/>
          </w:tcPr>
          <w:p>
            <w:pPr>
              <w:spacing w:after="0"/>
              <w:rPr>
                <w:sz w:val="20"/>
                <w:szCs w:val="20"/>
                <w:color w:val="auto"/>
              </w:rPr>
            </w:pPr>
            <w:r>
              <w:rPr>
                <w:rFonts w:ascii="Arial" w:cs="Arial" w:eastAsia="Arial" w:hAnsi="Arial"/>
                <w:sz w:val="17"/>
                <w:szCs w:val="17"/>
                <w:color w:val="auto"/>
              </w:rPr>
              <w:t>Telsima Corporation</w:t>
            </w:r>
          </w:p>
        </w:tc>
        <w:tc>
          <w:tcPr>
            <w:tcW w:w="4400" w:type="dxa"/>
            <w:vAlign w:val="bottom"/>
          </w:tcPr>
          <w:p>
            <w:pPr>
              <w:ind w:left="20"/>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020"/>
          </w:cols>
          <w:pgMar w:left="540" w:top="110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color w:val="auto"/>
        </w:rPr>
        <w:t>Aviat Networks, Inc.</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Austin, Texas</w:t>
      </w:r>
    </w:p>
    <w:p>
      <w:pPr>
        <w:spacing w:after="0" w:line="297"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We hereby consent to the incorporation by reference in the Registration Statements on Form S-3 (No. 333-255206) and Form S-8 (Nos. 333-224957, 333-209462, 333-178467, 333-163542 and 333-140442) of Aviat Networks, Inc. of our reports dated </w:t>
      </w:r>
      <w:r>
        <w:rPr>
          <w:rFonts w:ascii="Arial" w:cs="Arial" w:eastAsia="Arial" w:hAnsi="Arial"/>
          <w:sz w:val="19"/>
          <w:szCs w:val="19"/>
          <w:color w:val="auto"/>
        </w:rPr>
        <w:t>August 25,</w:t>
      </w:r>
      <w:r>
        <w:rPr>
          <w:rFonts w:ascii="Arial" w:cs="Arial" w:eastAsia="Arial" w:hAnsi="Arial"/>
          <w:sz w:val="21"/>
          <w:szCs w:val="21"/>
          <w:color w:val="auto"/>
        </w:rPr>
        <w:t xml:space="preserve"> </w:t>
      </w:r>
      <w:r>
        <w:rPr>
          <w:rFonts w:ascii="Arial" w:cs="Arial" w:eastAsia="Arial" w:hAnsi="Arial"/>
          <w:sz w:val="19"/>
          <w:szCs w:val="19"/>
          <w:color w:val="auto"/>
        </w:rPr>
        <w:t xml:space="preserve">2021 </w:t>
      </w:r>
      <w:r>
        <w:rPr>
          <w:rFonts w:ascii="Arial" w:cs="Arial" w:eastAsia="Arial" w:hAnsi="Arial"/>
          <w:sz w:val="20"/>
          <w:szCs w:val="20"/>
          <w:color w:val="auto"/>
        </w:rPr>
        <w:t>relating to the consolidated financial statements and schedule, and the effectiveness of Aviat Networks, Inc.’s internal control</w:t>
      </w:r>
      <w:r>
        <w:rPr>
          <w:rFonts w:ascii="Arial" w:cs="Arial" w:eastAsia="Arial" w:hAnsi="Arial"/>
          <w:sz w:val="19"/>
          <w:szCs w:val="19"/>
          <w:color w:val="auto"/>
        </w:rPr>
        <w:t xml:space="preserve"> </w:t>
      </w:r>
      <w:r>
        <w:rPr>
          <w:rFonts w:ascii="Arial" w:cs="Arial" w:eastAsia="Arial" w:hAnsi="Arial"/>
          <w:sz w:val="20"/>
          <w:szCs w:val="20"/>
          <w:color w:val="auto"/>
        </w:rPr>
        <w:t>over financial reporting, which appear in this Form 10-K.</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August 25, 2021</w:t>
      </w:r>
    </w:p>
    <w:p>
      <w:pPr>
        <w:sectPr>
          <w:pgSz w:w="11900" w:h="16838" w:orient="portrait"/>
          <w:cols w:equalWidth="0" w:num="1">
            <w:col w:w="11240"/>
          </w:cols>
          <w:pgMar w:left="320" w:top="138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July 2,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25, 2021</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tcPr>
          <w:p>
            <w:pPr>
              <w:ind w:left="280"/>
              <w:spacing w:after="0"/>
              <w:rPr>
                <w:sz w:val="20"/>
                <w:szCs w:val="20"/>
                <w:color w:val="auto"/>
              </w:rPr>
            </w:pPr>
            <w:r>
              <w:rPr>
                <w:rFonts w:ascii="Arial" w:cs="Arial" w:eastAsia="Arial" w:hAnsi="Arial"/>
                <w:sz w:val="17"/>
                <w:szCs w:val="17"/>
                <w:color w:val="auto"/>
              </w:rPr>
              <w:t>Peter A. Smith</w:t>
            </w: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Eric Chang, certify that:</w:t>
      </w:r>
    </w:p>
    <w:p>
      <w:pPr>
        <w:spacing w:after="0" w:line="170" w:lineRule="exact"/>
        <w:rPr>
          <w:sz w:val="20"/>
          <w:szCs w:val="20"/>
          <w:color w:val="auto"/>
        </w:rPr>
      </w:pPr>
    </w:p>
    <w:p>
      <w:pPr>
        <w:ind w:left="640" w:hanging="322"/>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July 2, 2021,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25, 2021</w:t>
            </w: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3"/>
              </w:rPr>
              <w:t>/s/ Eric Chang</w:t>
            </w:r>
          </w:p>
        </w:tc>
        <w:tc>
          <w:tcPr>
            <w:tcW w:w="3560" w:type="dxa"/>
            <w:vAlign w:val="bottom"/>
            <w:tcBorders>
              <w:bottom w:val="single" w:sz="8" w:color="auto"/>
            </w:tcBorders>
          </w:tcPr>
          <w:p>
            <w:pPr>
              <w:spacing w:after="0"/>
              <w:rPr>
                <w:sz w:val="19"/>
                <w:szCs w:val="19"/>
                <w:color w:val="auto"/>
              </w:rPr>
            </w:pPr>
          </w:p>
        </w:tc>
      </w:tr>
      <w:tr>
        <w:trPr>
          <w:trHeight w:val="215"/>
        </w:trPr>
        <w:tc>
          <w:tcPr>
            <w:tcW w:w="638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Name:</w:t>
            </w:r>
          </w:p>
        </w:tc>
        <w:tc>
          <w:tcPr>
            <w:tcW w:w="3560" w:type="dxa"/>
            <w:vAlign w:val="bottom"/>
          </w:tcPr>
          <w:p>
            <w:pPr>
              <w:ind w:left="20"/>
              <w:spacing w:after="0"/>
              <w:rPr>
                <w:sz w:val="20"/>
                <w:szCs w:val="20"/>
                <w:color w:val="auto"/>
              </w:rPr>
            </w:pPr>
            <w:r>
              <w:rPr>
                <w:rFonts w:ascii="Arial" w:cs="Arial" w:eastAsia="Arial" w:hAnsi="Arial"/>
                <w:sz w:val="17"/>
                <w:szCs w:val="17"/>
                <w:color w:val="auto"/>
              </w:rPr>
              <w:t>Eric Chang</w:t>
            </w:r>
          </w:p>
        </w:tc>
      </w:tr>
      <w:tr>
        <w:trPr>
          <w:trHeight w:val="222"/>
        </w:trPr>
        <w:tc>
          <w:tcPr>
            <w:tcW w:w="638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auto"/>
              </w:rPr>
              <w:t>Title:</w:t>
            </w:r>
          </w:p>
        </w:tc>
        <w:tc>
          <w:tcPr>
            <w:tcW w:w="3560" w:type="dxa"/>
            <w:vAlign w:val="bottom"/>
          </w:tcPr>
          <w:p>
            <w:pPr>
              <w:ind w:left="20"/>
              <w:spacing w:after="0"/>
              <w:rPr>
                <w:sz w:val="20"/>
                <w:szCs w:val="20"/>
                <w:color w:val="auto"/>
              </w:rPr>
            </w:pPr>
            <w:r>
              <w:rPr>
                <w:rFonts w:ascii="Arial" w:cs="Arial" w:eastAsia="Arial" w:hAnsi="Arial"/>
                <w:sz w:val="17"/>
                <w:szCs w:val="17"/>
                <w:color w:val="auto"/>
              </w:rPr>
              <w:t>Senior Vice President, Chief Financial Officer</w:t>
            </w:r>
          </w:p>
        </w:tc>
      </w:tr>
    </w:tbl>
    <w:p>
      <w:pPr>
        <w:sectPr>
          <w:pgSz w:w="11900" w:h="16838" w:orient="portrait"/>
          <w:cols w:equalWidth="0" w:num="1">
            <w:col w:w="11240"/>
          </w:cols>
          <w:pgMar w:left="320" w:top="866"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70"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In connection with the filing of the Annual Report on Form 10-K of Aviat Networks, Inc. (“Aviat Networks”) for the fiscal year ended July 2, 2021, as filed with the Securities and Exchange Commission on the date hereof (the “Report”), the undersigned, Peter Smith, hereby certifies, pursuant to Section 906 of the Sarbanes-Oxley Act of 2002, 18 U.S.C. §1350, that:</w:t>
      </w:r>
    </w:p>
    <w:p>
      <w:pPr>
        <w:spacing w:after="0" w:line="120" w:lineRule="exact"/>
        <w:rPr>
          <w:sz w:val="20"/>
          <w:szCs w:val="20"/>
          <w:color w:val="auto"/>
        </w:rPr>
      </w:pPr>
    </w:p>
    <w:p>
      <w:pPr>
        <w:ind w:left="640" w:hanging="635"/>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81" w:lineRule="exact"/>
        <w:rPr>
          <w:rFonts w:ascii="Arial" w:cs="Arial" w:eastAsia="Arial" w:hAnsi="Arial"/>
          <w:sz w:val="16"/>
          <w:szCs w:val="16"/>
          <w:color w:val="auto"/>
        </w:rPr>
      </w:pPr>
    </w:p>
    <w:p>
      <w:pPr>
        <w:ind w:left="640" w:hanging="635"/>
        <w:spacing w:after="0" w:line="280"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80" w:type="dxa"/>
            <w:vAlign w:val="bottom"/>
          </w:tcPr>
          <w:p>
            <w:pPr>
              <w:spacing w:after="0"/>
              <w:rPr>
                <w:sz w:val="20"/>
                <w:szCs w:val="20"/>
                <w:color w:val="auto"/>
              </w:rPr>
            </w:pPr>
            <w:r>
              <w:rPr>
                <w:rFonts w:ascii="Arial" w:cs="Arial" w:eastAsia="Arial" w:hAnsi="Arial"/>
                <w:sz w:val="17"/>
                <w:szCs w:val="17"/>
                <w:color w:val="auto"/>
              </w:rPr>
              <w:t>Date: August 25, 2021</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8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Name:</w:t>
            </w:r>
          </w:p>
        </w:tc>
        <w:tc>
          <w:tcPr>
            <w:tcW w:w="3820" w:type="dxa"/>
            <w:vAlign w:val="bottom"/>
          </w:tcPr>
          <w:p>
            <w:pPr>
              <w:ind w:left="280"/>
              <w:spacing w:after="0"/>
              <w:rPr>
                <w:sz w:val="20"/>
                <w:szCs w:val="20"/>
                <w:color w:val="auto"/>
              </w:rPr>
            </w:pPr>
            <w:r>
              <w:rPr>
                <w:rFonts w:ascii="Arial" w:cs="Arial" w:eastAsia="Arial" w:hAnsi="Arial"/>
                <w:sz w:val="17"/>
                <w:szCs w:val="17"/>
                <w:color w:val="auto"/>
              </w:rPr>
              <w:t>Peter A. Smith</w:t>
            </w:r>
          </w:p>
        </w:tc>
      </w:tr>
      <w:tr>
        <w:trPr>
          <w:trHeight w:val="222"/>
        </w:trPr>
        <w:tc>
          <w:tcPr>
            <w:tcW w:w="638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820" w:type="dxa"/>
            <w:vAlign w:val="bottom"/>
          </w:tcPr>
          <w:p>
            <w:pPr>
              <w:ind w:left="28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United States Code as Adopted Pursuant to Section 906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 the Sarbanes-Oxley Act of 2002</w:t>
      </w:r>
    </w:p>
    <w:p>
      <w:pPr>
        <w:spacing w:after="0" w:line="158" w:lineRule="exact"/>
        <w:rPr>
          <w:sz w:val="20"/>
          <w:szCs w:val="20"/>
          <w:color w:val="auto"/>
        </w:rPr>
      </w:pPr>
    </w:p>
    <w:p>
      <w:pPr>
        <w:jc w:val="both"/>
        <w:ind w:firstLine="431"/>
        <w:spacing w:after="0" w:line="272" w:lineRule="auto"/>
        <w:rPr>
          <w:sz w:val="20"/>
          <w:szCs w:val="20"/>
          <w:color w:val="auto"/>
        </w:rPr>
      </w:pPr>
      <w:r>
        <w:rPr>
          <w:rFonts w:ascii="Arial" w:cs="Arial" w:eastAsia="Arial" w:hAnsi="Arial"/>
          <w:sz w:val="17"/>
          <w:szCs w:val="17"/>
          <w:color w:val="auto"/>
        </w:rPr>
        <w:t>In connection with the filing of the Annual Report on Form 10-K of Aviat Networks, Inc. (“Aviat Networks”) for the fiscal year ended July 2, 2021, as filed with the Securities and Exchange Commission on the date hereof (the “Report”), the undersigned, Eric Chang, hereby certifies, pursuant to Section 906 of the Sarbanes-Oxley Act of 2002, 18 U.S.C. §1350, that:</w:t>
      </w:r>
    </w:p>
    <w:p>
      <w:pPr>
        <w:spacing w:after="0" w:line="119" w:lineRule="exact"/>
        <w:rPr>
          <w:sz w:val="20"/>
          <w:szCs w:val="20"/>
          <w:color w:val="auto"/>
        </w:rPr>
      </w:pPr>
    </w:p>
    <w:p>
      <w:pPr>
        <w:ind w:left="640" w:hanging="635"/>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81" w:lineRule="exact"/>
        <w:rPr>
          <w:rFonts w:ascii="Arial" w:cs="Arial" w:eastAsia="Arial" w:hAnsi="Arial"/>
          <w:sz w:val="16"/>
          <w:szCs w:val="16"/>
          <w:color w:val="auto"/>
        </w:rPr>
      </w:pPr>
    </w:p>
    <w:p>
      <w:pPr>
        <w:ind w:left="640" w:hanging="635"/>
        <w:spacing w:after="0" w:line="288"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63" w:lineRule="exact"/>
        <w:rPr>
          <w:sz w:val="20"/>
          <w:szCs w:val="20"/>
          <w:color w:val="auto"/>
        </w:rPr>
      </w:pPr>
    </w:p>
    <w:tbl>
      <w:tblPr>
        <w:tblLayout w:type="fixed"/>
        <w:tblInd w:w="700" w:type="dxa"/>
        <w:tblCellMar>
          <w:top w:w="0" w:type="dxa"/>
          <w:left w:w="0" w:type="dxa"/>
          <w:bottom w:w="0" w:type="dxa"/>
          <w:right w:w="0" w:type="dxa"/>
        </w:tblCellMar>
      </w:tblPr>
      <w:tr>
        <w:trPr>
          <w:trHeight w:val="221"/>
        </w:trPr>
        <w:tc>
          <w:tcPr>
            <w:tcW w:w="5640" w:type="dxa"/>
            <w:vAlign w:val="bottom"/>
          </w:tcPr>
          <w:p>
            <w:pPr>
              <w:spacing w:after="0"/>
              <w:rPr>
                <w:sz w:val="20"/>
                <w:szCs w:val="20"/>
                <w:color w:val="auto"/>
              </w:rPr>
            </w:pPr>
            <w:r>
              <w:rPr>
                <w:rFonts w:ascii="Arial" w:cs="Arial" w:eastAsia="Arial" w:hAnsi="Arial"/>
                <w:sz w:val="17"/>
                <w:szCs w:val="17"/>
                <w:color w:val="auto"/>
              </w:rPr>
              <w:t>Date: August 25, 2021</w:t>
            </w: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Eric Chang</w:t>
            </w:r>
          </w:p>
        </w:tc>
      </w:tr>
      <w:tr>
        <w:trPr>
          <w:trHeight w:val="215"/>
        </w:trPr>
        <w:tc>
          <w:tcPr>
            <w:tcW w:w="564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3760" w:type="dxa"/>
            <w:vAlign w:val="bottom"/>
          </w:tcPr>
          <w:p>
            <w:pPr>
              <w:ind w:left="240"/>
              <w:spacing w:after="0"/>
              <w:rPr>
                <w:sz w:val="20"/>
                <w:szCs w:val="20"/>
                <w:color w:val="auto"/>
              </w:rPr>
            </w:pPr>
            <w:r>
              <w:rPr>
                <w:rFonts w:ascii="Arial" w:cs="Arial" w:eastAsia="Arial" w:hAnsi="Arial"/>
                <w:sz w:val="17"/>
                <w:szCs w:val="17"/>
                <w:color w:val="auto"/>
              </w:rPr>
              <w:t>Eric Chang</w:t>
            </w:r>
          </w:p>
        </w:tc>
      </w:tr>
      <w:tr>
        <w:trPr>
          <w:trHeight w:val="222"/>
        </w:trPr>
        <w:tc>
          <w:tcPr>
            <w:tcW w:w="564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Title:</w:t>
            </w:r>
          </w:p>
        </w:tc>
        <w:tc>
          <w:tcPr>
            <w:tcW w:w="3760" w:type="dxa"/>
            <w:vAlign w:val="bottom"/>
          </w:tcPr>
          <w:p>
            <w:pPr>
              <w:ind w:left="240"/>
              <w:spacing w:after="0"/>
              <w:rPr>
                <w:sz w:val="20"/>
                <w:szCs w:val="20"/>
                <w:color w:val="auto"/>
              </w:rPr>
            </w:pPr>
            <w:r>
              <w:rPr>
                <w:rFonts w:ascii="Arial" w:cs="Arial" w:eastAsia="Arial" w:hAnsi="Arial"/>
                <w:sz w:val="17"/>
                <w:szCs w:val="17"/>
                <w:color w:val="auto"/>
              </w:rPr>
              <w:t>Senior Vice President, Chief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2"/>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29" Type="http://schemas.openxmlformats.org/officeDocument/2006/relationships/hyperlink" Target="http://www.sec.gov/Archives/edgar/data/1377789/000137778917000022/avnwexhibit31amendedandres.htm" TargetMode="External"/><Relationship Id="rId130" Type="http://schemas.openxmlformats.org/officeDocument/2006/relationships/hyperlink" Target="http://www.sec.gov/Archives/edgar/data/1377789/000137778915000082/exhibit_aviatamendedandres.htm" TargetMode="External"/><Relationship Id="rId131" Type="http://schemas.openxmlformats.org/officeDocument/2006/relationships/hyperlink" Target="https://www.sec.gov/Archives/edgar/data/1377789/000119312516702547/d254391dex32.htm" TargetMode="External"/><Relationship Id="rId132" Type="http://schemas.openxmlformats.org/officeDocument/2006/relationships/hyperlink" Target="http://www.sec.gov/Archives/edgar/data/1377789/000095012310084926/f56743exv4w1w1.htm" TargetMode="External"/><Relationship Id="rId133" Type="http://schemas.openxmlformats.org/officeDocument/2006/relationships/hyperlink" Target="https://www.sec.gov/Archives/edgar/data/1377789/000092189520000644/ex41to8k11093004_03032020.htm" TargetMode="External"/><Relationship Id="rId134" Type="http://schemas.openxmlformats.org/officeDocument/2006/relationships/hyperlink" Target="http://www.sec.gov/Archives/edgar/data/1377789/000095014407000753/g05194exv10w4.htm" TargetMode="External"/><Relationship Id="rId135" Type="http://schemas.openxmlformats.org/officeDocument/2006/relationships/hyperlink" Target="http://www.sec.gov/Archives/edgar/data/1377789/000095014407000753/g05194exv10w11.htm" TargetMode="External"/><Relationship Id="rId136" Type="http://schemas.openxmlformats.org/officeDocument/2006/relationships/hyperlink" Target="http://www.sec.gov/Archives/edgar/data/1377789/000095014407000753/g05194exv10w16.htm" TargetMode="External"/><Relationship Id="rId137" Type="http://schemas.openxmlformats.org/officeDocument/2006/relationships/hyperlink" Target="http://www.sec.gov/Archives/edgar/data/1377789/000137778915000075/aviatproxyfy15.htm" TargetMode="External"/><Relationship Id="rId138" Type="http://schemas.openxmlformats.org/officeDocument/2006/relationships/hyperlink" Target="http://www.sec.gov/Archives/edgar/data/1377789/000137778918000043/exhibit101_svbthirdamended.htm" TargetMode="External"/><Relationship Id="rId139" Type="http://schemas.openxmlformats.org/officeDocument/2006/relationships/hyperlink" Target="http://www.sec.gov/Archives/edgar/data/1377789/000137778918000087/exhibit101svbloanamendment.htm" TargetMode="External"/><Relationship Id="rId140" Type="http://schemas.openxmlformats.org/officeDocument/2006/relationships/hyperlink" Target="http://www.sec.gov/Archives/edgar/data/1377789/000137778919000033/amendmentno2tothirdarlsa.htm" TargetMode="External"/><Relationship Id="rId141" Type="http://schemas.openxmlformats.org/officeDocument/2006/relationships/hyperlink" Target="https://www.sec.gov/Archives/edgar/data/1377789/000137778920000032/third_amendmentxtox3rdxarx.htm" TargetMode="External"/><Relationship Id="rId142" Type="http://schemas.openxmlformats.org/officeDocument/2006/relationships/hyperlink" Target="http://www.sec.gov/ix?doc=/Archives/edgar/data/0001377789/000137778921000033/avnw-20210513.htm" TargetMode="External"/><Relationship Id="rId145" Type="http://schemas.openxmlformats.org/officeDocument/2006/relationships/hyperlink" Target="http://www.sec.gov/Archives/edgar/data/1377789/000137778915000002/ex101letteragreement01-12x.htm" TargetMode="External"/><Relationship Id="rId146" Type="http://schemas.openxmlformats.org/officeDocument/2006/relationships/hyperlink" Target="http://www.sec.gov/Archives/edgar/data/1377789/000137778916000114/ex101employmentagreement_p.htm" TargetMode="External"/><Relationship Id="rId147" Type="http://schemas.openxmlformats.org/officeDocument/2006/relationships/hyperlink" Target="http://www.sec.gov/Archives/edgar/data/1377789/000137778918000039/ex102amendmenttoemployment.htm" TargetMode="External"/><Relationship Id="rId148" Type="http://schemas.openxmlformats.org/officeDocument/2006/relationships/hyperlink" Target="https://www.sec.gov/Archives/edgar/data/1377789/000137778920000017/echangamendmentapril32020.htm" TargetMode="External"/><Relationship Id="rId149" Type="http://schemas.openxmlformats.org/officeDocument/2006/relationships/hyperlink" Target="http://www.sec.gov/Archives/edgar/data/1377789/000137778916000172/ex1034mccarthycenterleasej.htm" TargetMode="External"/><Relationship Id="rId150" Type="http://schemas.openxmlformats.org/officeDocument/2006/relationships/hyperlink" Target="https://www.sec.gov/Archives/edgar/data/1377789/000092189520000006/ex101to8k11093001_01022020.htm" TargetMode="External"/><Relationship Id="rId151" Type="http://schemas.openxmlformats.org/officeDocument/2006/relationships/hyperlink" Target="http://www.sec.gov/Archives/edgar/data/0001377789/000137778921000033/amendment1toceocomp.htm" TargetMode="External"/><Relationship Id="rId152" Type="http://schemas.openxmlformats.org/officeDocument/2006/relationships/hyperlink" Target="https://www.sec.gov/Archives/edgar/data/0001377789/000137778921000033/amendment1toceocomp.htm" TargetMode="External"/><Relationship Id="rId153" Type="http://schemas.openxmlformats.org/officeDocument/2006/relationships/hyperlink" Target="http://www.sec.gov/Archives/edgar/data/0001377789/000137778921000041/amendment2tosmithempagreem.htm" TargetMode="External"/><Relationship Id="rId154" Type="http://schemas.openxmlformats.org/officeDocument/2006/relationships/hyperlink" Target="https://www.sec.gov/Archives/edgar/data/0001377789/000137778921000041/amendment2tosmithempagreem.htm" TargetMode="External"/><Relationship Id="rId155" Type="http://schemas.openxmlformats.org/officeDocument/2006/relationships/hyperlink" Target="http://www.sec.gov/Archives/edgar/data/1377789/000137778918000016/aviatannualproxyfy17.htm" TargetMode="External"/><Relationship Id="rId156" Type="http://schemas.openxmlformats.org/officeDocument/2006/relationships/hyperlink" Target="https://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2021-08-25T15:20:06Z</dcterms:created>
  <dcterms:modified xsi:type="dcterms:W3CDTF">2021-08-25T15:20:06Z</dcterms:modified>
</cp:coreProperties>
</file>